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851FA" w14:textId="0749DB8E" w:rsidR="00A71566" w:rsidRPr="00D427BD" w:rsidRDefault="002C258D" w:rsidP="00A64175">
      <w:pPr>
        <w:widowControl w:val="0"/>
        <w:autoSpaceDE w:val="0"/>
        <w:autoSpaceDN w:val="0"/>
        <w:adjustRightInd w:val="0"/>
        <w:spacing w:after="120"/>
        <w:jc w:val="both"/>
        <w:rPr>
          <w:rFonts w:ascii="Arial" w:hAnsi="Arial" w:cs="Arial"/>
          <w:color w:val="000000"/>
          <w:sz w:val="20"/>
          <w:szCs w:val="20"/>
        </w:rPr>
      </w:pPr>
      <w:bookmarkStart w:id="0" w:name="_GoBack"/>
      <w:bookmarkEnd w:id="0"/>
      <w:r w:rsidRPr="00D427BD">
        <w:rPr>
          <w:rFonts w:ascii="Arial" w:hAnsi="Arial" w:cs="Arial"/>
          <w:color w:val="000000"/>
          <w:sz w:val="20"/>
          <w:szCs w:val="20"/>
        </w:rPr>
        <w:t>COMMUNAUTE ECONOMIQUE ET</w:t>
      </w:r>
      <w:r w:rsidR="00884EFC" w:rsidRPr="00D427BD">
        <w:rPr>
          <w:rFonts w:ascii="Arial" w:hAnsi="Arial" w:cs="Arial"/>
          <w:color w:val="000000"/>
          <w:sz w:val="20"/>
          <w:szCs w:val="20"/>
        </w:rPr>
        <w:t xml:space="preserve"> MONETAIRE</w:t>
      </w:r>
      <w:r w:rsidR="00D427BD">
        <w:rPr>
          <w:rFonts w:ascii="Arial" w:hAnsi="Arial" w:cs="Arial"/>
          <w:color w:val="000000"/>
          <w:sz w:val="20"/>
          <w:szCs w:val="20"/>
        </w:rPr>
        <w:t xml:space="preserve">        </w:t>
      </w:r>
      <w:r w:rsidR="00884EFC" w:rsidRPr="00D427BD">
        <w:rPr>
          <w:rFonts w:ascii="Arial" w:hAnsi="Arial" w:cs="Arial"/>
          <w:color w:val="000000"/>
          <w:sz w:val="20"/>
          <w:szCs w:val="20"/>
        </w:rPr>
        <w:t xml:space="preserve">Règlement Général </w:t>
      </w:r>
      <w:r w:rsidR="006019F7" w:rsidRPr="00D427BD">
        <w:rPr>
          <w:rFonts w:ascii="Arial" w:hAnsi="Arial" w:cs="Arial"/>
          <w:color w:val="000000"/>
          <w:sz w:val="20"/>
          <w:szCs w:val="20"/>
        </w:rPr>
        <w:t>de la Commission</w:t>
      </w:r>
    </w:p>
    <w:p w14:paraId="67ED8A1B" w14:textId="5FE08FCA" w:rsidR="00A71566" w:rsidRPr="00D427BD" w:rsidRDefault="00A71566" w:rsidP="00A64175">
      <w:pPr>
        <w:widowControl w:val="0"/>
        <w:autoSpaceDE w:val="0"/>
        <w:autoSpaceDN w:val="0"/>
        <w:adjustRightInd w:val="0"/>
        <w:spacing w:after="120"/>
        <w:jc w:val="both"/>
        <w:rPr>
          <w:rFonts w:ascii="Arial" w:hAnsi="Arial" w:cs="Arial"/>
          <w:color w:val="000000"/>
          <w:sz w:val="20"/>
          <w:szCs w:val="20"/>
        </w:rPr>
      </w:pPr>
      <w:r w:rsidRPr="00D427BD">
        <w:rPr>
          <w:rFonts w:ascii="Arial" w:hAnsi="Arial" w:cs="Arial"/>
          <w:color w:val="000000"/>
          <w:sz w:val="20"/>
          <w:szCs w:val="20"/>
        </w:rPr>
        <w:t>DE L'AFR</w:t>
      </w:r>
      <w:r w:rsidR="00884EFC" w:rsidRPr="00D427BD">
        <w:rPr>
          <w:rFonts w:ascii="Arial" w:hAnsi="Arial" w:cs="Arial"/>
          <w:color w:val="000000"/>
          <w:sz w:val="20"/>
          <w:szCs w:val="20"/>
        </w:rPr>
        <w:t xml:space="preserve">IQUE CENTRALE                  </w:t>
      </w:r>
      <w:r w:rsidR="006019F7" w:rsidRPr="00D427BD">
        <w:rPr>
          <w:rFonts w:ascii="Arial" w:hAnsi="Arial" w:cs="Arial"/>
          <w:color w:val="000000"/>
          <w:sz w:val="20"/>
          <w:szCs w:val="20"/>
        </w:rPr>
        <w:t xml:space="preserve">                </w:t>
      </w:r>
      <w:r w:rsidR="00D427BD">
        <w:rPr>
          <w:rFonts w:ascii="Arial" w:hAnsi="Arial" w:cs="Arial"/>
          <w:color w:val="000000"/>
          <w:sz w:val="20"/>
          <w:szCs w:val="20"/>
        </w:rPr>
        <w:t xml:space="preserve">         </w:t>
      </w:r>
      <w:r w:rsidR="006019F7" w:rsidRPr="00D427BD">
        <w:rPr>
          <w:rFonts w:ascii="Arial" w:hAnsi="Arial" w:cs="Arial"/>
          <w:color w:val="000000"/>
          <w:sz w:val="20"/>
          <w:szCs w:val="20"/>
        </w:rPr>
        <w:t>de Surveillance du Marché Financier</w:t>
      </w:r>
    </w:p>
    <w:p w14:paraId="44F914D8" w14:textId="630CD57F" w:rsidR="00D427BD" w:rsidRDefault="00D427BD" w:rsidP="00D427BD">
      <w:pPr>
        <w:widowControl w:val="0"/>
        <w:autoSpaceDE w:val="0"/>
        <w:autoSpaceDN w:val="0"/>
        <w:adjustRightInd w:val="0"/>
        <w:spacing w:after="120"/>
        <w:ind w:left="4320"/>
        <w:jc w:val="both"/>
        <w:rPr>
          <w:rFonts w:ascii="Arial" w:hAnsi="Arial" w:cs="Arial"/>
          <w:color w:val="000000"/>
          <w:sz w:val="20"/>
          <w:szCs w:val="20"/>
        </w:rPr>
      </w:pPr>
      <w:r>
        <w:rPr>
          <w:rFonts w:ascii="Arial" w:hAnsi="Arial" w:cs="Arial"/>
          <w:color w:val="000000"/>
          <w:sz w:val="20"/>
          <w:szCs w:val="20"/>
        </w:rPr>
        <w:t xml:space="preserve">          </w:t>
      </w:r>
      <w:r w:rsidRPr="00D427BD">
        <w:rPr>
          <w:rFonts w:ascii="Arial" w:hAnsi="Arial" w:cs="Arial"/>
          <w:color w:val="000000"/>
          <w:sz w:val="20"/>
          <w:szCs w:val="20"/>
        </w:rPr>
        <w:t>de l’Afrique Centrale</w:t>
      </w:r>
    </w:p>
    <w:p w14:paraId="5B806CF5" w14:textId="69B115CF" w:rsidR="00D427BD" w:rsidRDefault="00A71566" w:rsidP="00D427BD">
      <w:pPr>
        <w:widowControl w:val="0"/>
        <w:autoSpaceDE w:val="0"/>
        <w:autoSpaceDN w:val="0"/>
        <w:adjustRightInd w:val="0"/>
        <w:spacing w:after="120"/>
        <w:jc w:val="both"/>
        <w:rPr>
          <w:rFonts w:ascii="Arial" w:hAnsi="Arial" w:cs="Arial"/>
          <w:color w:val="000000"/>
          <w:sz w:val="20"/>
          <w:szCs w:val="20"/>
        </w:rPr>
      </w:pPr>
      <w:r w:rsidRPr="00D427BD">
        <w:rPr>
          <w:rFonts w:ascii="Arial" w:hAnsi="Arial" w:cs="Arial"/>
          <w:color w:val="000000"/>
          <w:sz w:val="20"/>
          <w:szCs w:val="20"/>
        </w:rPr>
        <w:t xml:space="preserve">UNION MONETAIRE  DE L'AFRIQUE CENTRALE </w:t>
      </w:r>
      <w:r w:rsidR="006019F7" w:rsidRPr="00D427BD">
        <w:rPr>
          <w:rFonts w:ascii="Arial" w:hAnsi="Arial" w:cs="Arial"/>
          <w:color w:val="000000"/>
          <w:sz w:val="20"/>
          <w:szCs w:val="20"/>
        </w:rPr>
        <w:t xml:space="preserve">      </w:t>
      </w:r>
      <w:r w:rsidR="00D427BD">
        <w:rPr>
          <w:rFonts w:ascii="Arial" w:hAnsi="Arial" w:cs="Arial"/>
          <w:color w:val="000000"/>
          <w:sz w:val="20"/>
          <w:szCs w:val="20"/>
        </w:rPr>
        <w:t xml:space="preserve"> </w:t>
      </w:r>
    </w:p>
    <w:p w14:paraId="17833994" w14:textId="77777777" w:rsidR="00D427BD" w:rsidRDefault="00D427BD" w:rsidP="00D427BD">
      <w:pPr>
        <w:widowControl w:val="0"/>
        <w:autoSpaceDE w:val="0"/>
        <w:autoSpaceDN w:val="0"/>
        <w:adjustRightInd w:val="0"/>
        <w:spacing w:after="120"/>
        <w:jc w:val="both"/>
        <w:rPr>
          <w:rFonts w:ascii="Arial" w:hAnsi="Arial" w:cs="Arial"/>
          <w:color w:val="000000"/>
          <w:sz w:val="20"/>
          <w:szCs w:val="20"/>
        </w:rPr>
      </w:pPr>
    </w:p>
    <w:p w14:paraId="204495B8" w14:textId="77777777" w:rsidR="00D427BD" w:rsidRDefault="00D427BD" w:rsidP="00D427BD">
      <w:pPr>
        <w:widowControl w:val="0"/>
        <w:autoSpaceDE w:val="0"/>
        <w:autoSpaceDN w:val="0"/>
        <w:adjustRightInd w:val="0"/>
        <w:spacing w:after="120"/>
        <w:jc w:val="both"/>
        <w:rPr>
          <w:rFonts w:ascii="Arial" w:hAnsi="Arial" w:cs="Arial"/>
          <w:color w:val="000000"/>
          <w:sz w:val="20"/>
          <w:szCs w:val="20"/>
        </w:rPr>
      </w:pPr>
    </w:p>
    <w:p w14:paraId="7B316C65" w14:textId="7D90BC9F" w:rsidR="009E5B12" w:rsidRPr="00C30AD2" w:rsidRDefault="006019F7" w:rsidP="00C30AD2">
      <w:pPr>
        <w:widowControl w:val="0"/>
        <w:autoSpaceDE w:val="0"/>
        <w:autoSpaceDN w:val="0"/>
        <w:adjustRightInd w:val="0"/>
        <w:spacing w:after="120"/>
        <w:jc w:val="both"/>
        <w:rPr>
          <w:rFonts w:ascii="Arial" w:hAnsi="Arial" w:cs="Arial"/>
          <w:color w:val="000000"/>
        </w:rPr>
      </w:pPr>
      <w:r w:rsidRPr="00D427BD">
        <w:rPr>
          <w:rFonts w:ascii="Arial" w:hAnsi="Arial" w:cs="Arial"/>
          <w:color w:val="000000"/>
        </w:rPr>
        <w:t xml:space="preserve">                  </w:t>
      </w:r>
      <w:r w:rsidR="00C30AD2">
        <w:rPr>
          <w:rFonts w:ascii="Arial" w:hAnsi="Arial" w:cs="Arial"/>
          <w:color w:val="000000"/>
        </w:rPr>
        <w:t xml:space="preserve">                               </w:t>
      </w:r>
    </w:p>
    <w:p w14:paraId="321856CD" w14:textId="77777777" w:rsidR="002C258D" w:rsidRPr="00A64175" w:rsidRDefault="002C258D" w:rsidP="00A64175">
      <w:pPr>
        <w:widowControl w:val="0"/>
        <w:autoSpaceDE w:val="0"/>
        <w:autoSpaceDN w:val="0"/>
        <w:adjustRightInd w:val="0"/>
        <w:spacing w:after="240" w:line="340" w:lineRule="atLeast"/>
        <w:jc w:val="both"/>
        <w:rPr>
          <w:rFonts w:ascii="Arial" w:hAnsi="Arial" w:cs="Arial"/>
          <w:b/>
          <w:bCs/>
          <w:color w:val="000000"/>
          <w:sz w:val="22"/>
          <w:szCs w:val="22"/>
        </w:rPr>
      </w:pPr>
      <w:r w:rsidRPr="00A64175">
        <w:rPr>
          <w:rFonts w:ascii="Arial" w:hAnsi="Arial" w:cs="Arial"/>
          <w:b/>
          <w:bCs/>
          <w:color w:val="000000"/>
          <w:sz w:val="22"/>
          <w:szCs w:val="22"/>
        </w:rPr>
        <w:t xml:space="preserve">LA COMMISSION DE SURVEILLANCE DU MARCHE FINANCIER DE L’AFRIQUE CENTRALE </w:t>
      </w:r>
    </w:p>
    <w:p w14:paraId="6AC6D6E7" w14:textId="77777777" w:rsidR="009E5B12" w:rsidRPr="00A64175" w:rsidRDefault="009E5B12" w:rsidP="00A64175">
      <w:pPr>
        <w:widowControl w:val="0"/>
        <w:autoSpaceDE w:val="0"/>
        <w:autoSpaceDN w:val="0"/>
        <w:adjustRightInd w:val="0"/>
        <w:spacing w:after="240" w:line="340" w:lineRule="atLeast"/>
        <w:jc w:val="both"/>
        <w:rPr>
          <w:rFonts w:ascii="Arial" w:hAnsi="Arial" w:cs="Arial"/>
          <w:color w:val="000000"/>
          <w:sz w:val="22"/>
          <w:szCs w:val="22"/>
        </w:rPr>
      </w:pPr>
    </w:p>
    <w:p w14:paraId="692F535A" w14:textId="28C3E228" w:rsidR="002C258D" w:rsidRPr="00A64175" w:rsidRDefault="002C258D"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color w:val="000000"/>
          <w:sz w:val="22"/>
          <w:szCs w:val="22"/>
        </w:rPr>
        <w:t>VU le Traité instituant la Communauté Économique et Monétaire de l'Afrique Centrale (CEMAC)</w:t>
      </w:r>
      <w:r w:rsidR="00F67000" w:rsidRPr="00A64175">
        <w:rPr>
          <w:rFonts w:ascii="Arial" w:hAnsi="Arial" w:cs="Arial"/>
          <w:color w:val="000000"/>
          <w:sz w:val="22"/>
          <w:szCs w:val="22"/>
        </w:rPr>
        <w:t xml:space="preserve"> </w:t>
      </w:r>
      <w:r w:rsidRPr="00A64175">
        <w:rPr>
          <w:rFonts w:ascii="Arial" w:hAnsi="Arial" w:cs="Arial"/>
          <w:color w:val="000000"/>
          <w:sz w:val="22"/>
          <w:szCs w:val="22"/>
        </w:rPr>
        <w:t xml:space="preserve">; </w:t>
      </w:r>
    </w:p>
    <w:p w14:paraId="579D9237" w14:textId="77777777" w:rsidR="002C258D" w:rsidRPr="00A64175" w:rsidRDefault="002C258D"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color w:val="000000"/>
          <w:sz w:val="22"/>
          <w:szCs w:val="22"/>
        </w:rPr>
        <w:t xml:space="preserve">VU la Convention régissant l'Union Monétaire de l'Afrique Centrale (UMAC) ; </w:t>
      </w:r>
    </w:p>
    <w:p w14:paraId="204B6C44" w14:textId="7DC7D824" w:rsidR="002C258D" w:rsidRPr="00A64175" w:rsidRDefault="002C258D"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color w:val="000000"/>
          <w:sz w:val="22"/>
          <w:szCs w:val="22"/>
        </w:rPr>
        <w:t>VU l'Acte Additionnel n° 03/01-CEMAC-CE 03 du 8 décembre 2001 portant création de la Commission de Surveillance du Marché Financier de l'Afrique Centrale</w:t>
      </w:r>
      <w:r w:rsidR="00F67000" w:rsidRPr="00A64175">
        <w:rPr>
          <w:rFonts w:ascii="Arial" w:hAnsi="Arial" w:cs="Arial"/>
          <w:color w:val="000000"/>
          <w:sz w:val="22"/>
          <w:szCs w:val="22"/>
        </w:rPr>
        <w:t xml:space="preserve"> (COSUMAF)</w:t>
      </w:r>
      <w:r w:rsidRPr="00A64175">
        <w:rPr>
          <w:rFonts w:ascii="Arial" w:hAnsi="Arial" w:cs="Arial"/>
          <w:color w:val="000000"/>
          <w:sz w:val="22"/>
          <w:szCs w:val="22"/>
        </w:rPr>
        <w:t xml:space="preserve"> ; </w:t>
      </w:r>
    </w:p>
    <w:p w14:paraId="78721C63" w14:textId="77777777" w:rsidR="00F12F6F" w:rsidRPr="00A64175" w:rsidRDefault="00F12F6F" w:rsidP="00A64175">
      <w:pPr>
        <w:jc w:val="both"/>
        <w:rPr>
          <w:rFonts w:ascii="Arial" w:hAnsi="Arial" w:cs="Arial"/>
          <w:sz w:val="22"/>
          <w:szCs w:val="22"/>
        </w:rPr>
      </w:pPr>
      <w:r w:rsidRPr="00A64175">
        <w:rPr>
          <w:rFonts w:ascii="Arial" w:hAnsi="Arial" w:cs="Arial"/>
          <w:sz w:val="22"/>
          <w:szCs w:val="22"/>
        </w:rPr>
        <w:t>VU l’Acte Additionnel n°06/17-CEMAC-COSUMAF-CCE-SE du 19 février 2018 portant unification du marché financier de la CEMAC et mesures d’accompagnement ;</w:t>
      </w:r>
    </w:p>
    <w:p w14:paraId="4CB7EB04" w14:textId="77777777" w:rsidR="00F12F6F" w:rsidRPr="00A64175" w:rsidRDefault="00F12F6F" w:rsidP="00A64175">
      <w:pPr>
        <w:jc w:val="both"/>
        <w:rPr>
          <w:rFonts w:ascii="Arial" w:hAnsi="Arial" w:cs="Arial"/>
          <w:sz w:val="22"/>
          <w:szCs w:val="22"/>
        </w:rPr>
      </w:pPr>
    </w:p>
    <w:p w14:paraId="46BFC568" w14:textId="2CD4CC7C" w:rsidR="002C258D" w:rsidRPr="00A64175" w:rsidRDefault="0096400D"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color w:val="000000"/>
          <w:sz w:val="22"/>
          <w:szCs w:val="22"/>
        </w:rPr>
        <w:t>VU le Règlement</w:t>
      </w:r>
      <w:r w:rsidR="00F67000" w:rsidRPr="00A64175">
        <w:rPr>
          <w:rFonts w:ascii="Arial" w:hAnsi="Arial" w:cs="Arial"/>
          <w:color w:val="000000"/>
          <w:sz w:val="22"/>
          <w:szCs w:val="22"/>
        </w:rPr>
        <w:t xml:space="preserve"> n°01/22/CEMAC/UMAC/CM/COSUMAF du 21 juillet 2022  portant organisation et fonctionnement du marché financier de l’Afrique Centrale </w:t>
      </w:r>
      <w:r w:rsidR="002C258D" w:rsidRPr="00A64175">
        <w:rPr>
          <w:rFonts w:ascii="Arial" w:hAnsi="Arial" w:cs="Arial"/>
          <w:color w:val="000000"/>
          <w:sz w:val="22"/>
          <w:szCs w:val="22"/>
        </w:rPr>
        <w:t xml:space="preserve">; </w:t>
      </w:r>
    </w:p>
    <w:p w14:paraId="4604EF29" w14:textId="42F9DDA6" w:rsidR="002C258D" w:rsidRPr="00A64175" w:rsidRDefault="00F67000"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color w:val="000000"/>
          <w:sz w:val="22"/>
          <w:szCs w:val="22"/>
        </w:rPr>
        <w:t>En sa séance du XXXX 2023</w:t>
      </w:r>
      <w:r w:rsidR="00F12F6F" w:rsidRPr="00A64175">
        <w:rPr>
          <w:rFonts w:ascii="Arial" w:hAnsi="Arial" w:cs="Arial"/>
          <w:color w:val="000000"/>
          <w:sz w:val="22"/>
          <w:szCs w:val="22"/>
        </w:rPr>
        <w:t xml:space="preserve"> </w:t>
      </w:r>
      <w:r w:rsidR="002C258D" w:rsidRPr="00A64175">
        <w:rPr>
          <w:rFonts w:ascii="Arial" w:hAnsi="Arial" w:cs="Arial"/>
          <w:color w:val="000000"/>
          <w:sz w:val="22"/>
          <w:szCs w:val="22"/>
        </w:rPr>
        <w:t xml:space="preserve">; </w:t>
      </w:r>
    </w:p>
    <w:p w14:paraId="4657E391" w14:textId="77777777" w:rsidR="002C258D" w:rsidRPr="00A64175" w:rsidRDefault="002C258D" w:rsidP="00A64175">
      <w:pPr>
        <w:widowControl w:val="0"/>
        <w:autoSpaceDE w:val="0"/>
        <w:autoSpaceDN w:val="0"/>
        <w:adjustRightInd w:val="0"/>
        <w:spacing w:after="240" w:line="360" w:lineRule="atLeast"/>
        <w:jc w:val="both"/>
        <w:rPr>
          <w:rFonts w:ascii="Arial" w:hAnsi="Arial" w:cs="Arial"/>
          <w:color w:val="000000"/>
          <w:sz w:val="22"/>
          <w:szCs w:val="22"/>
        </w:rPr>
      </w:pPr>
      <w:r w:rsidRPr="00A64175">
        <w:rPr>
          <w:rFonts w:ascii="Arial" w:hAnsi="Arial" w:cs="Arial"/>
          <w:b/>
          <w:bCs/>
          <w:color w:val="000000"/>
          <w:sz w:val="22"/>
          <w:szCs w:val="22"/>
        </w:rPr>
        <w:t xml:space="preserve">ADOPTE LE REGLEMENT GENERAL DONT LA TENEUR SUIT : </w:t>
      </w:r>
    </w:p>
    <w:p w14:paraId="34C20C31" w14:textId="77777777" w:rsidR="002C258D" w:rsidRPr="00A64175" w:rsidRDefault="002C258D" w:rsidP="00A64175">
      <w:pPr>
        <w:widowControl w:val="0"/>
        <w:tabs>
          <w:tab w:val="left" w:pos="5954"/>
        </w:tabs>
        <w:autoSpaceDE w:val="0"/>
        <w:autoSpaceDN w:val="0"/>
        <w:adjustRightInd w:val="0"/>
        <w:jc w:val="both"/>
        <w:rPr>
          <w:rFonts w:ascii="Arial" w:hAnsi="Arial" w:cs="Arial"/>
          <w:b/>
          <w:bCs/>
          <w:color w:val="000000"/>
          <w:sz w:val="22"/>
          <w:szCs w:val="22"/>
          <w:u w:val="single" w:color="000000"/>
        </w:rPr>
      </w:pPr>
    </w:p>
    <w:p w14:paraId="138963CA" w14:textId="77777777" w:rsidR="00287F4A" w:rsidRPr="00A64175" w:rsidRDefault="00287F4A" w:rsidP="00A64175">
      <w:pPr>
        <w:widowControl w:val="0"/>
        <w:autoSpaceDE w:val="0"/>
        <w:autoSpaceDN w:val="0"/>
        <w:adjustRightInd w:val="0"/>
        <w:jc w:val="both"/>
        <w:rPr>
          <w:rFonts w:ascii="Arial" w:hAnsi="Arial" w:cs="Arial"/>
          <w:kern w:val="1"/>
          <w:sz w:val="22"/>
          <w:szCs w:val="22"/>
        </w:rPr>
      </w:pPr>
    </w:p>
    <w:p w14:paraId="2DF376B2" w14:textId="12CDF006" w:rsidR="00F85819" w:rsidRPr="00A64175" w:rsidRDefault="00C75702"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T</w:t>
      </w:r>
      <w:r w:rsidR="00F12800" w:rsidRPr="00A64175">
        <w:rPr>
          <w:rFonts w:ascii="Arial" w:hAnsi="Arial" w:cs="Arial"/>
          <w:b/>
          <w:bCs/>
          <w:color w:val="000000"/>
          <w:sz w:val="22"/>
          <w:szCs w:val="22"/>
        </w:rPr>
        <w:t>ITRE I </w:t>
      </w:r>
      <w:r w:rsidR="003A370F" w:rsidRPr="00A64175">
        <w:rPr>
          <w:rFonts w:ascii="Arial" w:hAnsi="Arial" w:cs="Arial"/>
          <w:b/>
          <w:bCs/>
          <w:color w:val="000000"/>
          <w:sz w:val="22"/>
          <w:szCs w:val="22"/>
        </w:rPr>
        <w:t>–</w:t>
      </w:r>
      <w:r w:rsidR="00F12800" w:rsidRPr="00A64175">
        <w:rPr>
          <w:rFonts w:ascii="Arial" w:hAnsi="Arial" w:cs="Arial"/>
          <w:b/>
          <w:bCs/>
          <w:color w:val="000000"/>
          <w:sz w:val="22"/>
          <w:szCs w:val="22"/>
        </w:rPr>
        <w:t xml:space="preserve"> </w:t>
      </w:r>
      <w:r w:rsidR="00F85819" w:rsidRPr="00A64175">
        <w:rPr>
          <w:rFonts w:ascii="Arial" w:hAnsi="Arial" w:cs="Arial"/>
          <w:b/>
          <w:bCs/>
          <w:color w:val="000000"/>
          <w:sz w:val="22"/>
          <w:szCs w:val="22"/>
        </w:rPr>
        <w:t>DISPOSITIONS GENERALES</w:t>
      </w:r>
    </w:p>
    <w:p w14:paraId="701D6447"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29CDAED"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46877590" w14:textId="25DA46F5" w:rsidR="00F85819" w:rsidRPr="00A64175" w:rsidRDefault="00F85819"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 xml:space="preserve">Article 1. </w:t>
      </w:r>
      <w:r w:rsidRPr="00A64175">
        <w:rPr>
          <w:rFonts w:ascii="Arial" w:hAnsi="Arial" w:cs="Arial"/>
          <w:bCs/>
          <w:color w:val="000000"/>
          <w:sz w:val="22"/>
          <w:szCs w:val="22"/>
        </w:rPr>
        <w:t>–</w:t>
      </w:r>
      <w:r w:rsidRPr="00A64175">
        <w:rPr>
          <w:rFonts w:ascii="Arial" w:hAnsi="Arial" w:cs="Arial"/>
          <w:b/>
          <w:bCs/>
          <w:color w:val="000000"/>
          <w:sz w:val="22"/>
          <w:szCs w:val="22"/>
        </w:rPr>
        <w:t xml:space="preserve"> </w:t>
      </w:r>
      <w:r w:rsidRPr="00A64175">
        <w:rPr>
          <w:rFonts w:ascii="Arial" w:hAnsi="Arial" w:cs="Arial"/>
          <w:color w:val="000000"/>
          <w:sz w:val="22"/>
          <w:szCs w:val="22"/>
        </w:rPr>
        <w:t>Le présent Règlement</w:t>
      </w:r>
      <w:r w:rsidR="00122492" w:rsidRPr="00A64175">
        <w:rPr>
          <w:rFonts w:ascii="Arial" w:hAnsi="Arial" w:cs="Arial"/>
          <w:color w:val="000000"/>
          <w:sz w:val="22"/>
          <w:szCs w:val="22"/>
        </w:rPr>
        <w:t xml:space="preserve"> Général</w:t>
      </w:r>
      <w:r w:rsidRPr="00A64175">
        <w:rPr>
          <w:rFonts w:ascii="Arial" w:hAnsi="Arial" w:cs="Arial"/>
          <w:color w:val="000000"/>
          <w:sz w:val="22"/>
          <w:szCs w:val="22"/>
        </w:rPr>
        <w:t xml:space="preserve"> est établi en vertu des dispositions de  </w:t>
      </w:r>
      <w:r w:rsidR="00122492" w:rsidRPr="00A64175">
        <w:rPr>
          <w:rFonts w:ascii="Arial" w:hAnsi="Arial" w:cs="Arial"/>
          <w:color w:val="000000"/>
          <w:sz w:val="22"/>
          <w:szCs w:val="22"/>
        </w:rPr>
        <w:t>l’article 21</w:t>
      </w:r>
      <w:r w:rsidRPr="00A64175">
        <w:rPr>
          <w:rFonts w:ascii="Arial" w:hAnsi="Arial" w:cs="Arial"/>
          <w:color w:val="000000"/>
          <w:sz w:val="22"/>
          <w:szCs w:val="22"/>
        </w:rPr>
        <w:t xml:space="preserve"> du</w:t>
      </w:r>
      <w:r w:rsidR="00122492" w:rsidRPr="00A64175">
        <w:rPr>
          <w:rFonts w:ascii="Arial" w:hAnsi="Arial" w:cs="Arial"/>
          <w:color w:val="000000"/>
          <w:sz w:val="22"/>
          <w:szCs w:val="22"/>
        </w:rPr>
        <w:t xml:space="preserve"> Règlement n°01/22/CEMAC/</w:t>
      </w:r>
      <w:r w:rsidRPr="00A64175">
        <w:rPr>
          <w:rFonts w:ascii="Arial" w:hAnsi="Arial" w:cs="Arial"/>
          <w:color w:val="000000"/>
          <w:sz w:val="22"/>
          <w:szCs w:val="22"/>
        </w:rPr>
        <w:t>UMAC</w:t>
      </w:r>
      <w:r w:rsidR="005F0E2E" w:rsidRPr="00A64175">
        <w:rPr>
          <w:rFonts w:ascii="Arial" w:hAnsi="Arial" w:cs="Arial"/>
          <w:color w:val="000000"/>
          <w:sz w:val="22"/>
          <w:szCs w:val="22"/>
        </w:rPr>
        <w:t>/CM/COSUMAF</w:t>
      </w:r>
      <w:r w:rsidRPr="00A64175">
        <w:rPr>
          <w:rFonts w:ascii="Arial" w:hAnsi="Arial" w:cs="Arial"/>
          <w:color w:val="000000"/>
          <w:sz w:val="22"/>
          <w:szCs w:val="22"/>
        </w:rPr>
        <w:t xml:space="preserve"> du</w:t>
      </w:r>
      <w:r w:rsidR="00122492" w:rsidRPr="00A64175">
        <w:rPr>
          <w:rFonts w:ascii="Arial" w:hAnsi="Arial" w:cs="Arial"/>
          <w:color w:val="000000"/>
          <w:sz w:val="22"/>
          <w:szCs w:val="22"/>
        </w:rPr>
        <w:t xml:space="preserve"> 21 juillet 2022 </w:t>
      </w:r>
      <w:r w:rsidRPr="00A64175">
        <w:rPr>
          <w:rFonts w:ascii="Arial" w:hAnsi="Arial" w:cs="Arial"/>
          <w:color w:val="000000"/>
          <w:sz w:val="22"/>
          <w:szCs w:val="22"/>
        </w:rPr>
        <w:t xml:space="preserve"> portant </w:t>
      </w:r>
      <w:r w:rsidR="00122492" w:rsidRPr="00A64175">
        <w:rPr>
          <w:rFonts w:ascii="Arial" w:hAnsi="Arial" w:cs="Arial"/>
          <w:color w:val="000000"/>
          <w:sz w:val="22"/>
          <w:szCs w:val="22"/>
        </w:rPr>
        <w:t>o</w:t>
      </w:r>
      <w:r w:rsidRPr="00A64175">
        <w:rPr>
          <w:rFonts w:ascii="Arial" w:hAnsi="Arial" w:cs="Arial"/>
          <w:color w:val="000000"/>
          <w:sz w:val="22"/>
          <w:szCs w:val="22"/>
        </w:rPr>
        <w:t xml:space="preserve">rganisation et </w:t>
      </w:r>
      <w:r w:rsidR="00122492" w:rsidRPr="00A64175">
        <w:rPr>
          <w:rFonts w:ascii="Arial" w:hAnsi="Arial" w:cs="Arial"/>
          <w:color w:val="000000"/>
          <w:sz w:val="22"/>
          <w:szCs w:val="22"/>
        </w:rPr>
        <w:t>f</w:t>
      </w:r>
      <w:r w:rsidR="00BD3BD8" w:rsidRPr="00A64175">
        <w:rPr>
          <w:rFonts w:ascii="Arial" w:hAnsi="Arial" w:cs="Arial"/>
          <w:color w:val="000000"/>
          <w:sz w:val="22"/>
          <w:szCs w:val="22"/>
        </w:rPr>
        <w:t>onctionnement</w:t>
      </w:r>
      <w:r w:rsidR="00122492" w:rsidRPr="00A64175">
        <w:rPr>
          <w:rFonts w:ascii="Arial" w:hAnsi="Arial" w:cs="Arial"/>
          <w:color w:val="000000"/>
          <w:sz w:val="22"/>
          <w:szCs w:val="22"/>
        </w:rPr>
        <w:t xml:space="preserve"> du marché f</w:t>
      </w:r>
      <w:r w:rsidRPr="00A64175">
        <w:rPr>
          <w:rFonts w:ascii="Arial" w:hAnsi="Arial" w:cs="Arial"/>
          <w:color w:val="000000"/>
          <w:sz w:val="22"/>
          <w:szCs w:val="22"/>
        </w:rPr>
        <w:t>inancier de l’Afrique Centrale.</w:t>
      </w:r>
    </w:p>
    <w:p w14:paraId="55B5E962"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3780121" w14:textId="77777777" w:rsidR="00490D92" w:rsidRPr="00A64175" w:rsidRDefault="00F85819"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Il a pour objet de préciser</w:t>
      </w:r>
      <w:r w:rsidR="00490D92" w:rsidRPr="00A64175">
        <w:rPr>
          <w:rFonts w:ascii="Arial" w:hAnsi="Arial" w:cs="Arial"/>
          <w:color w:val="000000"/>
          <w:sz w:val="22"/>
          <w:szCs w:val="22"/>
        </w:rPr>
        <w:t> :</w:t>
      </w:r>
      <w:r w:rsidRPr="00A64175">
        <w:rPr>
          <w:rFonts w:ascii="Arial" w:hAnsi="Arial" w:cs="Arial"/>
          <w:color w:val="000000"/>
          <w:sz w:val="22"/>
          <w:szCs w:val="22"/>
        </w:rPr>
        <w:t xml:space="preserve"> </w:t>
      </w:r>
    </w:p>
    <w:p w14:paraId="45146630" w14:textId="77777777" w:rsidR="00490D92" w:rsidRPr="00A64175" w:rsidRDefault="00490D92" w:rsidP="00A64175">
      <w:pPr>
        <w:widowControl w:val="0"/>
        <w:autoSpaceDE w:val="0"/>
        <w:autoSpaceDN w:val="0"/>
        <w:adjustRightInd w:val="0"/>
        <w:jc w:val="both"/>
        <w:rPr>
          <w:rFonts w:ascii="Arial" w:hAnsi="Arial" w:cs="Arial"/>
          <w:color w:val="000000"/>
          <w:sz w:val="22"/>
          <w:szCs w:val="22"/>
        </w:rPr>
      </w:pPr>
    </w:p>
    <w:p w14:paraId="027E151D" w14:textId="3E1B8B3A" w:rsidR="00490D92" w:rsidRPr="00A64175" w:rsidRDefault="00F85819" w:rsidP="00A64175">
      <w:pPr>
        <w:pStyle w:val="Paragraphedeliste"/>
        <w:widowControl w:val="0"/>
        <w:numPr>
          <w:ilvl w:val="0"/>
          <w:numId w:val="87"/>
        </w:numPr>
        <w:autoSpaceDE w:val="0"/>
        <w:adjustRightInd w:val="0"/>
        <w:rPr>
          <w:color w:val="000000"/>
          <w:sz w:val="22"/>
          <w:szCs w:val="22"/>
        </w:rPr>
      </w:pPr>
      <w:r w:rsidRPr="00A64175">
        <w:rPr>
          <w:color w:val="000000"/>
          <w:sz w:val="22"/>
          <w:szCs w:val="22"/>
        </w:rPr>
        <w:t>les</w:t>
      </w:r>
      <w:r w:rsidR="00122492" w:rsidRPr="00A64175">
        <w:rPr>
          <w:color w:val="000000"/>
          <w:sz w:val="22"/>
          <w:szCs w:val="22"/>
        </w:rPr>
        <w:t xml:space="preserve"> droits et obligations des interve</w:t>
      </w:r>
      <w:r w:rsidR="00490D92" w:rsidRPr="00A64175">
        <w:rPr>
          <w:color w:val="000000"/>
          <w:sz w:val="22"/>
          <w:szCs w:val="22"/>
        </w:rPr>
        <w:t>nants et acteurs  du marché ;</w:t>
      </w:r>
    </w:p>
    <w:p w14:paraId="19A2F2FF" w14:textId="77777777" w:rsidR="00490D92" w:rsidRPr="00A64175" w:rsidRDefault="00122492" w:rsidP="00A64175">
      <w:pPr>
        <w:pStyle w:val="Paragraphedeliste"/>
        <w:widowControl w:val="0"/>
        <w:numPr>
          <w:ilvl w:val="0"/>
          <w:numId w:val="87"/>
        </w:numPr>
        <w:autoSpaceDE w:val="0"/>
        <w:adjustRightInd w:val="0"/>
        <w:rPr>
          <w:color w:val="000000"/>
          <w:sz w:val="22"/>
          <w:szCs w:val="22"/>
        </w:rPr>
      </w:pPr>
      <w:r w:rsidRPr="00A64175">
        <w:rPr>
          <w:color w:val="000000"/>
          <w:sz w:val="22"/>
          <w:szCs w:val="22"/>
        </w:rPr>
        <w:t>les</w:t>
      </w:r>
      <w:r w:rsidR="00F85819" w:rsidRPr="00A64175">
        <w:rPr>
          <w:color w:val="000000"/>
          <w:sz w:val="22"/>
          <w:szCs w:val="22"/>
        </w:rPr>
        <w:t xml:space="preserve"> modali</w:t>
      </w:r>
      <w:r w:rsidR="00490D92" w:rsidRPr="00A64175">
        <w:rPr>
          <w:color w:val="000000"/>
          <w:sz w:val="22"/>
          <w:szCs w:val="22"/>
        </w:rPr>
        <w:t>tés pratiques de l’organisation et</w:t>
      </w:r>
      <w:r w:rsidR="00F85819" w:rsidRPr="00A64175">
        <w:rPr>
          <w:color w:val="000000"/>
          <w:sz w:val="22"/>
          <w:szCs w:val="22"/>
        </w:rPr>
        <w:t xml:space="preserve"> du fonc</w:t>
      </w:r>
      <w:r w:rsidR="00490D92" w:rsidRPr="00A64175">
        <w:rPr>
          <w:color w:val="000000"/>
          <w:sz w:val="22"/>
          <w:szCs w:val="22"/>
        </w:rPr>
        <w:t>tionnement</w:t>
      </w:r>
      <w:r w:rsidR="00F85819" w:rsidRPr="00A64175">
        <w:rPr>
          <w:color w:val="000000"/>
          <w:sz w:val="22"/>
          <w:szCs w:val="22"/>
        </w:rPr>
        <w:t xml:space="preserve"> du Marché </w:t>
      </w:r>
      <w:r w:rsidR="00490D92" w:rsidRPr="00A64175">
        <w:rPr>
          <w:color w:val="000000"/>
          <w:sz w:val="22"/>
          <w:szCs w:val="22"/>
        </w:rPr>
        <w:t xml:space="preserve">Financier de l’Afrique Centrale ; </w:t>
      </w:r>
    </w:p>
    <w:p w14:paraId="792843E9" w14:textId="2F17A26A" w:rsidR="00F85819" w:rsidRPr="00A64175" w:rsidRDefault="00490D92" w:rsidP="00A64175">
      <w:pPr>
        <w:pStyle w:val="Paragraphedeliste"/>
        <w:widowControl w:val="0"/>
        <w:numPr>
          <w:ilvl w:val="0"/>
          <w:numId w:val="87"/>
        </w:numPr>
        <w:autoSpaceDE w:val="0"/>
        <w:adjustRightInd w:val="0"/>
        <w:rPr>
          <w:color w:val="000000"/>
          <w:sz w:val="22"/>
          <w:szCs w:val="22"/>
        </w:rPr>
      </w:pPr>
      <w:r w:rsidRPr="00A64175">
        <w:rPr>
          <w:color w:val="000000"/>
          <w:sz w:val="22"/>
          <w:szCs w:val="22"/>
        </w:rPr>
        <w:lastRenderedPageBreak/>
        <w:t>les modalités d’application des dispositions du Règlement du 21 juillet 2022 précité.</w:t>
      </w:r>
    </w:p>
    <w:p w14:paraId="18C23FC0" w14:textId="3E11314B" w:rsidR="00F85819" w:rsidRPr="00A64175" w:rsidRDefault="00020D8E"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Avant son adoption par le C</w:t>
      </w:r>
      <w:r w:rsidR="00F85819" w:rsidRPr="00A64175">
        <w:rPr>
          <w:rFonts w:ascii="Arial" w:hAnsi="Arial" w:cs="Arial"/>
          <w:color w:val="000000"/>
          <w:sz w:val="22"/>
          <w:szCs w:val="22"/>
        </w:rPr>
        <w:t xml:space="preserve">ollège de la COSUMAF, </w:t>
      </w:r>
      <w:r w:rsidR="00490D92" w:rsidRPr="00A64175">
        <w:rPr>
          <w:rFonts w:ascii="Arial" w:hAnsi="Arial" w:cs="Arial"/>
          <w:color w:val="000000"/>
          <w:sz w:val="22"/>
          <w:szCs w:val="22"/>
        </w:rPr>
        <w:t>le présent Règlement Général</w:t>
      </w:r>
      <w:r w:rsidR="00F5574E" w:rsidRPr="00A64175">
        <w:rPr>
          <w:rFonts w:ascii="Arial" w:hAnsi="Arial" w:cs="Arial"/>
          <w:color w:val="000000"/>
          <w:sz w:val="22"/>
          <w:szCs w:val="22"/>
        </w:rPr>
        <w:t xml:space="preserve"> </w:t>
      </w:r>
      <w:r w:rsidR="00F85819" w:rsidRPr="00A64175">
        <w:rPr>
          <w:rFonts w:ascii="Arial" w:hAnsi="Arial" w:cs="Arial"/>
          <w:color w:val="000000"/>
          <w:sz w:val="22"/>
          <w:szCs w:val="22"/>
        </w:rPr>
        <w:t xml:space="preserve">fait l’objet d’une consultation publique </w:t>
      </w:r>
      <w:r w:rsidRPr="00A64175">
        <w:rPr>
          <w:rFonts w:ascii="Arial" w:hAnsi="Arial" w:cs="Arial"/>
          <w:color w:val="000000"/>
          <w:sz w:val="22"/>
          <w:szCs w:val="22"/>
        </w:rPr>
        <w:t>dans les Etats membres</w:t>
      </w:r>
      <w:r w:rsidR="00F85819" w:rsidRPr="00A64175">
        <w:rPr>
          <w:rFonts w:ascii="Arial" w:hAnsi="Arial" w:cs="Arial"/>
          <w:color w:val="000000"/>
          <w:sz w:val="22"/>
          <w:szCs w:val="22"/>
        </w:rPr>
        <w:t xml:space="preserve"> de la CEMAC, y compris en cas de modification.</w:t>
      </w:r>
    </w:p>
    <w:p w14:paraId="6F147733" w14:textId="77777777" w:rsidR="00020D8E" w:rsidRPr="00A64175" w:rsidRDefault="00020D8E" w:rsidP="00A64175">
      <w:pPr>
        <w:widowControl w:val="0"/>
        <w:autoSpaceDE w:val="0"/>
        <w:autoSpaceDN w:val="0"/>
        <w:adjustRightInd w:val="0"/>
        <w:jc w:val="both"/>
        <w:rPr>
          <w:rFonts w:ascii="Arial" w:hAnsi="Arial" w:cs="Arial"/>
          <w:color w:val="000000"/>
          <w:sz w:val="22"/>
          <w:szCs w:val="22"/>
        </w:rPr>
      </w:pPr>
    </w:p>
    <w:p w14:paraId="7F2DC02E" w14:textId="01ACE9C4"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 xml:space="preserve">Après son adoption, </w:t>
      </w:r>
      <w:r w:rsidR="00F5574E" w:rsidRPr="00A64175">
        <w:rPr>
          <w:rFonts w:ascii="Arial" w:hAnsi="Arial" w:cs="Arial"/>
          <w:color w:val="000000"/>
          <w:sz w:val="22"/>
          <w:szCs w:val="22"/>
        </w:rPr>
        <w:t>il</w:t>
      </w:r>
      <w:r w:rsidRPr="00A64175">
        <w:rPr>
          <w:rFonts w:ascii="Arial" w:hAnsi="Arial" w:cs="Arial"/>
          <w:color w:val="000000"/>
          <w:sz w:val="22"/>
          <w:szCs w:val="22"/>
        </w:rPr>
        <w:t xml:space="preserve"> est</w:t>
      </w:r>
      <w:r w:rsidR="00490D92" w:rsidRPr="00A64175">
        <w:rPr>
          <w:rFonts w:ascii="Arial" w:hAnsi="Arial" w:cs="Arial"/>
          <w:color w:val="000000"/>
          <w:sz w:val="22"/>
          <w:szCs w:val="22"/>
        </w:rPr>
        <w:t xml:space="preserve"> homologué par le Comité Ministériel de l’UMAC et </w:t>
      </w:r>
      <w:r w:rsidRPr="00A64175">
        <w:rPr>
          <w:rFonts w:ascii="Arial" w:hAnsi="Arial" w:cs="Arial"/>
          <w:color w:val="000000"/>
          <w:sz w:val="22"/>
          <w:szCs w:val="22"/>
        </w:rPr>
        <w:t xml:space="preserve"> publié au bulletin officiel de la COSUMAF, sur le site internet de la COSUMAF et sur tout autre support jugé approprié.</w:t>
      </w:r>
    </w:p>
    <w:p w14:paraId="1932B134"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48C4E18C"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2. </w:t>
      </w:r>
      <w:r w:rsidRPr="00A64175">
        <w:rPr>
          <w:rFonts w:ascii="Arial" w:hAnsi="Arial" w:cs="Arial"/>
          <w:color w:val="000000"/>
          <w:kern w:val="1"/>
          <w:sz w:val="22"/>
          <w:szCs w:val="22"/>
        </w:rPr>
        <w:t xml:space="preserve">– </w:t>
      </w:r>
      <w:r w:rsidRPr="00A64175">
        <w:rPr>
          <w:rFonts w:ascii="Arial" w:hAnsi="Arial" w:cs="Arial"/>
          <w:color w:val="000000"/>
          <w:sz w:val="22"/>
          <w:szCs w:val="22"/>
        </w:rPr>
        <w:t>Le présent Règlement s’applique :</w:t>
      </w:r>
    </w:p>
    <w:p w14:paraId="440D808A"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55090F50" w14:textId="77777777"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 Collège, à la Commission des sanctions, aux dirigeants et au personnel de la COSUMAF ;</w:t>
      </w:r>
    </w:p>
    <w:p w14:paraId="2A67C9E1" w14:textId="77777777" w:rsidR="003B556D" w:rsidRPr="00A64175" w:rsidRDefault="003B556D"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695B991A" w14:textId="7146F316" w:rsidR="003B556D" w:rsidRPr="00A64175" w:rsidRDefault="003B556D"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aux investisseurs en valeurs mobilières ou en tous autres produits de placement émis sur le marché financier régional ;</w:t>
      </w:r>
    </w:p>
    <w:p w14:paraId="579D6074" w14:textId="77777777" w:rsidR="00F85819" w:rsidRPr="00A64175" w:rsidRDefault="00F85819"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4B8A2DAA" w14:textId="05CC4D52"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aux émetteurs</w:t>
      </w:r>
      <w:r w:rsidR="00490D92" w:rsidRPr="00A64175">
        <w:rPr>
          <w:rFonts w:ascii="Arial" w:hAnsi="Arial" w:cs="Arial"/>
          <w:color w:val="000000"/>
          <w:sz w:val="22"/>
          <w:szCs w:val="22"/>
        </w:rPr>
        <w:t xml:space="preserve"> d’instruments financiers </w:t>
      </w:r>
      <w:r w:rsidRPr="00A64175">
        <w:rPr>
          <w:rFonts w:ascii="Arial" w:hAnsi="Arial" w:cs="Arial"/>
          <w:color w:val="000000"/>
          <w:sz w:val="22"/>
          <w:szCs w:val="22"/>
        </w:rPr>
        <w:t>;</w:t>
      </w:r>
    </w:p>
    <w:p w14:paraId="0F069F56" w14:textId="77777777" w:rsidR="00F85819" w:rsidRPr="00A64175" w:rsidRDefault="00F85819"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0C1B7226" w14:textId="69E8F263"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aux</w:t>
      </w:r>
      <w:r w:rsidR="00020D8E" w:rsidRPr="00A64175">
        <w:rPr>
          <w:rFonts w:ascii="Arial" w:hAnsi="Arial" w:cs="Arial"/>
          <w:color w:val="000000"/>
          <w:sz w:val="22"/>
          <w:szCs w:val="22"/>
        </w:rPr>
        <w:t xml:space="preserve"> organismes d</w:t>
      </w:r>
      <w:r w:rsidR="00490D92" w:rsidRPr="00A64175">
        <w:rPr>
          <w:rFonts w:ascii="Arial" w:hAnsi="Arial" w:cs="Arial"/>
          <w:color w:val="000000"/>
          <w:sz w:val="22"/>
          <w:szCs w:val="22"/>
        </w:rPr>
        <w:t>e</w:t>
      </w:r>
      <w:r w:rsidRPr="00A64175">
        <w:rPr>
          <w:rFonts w:ascii="Arial" w:hAnsi="Arial" w:cs="Arial"/>
          <w:color w:val="000000"/>
          <w:sz w:val="22"/>
          <w:szCs w:val="22"/>
        </w:rPr>
        <w:t xml:space="preserve"> marché ;</w:t>
      </w:r>
    </w:p>
    <w:p w14:paraId="13F6CF5C" w14:textId="77777777" w:rsidR="00F85819" w:rsidRPr="00A64175" w:rsidRDefault="00F85819"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7E7DAEB2" w14:textId="77777777"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aux intermédiaires de marché ;</w:t>
      </w:r>
    </w:p>
    <w:p w14:paraId="36A3DE4C" w14:textId="77777777" w:rsidR="00F85819" w:rsidRPr="00A64175" w:rsidRDefault="00F85819"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4793D85C" w14:textId="77777777"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aux organismes de placement collectif, à leurs sociétés de gestion et à leurs dépositaires ;</w:t>
      </w:r>
    </w:p>
    <w:p w14:paraId="7A4BB613" w14:textId="77777777" w:rsidR="00B41DCD" w:rsidRPr="00A64175" w:rsidRDefault="00B41DCD" w:rsidP="00A64175">
      <w:pPr>
        <w:ind w:left="360"/>
        <w:jc w:val="both"/>
        <w:rPr>
          <w:rFonts w:ascii="Arial" w:hAnsi="Arial" w:cs="Arial"/>
          <w:color w:val="000000"/>
          <w:kern w:val="1"/>
          <w:sz w:val="22"/>
          <w:szCs w:val="22"/>
        </w:rPr>
      </w:pPr>
    </w:p>
    <w:p w14:paraId="315DE5F5" w14:textId="73F915AD" w:rsidR="00B41DCD" w:rsidRPr="00A64175" w:rsidRDefault="00B41DCD"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aux commissaires aux comptes des sociétés faisant appel public à l’épargne ou des personnes, structures ou organismes soumis au contrôle de la COSUMAF ;</w:t>
      </w:r>
    </w:p>
    <w:p w14:paraId="0DE01798" w14:textId="77777777" w:rsidR="00F85819" w:rsidRPr="00A64175" w:rsidRDefault="00F85819" w:rsidP="00A64175">
      <w:pPr>
        <w:jc w:val="both"/>
        <w:rPr>
          <w:rFonts w:ascii="Arial" w:hAnsi="Arial" w:cs="Arial"/>
          <w:color w:val="000000"/>
          <w:kern w:val="1"/>
          <w:sz w:val="22"/>
          <w:szCs w:val="22"/>
        </w:rPr>
      </w:pPr>
    </w:p>
    <w:p w14:paraId="68F5D159" w14:textId="77777777"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 xml:space="preserve">aux </w:t>
      </w:r>
      <w:r w:rsidR="00742448" w:rsidRPr="00A64175">
        <w:rPr>
          <w:rFonts w:ascii="Arial" w:hAnsi="Arial" w:cs="Arial"/>
          <w:color w:val="000000"/>
          <w:kern w:val="1"/>
          <w:sz w:val="22"/>
          <w:szCs w:val="22"/>
        </w:rPr>
        <w:t>organismes</w:t>
      </w:r>
      <w:r w:rsidRPr="00A64175">
        <w:rPr>
          <w:rFonts w:ascii="Arial" w:hAnsi="Arial" w:cs="Arial"/>
          <w:color w:val="000000"/>
          <w:kern w:val="1"/>
          <w:sz w:val="22"/>
          <w:szCs w:val="22"/>
        </w:rPr>
        <w:t xml:space="preserve"> de notation financière ;</w:t>
      </w:r>
    </w:p>
    <w:p w14:paraId="396D26D6" w14:textId="77777777" w:rsidR="00F85819" w:rsidRPr="00A64175" w:rsidRDefault="00F85819" w:rsidP="00A64175">
      <w:pPr>
        <w:jc w:val="both"/>
        <w:rPr>
          <w:rFonts w:ascii="Arial" w:hAnsi="Arial" w:cs="Arial"/>
          <w:color w:val="000000"/>
          <w:kern w:val="1"/>
          <w:sz w:val="22"/>
          <w:szCs w:val="22"/>
        </w:rPr>
      </w:pPr>
    </w:p>
    <w:p w14:paraId="2B77C1FA" w14:textId="6C527D25"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aux</w:t>
      </w:r>
      <w:r w:rsidR="00B41DCD" w:rsidRPr="00A64175">
        <w:rPr>
          <w:rFonts w:ascii="Arial" w:hAnsi="Arial" w:cs="Arial"/>
          <w:color w:val="000000"/>
          <w:kern w:val="1"/>
          <w:sz w:val="22"/>
          <w:szCs w:val="22"/>
        </w:rPr>
        <w:t xml:space="preserve"> analystes financiers indépendants</w:t>
      </w:r>
      <w:r w:rsidRPr="00A64175">
        <w:rPr>
          <w:rFonts w:ascii="Arial" w:hAnsi="Arial" w:cs="Arial"/>
          <w:color w:val="000000"/>
          <w:kern w:val="1"/>
          <w:sz w:val="22"/>
          <w:szCs w:val="22"/>
        </w:rPr>
        <w:t> ;</w:t>
      </w:r>
    </w:p>
    <w:p w14:paraId="2C594C51" w14:textId="77777777" w:rsidR="00F85819" w:rsidRPr="00A64175" w:rsidRDefault="00F85819" w:rsidP="00A64175">
      <w:pPr>
        <w:jc w:val="both"/>
        <w:rPr>
          <w:rFonts w:ascii="Arial" w:hAnsi="Arial" w:cs="Arial"/>
          <w:color w:val="000000"/>
          <w:kern w:val="1"/>
          <w:sz w:val="22"/>
          <w:szCs w:val="22"/>
        </w:rPr>
      </w:pPr>
    </w:p>
    <w:p w14:paraId="78D1979D" w14:textId="35C17BEB" w:rsidR="00F85819"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aux organismes de garantie</w:t>
      </w:r>
      <w:r w:rsidR="00B41DCD" w:rsidRPr="00A64175">
        <w:rPr>
          <w:rFonts w:ascii="Arial" w:hAnsi="Arial" w:cs="Arial"/>
          <w:color w:val="000000"/>
          <w:kern w:val="1"/>
          <w:sz w:val="22"/>
          <w:szCs w:val="22"/>
        </w:rPr>
        <w:t xml:space="preserve"> des émissions</w:t>
      </w:r>
      <w:r w:rsidRPr="00A64175">
        <w:rPr>
          <w:rFonts w:ascii="Arial" w:hAnsi="Arial" w:cs="Arial"/>
          <w:color w:val="000000"/>
          <w:kern w:val="1"/>
          <w:sz w:val="22"/>
          <w:szCs w:val="22"/>
        </w:rPr>
        <w:t> ;</w:t>
      </w:r>
    </w:p>
    <w:p w14:paraId="6ED27469" w14:textId="77777777" w:rsidR="00B41DCD" w:rsidRPr="00A64175" w:rsidRDefault="00B41DCD" w:rsidP="00A64175">
      <w:pPr>
        <w:jc w:val="both"/>
        <w:rPr>
          <w:rFonts w:ascii="Arial" w:hAnsi="Arial" w:cs="Arial"/>
          <w:color w:val="000000"/>
          <w:kern w:val="1"/>
          <w:sz w:val="22"/>
          <w:szCs w:val="22"/>
        </w:rPr>
      </w:pPr>
    </w:p>
    <w:p w14:paraId="5ABBB9C4" w14:textId="5F5851AB" w:rsidR="00B41DCD" w:rsidRPr="00A64175" w:rsidRDefault="00B41DCD"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au Fonds de garantie du marché ;</w:t>
      </w:r>
    </w:p>
    <w:p w14:paraId="2C7F7578" w14:textId="77777777" w:rsidR="00F85819" w:rsidRPr="00A64175" w:rsidRDefault="00F85819"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30CA4919" w14:textId="75B50CE9" w:rsidR="00197094" w:rsidRPr="00A64175" w:rsidRDefault="00F85819" w:rsidP="00A64175">
      <w:pPr>
        <w:widowControl w:val="0"/>
        <w:numPr>
          <w:ilvl w:val="0"/>
          <w:numId w:val="56"/>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à toute personne ou entité impliquée da</w:t>
      </w:r>
      <w:r w:rsidR="003B556D" w:rsidRPr="00A64175">
        <w:rPr>
          <w:rFonts w:ascii="Arial" w:hAnsi="Arial" w:cs="Arial"/>
          <w:color w:val="000000"/>
          <w:sz w:val="22"/>
          <w:szCs w:val="22"/>
        </w:rPr>
        <w:t>ns le fonctionnement du marché.</w:t>
      </w:r>
    </w:p>
    <w:p w14:paraId="0414DFAE" w14:textId="77777777" w:rsidR="00F85819" w:rsidRPr="00A64175" w:rsidRDefault="00F85819"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377F03EB"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122D6DC" w14:textId="0FA00654" w:rsidR="00F12800" w:rsidRPr="007B038E" w:rsidRDefault="00DE4B9C" w:rsidP="00A64175">
      <w:pPr>
        <w:widowControl w:val="0"/>
        <w:autoSpaceDE w:val="0"/>
        <w:autoSpaceDN w:val="0"/>
        <w:adjustRightInd w:val="0"/>
        <w:jc w:val="both"/>
        <w:rPr>
          <w:rFonts w:ascii="Arial" w:hAnsi="Arial" w:cs="Arial"/>
          <w:color w:val="000000"/>
          <w:sz w:val="22"/>
          <w:szCs w:val="22"/>
        </w:rPr>
      </w:pPr>
      <w:r w:rsidRPr="00DE4B9C">
        <w:rPr>
          <w:rFonts w:ascii="Arial" w:hAnsi="Arial" w:cs="Arial"/>
          <w:b/>
          <w:bCs/>
          <w:color w:val="000000"/>
        </w:rPr>
        <w:t xml:space="preserve"> </w:t>
      </w:r>
      <w:r w:rsidRPr="007B038E">
        <w:rPr>
          <w:rFonts w:ascii="Arial" w:hAnsi="Arial" w:cs="Arial"/>
          <w:b/>
          <w:bCs/>
          <w:color w:val="000000"/>
          <w:sz w:val="22"/>
          <w:szCs w:val="22"/>
        </w:rPr>
        <w:t xml:space="preserve">Article 3. </w:t>
      </w:r>
      <w:r w:rsidRPr="007B038E">
        <w:rPr>
          <w:rFonts w:ascii="Arial" w:hAnsi="Arial" w:cs="Arial"/>
          <w:color w:val="000000"/>
          <w:kern w:val="1"/>
          <w:sz w:val="22"/>
          <w:szCs w:val="22"/>
        </w:rPr>
        <w:t xml:space="preserve">– </w:t>
      </w:r>
      <w:r w:rsidRPr="007B038E">
        <w:rPr>
          <w:rFonts w:ascii="Arial" w:hAnsi="Arial" w:cs="Arial"/>
          <w:color w:val="000000"/>
          <w:sz w:val="22"/>
          <w:szCs w:val="22"/>
        </w:rPr>
        <w:t>Dans sa fonction de régulation du marché financier de l’Afrique Centrale, la COSUMAF applique une approche du contrôle des opérations, des acteurs et des intervenants du marché basée sur les risques.</w:t>
      </w:r>
    </w:p>
    <w:p w14:paraId="0D0B9000" w14:textId="77777777" w:rsidR="00DE4B9C" w:rsidRPr="007B038E" w:rsidRDefault="00DE4B9C" w:rsidP="00A64175">
      <w:pPr>
        <w:widowControl w:val="0"/>
        <w:autoSpaceDE w:val="0"/>
        <w:autoSpaceDN w:val="0"/>
        <w:adjustRightInd w:val="0"/>
        <w:jc w:val="both"/>
        <w:rPr>
          <w:rFonts w:ascii="Arial" w:hAnsi="Arial" w:cs="Arial"/>
          <w:color w:val="000000"/>
          <w:sz w:val="22"/>
          <w:szCs w:val="22"/>
        </w:rPr>
      </w:pPr>
    </w:p>
    <w:p w14:paraId="15821183" w14:textId="7B2514C8" w:rsidR="00DE4B9C" w:rsidRPr="007B038E" w:rsidRDefault="00DE4B9C" w:rsidP="00A64175">
      <w:pPr>
        <w:widowControl w:val="0"/>
        <w:autoSpaceDE w:val="0"/>
        <w:autoSpaceDN w:val="0"/>
        <w:adjustRightInd w:val="0"/>
        <w:jc w:val="both"/>
        <w:rPr>
          <w:rFonts w:ascii="Arial" w:hAnsi="Arial" w:cs="Arial"/>
          <w:color w:val="000000"/>
          <w:sz w:val="22"/>
          <w:szCs w:val="22"/>
        </w:rPr>
      </w:pPr>
      <w:r w:rsidRPr="007B038E">
        <w:rPr>
          <w:rFonts w:ascii="Arial" w:hAnsi="Arial" w:cs="Arial"/>
          <w:color w:val="000000"/>
          <w:sz w:val="22"/>
          <w:szCs w:val="22"/>
        </w:rPr>
        <w:t>Cette approche consiste notamment, d’une part, à identifier et évaluer les risques de marché et, d’autre part, à prendre des mesures proportionnées à ces risques.</w:t>
      </w:r>
    </w:p>
    <w:p w14:paraId="39E684B0" w14:textId="77777777" w:rsidR="00DE4B9C" w:rsidRPr="007B038E" w:rsidRDefault="00DE4B9C" w:rsidP="00A64175">
      <w:pPr>
        <w:widowControl w:val="0"/>
        <w:autoSpaceDE w:val="0"/>
        <w:autoSpaceDN w:val="0"/>
        <w:adjustRightInd w:val="0"/>
        <w:jc w:val="both"/>
        <w:rPr>
          <w:rFonts w:ascii="Arial" w:hAnsi="Arial" w:cs="Arial"/>
          <w:color w:val="000000"/>
          <w:kern w:val="1"/>
          <w:sz w:val="22"/>
          <w:szCs w:val="22"/>
        </w:rPr>
      </w:pPr>
    </w:p>
    <w:p w14:paraId="66A6A185" w14:textId="77777777" w:rsidR="00C75702" w:rsidRDefault="00C75702" w:rsidP="00A64175">
      <w:pPr>
        <w:widowControl w:val="0"/>
        <w:autoSpaceDE w:val="0"/>
        <w:autoSpaceDN w:val="0"/>
        <w:adjustRightInd w:val="0"/>
        <w:jc w:val="both"/>
        <w:rPr>
          <w:rFonts w:ascii="Arial" w:hAnsi="Arial" w:cs="Arial"/>
          <w:color w:val="000000"/>
          <w:kern w:val="1"/>
          <w:sz w:val="22"/>
          <w:szCs w:val="22"/>
        </w:rPr>
      </w:pPr>
    </w:p>
    <w:p w14:paraId="158621AD" w14:textId="77777777" w:rsidR="00E04B5E" w:rsidRDefault="00E04B5E" w:rsidP="00A64175">
      <w:pPr>
        <w:widowControl w:val="0"/>
        <w:autoSpaceDE w:val="0"/>
        <w:autoSpaceDN w:val="0"/>
        <w:adjustRightInd w:val="0"/>
        <w:jc w:val="both"/>
        <w:rPr>
          <w:rFonts w:ascii="Arial" w:hAnsi="Arial" w:cs="Arial"/>
          <w:color w:val="000000"/>
          <w:kern w:val="1"/>
          <w:sz w:val="22"/>
          <w:szCs w:val="22"/>
        </w:rPr>
      </w:pPr>
    </w:p>
    <w:p w14:paraId="55C6A02B" w14:textId="77777777" w:rsidR="00E04B5E" w:rsidRDefault="00E04B5E" w:rsidP="00A64175">
      <w:pPr>
        <w:widowControl w:val="0"/>
        <w:autoSpaceDE w:val="0"/>
        <w:autoSpaceDN w:val="0"/>
        <w:adjustRightInd w:val="0"/>
        <w:jc w:val="both"/>
        <w:rPr>
          <w:rFonts w:ascii="Arial" w:hAnsi="Arial" w:cs="Arial"/>
          <w:color w:val="000000"/>
          <w:kern w:val="1"/>
          <w:sz w:val="22"/>
          <w:szCs w:val="22"/>
        </w:rPr>
      </w:pPr>
    </w:p>
    <w:p w14:paraId="3FFB85E9" w14:textId="77777777" w:rsidR="00E04B5E" w:rsidRPr="00A64175" w:rsidRDefault="00E04B5E" w:rsidP="00A64175">
      <w:pPr>
        <w:widowControl w:val="0"/>
        <w:autoSpaceDE w:val="0"/>
        <w:autoSpaceDN w:val="0"/>
        <w:adjustRightInd w:val="0"/>
        <w:jc w:val="both"/>
        <w:rPr>
          <w:rFonts w:ascii="Arial" w:hAnsi="Arial" w:cs="Arial"/>
          <w:color w:val="000000"/>
          <w:kern w:val="1"/>
          <w:sz w:val="22"/>
          <w:szCs w:val="22"/>
        </w:rPr>
      </w:pPr>
    </w:p>
    <w:p w14:paraId="044D09B8" w14:textId="27B16248" w:rsidR="00C75702" w:rsidRPr="00A64175" w:rsidRDefault="00C75702"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TITRE II – LA COMMISSION DE SURVEILLANCE DU MARCHE FINANCIER DE L’AFRIQUE CENTRALE</w:t>
      </w:r>
    </w:p>
    <w:p w14:paraId="218F51D2" w14:textId="6318A8A3" w:rsidR="00C75702" w:rsidRPr="00A64175" w:rsidRDefault="00634A16" w:rsidP="00A64175">
      <w:pPr>
        <w:widowControl w:val="0"/>
        <w:tabs>
          <w:tab w:val="left" w:pos="5244"/>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ab/>
      </w:r>
    </w:p>
    <w:p w14:paraId="65BE61E9" w14:textId="77777777" w:rsidR="00C75702" w:rsidRPr="00A64175" w:rsidRDefault="00C75702" w:rsidP="00A64175">
      <w:pPr>
        <w:widowControl w:val="0"/>
        <w:autoSpaceDE w:val="0"/>
        <w:autoSpaceDN w:val="0"/>
        <w:adjustRightInd w:val="0"/>
        <w:jc w:val="both"/>
        <w:rPr>
          <w:rFonts w:ascii="Arial" w:hAnsi="Arial" w:cs="Arial"/>
          <w:b/>
          <w:bCs/>
          <w:color w:val="000000"/>
          <w:sz w:val="22"/>
          <w:szCs w:val="22"/>
        </w:rPr>
      </w:pPr>
    </w:p>
    <w:p w14:paraId="0F5513F3" w14:textId="36DA0A00" w:rsidR="00C75702" w:rsidRPr="00A64175" w:rsidRDefault="00C75702"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 – POUVOIR REGLEMENTAIRE</w:t>
      </w:r>
    </w:p>
    <w:p w14:paraId="22B448CE" w14:textId="77777777" w:rsidR="00C75702" w:rsidRPr="00A64175" w:rsidRDefault="00C75702" w:rsidP="00A64175">
      <w:pPr>
        <w:widowControl w:val="0"/>
        <w:autoSpaceDE w:val="0"/>
        <w:autoSpaceDN w:val="0"/>
        <w:adjustRightInd w:val="0"/>
        <w:jc w:val="both"/>
        <w:rPr>
          <w:rFonts w:ascii="Arial" w:hAnsi="Arial" w:cs="Arial"/>
          <w:color w:val="000000"/>
          <w:kern w:val="1"/>
          <w:sz w:val="22"/>
          <w:szCs w:val="22"/>
        </w:rPr>
      </w:pPr>
    </w:p>
    <w:tbl>
      <w:tblPr>
        <w:tblStyle w:val="Grilledutableau"/>
        <w:tblW w:w="8185"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5"/>
      </w:tblGrid>
      <w:tr w:rsidR="00A74262" w:rsidRPr="00A64175" w14:paraId="7880F41E" w14:textId="77777777" w:rsidTr="001E75DA">
        <w:tc>
          <w:tcPr>
            <w:tcW w:w="8185" w:type="dxa"/>
          </w:tcPr>
          <w:p w14:paraId="6436CA7D" w14:textId="23A681E7" w:rsidR="00A74262" w:rsidRPr="00A64175" w:rsidRDefault="00A74262" w:rsidP="00A64175">
            <w:pPr>
              <w:widowControl w:val="0"/>
              <w:autoSpaceDE w:val="0"/>
              <w:autoSpaceDN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4</w:t>
            </w:r>
            <w:r w:rsidRPr="00A64175">
              <w:rPr>
                <w:rFonts w:ascii="Arial" w:hAnsi="Arial" w:cs="Arial"/>
                <w:b/>
                <w:bCs/>
                <w:color w:val="000000"/>
              </w:rPr>
              <w:t xml:space="preserve">. </w:t>
            </w:r>
            <w:r w:rsidRPr="00A64175">
              <w:rPr>
                <w:rFonts w:ascii="Arial" w:hAnsi="Arial" w:cs="Arial"/>
                <w:color w:val="000000"/>
                <w:kern w:val="1"/>
              </w:rPr>
              <w:t xml:space="preserve">– </w:t>
            </w:r>
            <w:r w:rsidRPr="00A64175">
              <w:rPr>
                <w:rFonts w:ascii="Arial" w:hAnsi="Arial" w:cs="Arial"/>
                <w:color w:val="000000"/>
              </w:rPr>
              <w:t xml:space="preserve">Conformément aux dispositions de l’article 21 </w:t>
            </w:r>
            <w:r w:rsidR="005F0E2E" w:rsidRPr="00A64175">
              <w:rPr>
                <w:rFonts w:ascii="Arial" w:hAnsi="Arial" w:cs="Arial"/>
                <w:color w:val="000000"/>
              </w:rPr>
              <w:t>du Règlement n°01/22/CEMAC/UMAC/CM/COSUMAF du 21 juillet 2022, dans le cadre de l’exercice de son pouvoir réglementaire,  la COSUMAF peut procéder par voie d’instructions, de circulaires, de communiqués, d’avis et de  recommandations aux fins de préciser le</w:t>
            </w:r>
            <w:r w:rsidR="00A902FD" w:rsidRPr="00A64175">
              <w:rPr>
                <w:rFonts w:ascii="Arial" w:hAnsi="Arial" w:cs="Arial"/>
                <w:color w:val="000000"/>
              </w:rPr>
              <w:t>s modalités d’application du présent</w:t>
            </w:r>
            <w:r w:rsidR="005F0E2E" w:rsidRPr="00A64175">
              <w:rPr>
                <w:rFonts w:ascii="Arial" w:hAnsi="Arial" w:cs="Arial"/>
                <w:color w:val="000000"/>
              </w:rPr>
              <w:t xml:space="preserve"> Règlement Général.</w:t>
            </w:r>
          </w:p>
          <w:p w14:paraId="1516107A" w14:textId="77777777" w:rsidR="00A74262" w:rsidRPr="00A64175" w:rsidRDefault="00A74262" w:rsidP="00A64175">
            <w:pPr>
              <w:widowControl w:val="0"/>
              <w:autoSpaceDE w:val="0"/>
              <w:adjustRightInd w:val="0"/>
              <w:jc w:val="both"/>
              <w:rPr>
                <w:rFonts w:ascii="Arial" w:hAnsi="Arial" w:cs="Arial"/>
                <w:b/>
                <w:bCs/>
                <w:color w:val="000000"/>
              </w:rPr>
            </w:pPr>
          </w:p>
          <w:p w14:paraId="0A82E1AE" w14:textId="45D23BCF" w:rsidR="00A74262" w:rsidRPr="00A64175" w:rsidRDefault="004A141B" w:rsidP="00A64175">
            <w:pPr>
              <w:widowControl w:val="0"/>
              <w:autoSpaceDE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5</w:t>
            </w:r>
            <w:r w:rsidRPr="00A64175">
              <w:rPr>
                <w:rFonts w:ascii="Arial" w:hAnsi="Arial" w:cs="Arial"/>
                <w:b/>
                <w:bCs/>
                <w:color w:val="000000"/>
              </w:rPr>
              <w:t xml:space="preserve">. </w:t>
            </w:r>
            <w:r w:rsidRPr="00A64175">
              <w:rPr>
                <w:rFonts w:ascii="Arial" w:hAnsi="Arial" w:cs="Arial"/>
                <w:color w:val="000000"/>
                <w:kern w:val="1"/>
              </w:rPr>
              <w:t xml:space="preserve">– </w:t>
            </w:r>
            <w:r w:rsidR="00A74262" w:rsidRPr="00A64175">
              <w:rPr>
                <w:rFonts w:ascii="Arial" w:hAnsi="Arial" w:cs="Arial"/>
                <w:color w:val="000000"/>
                <w:kern w:val="1"/>
              </w:rPr>
              <w:t xml:space="preserve">Les instructions et </w:t>
            </w:r>
            <w:r w:rsidR="00A74262" w:rsidRPr="00A64175">
              <w:rPr>
                <w:rFonts w:ascii="Arial" w:hAnsi="Arial" w:cs="Arial"/>
              </w:rPr>
              <w:t xml:space="preserve">recommandations </w:t>
            </w:r>
            <w:r w:rsidR="00A74262" w:rsidRPr="00A64175">
              <w:rPr>
                <w:rFonts w:ascii="Arial" w:hAnsi="Arial" w:cs="Arial"/>
                <w:color w:val="000000"/>
                <w:kern w:val="1"/>
              </w:rPr>
              <w:t xml:space="preserve">visent à préciser </w:t>
            </w:r>
            <w:r w:rsidR="005F0E2E" w:rsidRPr="00A64175">
              <w:rPr>
                <w:rFonts w:ascii="Arial" w:hAnsi="Arial" w:cs="Arial"/>
                <w:color w:val="000000"/>
                <w:kern w:val="1"/>
              </w:rPr>
              <w:t xml:space="preserve">l’interprétation </w:t>
            </w:r>
            <w:r w:rsidR="00A74262" w:rsidRPr="00A64175">
              <w:rPr>
                <w:rFonts w:ascii="Arial" w:hAnsi="Arial" w:cs="Arial"/>
                <w:color w:val="000000"/>
                <w:kern w:val="1"/>
              </w:rPr>
              <w:t xml:space="preserve">du Règlement </w:t>
            </w:r>
            <w:r w:rsidRPr="00A64175">
              <w:rPr>
                <w:rFonts w:ascii="Arial" w:hAnsi="Arial" w:cs="Arial"/>
                <w:color w:val="000000"/>
                <w:kern w:val="1"/>
              </w:rPr>
              <w:t>G</w:t>
            </w:r>
            <w:r w:rsidR="00A74262" w:rsidRPr="00A64175">
              <w:rPr>
                <w:rFonts w:ascii="Arial" w:hAnsi="Arial" w:cs="Arial"/>
                <w:color w:val="000000"/>
                <w:kern w:val="1"/>
              </w:rPr>
              <w:t>énéral de la COSUMAF</w:t>
            </w:r>
            <w:r w:rsidRPr="00A64175">
              <w:rPr>
                <w:rFonts w:ascii="Arial" w:hAnsi="Arial" w:cs="Arial"/>
                <w:color w:val="000000"/>
                <w:kern w:val="1"/>
              </w:rPr>
              <w:t xml:space="preserve"> et les modalités de son application</w:t>
            </w:r>
            <w:r w:rsidR="00A74262" w:rsidRPr="00A64175">
              <w:rPr>
                <w:rFonts w:ascii="Arial" w:hAnsi="Arial" w:cs="Arial"/>
                <w:color w:val="000000"/>
                <w:kern w:val="1"/>
              </w:rPr>
              <w:t>.</w:t>
            </w:r>
          </w:p>
          <w:p w14:paraId="5A187D04" w14:textId="77777777" w:rsidR="00A74262" w:rsidRPr="00A64175" w:rsidRDefault="00A74262" w:rsidP="00A64175">
            <w:pPr>
              <w:widowControl w:val="0"/>
              <w:autoSpaceDE w:val="0"/>
              <w:adjustRightInd w:val="0"/>
              <w:jc w:val="both"/>
              <w:rPr>
                <w:rFonts w:ascii="Arial" w:hAnsi="Arial" w:cs="Arial"/>
                <w:b/>
                <w:bCs/>
                <w:color w:val="000000"/>
              </w:rPr>
            </w:pPr>
          </w:p>
        </w:tc>
      </w:tr>
      <w:tr w:rsidR="00A74262" w:rsidRPr="00A64175" w14:paraId="0B68C18C" w14:textId="77777777" w:rsidTr="001E75DA">
        <w:tc>
          <w:tcPr>
            <w:tcW w:w="8185" w:type="dxa"/>
          </w:tcPr>
          <w:p w14:paraId="062211CC" w14:textId="2D4D4A38" w:rsidR="00A74262" w:rsidRPr="00A64175" w:rsidRDefault="00A74262" w:rsidP="00A64175">
            <w:pPr>
              <w:widowControl w:val="0"/>
              <w:autoSpaceDE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6</w:t>
            </w:r>
            <w:r w:rsidR="004A141B" w:rsidRPr="00A64175">
              <w:rPr>
                <w:rFonts w:ascii="Arial" w:hAnsi="Arial" w:cs="Arial"/>
                <w:b/>
                <w:bCs/>
                <w:color w:val="000000"/>
              </w:rPr>
              <w:t xml:space="preserve">. </w:t>
            </w:r>
            <w:r w:rsidR="004A141B" w:rsidRPr="00A64175">
              <w:rPr>
                <w:rFonts w:ascii="Arial" w:hAnsi="Arial" w:cs="Arial"/>
                <w:color w:val="000000"/>
                <w:kern w:val="1"/>
              </w:rPr>
              <w:t xml:space="preserve">– </w:t>
            </w:r>
            <w:r w:rsidRPr="00A64175">
              <w:rPr>
                <w:rFonts w:ascii="Arial" w:hAnsi="Arial" w:cs="Arial"/>
                <w:color w:val="000000"/>
                <w:kern w:val="1"/>
              </w:rPr>
              <w:t>Les projets d’instruction</w:t>
            </w:r>
            <w:r w:rsidR="001E75DA" w:rsidRPr="00A64175">
              <w:rPr>
                <w:rFonts w:ascii="Arial" w:hAnsi="Arial" w:cs="Arial"/>
                <w:color w:val="000000"/>
                <w:kern w:val="1"/>
              </w:rPr>
              <w:t>s</w:t>
            </w:r>
            <w:r w:rsidRPr="00A64175">
              <w:rPr>
                <w:rFonts w:ascii="Arial" w:hAnsi="Arial" w:cs="Arial"/>
                <w:color w:val="000000"/>
                <w:kern w:val="1"/>
              </w:rPr>
              <w:t>, de recommandation</w:t>
            </w:r>
            <w:r w:rsidR="001E75DA" w:rsidRPr="00A64175">
              <w:rPr>
                <w:rFonts w:ascii="Arial" w:hAnsi="Arial" w:cs="Arial"/>
                <w:color w:val="000000"/>
                <w:kern w:val="1"/>
              </w:rPr>
              <w:t>s</w:t>
            </w:r>
            <w:r w:rsidRPr="00A64175">
              <w:rPr>
                <w:rFonts w:ascii="Arial" w:hAnsi="Arial" w:cs="Arial"/>
                <w:color w:val="000000"/>
                <w:kern w:val="1"/>
              </w:rPr>
              <w:t xml:space="preserve"> et de toute nou</w:t>
            </w:r>
            <w:r w:rsidR="004A141B" w:rsidRPr="00A64175">
              <w:rPr>
                <w:rFonts w:ascii="Arial" w:hAnsi="Arial" w:cs="Arial"/>
                <w:color w:val="000000"/>
                <w:kern w:val="1"/>
              </w:rPr>
              <w:t>velle disposition du Règlement G</w:t>
            </w:r>
            <w:r w:rsidRPr="00A64175">
              <w:rPr>
                <w:rFonts w:ascii="Arial" w:hAnsi="Arial" w:cs="Arial"/>
                <w:color w:val="000000"/>
                <w:kern w:val="1"/>
              </w:rPr>
              <w:t xml:space="preserve">énéral </w:t>
            </w:r>
            <w:r w:rsidRPr="00A64175">
              <w:rPr>
                <w:rFonts w:ascii="Arial" w:hAnsi="Arial" w:cs="Arial"/>
              </w:rPr>
              <w:t>sont</w:t>
            </w:r>
            <w:r w:rsidRPr="00A64175">
              <w:rPr>
                <w:rFonts w:ascii="Arial" w:hAnsi="Arial" w:cs="Arial"/>
                <w:color w:val="000000"/>
                <w:kern w:val="1"/>
              </w:rPr>
              <w:t xml:space="preserve"> élaborés par les services de la COSUMAF. </w:t>
            </w:r>
          </w:p>
          <w:p w14:paraId="64116BFD" w14:textId="77777777" w:rsidR="00A74262" w:rsidRPr="00A64175" w:rsidRDefault="00A74262" w:rsidP="00A64175">
            <w:pPr>
              <w:widowControl w:val="0"/>
              <w:autoSpaceDE w:val="0"/>
              <w:adjustRightInd w:val="0"/>
              <w:jc w:val="both"/>
              <w:rPr>
                <w:rFonts w:ascii="Arial" w:hAnsi="Arial" w:cs="Arial"/>
                <w:b/>
                <w:bCs/>
                <w:color w:val="000000"/>
              </w:rPr>
            </w:pPr>
          </w:p>
        </w:tc>
      </w:tr>
      <w:tr w:rsidR="00A74262" w:rsidRPr="00A64175" w14:paraId="3E232CB0" w14:textId="77777777" w:rsidTr="001E75DA">
        <w:tc>
          <w:tcPr>
            <w:tcW w:w="8185" w:type="dxa"/>
          </w:tcPr>
          <w:p w14:paraId="4CD5DC45" w14:textId="09250DE7" w:rsidR="00A74262" w:rsidRPr="00A64175" w:rsidRDefault="00050751" w:rsidP="00A64175">
            <w:pPr>
              <w:widowControl w:val="0"/>
              <w:autoSpaceDE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7</w:t>
            </w:r>
            <w:r w:rsidRPr="00A64175">
              <w:rPr>
                <w:rFonts w:ascii="Arial" w:hAnsi="Arial" w:cs="Arial"/>
                <w:b/>
                <w:bCs/>
                <w:color w:val="000000"/>
              </w:rPr>
              <w:t xml:space="preserve">. </w:t>
            </w:r>
            <w:r w:rsidRPr="00A64175">
              <w:rPr>
                <w:rFonts w:ascii="Arial" w:hAnsi="Arial" w:cs="Arial"/>
                <w:color w:val="000000"/>
                <w:kern w:val="1"/>
              </w:rPr>
              <w:t xml:space="preserve">– </w:t>
            </w:r>
            <w:r w:rsidR="00A74262" w:rsidRPr="00A64175">
              <w:rPr>
                <w:rFonts w:ascii="Arial" w:hAnsi="Arial" w:cs="Arial"/>
                <w:color w:val="000000"/>
                <w:kern w:val="1"/>
              </w:rPr>
              <w:t xml:space="preserve">Avant l’adoption </w:t>
            </w:r>
            <w:r w:rsidR="004A141B" w:rsidRPr="00A64175">
              <w:rPr>
                <w:rFonts w:ascii="Arial" w:hAnsi="Arial" w:cs="Arial"/>
                <w:color w:val="000000"/>
                <w:kern w:val="1"/>
              </w:rPr>
              <w:t xml:space="preserve">de toute instruction </w:t>
            </w:r>
            <w:r w:rsidR="00A74262" w:rsidRPr="00A64175">
              <w:rPr>
                <w:rFonts w:ascii="Arial" w:hAnsi="Arial" w:cs="Arial"/>
                <w:color w:val="000000"/>
                <w:kern w:val="1"/>
              </w:rPr>
              <w:t>et de toute nouvelle disposition du Règlement Général par le Collège, le Président de la COSUMAF soumet le projet</w:t>
            </w:r>
            <w:r w:rsidRPr="00A64175">
              <w:rPr>
                <w:rFonts w:ascii="Arial" w:hAnsi="Arial" w:cs="Arial"/>
                <w:color w:val="000000"/>
                <w:kern w:val="1"/>
              </w:rPr>
              <w:t xml:space="preserve"> de texte</w:t>
            </w:r>
            <w:r w:rsidR="00A74262" w:rsidRPr="00A64175">
              <w:rPr>
                <w:rFonts w:ascii="Arial" w:hAnsi="Arial" w:cs="Arial"/>
                <w:color w:val="000000"/>
                <w:kern w:val="1"/>
              </w:rPr>
              <w:t xml:space="preserve"> pour consultation au public dans les Etats membres de la CEMAC.</w:t>
            </w:r>
            <w:r w:rsidR="00A902FD" w:rsidRPr="00A64175">
              <w:rPr>
                <w:rFonts w:ascii="Arial" w:hAnsi="Arial" w:cs="Arial"/>
                <w:color w:val="000000"/>
                <w:kern w:val="1"/>
              </w:rPr>
              <w:t xml:space="preserve"> Le lancement de la consultation publique fait l’objet d’un communiqué publié sur le site internet de la COSUMAF.</w:t>
            </w:r>
          </w:p>
          <w:p w14:paraId="437016B0" w14:textId="77777777" w:rsidR="00A74262" w:rsidRPr="00A64175" w:rsidRDefault="00A74262" w:rsidP="00A64175">
            <w:pPr>
              <w:widowControl w:val="0"/>
              <w:autoSpaceDE w:val="0"/>
              <w:adjustRightInd w:val="0"/>
              <w:jc w:val="both"/>
              <w:rPr>
                <w:rFonts w:ascii="Arial" w:hAnsi="Arial" w:cs="Arial"/>
                <w:bCs/>
                <w:color w:val="000000"/>
              </w:rPr>
            </w:pPr>
          </w:p>
        </w:tc>
      </w:tr>
      <w:tr w:rsidR="00A74262" w:rsidRPr="00A64175" w14:paraId="75576C79" w14:textId="77777777" w:rsidTr="001E75DA">
        <w:tc>
          <w:tcPr>
            <w:tcW w:w="8185" w:type="dxa"/>
          </w:tcPr>
          <w:p w14:paraId="5C9EA86E" w14:textId="6D931C4D" w:rsidR="006D220A" w:rsidRPr="00A64175" w:rsidRDefault="006D220A" w:rsidP="00A64175">
            <w:pPr>
              <w:widowControl w:val="0"/>
              <w:autoSpaceDE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8</w:t>
            </w:r>
            <w:r w:rsidRPr="00A64175">
              <w:rPr>
                <w:rFonts w:ascii="Arial" w:hAnsi="Arial" w:cs="Arial"/>
                <w:b/>
                <w:bCs/>
                <w:color w:val="000000"/>
              </w:rPr>
              <w:t xml:space="preserve">. </w:t>
            </w:r>
            <w:r w:rsidRPr="00A64175">
              <w:rPr>
                <w:rFonts w:ascii="Arial" w:hAnsi="Arial" w:cs="Arial"/>
                <w:color w:val="000000"/>
                <w:kern w:val="1"/>
              </w:rPr>
              <w:t xml:space="preserve">– </w:t>
            </w:r>
            <w:r w:rsidR="00A74262" w:rsidRPr="00A64175">
              <w:rPr>
                <w:rFonts w:ascii="Arial" w:hAnsi="Arial" w:cs="Arial"/>
                <w:color w:val="000000"/>
                <w:kern w:val="1"/>
              </w:rPr>
              <w:t>Les consultations publiques visent à recueillir les éventuelles observations et pr</w:t>
            </w:r>
            <w:r w:rsidRPr="00A64175">
              <w:rPr>
                <w:rFonts w:ascii="Arial" w:hAnsi="Arial" w:cs="Arial"/>
                <w:color w:val="000000"/>
                <w:kern w:val="1"/>
              </w:rPr>
              <w:t>opositions des acteurs et intervenants du marché</w:t>
            </w:r>
            <w:r w:rsidR="00A74262" w:rsidRPr="00A64175">
              <w:rPr>
                <w:rFonts w:ascii="Arial" w:hAnsi="Arial" w:cs="Arial"/>
                <w:color w:val="000000"/>
                <w:kern w:val="1"/>
              </w:rPr>
              <w:t>, de leurs associations professionnelles</w:t>
            </w:r>
            <w:r w:rsidRPr="00A64175">
              <w:rPr>
                <w:rFonts w:ascii="Arial" w:hAnsi="Arial" w:cs="Arial"/>
                <w:color w:val="000000"/>
                <w:kern w:val="1"/>
              </w:rPr>
              <w:t>,</w:t>
            </w:r>
            <w:r w:rsidR="00A74262" w:rsidRPr="00A64175">
              <w:rPr>
                <w:rFonts w:ascii="Arial" w:hAnsi="Arial" w:cs="Arial"/>
                <w:color w:val="000000"/>
                <w:kern w:val="1"/>
              </w:rPr>
              <w:t xml:space="preserve"> des investisseurs</w:t>
            </w:r>
            <w:r w:rsidRPr="00A64175">
              <w:rPr>
                <w:rFonts w:ascii="Arial" w:hAnsi="Arial" w:cs="Arial"/>
                <w:color w:val="000000"/>
                <w:kern w:val="1"/>
              </w:rPr>
              <w:t xml:space="preserve"> et de toute autre personne consultée</w:t>
            </w:r>
            <w:r w:rsidR="00A74262" w:rsidRPr="00A64175">
              <w:rPr>
                <w:rFonts w:ascii="Arial" w:hAnsi="Arial" w:cs="Arial"/>
                <w:color w:val="000000"/>
                <w:kern w:val="1"/>
              </w:rPr>
              <w:t xml:space="preserve">. </w:t>
            </w:r>
          </w:p>
          <w:p w14:paraId="01E5F4D4" w14:textId="77777777" w:rsidR="006D220A" w:rsidRPr="00A64175" w:rsidRDefault="006D220A" w:rsidP="00A64175">
            <w:pPr>
              <w:widowControl w:val="0"/>
              <w:autoSpaceDE w:val="0"/>
              <w:adjustRightInd w:val="0"/>
              <w:jc w:val="both"/>
              <w:rPr>
                <w:rFonts w:ascii="Arial" w:hAnsi="Arial" w:cs="Arial"/>
                <w:color w:val="000000"/>
                <w:kern w:val="1"/>
              </w:rPr>
            </w:pPr>
          </w:p>
          <w:p w14:paraId="0692888D" w14:textId="497856EA" w:rsidR="006D220A" w:rsidRPr="00A64175" w:rsidRDefault="00A74262" w:rsidP="00A64175">
            <w:pPr>
              <w:widowControl w:val="0"/>
              <w:autoSpaceDE w:val="0"/>
              <w:adjustRightInd w:val="0"/>
              <w:jc w:val="both"/>
              <w:rPr>
                <w:rFonts w:ascii="Arial" w:hAnsi="Arial" w:cs="Arial"/>
                <w:color w:val="000000"/>
                <w:kern w:val="1"/>
              </w:rPr>
            </w:pPr>
            <w:r w:rsidRPr="00A64175">
              <w:rPr>
                <w:rFonts w:ascii="Arial" w:hAnsi="Arial" w:cs="Arial"/>
                <w:color w:val="000000"/>
                <w:kern w:val="1"/>
              </w:rPr>
              <w:t>Les observations et propositions sont adressées à la COSUMAF</w:t>
            </w:r>
            <w:r w:rsidR="003E2C92" w:rsidRPr="00A64175">
              <w:rPr>
                <w:rFonts w:ascii="Arial" w:hAnsi="Arial" w:cs="Arial"/>
                <w:color w:val="000000"/>
                <w:kern w:val="1"/>
              </w:rPr>
              <w:t xml:space="preserve"> par voie </w:t>
            </w:r>
            <w:r w:rsidR="006D220A" w:rsidRPr="00A64175">
              <w:rPr>
                <w:rFonts w:ascii="Arial" w:hAnsi="Arial" w:cs="Arial"/>
                <w:color w:val="000000"/>
                <w:kern w:val="1"/>
              </w:rPr>
              <w:t xml:space="preserve"> électronique ou par tout autre moyen précisé par la COSUMAF.</w:t>
            </w:r>
            <w:r w:rsidRPr="00A64175">
              <w:rPr>
                <w:rFonts w:ascii="Arial" w:hAnsi="Arial" w:cs="Arial"/>
                <w:color w:val="000000"/>
                <w:kern w:val="1"/>
              </w:rPr>
              <w:t xml:space="preserve"> </w:t>
            </w:r>
          </w:p>
          <w:p w14:paraId="4A3C1DC3" w14:textId="77777777" w:rsidR="006D220A" w:rsidRPr="00A64175" w:rsidRDefault="006D220A" w:rsidP="00A64175">
            <w:pPr>
              <w:widowControl w:val="0"/>
              <w:autoSpaceDE w:val="0"/>
              <w:adjustRightInd w:val="0"/>
              <w:jc w:val="both"/>
              <w:rPr>
                <w:rFonts w:ascii="Arial" w:hAnsi="Arial" w:cs="Arial"/>
                <w:color w:val="000000"/>
                <w:kern w:val="1"/>
              </w:rPr>
            </w:pPr>
          </w:p>
          <w:p w14:paraId="6676321A" w14:textId="7BDE7C0E" w:rsidR="00A74262" w:rsidRPr="00A64175" w:rsidRDefault="006D220A" w:rsidP="00A64175">
            <w:pPr>
              <w:widowControl w:val="0"/>
              <w:autoSpaceDE w:val="0"/>
              <w:adjustRightInd w:val="0"/>
              <w:jc w:val="both"/>
              <w:rPr>
                <w:rFonts w:ascii="Arial" w:hAnsi="Arial" w:cs="Arial"/>
                <w:color w:val="000000"/>
                <w:kern w:val="1"/>
              </w:rPr>
            </w:pPr>
            <w:r w:rsidRPr="00A64175">
              <w:rPr>
                <w:rFonts w:ascii="Arial" w:hAnsi="Arial" w:cs="Arial"/>
                <w:color w:val="000000"/>
                <w:kern w:val="1"/>
              </w:rPr>
              <w:t xml:space="preserve">Les </w:t>
            </w:r>
            <w:r w:rsidR="00A74262" w:rsidRPr="00A64175">
              <w:rPr>
                <w:rFonts w:ascii="Arial" w:hAnsi="Arial" w:cs="Arial"/>
                <w:color w:val="000000"/>
                <w:kern w:val="1"/>
              </w:rPr>
              <w:t xml:space="preserve">consultations sont réalisées sur une période ne pouvant </w:t>
            </w:r>
            <w:r w:rsidRPr="00A64175">
              <w:rPr>
                <w:rFonts w:ascii="Arial" w:hAnsi="Arial" w:cs="Arial"/>
                <w:color w:val="000000"/>
                <w:kern w:val="1"/>
              </w:rPr>
              <w:t>être infé</w:t>
            </w:r>
            <w:r w:rsidR="00A74262" w:rsidRPr="00A64175">
              <w:rPr>
                <w:rFonts w:ascii="Arial" w:hAnsi="Arial" w:cs="Arial"/>
                <w:color w:val="000000"/>
                <w:kern w:val="1"/>
              </w:rPr>
              <w:t>rieur</w:t>
            </w:r>
            <w:r w:rsidRPr="00A64175">
              <w:rPr>
                <w:rFonts w:ascii="Arial" w:hAnsi="Arial" w:cs="Arial"/>
                <w:color w:val="000000"/>
                <w:kern w:val="1"/>
              </w:rPr>
              <w:t>e  à</w:t>
            </w:r>
            <w:r w:rsidR="00A74262" w:rsidRPr="00A64175">
              <w:rPr>
                <w:rFonts w:ascii="Arial" w:hAnsi="Arial" w:cs="Arial"/>
                <w:color w:val="000000"/>
                <w:kern w:val="1"/>
              </w:rPr>
              <w:t xml:space="preserve"> trente (30) jours. </w:t>
            </w:r>
          </w:p>
          <w:p w14:paraId="5F6D0B4D" w14:textId="77777777" w:rsidR="00A74262" w:rsidRPr="00A64175" w:rsidRDefault="00A74262" w:rsidP="00A64175">
            <w:pPr>
              <w:widowControl w:val="0"/>
              <w:autoSpaceDE w:val="0"/>
              <w:adjustRightInd w:val="0"/>
              <w:jc w:val="both"/>
              <w:rPr>
                <w:rFonts w:ascii="Arial" w:hAnsi="Arial" w:cs="Arial"/>
                <w:b/>
                <w:bCs/>
                <w:color w:val="000000"/>
              </w:rPr>
            </w:pPr>
          </w:p>
        </w:tc>
      </w:tr>
      <w:tr w:rsidR="00A74262" w:rsidRPr="00A64175" w14:paraId="240736B4" w14:textId="77777777" w:rsidTr="001E75DA">
        <w:tc>
          <w:tcPr>
            <w:tcW w:w="8185" w:type="dxa"/>
          </w:tcPr>
          <w:p w14:paraId="016CFA9D" w14:textId="69FBF78D" w:rsidR="00771721" w:rsidRPr="00A64175" w:rsidRDefault="00D7330F" w:rsidP="00A64175">
            <w:pPr>
              <w:widowControl w:val="0"/>
              <w:autoSpaceDE w:val="0"/>
              <w:adjustRightInd w:val="0"/>
              <w:jc w:val="both"/>
              <w:rPr>
                <w:rFonts w:ascii="Arial" w:hAnsi="Arial" w:cs="Arial"/>
                <w:color w:val="000000"/>
                <w:kern w:val="1"/>
              </w:rPr>
            </w:pPr>
            <w:r w:rsidRPr="00A64175">
              <w:rPr>
                <w:rFonts w:ascii="Arial" w:hAnsi="Arial" w:cs="Arial"/>
                <w:b/>
                <w:bCs/>
                <w:color w:val="000000"/>
              </w:rPr>
              <w:t xml:space="preserve">Article </w:t>
            </w:r>
            <w:r w:rsidR="007B038E">
              <w:rPr>
                <w:rFonts w:ascii="Arial" w:hAnsi="Arial" w:cs="Arial"/>
                <w:b/>
                <w:bCs/>
                <w:color w:val="000000"/>
              </w:rPr>
              <w:t>9</w:t>
            </w:r>
            <w:r w:rsidRPr="00A64175">
              <w:rPr>
                <w:rFonts w:ascii="Arial" w:hAnsi="Arial" w:cs="Arial"/>
                <w:b/>
                <w:bCs/>
                <w:color w:val="000000"/>
              </w:rPr>
              <w:t xml:space="preserve">. </w:t>
            </w:r>
            <w:r w:rsidRPr="00A64175">
              <w:rPr>
                <w:rFonts w:ascii="Arial" w:hAnsi="Arial" w:cs="Arial"/>
                <w:color w:val="000000"/>
                <w:kern w:val="1"/>
              </w:rPr>
              <w:t>– Au terme</w:t>
            </w:r>
            <w:r w:rsidR="00A74262" w:rsidRPr="00A64175">
              <w:rPr>
                <w:rFonts w:ascii="Arial" w:hAnsi="Arial" w:cs="Arial"/>
                <w:color w:val="000000"/>
                <w:kern w:val="1"/>
              </w:rPr>
              <w:t xml:space="preserve"> de la consultation publique, la COSUMAF établit un procès-verbal de consulta</w:t>
            </w:r>
            <w:r w:rsidR="00A902FD" w:rsidRPr="00A64175">
              <w:rPr>
                <w:rFonts w:ascii="Arial" w:hAnsi="Arial" w:cs="Arial"/>
                <w:color w:val="000000"/>
                <w:kern w:val="1"/>
              </w:rPr>
              <w:t>tion qui fait état</w:t>
            </w:r>
            <w:r w:rsidR="00A74262" w:rsidRPr="00A64175">
              <w:rPr>
                <w:rFonts w:ascii="Arial" w:hAnsi="Arial" w:cs="Arial"/>
                <w:color w:val="000000"/>
                <w:kern w:val="1"/>
              </w:rPr>
              <w:t xml:space="preserve"> des observati</w:t>
            </w:r>
            <w:r w:rsidR="0062326A">
              <w:rPr>
                <w:rFonts w:ascii="Arial" w:hAnsi="Arial" w:cs="Arial"/>
                <w:color w:val="000000"/>
                <w:kern w:val="1"/>
              </w:rPr>
              <w:t xml:space="preserve">ons et propositions recueillies et </w:t>
            </w:r>
            <w:r w:rsidR="00A74262" w:rsidRPr="00A64175">
              <w:rPr>
                <w:rFonts w:ascii="Arial" w:hAnsi="Arial" w:cs="Arial"/>
                <w:color w:val="000000"/>
                <w:kern w:val="1"/>
              </w:rPr>
              <w:t xml:space="preserve"> </w:t>
            </w:r>
            <w:r w:rsidRPr="00A64175">
              <w:rPr>
                <w:rFonts w:ascii="Arial" w:hAnsi="Arial" w:cs="Arial"/>
                <w:color w:val="000000"/>
                <w:kern w:val="1"/>
              </w:rPr>
              <w:t>de l’appréciation qui en a été faite</w:t>
            </w:r>
            <w:r w:rsidR="00A74262" w:rsidRPr="00A64175">
              <w:rPr>
                <w:rFonts w:ascii="Arial" w:hAnsi="Arial" w:cs="Arial"/>
                <w:color w:val="000000"/>
                <w:kern w:val="1"/>
              </w:rPr>
              <w:t xml:space="preserve">. </w:t>
            </w:r>
          </w:p>
          <w:p w14:paraId="3AA2EAC7" w14:textId="77777777" w:rsidR="00771721" w:rsidRPr="00A64175" w:rsidRDefault="00771721" w:rsidP="00A64175">
            <w:pPr>
              <w:widowControl w:val="0"/>
              <w:autoSpaceDE w:val="0"/>
              <w:adjustRightInd w:val="0"/>
              <w:jc w:val="both"/>
              <w:rPr>
                <w:rFonts w:ascii="Arial" w:hAnsi="Arial" w:cs="Arial"/>
                <w:color w:val="000000"/>
                <w:kern w:val="1"/>
              </w:rPr>
            </w:pPr>
          </w:p>
          <w:p w14:paraId="30420085" w14:textId="77777777" w:rsidR="00650B48" w:rsidRPr="00A64175" w:rsidRDefault="00650B48" w:rsidP="00A64175">
            <w:pPr>
              <w:widowControl w:val="0"/>
              <w:autoSpaceDE w:val="0"/>
              <w:adjustRightInd w:val="0"/>
              <w:jc w:val="both"/>
              <w:rPr>
                <w:rFonts w:ascii="Arial" w:hAnsi="Arial" w:cs="Arial"/>
                <w:color w:val="000000"/>
                <w:kern w:val="1"/>
              </w:rPr>
            </w:pPr>
            <w:r w:rsidRPr="00A64175">
              <w:rPr>
                <w:rFonts w:ascii="Arial" w:hAnsi="Arial" w:cs="Arial"/>
                <w:color w:val="000000"/>
                <w:kern w:val="1"/>
              </w:rPr>
              <w:t>Le résultat de la consultation publique fait l’objet d’un communiqué publié sur le site internet de la COSUMAF, auquel est annexé l</w:t>
            </w:r>
            <w:r w:rsidR="00771721" w:rsidRPr="00A64175">
              <w:rPr>
                <w:rFonts w:ascii="Arial" w:hAnsi="Arial" w:cs="Arial"/>
                <w:color w:val="000000"/>
                <w:kern w:val="1"/>
              </w:rPr>
              <w:t>e procès-verbal visé au présent article</w:t>
            </w:r>
            <w:r w:rsidRPr="00A64175">
              <w:rPr>
                <w:rFonts w:ascii="Arial" w:hAnsi="Arial" w:cs="Arial"/>
                <w:color w:val="000000"/>
                <w:kern w:val="1"/>
              </w:rPr>
              <w:t>.</w:t>
            </w:r>
            <w:r w:rsidR="00771721" w:rsidRPr="00A64175">
              <w:rPr>
                <w:rFonts w:ascii="Arial" w:hAnsi="Arial" w:cs="Arial"/>
                <w:color w:val="000000"/>
                <w:kern w:val="1"/>
              </w:rPr>
              <w:t xml:space="preserve"> </w:t>
            </w:r>
          </w:p>
          <w:p w14:paraId="6D33699A" w14:textId="77777777" w:rsidR="00650B48" w:rsidRPr="00A64175" w:rsidRDefault="00650B48" w:rsidP="00A64175">
            <w:pPr>
              <w:widowControl w:val="0"/>
              <w:autoSpaceDE w:val="0"/>
              <w:adjustRightInd w:val="0"/>
              <w:jc w:val="both"/>
              <w:rPr>
                <w:rFonts w:ascii="Arial" w:hAnsi="Arial" w:cs="Arial"/>
                <w:color w:val="000000"/>
                <w:kern w:val="1"/>
              </w:rPr>
            </w:pPr>
          </w:p>
          <w:p w14:paraId="70559747" w14:textId="77777777" w:rsidR="00771721" w:rsidRPr="00A64175" w:rsidRDefault="00771721" w:rsidP="00A64175">
            <w:pPr>
              <w:widowControl w:val="0"/>
              <w:autoSpaceDE w:val="0"/>
              <w:adjustRightInd w:val="0"/>
              <w:jc w:val="both"/>
              <w:rPr>
                <w:rFonts w:ascii="Arial" w:hAnsi="Arial" w:cs="Arial"/>
                <w:color w:val="000000"/>
                <w:kern w:val="1"/>
              </w:rPr>
            </w:pPr>
          </w:p>
          <w:p w14:paraId="1CC09B01" w14:textId="77777777" w:rsidR="00A74262" w:rsidRPr="00A64175" w:rsidRDefault="00A74262" w:rsidP="00A64175">
            <w:pPr>
              <w:widowControl w:val="0"/>
              <w:autoSpaceDE w:val="0"/>
              <w:adjustRightInd w:val="0"/>
              <w:jc w:val="both"/>
              <w:rPr>
                <w:rFonts w:ascii="Arial" w:hAnsi="Arial" w:cs="Arial"/>
                <w:b/>
                <w:bCs/>
                <w:color w:val="000000"/>
              </w:rPr>
            </w:pPr>
          </w:p>
        </w:tc>
      </w:tr>
    </w:tbl>
    <w:p w14:paraId="27D6E1CD" w14:textId="3133917B" w:rsidR="00F85819" w:rsidRPr="00A64175" w:rsidRDefault="00F85819"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w:t>
      </w:r>
      <w:r w:rsidR="00A74262" w:rsidRPr="00A64175">
        <w:rPr>
          <w:rFonts w:ascii="Arial" w:hAnsi="Arial" w:cs="Arial"/>
          <w:b/>
          <w:bCs/>
          <w:color w:val="000000"/>
          <w:sz w:val="22"/>
          <w:szCs w:val="22"/>
        </w:rPr>
        <w:t xml:space="preserve"> I</w:t>
      </w:r>
      <w:r w:rsidR="00F12800" w:rsidRPr="00A64175">
        <w:rPr>
          <w:rFonts w:ascii="Arial" w:hAnsi="Arial" w:cs="Arial"/>
          <w:b/>
          <w:bCs/>
          <w:color w:val="000000"/>
          <w:sz w:val="22"/>
          <w:szCs w:val="22"/>
        </w:rPr>
        <w:t>I </w:t>
      </w:r>
      <w:r w:rsidR="003A370F" w:rsidRPr="00A64175">
        <w:rPr>
          <w:rFonts w:ascii="Arial" w:hAnsi="Arial" w:cs="Arial"/>
          <w:b/>
          <w:bCs/>
          <w:color w:val="000000"/>
          <w:sz w:val="22"/>
          <w:szCs w:val="22"/>
        </w:rPr>
        <w:t>–</w:t>
      </w:r>
      <w:r w:rsidRPr="00A64175">
        <w:rPr>
          <w:rFonts w:ascii="Arial" w:hAnsi="Arial" w:cs="Arial"/>
          <w:b/>
          <w:bCs/>
          <w:color w:val="000000"/>
          <w:sz w:val="22"/>
          <w:szCs w:val="22"/>
        </w:rPr>
        <w:t> HABILITATION ET DELIVRANCE DE CARTES PROFESSIONNELLES</w:t>
      </w:r>
    </w:p>
    <w:p w14:paraId="79A13456"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861B04B" w14:textId="77777777" w:rsidR="00F12800" w:rsidRPr="00A64175" w:rsidRDefault="00F12800" w:rsidP="00A64175">
      <w:pPr>
        <w:widowControl w:val="0"/>
        <w:autoSpaceDE w:val="0"/>
        <w:autoSpaceDN w:val="0"/>
        <w:adjustRightInd w:val="0"/>
        <w:jc w:val="both"/>
        <w:rPr>
          <w:rFonts w:ascii="Arial" w:hAnsi="Arial" w:cs="Arial"/>
          <w:color w:val="000000"/>
          <w:kern w:val="1"/>
          <w:sz w:val="22"/>
          <w:szCs w:val="22"/>
        </w:rPr>
      </w:pPr>
    </w:p>
    <w:p w14:paraId="16B4FA33" w14:textId="77777777" w:rsidR="00F85819" w:rsidRPr="00A64175" w:rsidRDefault="00F85819" w:rsidP="00A64175">
      <w:pPr>
        <w:widowControl w:val="0"/>
        <w:autoSpaceDE w:val="0"/>
        <w:autoSpaceDN w:val="0"/>
        <w:adjustRightInd w:val="0"/>
        <w:jc w:val="both"/>
        <w:rPr>
          <w:rFonts w:ascii="Arial" w:hAnsi="Arial" w:cs="Arial"/>
          <w:b/>
          <w:color w:val="000000"/>
          <w:kern w:val="1"/>
          <w:sz w:val="22"/>
          <w:szCs w:val="22"/>
        </w:rPr>
      </w:pPr>
      <w:r w:rsidRPr="00A64175">
        <w:rPr>
          <w:rFonts w:ascii="Arial" w:hAnsi="Arial" w:cs="Arial"/>
          <w:b/>
          <w:color w:val="000000"/>
          <w:kern w:val="1"/>
          <w:sz w:val="22"/>
          <w:szCs w:val="22"/>
        </w:rPr>
        <w:t>Section I : Conditions d’habilitation</w:t>
      </w:r>
    </w:p>
    <w:p w14:paraId="37EF3EE9"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04D35F3" w14:textId="77777777" w:rsidR="00F12800" w:rsidRPr="00A64175" w:rsidRDefault="00F12800" w:rsidP="00A64175">
      <w:pPr>
        <w:widowControl w:val="0"/>
        <w:autoSpaceDE w:val="0"/>
        <w:autoSpaceDN w:val="0"/>
        <w:adjustRightInd w:val="0"/>
        <w:jc w:val="both"/>
        <w:rPr>
          <w:rFonts w:ascii="Arial" w:hAnsi="Arial" w:cs="Arial"/>
          <w:color w:val="000000"/>
          <w:kern w:val="1"/>
          <w:sz w:val="22"/>
          <w:szCs w:val="22"/>
        </w:rPr>
      </w:pPr>
    </w:p>
    <w:p w14:paraId="5D1BAC27" w14:textId="1B0C231F" w:rsidR="00F85819" w:rsidRPr="00A64175" w:rsidRDefault="001C191B"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10</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F85819" w:rsidRPr="00A64175">
        <w:rPr>
          <w:rFonts w:ascii="Arial" w:hAnsi="Arial" w:cs="Arial"/>
          <w:color w:val="000000"/>
          <w:sz w:val="22"/>
          <w:szCs w:val="22"/>
        </w:rPr>
        <w:t xml:space="preserve">La COSUMAF habilite les personnes physiques exerçant certaines fonctions au sein des structures et organismes soumis à son contrôle et visés à l’article </w:t>
      </w:r>
      <w:r w:rsidR="004B6F4B" w:rsidRPr="00A64175">
        <w:rPr>
          <w:rFonts w:ascii="Arial" w:hAnsi="Arial" w:cs="Arial"/>
          <w:color w:val="000000"/>
          <w:sz w:val="22"/>
          <w:szCs w:val="22"/>
        </w:rPr>
        <w:t>1</w:t>
      </w:r>
      <w:r w:rsidR="00F7706E" w:rsidRPr="00A64175">
        <w:rPr>
          <w:rFonts w:ascii="Arial" w:hAnsi="Arial" w:cs="Arial"/>
          <w:color w:val="000000"/>
          <w:sz w:val="22"/>
          <w:szCs w:val="22"/>
        </w:rPr>
        <w:t>9</w:t>
      </w:r>
      <w:r w:rsidR="00F85819" w:rsidRPr="00A64175">
        <w:rPr>
          <w:rFonts w:ascii="Arial" w:hAnsi="Arial" w:cs="Arial"/>
          <w:color w:val="000000"/>
          <w:sz w:val="22"/>
          <w:szCs w:val="22"/>
        </w:rPr>
        <w:t xml:space="preserve"> du Règlement </w:t>
      </w:r>
      <w:r w:rsidR="0019735F" w:rsidRPr="00A64175">
        <w:rPr>
          <w:rFonts w:ascii="Arial" w:hAnsi="Arial" w:cs="Arial"/>
          <w:color w:val="000000"/>
          <w:sz w:val="22"/>
          <w:szCs w:val="22"/>
        </w:rPr>
        <w:t>n°</w:t>
      </w:r>
      <w:r w:rsidR="00F7706E" w:rsidRPr="00A64175">
        <w:rPr>
          <w:rFonts w:ascii="Arial" w:hAnsi="Arial" w:cs="Arial"/>
          <w:color w:val="000000"/>
          <w:sz w:val="22"/>
          <w:szCs w:val="22"/>
        </w:rPr>
        <w:t>01/22/CEMAC/UMAC/CM/COSUMAF du 21 juillet 2022</w:t>
      </w:r>
      <w:r w:rsidR="00F85819" w:rsidRPr="00A64175">
        <w:rPr>
          <w:rFonts w:ascii="Arial" w:hAnsi="Arial" w:cs="Arial"/>
          <w:color w:val="000000"/>
          <w:sz w:val="22"/>
          <w:szCs w:val="22"/>
        </w:rPr>
        <w:t>.</w:t>
      </w:r>
    </w:p>
    <w:p w14:paraId="09A83E32"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1666B878" w14:textId="3ECFD9B2"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En vue de leur habilitation, les personnes</w:t>
      </w:r>
      <w:r w:rsidR="00281904" w:rsidRPr="00A64175">
        <w:rPr>
          <w:rFonts w:ascii="Arial" w:hAnsi="Arial" w:cs="Arial"/>
          <w:color w:val="000000"/>
          <w:kern w:val="1"/>
          <w:sz w:val="22"/>
          <w:szCs w:val="22"/>
        </w:rPr>
        <w:t xml:space="preserve"> physiques</w:t>
      </w:r>
      <w:r w:rsidRPr="00A64175">
        <w:rPr>
          <w:rFonts w:ascii="Arial" w:hAnsi="Arial" w:cs="Arial"/>
          <w:color w:val="000000"/>
          <w:kern w:val="1"/>
          <w:sz w:val="22"/>
          <w:szCs w:val="22"/>
        </w:rPr>
        <w:t xml:space="preserve"> visées au premier alinéa du présent</w:t>
      </w:r>
      <w:r w:rsidR="00281904" w:rsidRPr="00A64175">
        <w:rPr>
          <w:rFonts w:ascii="Arial" w:hAnsi="Arial" w:cs="Arial"/>
          <w:color w:val="000000"/>
          <w:kern w:val="1"/>
          <w:sz w:val="22"/>
          <w:szCs w:val="22"/>
        </w:rPr>
        <w:t xml:space="preserve"> article doivent justifier d’un niveau de formation adéquat</w:t>
      </w:r>
      <w:r w:rsidRPr="00A64175">
        <w:rPr>
          <w:rFonts w:ascii="Arial" w:hAnsi="Arial" w:cs="Arial"/>
          <w:color w:val="000000"/>
          <w:kern w:val="1"/>
          <w:sz w:val="22"/>
          <w:szCs w:val="22"/>
        </w:rPr>
        <w:t xml:space="preserve"> et se soumettre à un examen.</w:t>
      </w:r>
    </w:p>
    <w:p w14:paraId="7DBF7ED3"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6715D70"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La décision d’hab</w:t>
      </w:r>
      <w:r w:rsidR="00416CE5" w:rsidRPr="00A64175">
        <w:rPr>
          <w:rFonts w:ascii="Arial" w:hAnsi="Arial" w:cs="Arial"/>
          <w:color w:val="000000"/>
          <w:kern w:val="1"/>
          <w:sz w:val="22"/>
          <w:szCs w:val="22"/>
        </w:rPr>
        <w:t>ilitation est prononcée par le P</w:t>
      </w:r>
      <w:r w:rsidRPr="00A64175">
        <w:rPr>
          <w:rFonts w:ascii="Arial" w:hAnsi="Arial" w:cs="Arial"/>
          <w:color w:val="000000"/>
          <w:kern w:val="1"/>
          <w:sz w:val="22"/>
          <w:szCs w:val="22"/>
        </w:rPr>
        <w:t xml:space="preserve">résident de la COSUMAF à l’issue </w:t>
      </w:r>
      <w:r w:rsidR="00D26882" w:rsidRPr="00A64175">
        <w:rPr>
          <w:rFonts w:ascii="Arial" w:hAnsi="Arial" w:cs="Arial"/>
          <w:color w:val="000000"/>
          <w:kern w:val="1"/>
          <w:sz w:val="22"/>
          <w:szCs w:val="22"/>
        </w:rPr>
        <w:t>de l’examen visé à l’alinéa 2</w:t>
      </w:r>
      <w:r w:rsidRPr="00A64175">
        <w:rPr>
          <w:rFonts w:ascii="Arial" w:hAnsi="Arial" w:cs="Arial"/>
          <w:color w:val="000000"/>
          <w:kern w:val="1"/>
          <w:sz w:val="22"/>
          <w:szCs w:val="22"/>
        </w:rPr>
        <w:t xml:space="preserve"> du présent article. Cette décision précise les fonctions pour lesquelles l’habilitation est octroyée.</w:t>
      </w:r>
    </w:p>
    <w:p w14:paraId="361A6409"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D7C78A6"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L’habilitation octroyée donne lieu à la délivrance immédiate d’une carte professionnelle.</w:t>
      </w:r>
    </w:p>
    <w:p w14:paraId="1B2D47CE"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129533E1" w14:textId="3BAC17E8" w:rsidR="00281904" w:rsidRPr="00216BED" w:rsidRDefault="001C191B"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11</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F85819" w:rsidRPr="00216BED">
        <w:rPr>
          <w:rFonts w:ascii="Arial" w:hAnsi="Arial" w:cs="Arial"/>
          <w:color w:val="000000"/>
          <w:sz w:val="22"/>
          <w:szCs w:val="22"/>
        </w:rPr>
        <w:t>Les fonctions dont l’exercice requiert la détention d’une carte professionnelle sont celles caractérisées par</w:t>
      </w:r>
      <w:r w:rsidR="00281904" w:rsidRPr="00216BED">
        <w:rPr>
          <w:rFonts w:ascii="Arial" w:hAnsi="Arial" w:cs="Arial"/>
          <w:color w:val="000000"/>
          <w:sz w:val="22"/>
          <w:szCs w:val="22"/>
        </w:rPr>
        <w:t> :</w:t>
      </w:r>
    </w:p>
    <w:p w14:paraId="16432C15" w14:textId="34BF0617" w:rsidR="00281904" w:rsidRPr="00216BED" w:rsidRDefault="00281904" w:rsidP="00A64175">
      <w:pPr>
        <w:pStyle w:val="Paragraphedeliste"/>
        <w:widowControl w:val="0"/>
        <w:numPr>
          <w:ilvl w:val="0"/>
          <w:numId w:val="2"/>
        </w:numPr>
        <w:autoSpaceDE w:val="0"/>
        <w:adjustRightInd w:val="0"/>
        <w:spacing w:before="0" w:beforeAutospacing="0" w:afterAutospacing="0"/>
        <w:rPr>
          <w:color w:val="000000"/>
          <w:sz w:val="22"/>
          <w:szCs w:val="22"/>
        </w:rPr>
      </w:pPr>
      <w:r w:rsidRPr="00216BED">
        <w:rPr>
          <w:color w:val="000000"/>
          <w:sz w:val="22"/>
          <w:szCs w:val="22"/>
        </w:rPr>
        <w:t>des conseils donnés aux investisseurs ; </w:t>
      </w:r>
    </w:p>
    <w:p w14:paraId="290C1D61" w14:textId="0836801F" w:rsidR="00281904" w:rsidRPr="00216BED" w:rsidRDefault="00281904" w:rsidP="00A64175">
      <w:pPr>
        <w:pStyle w:val="Paragraphedeliste"/>
        <w:widowControl w:val="0"/>
        <w:numPr>
          <w:ilvl w:val="0"/>
          <w:numId w:val="2"/>
        </w:numPr>
        <w:autoSpaceDE w:val="0"/>
        <w:adjustRightInd w:val="0"/>
        <w:spacing w:before="0" w:beforeAutospacing="0" w:afterAutospacing="0"/>
        <w:rPr>
          <w:color w:val="000000"/>
          <w:sz w:val="22"/>
          <w:szCs w:val="22"/>
        </w:rPr>
      </w:pPr>
      <w:r w:rsidRPr="00216BED">
        <w:rPr>
          <w:color w:val="000000"/>
          <w:sz w:val="22"/>
          <w:szCs w:val="22"/>
        </w:rPr>
        <w:t>des communications transmises au public ;</w:t>
      </w:r>
    </w:p>
    <w:p w14:paraId="50CFC94F" w14:textId="533CF37C" w:rsidR="00281904" w:rsidRPr="00216BED" w:rsidRDefault="00BD6EC8" w:rsidP="00A64175">
      <w:pPr>
        <w:pStyle w:val="Paragraphedeliste"/>
        <w:widowControl w:val="0"/>
        <w:numPr>
          <w:ilvl w:val="0"/>
          <w:numId w:val="2"/>
        </w:numPr>
        <w:autoSpaceDE w:val="0"/>
        <w:adjustRightInd w:val="0"/>
        <w:spacing w:before="0" w:beforeAutospacing="0" w:afterAutospacing="0"/>
        <w:rPr>
          <w:color w:val="000000"/>
          <w:sz w:val="22"/>
          <w:szCs w:val="22"/>
        </w:rPr>
      </w:pPr>
      <w:r w:rsidRPr="00216BED">
        <w:rPr>
          <w:color w:val="000000"/>
          <w:sz w:val="22"/>
          <w:szCs w:val="22"/>
        </w:rPr>
        <w:t>d</w:t>
      </w:r>
      <w:r w:rsidR="00281904" w:rsidRPr="00216BED">
        <w:rPr>
          <w:color w:val="000000"/>
          <w:sz w:val="22"/>
          <w:szCs w:val="22"/>
        </w:rPr>
        <w:t xml:space="preserve">es conseils donnés aux émetteurs ; </w:t>
      </w:r>
    </w:p>
    <w:p w14:paraId="4E6AC8F2" w14:textId="45EAC5C0" w:rsidR="00281904" w:rsidRPr="00216BED" w:rsidRDefault="00BD6EC8" w:rsidP="00A64175">
      <w:pPr>
        <w:pStyle w:val="Paragraphedeliste"/>
        <w:widowControl w:val="0"/>
        <w:numPr>
          <w:ilvl w:val="0"/>
          <w:numId w:val="2"/>
        </w:numPr>
        <w:autoSpaceDE w:val="0"/>
        <w:adjustRightInd w:val="0"/>
        <w:spacing w:before="0" w:beforeAutospacing="0" w:afterAutospacing="0"/>
        <w:rPr>
          <w:color w:val="000000"/>
          <w:sz w:val="22"/>
          <w:szCs w:val="22"/>
        </w:rPr>
      </w:pPr>
      <w:r w:rsidRPr="00216BED">
        <w:rPr>
          <w:color w:val="000000"/>
          <w:sz w:val="22"/>
          <w:szCs w:val="22"/>
        </w:rPr>
        <w:t>l</w:t>
      </w:r>
      <w:r w:rsidR="00281904" w:rsidRPr="00216BED">
        <w:rPr>
          <w:color w:val="000000"/>
          <w:sz w:val="22"/>
          <w:szCs w:val="22"/>
        </w:rPr>
        <w:t xml:space="preserve">a prise d’engagements pour le compte d’une structure ou d’un organisme soumis au contrôle de la COSUMAF ; </w:t>
      </w:r>
    </w:p>
    <w:p w14:paraId="51C651BF" w14:textId="541DE93C" w:rsidR="00AF499D" w:rsidRPr="00C21CF0" w:rsidRDefault="00281904" w:rsidP="00480280">
      <w:pPr>
        <w:ind w:left="360"/>
        <w:rPr>
          <w:rFonts w:ascii="Arial" w:hAnsi="Arial" w:cs="Arial"/>
          <w:color w:val="000000"/>
          <w:sz w:val="22"/>
          <w:szCs w:val="22"/>
        </w:rPr>
      </w:pPr>
      <w:r w:rsidRPr="00C21CF0">
        <w:rPr>
          <w:rFonts w:ascii="Arial" w:hAnsi="Arial" w:cs="Arial"/>
          <w:color w:val="000000"/>
          <w:sz w:val="22"/>
          <w:szCs w:val="22"/>
        </w:rPr>
        <w:t>La responsabilité de la conformité et du contrôle interne ou de la gestion de risques.</w:t>
      </w:r>
    </w:p>
    <w:p w14:paraId="1FD3307D" w14:textId="77777777" w:rsidR="00216BED" w:rsidRPr="00C21CF0" w:rsidRDefault="00216BED" w:rsidP="00480280">
      <w:pPr>
        <w:ind w:left="360"/>
        <w:rPr>
          <w:rFonts w:ascii="Arial" w:hAnsi="Arial" w:cs="Arial"/>
        </w:rPr>
      </w:pPr>
    </w:p>
    <w:p w14:paraId="5C4B7D88" w14:textId="1A89875A" w:rsidR="00AF499D" w:rsidRPr="008D4E42" w:rsidRDefault="00AF499D" w:rsidP="00A64175">
      <w:pPr>
        <w:widowControl w:val="0"/>
        <w:autoSpaceDE w:val="0"/>
        <w:adjustRightInd w:val="0"/>
        <w:jc w:val="both"/>
        <w:rPr>
          <w:rFonts w:ascii="Arial" w:hAnsi="Arial" w:cs="Arial"/>
          <w:color w:val="000000"/>
          <w:sz w:val="22"/>
          <w:szCs w:val="22"/>
        </w:rPr>
      </w:pPr>
      <w:r w:rsidRPr="00216BED">
        <w:rPr>
          <w:rFonts w:ascii="Arial" w:hAnsi="Arial" w:cs="Arial"/>
          <w:b/>
          <w:bCs/>
          <w:color w:val="000000"/>
          <w:sz w:val="22"/>
          <w:szCs w:val="22"/>
        </w:rPr>
        <w:t xml:space="preserve">Article </w:t>
      </w:r>
      <w:r w:rsidR="007B038E" w:rsidRPr="008800A4">
        <w:rPr>
          <w:rFonts w:ascii="Arial" w:hAnsi="Arial" w:cs="Arial"/>
          <w:b/>
          <w:bCs/>
          <w:color w:val="000000"/>
          <w:sz w:val="22"/>
          <w:szCs w:val="22"/>
        </w:rPr>
        <w:t>12</w:t>
      </w:r>
      <w:r w:rsidRPr="008800A4">
        <w:rPr>
          <w:rFonts w:ascii="Arial" w:hAnsi="Arial" w:cs="Arial"/>
          <w:b/>
          <w:bCs/>
          <w:color w:val="000000"/>
          <w:sz w:val="22"/>
          <w:szCs w:val="22"/>
        </w:rPr>
        <w:t xml:space="preserve">. </w:t>
      </w:r>
      <w:r w:rsidRPr="008800A4">
        <w:rPr>
          <w:rFonts w:ascii="Arial" w:hAnsi="Arial" w:cs="Arial"/>
          <w:color w:val="000000"/>
          <w:kern w:val="1"/>
          <w:sz w:val="22"/>
          <w:szCs w:val="22"/>
        </w:rPr>
        <w:t xml:space="preserve">– </w:t>
      </w:r>
      <w:r w:rsidRPr="008800A4">
        <w:rPr>
          <w:rFonts w:ascii="Arial" w:hAnsi="Arial" w:cs="Arial"/>
          <w:color w:val="000000"/>
          <w:sz w:val="22"/>
          <w:szCs w:val="22"/>
        </w:rPr>
        <w:t xml:space="preserve">Les fonctions soumises à habilitation et dont l’exercice requiert la détention d’une carte professionnelle sont </w:t>
      </w:r>
      <w:r w:rsidRPr="008D4E42">
        <w:rPr>
          <w:rFonts w:ascii="Arial" w:hAnsi="Arial" w:cs="Arial"/>
          <w:color w:val="000000"/>
          <w:sz w:val="22"/>
          <w:szCs w:val="22"/>
        </w:rPr>
        <w:t>notamment les suivantes :</w:t>
      </w:r>
    </w:p>
    <w:p w14:paraId="732445C0" w14:textId="77777777" w:rsidR="00AF499D" w:rsidRPr="00B538D7" w:rsidRDefault="00AF499D" w:rsidP="00A64175">
      <w:pPr>
        <w:widowControl w:val="0"/>
        <w:autoSpaceDE w:val="0"/>
        <w:adjustRightInd w:val="0"/>
        <w:jc w:val="both"/>
        <w:rPr>
          <w:rFonts w:ascii="Arial" w:hAnsi="Arial" w:cs="Arial"/>
          <w:color w:val="000000"/>
          <w:sz w:val="22"/>
          <w:szCs w:val="22"/>
        </w:rPr>
      </w:pPr>
    </w:p>
    <w:p w14:paraId="5194D381" w14:textId="7F575993" w:rsidR="00AF499D" w:rsidRPr="00C21CF0" w:rsidRDefault="00AF499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Contrôleur interne et conformité ;</w:t>
      </w:r>
    </w:p>
    <w:p w14:paraId="35A504A6" w14:textId="50FCEB64" w:rsidR="00AF499D" w:rsidRPr="00C21CF0" w:rsidRDefault="00AF499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Négociateur d’instruments financiers pour compte propre et pour compte de tiers ;</w:t>
      </w:r>
    </w:p>
    <w:p w14:paraId="11DF2BBB" w14:textId="3970B29F" w:rsidR="00AF499D" w:rsidRPr="00C21CF0" w:rsidRDefault="00AF499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Conseiller en investissement financier ;</w:t>
      </w:r>
    </w:p>
    <w:p w14:paraId="338161F1" w14:textId="343B37AA" w:rsidR="00AF499D" w:rsidRPr="00C21CF0" w:rsidRDefault="00AF499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Analyste financier ;</w:t>
      </w:r>
    </w:p>
    <w:p w14:paraId="5ED34B99" w14:textId="3A52AACD" w:rsidR="00AF499D" w:rsidRPr="00C21CF0" w:rsidRDefault="00AF499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Gérant de portefeuille d’instruments financiers ;</w:t>
      </w:r>
    </w:p>
    <w:p w14:paraId="2879B54B" w14:textId="198F1A70" w:rsidR="00AF499D" w:rsidRPr="00C21CF0" w:rsidRDefault="0038188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Responsable back office ou post-marché ;</w:t>
      </w:r>
    </w:p>
    <w:p w14:paraId="48CD28FC" w14:textId="7A2CD17F" w:rsidR="00F85819" w:rsidRPr="008E379E" w:rsidRDefault="0038188D" w:rsidP="00A64175">
      <w:pPr>
        <w:pStyle w:val="Paragraphedeliste"/>
        <w:widowControl w:val="0"/>
        <w:numPr>
          <w:ilvl w:val="0"/>
          <w:numId w:val="2"/>
        </w:numPr>
        <w:autoSpaceDE w:val="0"/>
        <w:adjustRightInd w:val="0"/>
        <w:rPr>
          <w:color w:val="000000"/>
          <w:sz w:val="22"/>
          <w:szCs w:val="22"/>
        </w:rPr>
      </w:pPr>
      <w:r w:rsidRPr="00C21CF0">
        <w:rPr>
          <w:color w:val="000000"/>
          <w:sz w:val="22"/>
          <w:szCs w:val="22"/>
        </w:rPr>
        <w:t>Responsable de la fonction dépositaire</w:t>
      </w:r>
      <w:r w:rsidR="009E791D" w:rsidRPr="00C21CF0">
        <w:rPr>
          <w:color w:val="000000"/>
          <w:sz w:val="22"/>
          <w:szCs w:val="22"/>
        </w:rPr>
        <w:t xml:space="preserve"> au sein des structures exerçant l’activité de dépositaire</w:t>
      </w:r>
      <w:r w:rsidRPr="00C21CF0">
        <w:rPr>
          <w:color w:val="000000"/>
          <w:sz w:val="22"/>
          <w:szCs w:val="22"/>
        </w:rPr>
        <w:t xml:space="preserve"> d’organismes de placement collectif.</w:t>
      </w:r>
    </w:p>
    <w:p w14:paraId="388B31E3" w14:textId="77777777" w:rsidR="00154C52" w:rsidRPr="00A64175" w:rsidRDefault="00154C52" w:rsidP="00A64175">
      <w:pPr>
        <w:widowControl w:val="0"/>
        <w:autoSpaceDE w:val="0"/>
        <w:adjustRightInd w:val="0"/>
        <w:contextualSpacing/>
        <w:jc w:val="both"/>
        <w:rPr>
          <w:rFonts w:ascii="Arial" w:hAnsi="Arial" w:cs="Arial"/>
          <w:color w:val="000000"/>
          <w:sz w:val="22"/>
          <w:szCs w:val="22"/>
        </w:rPr>
      </w:pPr>
    </w:p>
    <w:p w14:paraId="3B911B93" w14:textId="1B3A8571" w:rsidR="00F85819"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13</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F85819" w:rsidRPr="00A64175">
        <w:rPr>
          <w:rFonts w:ascii="Arial" w:hAnsi="Arial" w:cs="Arial"/>
          <w:color w:val="000000"/>
          <w:sz w:val="22"/>
          <w:szCs w:val="22"/>
        </w:rPr>
        <w:t xml:space="preserve">Les </w:t>
      </w:r>
      <w:r w:rsidR="00B14CC9" w:rsidRPr="00A64175">
        <w:rPr>
          <w:rFonts w:ascii="Arial" w:hAnsi="Arial" w:cs="Arial"/>
          <w:color w:val="000000"/>
          <w:sz w:val="22"/>
          <w:szCs w:val="22"/>
        </w:rPr>
        <w:t xml:space="preserve">personnes, </w:t>
      </w:r>
      <w:r w:rsidR="00F85819" w:rsidRPr="00A64175">
        <w:rPr>
          <w:rFonts w:ascii="Arial" w:hAnsi="Arial" w:cs="Arial"/>
          <w:color w:val="000000"/>
          <w:sz w:val="22"/>
          <w:szCs w:val="22"/>
        </w:rPr>
        <w:t>structures et organismes soumis au contrôle de la COSUMAF  s’assure</w:t>
      </w:r>
      <w:r w:rsidR="001D12E2" w:rsidRPr="00A64175">
        <w:rPr>
          <w:rFonts w:ascii="Arial" w:hAnsi="Arial" w:cs="Arial"/>
          <w:color w:val="000000"/>
          <w:sz w:val="22"/>
          <w:szCs w:val="22"/>
        </w:rPr>
        <w:t>nt</w:t>
      </w:r>
      <w:r w:rsidR="00F85819" w:rsidRPr="00A64175">
        <w:rPr>
          <w:rFonts w:ascii="Arial" w:hAnsi="Arial" w:cs="Arial"/>
          <w:color w:val="000000"/>
          <w:sz w:val="22"/>
          <w:szCs w:val="22"/>
        </w:rPr>
        <w:t xml:space="preserve"> que les personnes physiques placées sous leur responsabilité ou agissant pour leur compte disposent d’une qualification minimale ainsi que d’un niveau de connaissances suffisant</w:t>
      </w:r>
      <w:r w:rsidR="00BD6EC8" w:rsidRPr="00A64175">
        <w:rPr>
          <w:rFonts w:ascii="Arial" w:hAnsi="Arial" w:cs="Arial"/>
          <w:color w:val="000000"/>
          <w:sz w:val="22"/>
          <w:szCs w:val="22"/>
        </w:rPr>
        <w:t xml:space="preserve"> pour exercer les fonctions qui leur sont confiées</w:t>
      </w:r>
      <w:r w:rsidR="00F85819" w:rsidRPr="00A64175">
        <w:rPr>
          <w:rFonts w:ascii="Arial" w:hAnsi="Arial" w:cs="Arial"/>
          <w:color w:val="000000"/>
          <w:sz w:val="22"/>
          <w:szCs w:val="22"/>
        </w:rPr>
        <w:t xml:space="preserve">. A cet effet, les </w:t>
      </w:r>
      <w:r w:rsidR="00B14CC9" w:rsidRPr="00A64175">
        <w:rPr>
          <w:rFonts w:ascii="Arial" w:hAnsi="Arial" w:cs="Arial"/>
          <w:color w:val="000000"/>
          <w:sz w:val="22"/>
          <w:szCs w:val="22"/>
        </w:rPr>
        <w:t xml:space="preserve">personnes, </w:t>
      </w:r>
      <w:r w:rsidR="00F85819" w:rsidRPr="00A64175">
        <w:rPr>
          <w:rFonts w:ascii="Arial" w:hAnsi="Arial" w:cs="Arial"/>
          <w:color w:val="000000"/>
          <w:sz w:val="22"/>
          <w:szCs w:val="22"/>
        </w:rPr>
        <w:t>structures et organismes concernés adoptent les mesures et procédures nécessaires et procèdent, au moins une fois par an, à la vérification des aptitudes et du niveau des connaissances.</w:t>
      </w:r>
    </w:p>
    <w:p w14:paraId="27039429" w14:textId="77777777" w:rsidR="00F85819" w:rsidRPr="00A64175" w:rsidRDefault="00F85819" w:rsidP="00A64175">
      <w:pPr>
        <w:widowControl w:val="0"/>
        <w:autoSpaceDE w:val="0"/>
        <w:autoSpaceDN w:val="0"/>
        <w:adjustRightInd w:val="0"/>
        <w:jc w:val="both"/>
        <w:rPr>
          <w:rFonts w:ascii="Arial" w:hAnsi="Arial" w:cs="Arial"/>
          <w:color w:val="000000"/>
          <w:sz w:val="22"/>
          <w:szCs w:val="22"/>
        </w:rPr>
      </w:pPr>
    </w:p>
    <w:p w14:paraId="4F57B924" w14:textId="190F57EF"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 xml:space="preserve">Les </w:t>
      </w:r>
      <w:r w:rsidR="00B14CC9" w:rsidRPr="00A64175">
        <w:rPr>
          <w:rFonts w:ascii="Arial" w:hAnsi="Arial" w:cs="Arial"/>
          <w:color w:val="000000"/>
          <w:sz w:val="22"/>
          <w:szCs w:val="22"/>
        </w:rPr>
        <w:t xml:space="preserve">personnes, </w:t>
      </w:r>
      <w:r w:rsidRPr="00A64175">
        <w:rPr>
          <w:rFonts w:ascii="Arial" w:hAnsi="Arial" w:cs="Arial"/>
          <w:color w:val="000000"/>
          <w:sz w:val="22"/>
          <w:szCs w:val="22"/>
        </w:rPr>
        <w:t>structures et organismes soumis au contrôle de la COSUMAF s’assurent  que les personnes physiques placées sous leur responsabilité ou agissant pour leur compte, acquièrent</w:t>
      </w:r>
      <w:r w:rsidR="00507072" w:rsidRPr="00A64175">
        <w:rPr>
          <w:rFonts w:ascii="Arial" w:hAnsi="Arial" w:cs="Arial"/>
          <w:color w:val="000000"/>
          <w:sz w:val="22"/>
          <w:szCs w:val="22"/>
        </w:rPr>
        <w:t xml:space="preserve"> l’habilitation de la COSUMAF</w:t>
      </w:r>
      <w:r w:rsidRPr="00A64175">
        <w:rPr>
          <w:rFonts w:ascii="Arial" w:hAnsi="Arial" w:cs="Arial"/>
          <w:color w:val="000000"/>
          <w:sz w:val="22"/>
          <w:szCs w:val="22"/>
        </w:rPr>
        <w:t xml:space="preserve"> dans un délai de six (6) mois à compter </w:t>
      </w:r>
      <w:r w:rsidR="0042368E" w:rsidRPr="00A64175">
        <w:rPr>
          <w:rFonts w:ascii="Arial" w:hAnsi="Arial" w:cs="Arial"/>
          <w:color w:val="000000"/>
          <w:sz w:val="22"/>
          <w:szCs w:val="22"/>
        </w:rPr>
        <w:t>de leur entrée en</w:t>
      </w:r>
      <w:r w:rsidRPr="00A64175">
        <w:rPr>
          <w:rFonts w:ascii="Arial" w:hAnsi="Arial" w:cs="Arial"/>
          <w:color w:val="000000"/>
          <w:sz w:val="22"/>
          <w:szCs w:val="22"/>
        </w:rPr>
        <w:t xml:space="preserve"> fonctions.</w:t>
      </w:r>
    </w:p>
    <w:p w14:paraId="73668885"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F904C7B" w14:textId="6F2D3E20"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8D44A5" w:rsidRPr="00A64175">
        <w:rPr>
          <w:rFonts w:ascii="Arial" w:hAnsi="Arial" w:cs="Arial"/>
          <w:b/>
          <w:bCs/>
          <w:color w:val="000000"/>
          <w:sz w:val="22"/>
          <w:szCs w:val="22"/>
        </w:rPr>
        <w:t>1</w:t>
      </w:r>
      <w:r w:rsidR="00A41766" w:rsidRPr="00A64175">
        <w:rPr>
          <w:rFonts w:ascii="Arial" w:hAnsi="Arial" w:cs="Arial"/>
          <w:b/>
          <w:bCs/>
          <w:color w:val="000000"/>
          <w:sz w:val="22"/>
          <w:szCs w:val="22"/>
        </w:rPr>
        <w:t>4</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606057">
        <w:rPr>
          <w:rFonts w:ascii="Arial" w:hAnsi="Arial" w:cs="Arial"/>
          <w:color w:val="000000"/>
          <w:kern w:val="1"/>
          <w:sz w:val="22"/>
          <w:szCs w:val="22"/>
        </w:rPr>
        <w:t>La</w:t>
      </w:r>
      <w:r w:rsidRPr="00A64175">
        <w:rPr>
          <w:rFonts w:ascii="Arial" w:hAnsi="Arial" w:cs="Arial"/>
          <w:color w:val="000000"/>
          <w:kern w:val="1"/>
          <w:sz w:val="22"/>
          <w:szCs w:val="22"/>
        </w:rPr>
        <w:t xml:space="preserve"> délivrance de cartes professionnelles donne lieu au </w:t>
      </w:r>
      <w:r w:rsidR="00507072" w:rsidRPr="00A64175">
        <w:rPr>
          <w:rFonts w:ascii="Arial" w:hAnsi="Arial" w:cs="Arial"/>
          <w:color w:val="000000"/>
          <w:kern w:val="1"/>
          <w:sz w:val="22"/>
          <w:szCs w:val="22"/>
        </w:rPr>
        <w:t xml:space="preserve">versement d’une somme </w:t>
      </w:r>
      <w:r w:rsidR="00606057">
        <w:rPr>
          <w:rFonts w:ascii="Arial" w:hAnsi="Arial" w:cs="Arial"/>
          <w:color w:val="000000"/>
          <w:kern w:val="1"/>
          <w:sz w:val="22"/>
          <w:szCs w:val="22"/>
        </w:rPr>
        <w:t>fixée par une instruction</w:t>
      </w:r>
      <w:r w:rsidRPr="00A64175">
        <w:rPr>
          <w:rFonts w:ascii="Arial" w:hAnsi="Arial" w:cs="Arial"/>
          <w:color w:val="000000"/>
          <w:kern w:val="1"/>
          <w:sz w:val="22"/>
          <w:szCs w:val="22"/>
        </w:rPr>
        <w:t xml:space="preserve"> de la COSUMAF.</w:t>
      </w:r>
    </w:p>
    <w:p w14:paraId="1DD2CF65"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B6B1ED2"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178A42EC" w14:textId="77777777" w:rsidR="00F85819" w:rsidRPr="00A64175" w:rsidRDefault="00F85819" w:rsidP="00A64175">
      <w:pPr>
        <w:widowControl w:val="0"/>
        <w:autoSpaceDE w:val="0"/>
        <w:autoSpaceDN w:val="0"/>
        <w:adjustRightInd w:val="0"/>
        <w:jc w:val="both"/>
        <w:rPr>
          <w:rFonts w:ascii="Arial" w:hAnsi="Arial" w:cs="Arial"/>
          <w:b/>
          <w:color w:val="000000"/>
          <w:kern w:val="1"/>
          <w:sz w:val="22"/>
          <w:szCs w:val="22"/>
        </w:rPr>
      </w:pPr>
      <w:r w:rsidRPr="00A64175">
        <w:rPr>
          <w:rFonts w:ascii="Arial" w:hAnsi="Arial" w:cs="Arial"/>
          <w:b/>
          <w:color w:val="000000"/>
          <w:kern w:val="1"/>
          <w:sz w:val="22"/>
          <w:szCs w:val="22"/>
        </w:rPr>
        <w:t xml:space="preserve">Section </w:t>
      </w:r>
      <w:r w:rsidR="00092A6F" w:rsidRPr="00A64175">
        <w:rPr>
          <w:rFonts w:ascii="Arial" w:hAnsi="Arial" w:cs="Arial"/>
          <w:b/>
          <w:color w:val="000000"/>
          <w:kern w:val="1"/>
          <w:sz w:val="22"/>
          <w:szCs w:val="22"/>
        </w:rPr>
        <w:t>II</w:t>
      </w:r>
      <w:r w:rsidRPr="00A64175">
        <w:rPr>
          <w:rFonts w:ascii="Arial" w:hAnsi="Arial" w:cs="Arial"/>
          <w:b/>
          <w:color w:val="000000"/>
          <w:kern w:val="1"/>
          <w:sz w:val="22"/>
          <w:szCs w:val="22"/>
        </w:rPr>
        <w:t> : Examen d’habilitation</w:t>
      </w:r>
    </w:p>
    <w:p w14:paraId="2E36090A"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AC6B60D" w14:textId="35B53AE6" w:rsidR="00BF2C8D" w:rsidRPr="00DB26E6" w:rsidRDefault="00BF2C8D" w:rsidP="00BF2C8D">
      <w:pPr>
        <w:widowControl w:val="0"/>
        <w:autoSpaceDE w:val="0"/>
        <w:autoSpaceDN w:val="0"/>
        <w:adjustRightInd w:val="0"/>
        <w:jc w:val="both"/>
        <w:rPr>
          <w:rFonts w:ascii="Arial" w:hAnsi="Arial" w:cs="Arial"/>
          <w:sz w:val="22"/>
          <w:szCs w:val="22"/>
        </w:rPr>
      </w:pPr>
      <w:r w:rsidRPr="00DB26E6">
        <w:rPr>
          <w:rFonts w:ascii="Arial" w:hAnsi="Arial" w:cs="Arial"/>
          <w:b/>
          <w:bCs/>
          <w:sz w:val="22"/>
          <w:szCs w:val="22"/>
        </w:rPr>
        <w:t>Article 1</w:t>
      </w:r>
      <w:r w:rsidR="007B038E" w:rsidRPr="00DB26E6">
        <w:rPr>
          <w:rFonts w:ascii="Arial" w:hAnsi="Arial" w:cs="Arial"/>
          <w:b/>
          <w:bCs/>
          <w:sz w:val="22"/>
          <w:szCs w:val="22"/>
        </w:rPr>
        <w:t>5</w:t>
      </w:r>
      <w:r w:rsidRPr="00DB26E6">
        <w:rPr>
          <w:rFonts w:ascii="Arial" w:hAnsi="Arial" w:cs="Arial"/>
          <w:b/>
          <w:bCs/>
          <w:sz w:val="22"/>
          <w:szCs w:val="22"/>
        </w:rPr>
        <w:t xml:space="preserve">. </w:t>
      </w:r>
      <w:r w:rsidRPr="00DB26E6">
        <w:rPr>
          <w:rFonts w:ascii="Arial" w:hAnsi="Arial" w:cs="Arial"/>
          <w:kern w:val="1"/>
          <w:sz w:val="22"/>
          <w:szCs w:val="22"/>
        </w:rPr>
        <w:t xml:space="preserve">– </w:t>
      </w:r>
      <w:r w:rsidRPr="00DB26E6">
        <w:rPr>
          <w:rFonts w:ascii="Arial" w:hAnsi="Arial" w:cs="Arial"/>
          <w:sz w:val="22"/>
          <w:szCs w:val="22"/>
        </w:rPr>
        <w:t>Sont autorisées à se présenter à l’examen d’habilitation, les personnes remplissant les conditions suivantes :</w:t>
      </w:r>
    </w:p>
    <w:p w14:paraId="3442F7C0" w14:textId="77777777" w:rsidR="00BF2C8D" w:rsidRPr="00DB26E6" w:rsidRDefault="00BF2C8D" w:rsidP="00BF2C8D">
      <w:pPr>
        <w:widowControl w:val="0"/>
        <w:autoSpaceDE w:val="0"/>
        <w:autoSpaceDN w:val="0"/>
        <w:adjustRightInd w:val="0"/>
        <w:jc w:val="both"/>
        <w:rPr>
          <w:rFonts w:ascii="Arial" w:hAnsi="Arial" w:cs="Arial"/>
          <w:sz w:val="22"/>
          <w:szCs w:val="22"/>
        </w:rPr>
      </w:pPr>
    </w:p>
    <w:p w14:paraId="0827514D" w14:textId="77777777" w:rsidR="00BF2C8D" w:rsidRPr="00DB26E6" w:rsidRDefault="00BF2C8D" w:rsidP="00BF2C8D">
      <w:pPr>
        <w:pStyle w:val="Paragraphedeliste"/>
        <w:widowControl w:val="0"/>
        <w:numPr>
          <w:ilvl w:val="0"/>
          <w:numId w:val="57"/>
        </w:numPr>
        <w:suppressAutoHyphens w:val="0"/>
        <w:autoSpaceDE w:val="0"/>
        <w:adjustRightInd w:val="0"/>
        <w:spacing w:before="0" w:beforeAutospacing="0" w:after="0" w:afterAutospacing="0" w:line="240" w:lineRule="auto"/>
        <w:contextualSpacing/>
        <w:textAlignment w:val="auto"/>
        <w:rPr>
          <w:sz w:val="22"/>
          <w:szCs w:val="22"/>
        </w:rPr>
      </w:pPr>
      <w:r w:rsidRPr="00DB26E6">
        <w:rPr>
          <w:sz w:val="22"/>
          <w:szCs w:val="22"/>
        </w:rPr>
        <w:t>détention d’un diplôme d’enseignement supérieur de niveau BAC+2 minimum;</w:t>
      </w:r>
    </w:p>
    <w:p w14:paraId="6766B490" w14:textId="77777777" w:rsidR="00BF2C8D" w:rsidRPr="00DB26E6" w:rsidRDefault="00BF2C8D" w:rsidP="00BF2C8D">
      <w:pPr>
        <w:widowControl w:val="0"/>
        <w:autoSpaceDE w:val="0"/>
        <w:adjustRightInd w:val="0"/>
        <w:contextualSpacing/>
        <w:rPr>
          <w:sz w:val="22"/>
          <w:szCs w:val="22"/>
        </w:rPr>
      </w:pPr>
    </w:p>
    <w:p w14:paraId="6A29DDFD" w14:textId="77777777" w:rsidR="00BF2C8D" w:rsidRPr="00DB26E6" w:rsidRDefault="00BF2C8D" w:rsidP="00BF2C8D">
      <w:pPr>
        <w:pStyle w:val="Paragraphedeliste"/>
        <w:widowControl w:val="0"/>
        <w:numPr>
          <w:ilvl w:val="0"/>
          <w:numId w:val="58"/>
        </w:numPr>
        <w:suppressAutoHyphens w:val="0"/>
        <w:autoSpaceDE w:val="0"/>
        <w:adjustRightInd w:val="0"/>
        <w:spacing w:before="0" w:beforeAutospacing="0" w:after="0" w:afterAutospacing="0" w:line="240" w:lineRule="auto"/>
        <w:contextualSpacing/>
        <w:textAlignment w:val="auto"/>
        <w:rPr>
          <w:sz w:val="22"/>
          <w:szCs w:val="22"/>
        </w:rPr>
      </w:pPr>
      <w:r w:rsidRPr="00DB26E6">
        <w:rPr>
          <w:sz w:val="22"/>
          <w:szCs w:val="22"/>
        </w:rPr>
        <w:t>présentation par une structure agréée par la COSUMAF.</w:t>
      </w:r>
    </w:p>
    <w:p w14:paraId="119B50FF" w14:textId="77777777" w:rsidR="00F51ACB" w:rsidRPr="00A64175" w:rsidRDefault="00F51ACB" w:rsidP="00A64175">
      <w:pPr>
        <w:widowControl w:val="0"/>
        <w:autoSpaceDE w:val="0"/>
        <w:autoSpaceDN w:val="0"/>
        <w:adjustRightInd w:val="0"/>
        <w:jc w:val="both"/>
        <w:rPr>
          <w:rFonts w:ascii="Arial" w:hAnsi="Arial" w:cs="Arial"/>
          <w:color w:val="000000"/>
          <w:kern w:val="1"/>
          <w:sz w:val="22"/>
          <w:szCs w:val="22"/>
        </w:rPr>
      </w:pPr>
    </w:p>
    <w:p w14:paraId="16C542F2" w14:textId="3F9F9DA8" w:rsidR="00BF2C8D"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1</w:t>
      </w:r>
      <w:r w:rsidR="007B038E">
        <w:rPr>
          <w:rFonts w:ascii="Arial" w:hAnsi="Arial" w:cs="Arial"/>
          <w:b/>
          <w:bCs/>
          <w:color w:val="000000"/>
          <w:sz w:val="22"/>
          <w:szCs w:val="22"/>
        </w:rPr>
        <w:t>6</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F85819" w:rsidRPr="00A64175">
        <w:rPr>
          <w:rFonts w:ascii="Arial" w:hAnsi="Arial" w:cs="Arial"/>
          <w:color w:val="000000"/>
          <w:sz w:val="22"/>
          <w:szCs w:val="22"/>
        </w:rPr>
        <w:t>L’examen visé au présent chapitre est organisé par la COSUMAF</w:t>
      </w:r>
      <w:r w:rsidR="00FD3FB2" w:rsidRPr="00A64175">
        <w:rPr>
          <w:rFonts w:ascii="Arial" w:hAnsi="Arial" w:cs="Arial"/>
          <w:color w:val="000000"/>
          <w:sz w:val="22"/>
          <w:szCs w:val="22"/>
        </w:rPr>
        <w:t xml:space="preserve"> ou sous sa supervision</w:t>
      </w:r>
      <w:r w:rsidR="00F85819" w:rsidRPr="00A64175">
        <w:rPr>
          <w:rFonts w:ascii="Arial" w:hAnsi="Arial" w:cs="Arial"/>
          <w:color w:val="000000"/>
          <w:sz w:val="22"/>
          <w:szCs w:val="22"/>
        </w:rPr>
        <w:t xml:space="preserve">. </w:t>
      </w:r>
    </w:p>
    <w:p w14:paraId="71DA3971" w14:textId="77777777" w:rsidR="00F85819" w:rsidRPr="00A64175" w:rsidRDefault="00F85819" w:rsidP="00A64175">
      <w:pPr>
        <w:widowControl w:val="0"/>
        <w:autoSpaceDE w:val="0"/>
        <w:autoSpaceDN w:val="0"/>
        <w:adjustRightInd w:val="0"/>
        <w:jc w:val="both"/>
        <w:rPr>
          <w:rFonts w:ascii="Arial" w:hAnsi="Arial" w:cs="Arial"/>
          <w:color w:val="000000"/>
          <w:sz w:val="22"/>
          <w:szCs w:val="22"/>
        </w:rPr>
      </w:pPr>
    </w:p>
    <w:p w14:paraId="5BDA8DC6" w14:textId="261295CA"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Tout organisme de formation disposant de moyens et d’une expertise tec</w:t>
      </w:r>
      <w:r w:rsidR="008C70BB" w:rsidRPr="00A64175">
        <w:rPr>
          <w:rFonts w:ascii="Arial" w:hAnsi="Arial" w:cs="Arial"/>
          <w:color w:val="000000"/>
          <w:kern w:val="1"/>
          <w:sz w:val="22"/>
          <w:szCs w:val="22"/>
        </w:rPr>
        <w:t>hnique adéquats, dûment agréé</w:t>
      </w:r>
      <w:r w:rsidRPr="00A64175">
        <w:rPr>
          <w:rFonts w:ascii="Arial" w:hAnsi="Arial" w:cs="Arial"/>
          <w:color w:val="000000"/>
          <w:kern w:val="1"/>
          <w:sz w:val="22"/>
          <w:szCs w:val="22"/>
        </w:rPr>
        <w:t xml:space="preserve"> par la COSUMAF, peut organiser ledit examen. En vue d’obtenir</w:t>
      </w:r>
      <w:r w:rsidR="006220EC" w:rsidRPr="00A64175">
        <w:rPr>
          <w:rFonts w:ascii="Arial" w:hAnsi="Arial" w:cs="Arial"/>
          <w:color w:val="000000"/>
          <w:kern w:val="1"/>
          <w:sz w:val="22"/>
          <w:szCs w:val="22"/>
        </w:rPr>
        <w:t xml:space="preserve"> l’</w:t>
      </w:r>
      <w:r w:rsidR="008C70BB" w:rsidRPr="00A64175">
        <w:rPr>
          <w:rFonts w:ascii="Arial" w:hAnsi="Arial" w:cs="Arial"/>
          <w:color w:val="000000"/>
          <w:kern w:val="1"/>
          <w:sz w:val="22"/>
          <w:szCs w:val="22"/>
        </w:rPr>
        <w:t>agrément</w:t>
      </w:r>
      <w:r w:rsidRPr="00A64175">
        <w:rPr>
          <w:rFonts w:ascii="Arial" w:hAnsi="Arial" w:cs="Arial"/>
          <w:color w:val="000000"/>
          <w:kern w:val="1"/>
          <w:sz w:val="22"/>
          <w:szCs w:val="22"/>
        </w:rPr>
        <w:t xml:space="preserve"> de la COSUMAF, l’organisme doit justifier de sa capacité à organiser des examens permettant d’apprécier les aptitudes et connaissances professionnelles des acteurs du marché. A cet égard, l’organisme doit justifier de l’une au moins des qualités suivantes :</w:t>
      </w:r>
    </w:p>
    <w:p w14:paraId="6F088ECF" w14:textId="77777777" w:rsidR="00005E02" w:rsidRPr="00A64175" w:rsidRDefault="00005E02" w:rsidP="00A64175">
      <w:pPr>
        <w:widowControl w:val="0"/>
        <w:autoSpaceDE w:val="0"/>
        <w:autoSpaceDN w:val="0"/>
        <w:adjustRightInd w:val="0"/>
        <w:jc w:val="both"/>
        <w:rPr>
          <w:rFonts w:ascii="Arial" w:hAnsi="Arial" w:cs="Arial"/>
          <w:color w:val="000000"/>
          <w:kern w:val="1"/>
          <w:sz w:val="22"/>
          <w:szCs w:val="22"/>
        </w:rPr>
      </w:pPr>
    </w:p>
    <w:p w14:paraId="6A7DCA28" w14:textId="77777777" w:rsidR="00F85819" w:rsidRPr="00A64175" w:rsidRDefault="00F85819" w:rsidP="00A64175">
      <w:pPr>
        <w:pStyle w:val="Paragraphedeliste"/>
        <w:widowControl w:val="0"/>
        <w:numPr>
          <w:ilvl w:val="0"/>
          <w:numId w:val="58"/>
        </w:numPr>
        <w:suppressAutoHyphens w:val="0"/>
        <w:autoSpaceDE w:val="0"/>
        <w:adjustRightInd w:val="0"/>
        <w:spacing w:before="0" w:beforeAutospacing="0" w:after="0" w:afterAutospacing="0" w:line="240" w:lineRule="auto"/>
        <w:contextualSpacing/>
        <w:textAlignment w:val="auto"/>
        <w:rPr>
          <w:color w:val="000000"/>
          <w:kern w:val="1"/>
          <w:sz w:val="22"/>
          <w:szCs w:val="22"/>
        </w:rPr>
      </w:pPr>
      <w:r w:rsidRPr="00A64175">
        <w:rPr>
          <w:color w:val="000000"/>
          <w:kern w:val="1"/>
          <w:sz w:val="22"/>
          <w:szCs w:val="22"/>
        </w:rPr>
        <w:t>être un prestataire de formations et d’examens dans le domaine de la finance et des services d’investissement sur les marchés financiers ;</w:t>
      </w:r>
    </w:p>
    <w:p w14:paraId="76C14994" w14:textId="77777777" w:rsidR="0046126C" w:rsidRPr="00A64175" w:rsidRDefault="0046126C" w:rsidP="00A64175">
      <w:pPr>
        <w:pStyle w:val="Paragraphedeliste"/>
        <w:widowControl w:val="0"/>
        <w:suppressAutoHyphens w:val="0"/>
        <w:autoSpaceDE w:val="0"/>
        <w:adjustRightInd w:val="0"/>
        <w:spacing w:before="0" w:beforeAutospacing="0" w:after="0" w:afterAutospacing="0" w:line="240" w:lineRule="auto"/>
        <w:contextualSpacing/>
        <w:textAlignment w:val="auto"/>
        <w:rPr>
          <w:color w:val="000000"/>
          <w:kern w:val="1"/>
          <w:sz w:val="22"/>
          <w:szCs w:val="22"/>
        </w:rPr>
      </w:pPr>
    </w:p>
    <w:p w14:paraId="7030A5EE" w14:textId="5B33B66C" w:rsidR="00F85819" w:rsidRPr="00A64175" w:rsidRDefault="00164F10" w:rsidP="00A64175">
      <w:pPr>
        <w:pStyle w:val="Paragraphedeliste"/>
        <w:widowControl w:val="0"/>
        <w:numPr>
          <w:ilvl w:val="0"/>
          <w:numId w:val="59"/>
        </w:numPr>
        <w:suppressAutoHyphens w:val="0"/>
        <w:autoSpaceDE w:val="0"/>
        <w:adjustRightInd w:val="0"/>
        <w:spacing w:before="0" w:beforeAutospacing="0" w:after="0" w:afterAutospacing="0" w:line="240" w:lineRule="auto"/>
        <w:contextualSpacing/>
        <w:textAlignment w:val="auto"/>
        <w:rPr>
          <w:color w:val="000000"/>
          <w:kern w:val="1"/>
          <w:sz w:val="22"/>
          <w:szCs w:val="22"/>
        </w:rPr>
      </w:pPr>
      <w:r w:rsidRPr="00A64175">
        <w:rPr>
          <w:color w:val="000000"/>
          <w:kern w:val="1"/>
          <w:sz w:val="22"/>
          <w:szCs w:val="22"/>
        </w:rPr>
        <w:t>être un établissement</w:t>
      </w:r>
      <w:r w:rsidR="00F85819" w:rsidRPr="00A64175">
        <w:rPr>
          <w:color w:val="000000"/>
          <w:kern w:val="1"/>
          <w:sz w:val="22"/>
          <w:szCs w:val="22"/>
        </w:rPr>
        <w:t xml:space="preserve"> d’enseignement supérieur ou professionnel, reconnu par un </w:t>
      </w:r>
      <w:r w:rsidRPr="00A64175">
        <w:rPr>
          <w:color w:val="000000"/>
          <w:kern w:val="1"/>
          <w:sz w:val="22"/>
          <w:szCs w:val="22"/>
        </w:rPr>
        <w:t xml:space="preserve">ou plusieurs </w:t>
      </w:r>
      <w:r w:rsidR="00F85819" w:rsidRPr="00A64175">
        <w:rPr>
          <w:color w:val="000000"/>
          <w:kern w:val="1"/>
          <w:sz w:val="22"/>
          <w:szCs w:val="22"/>
        </w:rPr>
        <w:t>Etat</w:t>
      </w:r>
      <w:r w:rsidRPr="00A64175">
        <w:rPr>
          <w:color w:val="000000"/>
          <w:kern w:val="1"/>
          <w:sz w:val="22"/>
          <w:szCs w:val="22"/>
        </w:rPr>
        <w:t>s</w:t>
      </w:r>
      <w:r w:rsidR="00F85819" w:rsidRPr="00A64175">
        <w:rPr>
          <w:color w:val="000000"/>
          <w:kern w:val="1"/>
          <w:sz w:val="22"/>
          <w:szCs w:val="22"/>
        </w:rPr>
        <w:t xml:space="preserve"> membre</w:t>
      </w:r>
      <w:r w:rsidRPr="00A64175">
        <w:rPr>
          <w:color w:val="000000"/>
          <w:kern w:val="1"/>
          <w:sz w:val="22"/>
          <w:szCs w:val="22"/>
        </w:rPr>
        <w:t>s</w:t>
      </w:r>
      <w:r w:rsidR="00F85819" w:rsidRPr="00A64175">
        <w:rPr>
          <w:color w:val="000000"/>
          <w:kern w:val="1"/>
          <w:sz w:val="22"/>
          <w:szCs w:val="22"/>
        </w:rPr>
        <w:t xml:space="preserve"> de la CEMAC et proposant des formations dans le domaine de la finance et des services d’investisse</w:t>
      </w:r>
      <w:r w:rsidR="004232D0" w:rsidRPr="00A64175">
        <w:rPr>
          <w:color w:val="000000"/>
          <w:kern w:val="1"/>
          <w:sz w:val="22"/>
          <w:szCs w:val="22"/>
        </w:rPr>
        <w:t>ment sur les marchés financiers ;</w:t>
      </w:r>
    </w:p>
    <w:p w14:paraId="155A7C59" w14:textId="77777777" w:rsidR="00F85819" w:rsidRPr="00A64175" w:rsidRDefault="00F85819" w:rsidP="00A64175">
      <w:pPr>
        <w:pStyle w:val="Paragraphedeliste"/>
        <w:widowControl w:val="0"/>
        <w:suppressAutoHyphens w:val="0"/>
        <w:autoSpaceDE w:val="0"/>
        <w:adjustRightInd w:val="0"/>
        <w:spacing w:before="0" w:beforeAutospacing="0" w:after="0" w:afterAutospacing="0" w:line="240" w:lineRule="auto"/>
        <w:contextualSpacing/>
        <w:textAlignment w:val="auto"/>
        <w:rPr>
          <w:color w:val="000000"/>
          <w:kern w:val="1"/>
          <w:sz w:val="22"/>
          <w:szCs w:val="22"/>
        </w:rPr>
      </w:pPr>
    </w:p>
    <w:p w14:paraId="4B611090" w14:textId="69700095" w:rsidR="00F85819" w:rsidRDefault="00F85819" w:rsidP="00A64175">
      <w:pPr>
        <w:pStyle w:val="Paragraphedeliste"/>
        <w:widowControl w:val="0"/>
        <w:numPr>
          <w:ilvl w:val="0"/>
          <w:numId w:val="60"/>
        </w:numPr>
        <w:suppressAutoHyphens w:val="0"/>
        <w:autoSpaceDE w:val="0"/>
        <w:adjustRightInd w:val="0"/>
        <w:spacing w:before="0" w:beforeAutospacing="0" w:after="0" w:afterAutospacing="0" w:line="240" w:lineRule="auto"/>
        <w:contextualSpacing/>
        <w:textAlignment w:val="auto"/>
        <w:rPr>
          <w:color w:val="000000"/>
          <w:kern w:val="1"/>
          <w:sz w:val="22"/>
          <w:szCs w:val="22"/>
        </w:rPr>
      </w:pPr>
      <w:r w:rsidRPr="00A64175">
        <w:rPr>
          <w:color w:val="000000"/>
          <w:kern w:val="1"/>
          <w:sz w:val="22"/>
          <w:szCs w:val="22"/>
        </w:rPr>
        <w:t>être une association professionnelle d’établissements de crédit</w:t>
      </w:r>
      <w:r w:rsidR="00164F10" w:rsidRPr="00A64175">
        <w:rPr>
          <w:color w:val="000000"/>
          <w:kern w:val="1"/>
          <w:sz w:val="22"/>
          <w:szCs w:val="22"/>
        </w:rPr>
        <w:t>, de sociétés de bourse, de sociétés de gestion d’organismes de placement collectif ou de tous autres intermédiaires de marché</w:t>
      </w:r>
      <w:r w:rsidR="006B2CA9">
        <w:rPr>
          <w:color w:val="000000"/>
          <w:kern w:val="1"/>
          <w:sz w:val="22"/>
          <w:szCs w:val="22"/>
        </w:rPr>
        <w:t>.</w:t>
      </w:r>
    </w:p>
    <w:p w14:paraId="65C540EC" w14:textId="77777777" w:rsidR="00F85819" w:rsidRPr="00480280" w:rsidRDefault="00F85819" w:rsidP="00480280">
      <w:pPr>
        <w:widowControl w:val="0"/>
        <w:autoSpaceDE w:val="0"/>
        <w:adjustRightInd w:val="0"/>
        <w:contextualSpacing/>
        <w:rPr>
          <w:color w:val="000000"/>
          <w:kern w:val="1"/>
          <w:sz w:val="22"/>
          <w:szCs w:val="22"/>
        </w:rPr>
      </w:pPr>
    </w:p>
    <w:p w14:paraId="156C1905" w14:textId="77777777" w:rsidR="00005E02" w:rsidRPr="00A64175" w:rsidRDefault="00005E02" w:rsidP="00A64175">
      <w:pPr>
        <w:widowControl w:val="0"/>
        <w:autoSpaceDE w:val="0"/>
        <w:autoSpaceDN w:val="0"/>
        <w:adjustRightInd w:val="0"/>
        <w:jc w:val="both"/>
        <w:rPr>
          <w:rFonts w:ascii="Arial" w:hAnsi="Arial" w:cs="Arial"/>
          <w:color w:val="000000"/>
          <w:kern w:val="1"/>
          <w:sz w:val="22"/>
          <w:szCs w:val="22"/>
        </w:rPr>
      </w:pPr>
    </w:p>
    <w:p w14:paraId="38EAFE43" w14:textId="08D34A12" w:rsidR="00342513"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1</w:t>
      </w:r>
      <w:r w:rsidR="007B038E">
        <w:rPr>
          <w:rFonts w:ascii="Arial" w:hAnsi="Arial" w:cs="Arial"/>
          <w:b/>
          <w:bCs/>
          <w:color w:val="000000"/>
          <w:sz w:val="22"/>
          <w:szCs w:val="22"/>
        </w:rPr>
        <w:t>7</w:t>
      </w:r>
      <w:r w:rsidR="00E06FA9" w:rsidRPr="00A64175">
        <w:rPr>
          <w:rFonts w:ascii="Arial" w:hAnsi="Arial" w:cs="Arial"/>
          <w:b/>
          <w:bCs/>
          <w:color w:val="000000"/>
          <w:sz w:val="22"/>
          <w:szCs w:val="22"/>
        </w:rPr>
        <w:t xml:space="preserve">. </w:t>
      </w:r>
      <w:r w:rsidR="00E06FA9" w:rsidRPr="00A64175">
        <w:rPr>
          <w:rFonts w:ascii="Arial" w:hAnsi="Arial" w:cs="Arial"/>
          <w:color w:val="000000"/>
          <w:kern w:val="1"/>
          <w:sz w:val="22"/>
          <w:szCs w:val="22"/>
        </w:rPr>
        <w:t xml:space="preserve">– </w:t>
      </w:r>
      <w:r w:rsidR="00E06FA9" w:rsidRPr="00A64175">
        <w:rPr>
          <w:rFonts w:ascii="Arial" w:hAnsi="Arial" w:cs="Arial"/>
          <w:color w:val="000000"/>
          <w:sz w:val="22"/>
          <w:szCs w:val="22"/>
        </w:rPr>
        <w:t>L’</w:t>
      </w:r>
      <w:r w:rsidR="0079260B" w:rsidRPr="00A64175">
        <w:rPr>
          <w:rFonts w:ascii="Arial" w:hAnsi="Arial" w:cs="Arial"/>
          <w:color w:val="000000"/>
          <w:sz w:val="22"/>
          <w:szCs w:val="22"/>
        </w:rPr>
        <w:t>examen d’habilitation</w:t>
      </w:r>
      <w:r w:rsidR="009F1409" w:rsidRPr="00A64175">
        <w:rPr>
          <w:rFonts w:ascii="Arial" w:hAnsi="Arial" w:cs="Arial"/>
          <w:color w:val="000000"/>
          <w:sz w:val="22"/>
          <w:szCs w:val="22"/>
        </w:rPr>
        <w:t xml:space="preserve"> porte sur la culture financière et sur les connaissanc</w:t>
      </w:r>
      <w:r w:rsidR="00342513" w:rsidRPr="00A64175">
        <w:rPr>
          <w:rFonts w:ascii="Arial" w:hAnsi="Arial" w:cs="Arial"/>
          <w:color w:val="000000"/>
          <w:sz w:val="22"/>
          <w:szCs w:val="22"/>
        </w:rPr>
        <w:t>es et compétences professionnelles des candidats</w:t>
      </w:r>
      <w:r w:rsidR="009F1409" w:rsidRPr="00A64175">
        <w:rPr>
          <w:rFonts w:ascii="Arial" w:hAnsi="Arial" w:cs="Arial"/>
          <w:color w:val="000000"/>
          <w:sz w:val="22"/>
          <w:szCs w:val="22"/>
        </w:rPr>
        <w:t>. Il</w:t>
      </w:r>
      <w:r w:rsidR="0079260B" w:rsidRPr="00A64175">
        <w:rPr>
          <w:rFonts w:ascii="Arial" w:hAnsi="Arial" w:cs="Arial"/>
          <w:color w:val="000000"/>
          <w:sz w:val="22"/>
          <w:szCs w:val="22"/>
        </w:rPr>
        <w:t xml:space="preserve"> doit être organisé selon des modalités appropriées pour contrôler les</w:t>
      </w:r>
      <w:r w:rsidR="00342513" w:rsidRPr="00A64175">
        <w:rPr>
          <w:rFonts w:ascii="Arial" w:hAnsi="Arial" w:cs="Arial"/>
          <w:color w:val="000000"/>
          <w:sz w:val="22"/>
          <w:szCs w:val="22"/>
        </w:rPr>
        <w:t xml:space="preserve">dites </w:t>
      </w:r>
      <w:r w:rsidR="0079260B" w:rsidRPr="00A64175">
        <w:rPr>
          <w:rFonts w:ascii="Arial" w:hAnsi="Arial" w:cs="Arial"/>
          <w:color w:val="000000"/>
          <w:sz w:val="22"/>
          <w:szCs w:val="22"/>
        </w:rPr>
        <w:t xml:space="preserve"> connaissances et compétences. </w:t>
      </w:r>
    </w:p>
    <w:p w14:paraId="06D12912" w14:textId="77777777" w:rsidR="00342513" w:rsidRPr="00A64175" w:rsidRDefault="00342513" w:rsidP="00A64175">
      <w:pPr>
        <w:widowControl w:val="0"/>
        <w:autoSpaceDE w:val="0"/>
        <w:autoSpaceDN w:val="0"/>
        <w:adjustRightInd w:val="0"/>
        <w:jc w:val="both"/>
        <w:rPr>
          <w:rFonts w:ascii="Arial" w:hAnsi="Arial" w:cs="Arial"/>
          <w:color w:val="000000"/>
          <w:sz w:val="22"/>
          <w:szCs w:val="22"/>
        </w:rPr>
      </w:pPr>
    </w:p>
    <w:p w14:paraId="3B2441A2" w14:textId="2A292084" w:rsidR="0079260B" w:rsidRPr="00A64175" w:rsidRDefault="0079260B"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w:t>
      </w:r>
      <w:r w:rsidR="009F1409" w:rsidRPr="00A64175">
        <w:rPr>
          <w:rFonts w:ascii="Arial" w:hAnsi="Arial" w:cs="Arial"/>
          <w:color w:val="000000"/>
          <w:sz w:val="22"/>
          <w:szCs w:val="22"/>
        </w:rPr>
        <w:t>organisation</w:t>
      </w:r>
      <w:r w:rsidRPr="00A64175">
        <w:rPr>
          <w:rFonts w:ascii="Arial" w:hAnsi="Arial" w:cs="Arial"/>
          <w:color w:val="000000"/>
          <w:sz w:val="22"/>
          <w:szCs w:val="22"/>
        </w:rPr>
        <w:t xml:space="preserve"> doit garantir une évaluation objective des connaissances et compétences ainsi que de leur niveau d’acquisition. </w:t>
      </w:r>
    </w:p>
    <w:p w14:paraId="3D203E4C" w14:textId="77777777" w:rsidR="000761AC" w:rsidRPr="00A64175" w:rsidRDefault="000761AC" w:rsidP="00A64175">
      <w:pPr>
        <w:widowControl w:val="0"/>
        <w:autoSpaceDE w:val="0"/>
        <w:autoSpaceDN w:val="0"/>
        <w:adjustRightInd w:val="0"/>
        <w:jc w:val="both"/>
        <w:rPr>
          <w:rFonts w:ascii="Arial" w:hAnsi="Arial" w:cs="Arial"/>
          <w:color w:val="000000"/>
          <w:sz w:val="22"/>
          <w:szCs w:val="22"/>
        </w:rPr>
      </w:pPr>
    </w:p>
    <w:p w14:paraId="4BFD4AE0" w14:textId="77777777" w:rsidR="000761AC" w:rsidRPr="00A64175" w:rsidRDefault="000761AC"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L’organisateur de l’examen doit se doter de moyens techniques et humains adaptés pour : </w:t>
      </w:r>
    </w:p>
    <w:p w14:paraId="41A50280" w14:textId="77777777" w:rsidR="000761AC" w:rsidRPr="00A64175" w:rsidRDefault="000761AC" w:rsidP="00A64175">
      <w:pPr>
        <w:widowControl w:val="0"/>
        <w:autoSpaceDE w:val="0"/>
        <w:autoSpaceDN w:val="0"/>
        <w:adjustRightInd w:val="0"/>
        <w:jc w:val="both"/>
        <w:rPr>
          <w:rFonts w:ascii="Arial" w:hAnsi="Arial" w:cs="Arial"/>
          <w:color w:val="000000"/>
          <w:sz w:val="22"/>
          <w:szCs w:val="22"/>
        </w:rPr>
      </w:pPr>
    </w:p>
    <w:p w14:paraId="0D1955F9" w14:textId="10FC9933" w:rsidR="000761AC" w:rsidRPr="00A64175" w:rsidRDefault="00342513" w:rsidP="00A64175">
      <w:pPr>
        <w:pStyle w:val="Paragraphedeliste"/>
        <w:widowControl w:val="0"/>
        <w:numPr>
          <w:ilvl w:val="0"/>
          <w:numId w:val="60"/>
        </w:numPr>
        <w:autoSpaceDE w:val="0"/>
        <w:adjustRightInd w:val="0"/>
        <w:rPr>
          <w:color w:val="000000"/>
          <w:sz w:val="22"/>
          <w:szCs w:val="22"/>
        </w:rPr>
      </w:pPr>
      <w:r w:rsidRPr="00A64175">
        <w:rPr>
          <w:color w:val="000000"/>
          <w:sz w:val="22"/>
          <w:szCs w:val="22"/>
        </w:rPr>
        <w:t>vérifier</w:t>
      </w:r>
      <w:r w:rsidR="000761AC" w:rsidRPr="00A64175">
        <w:rPr>
          <w:color w:val="000000"/>
          <w:sz w:val="22"/>
          <w:szCs w:val="22"/>
        </w:rPr>
        <w:t xml:space="preserve"> l’identité des candidats ;</w:t>
      </w:r>
    </w:p>
    <w:p w14:paraId="5997BEE4" w14:textId="137A58D5" w:rsidR="000761AC" w:rsidRPr="00A64175" w:rsidRDefault="000761AC" w:rsidP="00A64175">
      <w:pPr>
        <w:pStyle w:val="Paragraphedeliste"/>
        <w:widowControl w:val="0"/>
        <w:numPr>
          <w:ilvl w:val="0"/>
          <w:numId w:val="60"/>
        </w:numPr>
        <w:autoSpaceDE w:val="0"/>
        <w:adjustRightInd w:val="0"/>
        <w:rPr>
          <w:color w:val="000000"/>
          <w:sz w:val="22"/>
          <w:szCs w:val="22"/>
        </w:rPr>
      </w:pPr>
      <w:r w:rsidRPr="00A64175">
        <w:rPr>
          <w:color w:val="000000"/>
          <w:sz w:val="22"/>
          <w:szCs w:val="22"/>
        </w:rPr>
        <w:t>assurer une surveillance efficace des examens ;</w:t>
      </w:r>
    </w:p>
    <w:p w14:paraId="57AEA05F" w14:textId="4FEA64E0" w:rsidR="000761AC" w:rsidRPr="00A64175" w:rsidRDefault="000761AC" w:rsidP="00A64175">
      <w:pPr>
        <w:pStyle w:val="Paragraphedeliste"/>
        <w:widowControl w:val="0"/>
        <w:numPr>
          <w:ilvl w:val="0"/>
          <w:numId w:val="60"/>
        </w:numPr>
        <w:autoSpaceDE w:val="0"/>
        <w:adjustRightInd w:val="0"/>
        <w:rPr>
          <w:color w:val="000000"/>
          <w:sz w:val="22"/>
          <w:szCs w:val="22"/>
        </w:rPr>
      </w:pPr>
      <w:r w:rsidRPr="00A64175">
        <w:rPr>
          <w:color w:val="000000"/>
          <w:sz w:val="22"/>
          <w:szCs w:val="22"/>
        </w:rPr>
        <w:t xml:space="preserve">prévenir </w:t>
      </w:r>
      <w:r w:rsidR="00BD745C" w:rsidRPr="00A64175">
        <w:rPr>
          <w:color w:val="000000"/>
          <w:sz w:val="22"/>
          <w:szCs w:val="22"/>
        </w:rPr>
        <w:t xml:space="preserve">les </w:t>
      </w:r>
      <w:r w:rsidRPr="00A64175">
        <w:rPr>
          <w:color w:val="000000"/>
          <w:sz w:val="22"/>
          <w:szCs w:val="22"/>
        </w:rPr>
        <w:t>éventuels incidents et fraudes qui pourraient survenir pendant les examens.</w:t>
      </w:r>
    </w:p>
    <w:p w14:paraId="2A2EBFA0" w14:textId="77777777" w:rsidR="0079260B" w:rsidRPr="00A64175" w:rsidRDefault="0079260B" w:rsidP="00A64175">
      <w:pPr>
        <w:widowControl w:val="0"/>
        <w:autoSpaceDE w:val="0"/>
        <w:autoSpaceDN w:val="0"/>
        <w:adjustRightInd w:val="0"/>
        <w:jc w:val="both"/>
        <w:rPr>
          <w:rFonts w:ascii="Arial" w:hAnsi="Arial" w:cs="Arial"/>
          <w:color w:val="000000"/>
          <w:sz w:val="22"/>
          <w:szCs w:val="22"/>
        </w:rPr>
      </w:pPr>
    </w:p>
    <w:p w14:paraId="78EF79CA" w14:textId="2CCD4445" w:rsidR="00C177D1"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1</w:t>
      </w:r>
      <w:r w:rsidR="007B038E">
        <w:rPr>
          <w:rFonts w:ascii="Arial" w:hAnsi="Arial" w:cs="Arial"/>
          <w:b/>
          <w:bCs/>
          <w:color w:val="000000"/>
          <w:sz w:val="22"/>
          <w:szCs w:val="22"/>
        </w:rPr>
        <w:t>8</w:t>
      </w:r>
      <w:r w:rsidR="00BD745C" w:rsidRPr="00A64175">
        <w:rPr>
          <w:rFonts w:ascii="Arial" w:hAnsi="Arial" w:cs="Arial"/>
          <w:b/>
          <w:bCs/>
          <w:color w:val="000000"/>
          <w:sz w:val="22"/>
          <w:szCs w:val="22"/>
        </w:rPr>
        <w:t xml:space="preserve">. </w:t>
      </w:r>
      <w:r w:rsidR="00BD745C" w:rsidRPr="00A64175">
        <w:rPr>
          <w:rFonts w:ascii="Arial" w:hAnsi="Arial" w:cs="Arial"/>
          <w:color w:val="000000"/>
          <w:kern w:val="1"/>
          <w:sz w:val="22"/>
          <w:szCs w:val="22"/>
        </w:rPr>
        <w:t xml:space="preserve">– </w:t>
      </w:r>
      <w:r w:rsidR="0079260B" w:rsidRPr="00A64175">
        <w:rPr>
          <w:rFonts w:ascii="Arial" w:hAnsi="Arial" w:cs="Arial"/>
          <w:color w:val="000000"/>
          <w:sz w:val="22"/>
          <w:szCs w:val="22"/>
        </w:rPr>
        <w:t>L’</w:t>
      </w:r>
      <w:r w:rsidR="00E06FA9" w:rsidRPr="00A64175">
        <w:rPr>
          <w:rFonts w:ascii="Arial" w:hAnsi="Arial" w:cs="Arial"/>
          <w:color w:val="000000"/>
          <w:sz w:val="22"/>
          <w:szCs w:val="22"/>
        </w:rPr>
        <w:t>organisateur de l’examen d’habilitatio</w:t>
      </w:r>
      <w:r w:rsidR="0079260B" w:rsidRPr="00A64175">
        <w:rPr>
          <w:rFonts w:ascii="Arial" w:hAnsi="Arial" w:cs="Arial"/>
          <w:color w:val="000000"/>
          <w:sz w:val="22"/>
          <w:szCs w:val="22"/>
        </w:rPr>
        <w:t>n doit</w:t>
      </w:r>
      <w:r w:rsidR="00E06FA9" w:rsidRPr="00A64175">
        <w:rPr>
          <w:rFonts w:ascii="Arial" w:hAnsi="Arial" w:cs="Arial"/>
          <w:color w:val="000000"/>
          <w:sz w:val="22"/>
          <w:szCs w:val="22"/>
        </w:rPr>
        <w:t xml:space="preserve"> disposer</w:t>
      </w:r>
      <w:r w:rsidR="00C177D1" w:rsidRPr="00A64175">
        <w:rPr>
          <w:rFonts w:ascii="Arial" w:hAnsi="Arial" w:cs="Arial"/>
          <w:color w:val="000000"/>
          <w:sz w:val="22"/>
          <w:szCs w:val="22"/>
        </w:rPr>
        <w:t xml:space="preserve"> d’un règleme</w:t>
      </w:r>
      <w:r w:rsidR="00E06FA9" w:rsidRPr="00A64175">
        <w:rPr>
          <w:rFonts w:ascii="Arial" w:hAnsi="Arial" w:cs="Arial"/>
          <w:color w:val="000000"/>
          <w:kern w:val="1"/>
          <w:sz w:val="22"/>
          <w:szCs w:val="22"/>
        </w:rPr>
        <w:t>nt</w:t>
      </w:r>
      <w:r w:rsidR="00C177D1" w:rsidRPr="00A64175">
        <w:rPr>
          <w:rFonts w:ascii="Arial" w:hAnsi="Arial" w:cs="Arial"/>
          <w:color w:val="000000"/>
          <w:kern w:val="1"/>
          <w:sz w:val="22"/>
          <w:szCs w:val="22"/>
        </w:rPr>
        <w:t xml:space="preserve"> intérieur précisant</w:t>
      </w:r>
      <w:r w:rsidR="00E06FA9" w:rsidRPr="00A64175">
        <w:rPr>
          <w:rFonts w:ascii="Arial" w:hAnsi="Arial" w:cs="Arial"/>
          <w:color w:val="000000"/>
          <w:kern w:val="1"/>
          <w:sz w:val="22"/>
          <w:szCs w:val="22"/>
        </w:rPr>
        <w:t xml:space="preserve"> les</w:t>
      </w:r>
      <w:r w:rsidR="00C177D1" w:rsidRPr="00A64175">
        <w:rPr>
          <w:rFonts w:ascii="Arial" w:hAnsi="Arial" w:cs="Arial"/>
          <w:color w:val="000000"/>
          <w:kern w:val="1"/>
          <w:sz w:val="22"/>
          <w:szCs w:val="22"/>
        </w:rPr>
        <w:t xml:space="preserve"> modalités d’organisation des examens d’habilitation.</w:t>
      </w:r>
      <w:r w:rsidR="00E06FA9" w:rsidRPr="00A64175">
        <w:rPr>
          <w:rFonts w:ascii="Arial" w:hAnsi="Arial" w:cs="Arial"/>
          <w:color w:val="000000"/>
          <w:kern w:val="1"/>
          <w:sz w:val="22"/>
          <w:szCs w:val="22"/>
        </w:rPr>
        <w:t xml:space="preserve"> </w:t>
      </w:r>
      <w:r w:rsidR="00C177D1" w:rsidRPr="00A64175">
        <w:rPr>
          <w:rFonts w:ascii="Arial" w:hAnsi="Arial" w:cs="Arial"/>
          <w:color w:val="000000"/>
          <w:kern w:val="1"/>
          <w:sz w:val="22"/>
          <w:szCs w:val="22"/>
        </w:rPr>
        <w:t>Doivent</w:t>
      </w:r>
      <w:r w:rsidR="001137C7" w:rsidRPr="00A64175">
        <w:rPr>
          <w:rFonts w:ascii="Arial" w:hAnsi="Arial" w:cs="Arial"/>
          <w:color w:val="000000"/>
          <w:kern w:val="1"/>
          <w:sz w:val="22"/>
          <w:szCs w:val="22"/>
        </w:rPr>
        <w:t xml:space="preserve"> notamment</w:t>
      </w:r>
      <w:r w:rsidR="00C177D1" w:rsidRPr="00A64175">
        <w:rPr>
          <w:rFonts w:ascii="Arial" w:hAnsi="Arial" w:cs="Arial"/>
          <w:color w:val="000000"/>
          <w:kern w:val="1"/>
          <w:sz w:val="22"/>
          <w:szCs w:val="22"/>
        </w:rPr>
        <w:t xml:space="preserve"> </w:t>
      </w:r>
      <w:r w:rsidR="001137C7" w:rsidRPr="00A64175">
        <w:rPr>
          <w:rFonts w:ascii="Arial" w:hAnsi="Arial" w:cs="Arial"/>
          <w:color w:val="000000"/>
          <w:kern w:val="1"/>
          <w:sz w:val="22"/>
          <w:szCs w:val="22"/>
        </w:rPr>
        <w:t>être prévues</w:t>
      </w:r>
      <w:r w:rsidR="00C177D1" w:rsidRPr="00A64175">
        <w:rPr>
          <w:rFonts w:ascii="Arial" w:hAnsi="Arial" w:cs="Arial"/>
          <w:color w:val="000000"/>
          <w:kern w:val="1"/>
          <w:sz w:val="22"/>
          <w:szCs w:val="22"/>
        </w:rPr>
        <w:t> :</w:t>
      </w:r>
    </w:p>
    <w:p w14:paraId="5C4EA78A" w14:textId="19017F3B" w:rsidR="000B0BE0" w:rsidRPr="00A64175" w:rsidRDefault="000B0BE0" w:rsidP="00A64175">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le lieu de l’examen approuvé par la COSUMAF, soit au siège de l’organisme soit en tout autre lieu qui satisfait aux conditions requises ;</w:t>
      </w:r>
    </w:p>
    <w:p w14:paraId="7694984E" w14:textId="77777777" w:rsidR="00C177D1" w:rsidRPr="00A64175" w:rsidRDefault="00E06FA9" w:rsidP="00A64175">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les modalités de surveillance des examens</w:t>
      </w:r>
      <w:r w:rsidR="00C177D1" w:rsidRPr="00A64175">
        <w:rPr>
          <w:color w:val="000000"/>
          <w:kern w:val="1"/>
          <w:sz w:val="22"/>
          <w:szCs w:val="22"/>
        </w:rPr>
        <w:t> ;</w:t>
      </w:r>
      <w:r w:rsidRPr="00A64175">
        <w:rPr>
          <w:color w:val="000000"/>
          <w:kern w:val="1"/>
          <w:sz w:val="22"/>
          <w:szCs w:val="22"/>
        </w:rPr>
        <w:t xml:space="preserve"> </w:t>
      </w:r>
    </w:p>
    <w:p w14:paraId="44F8CC76" w14:textId="24FBB0F0" w:rsidR="00E06FA9" w:rsidRPr="00A64175" w:rsidRDefault="00AF2B98" w:rsidP="00A64175">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un engagement de proposer un examen original à chaque session ;</w:t>
      </w:r>
    </w:p>
    <w:p w14:paraId="66BF9C29" w14:textId="4E6B0905" w:rsidR="00AF2B98" w:rsidRPr="00A64175" w:rsidRDefault="00AF2B98" w:rsidP="00A64175">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 xml:space="preserve">des mesures permettant de s’assurer </w:t>
      </w:r>
      <w:r w:rsidR="002C2370" w:rsidRPr="00A64175">
        <w:rPr>
          <w:color w:val="000000"/>
          <w:kern w:val="1"/>
          <w:sz w:val="22"/>
          <w:szCs w:val="22"/>
        </w:rPr>
        <w:t>que pendant les examens, les candidats sont uniquement munis du questionnaire d’examen, à l’exclusion de tout autre document ;</w:t>
      </w:r>
    </w:p>
    <w:p w14:paraId="7B45DF67" w14:textId="1EC2D358" w:rsidR="002C2370" w:rsidRPr="00A64175" w:rsidRDefault="002C2370" w:rsidP="00A64175">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une durée maximale de l’examen fixée à deux (2) heures ;</w:t>
      </w:r>
    </w:p>
    <w:p w14:paraId="3EF66D4A" w14:textId="59C0D997" w:rsidR="00E06FA9" w:rsidRPr="00480280" w:rsidRDefault="002C2370" w:rsidP="00480280">
      <w:pPr>
        <w:pStyle w:val="Paragraphedeliste"/>
        <w:widowControl w:val="0"/>
        <w:numPr>
          <w:ilvl w:val="0"/>
          <w:numId w:val="60"/>
        </w:numPr>
        <w:autoSpaceDE w:val="0"/>
        <w:adjustRightInd w:val="0"/>
        <w:rPr>
          <w:color w:val="000000"/>
          <w:kern w:val="1"/>
          <w:sz w:val="22"/>
          <w:szCs w:val="22"/>
        </w:rPr>
      </w:pPr>
      <w:r w:rsidRPr="00A64175">
        <w:rPr>
          <w:color w:val="000000"/>
          <w:kern w:val="1"/>
          <w:sz w:val="22"/>
          <w:szCs w:val="22"/>
        </w:rPr>
        <w:t xml:space="preserve">l’organisation de l’examen en une seule séquence, sans aucune possibilité de la fractionner en </w:t>
      </w:r>
      <w:r w:rsidR="00ED0059" w:rsidRPr="00A64175">
        <w:rPr>
          <w:color w:val="000000"/>
          <w:kern w:val="1"/>
          <w:sz w:val="22"/>
          <w:szCs w:val="22"/>
        </w:rPr>
        <w:t>plusieurs sé</w:t>
      </w:r>
      <w:r w:rsidR="0079260B" w:rsidRPr="00A64175">
        <w:rPr>
          <w:color w:val="000000"/>
          <w:kern w:val="1"/>
          <w:sz w:val="22"/>
          <w:szCs w:val="22"/>
        </w:rPr>
        <w:t>quences et sur plusieurs jours.</w:t>
      </w:r>
    </w:p>
    <w:p w14:paraId="0ECB8FDF" w14:textId="77777777" w:rsidR="00E06FA9" w:rsidRPr="00A64175" w:rsidRDefault="00E06FA9" w:rsidP="00A64175">
      <w:pPr>
        <w:widowControl w:val="0"/>
        <w:autoSpaceDE w:val="0"/>
        <w:autoSpaceDN w:val="0"/>
        <w:adjustRightInd w:val="0"/>
        <w:jc w:val="both"/>
        <w:rPr>
          <w:rFonts w:ascii="Arial" w:hAnsi="Arial" w:cs="Arial"/>
          <w:color w:val="000000"/>
          <w:kern w:val="1"/>
          <w:sz w:val="22"/>
          <w:szCs w:val="22"/>
        </w:rPr>
      </w:pPr>
    </w:p>
    <w:p w14:paraId="07FCDE45" w14:textId="1673DD41" w:rsidR="00F85819" w:rsidRPr="006B2CA9" w:rsidRDefault="00A41766" w:rsidP="00A64175">
      <w:pPr>
        <w:widowControl w:val="0"/>
        <w:autoSpaceDE w:val="0"/>
        <w:autoSpaceDN w:val="0"/>
        <w:adjustRightInd w:val="0"/>
        <w:jc w:val="both"/>
        <w:rPr>
          <w:rFonts w:ascii="Arial" w:hAnsi="Arial" w:cs="Arial"/>
          <w:color w:val="000000"/>
          <w:kern w:val="1"/>
          <w:sz w:val="22"/>
          <w:szCs w:val="22"/>
        </w:rPr>
      </w:pPr>
      <w:r w:rsidRPr="006B2CA9">
        <w:rPr>
          <w:rFonts w:ascii="Arial" w:hAnsi="Arial" w:cs="Arial"/>
          <w:b/>
          <w:bCs/>
          <w:color w:val="000000"/>
          <w:sz w:val="22"/>
          <w:szCs w:val="22"/>
        </w:rPr>
        <w:t>Article 1</w:t>
      </w:r>
      <w:r w:rsidR="007B038E">
        <w:rPr>
          <w:rFonts w:ascii="Arial" w:hAnsi="Arial" w:cs="Arial"/>
          <w:b/>
          <w:bCs/>
          <w:color w:val="000000"/>
          <w:sz w:val="22"/>
          <w:szCs w:val="22"/>
        </w:rPr>
        <w:t>9</w:t>
      </w:r>
      <w:r w:rsidR="00E06FA9" w:rsidRPr="006B2CA9">
        <w:rPr>
          <w:rFonts w:ascii="Arial" w:hAnsi="Arial" w:cs="Arial"/>
          <w:b/>
          <w:bCs/>
          <w:color w:val="000000"/>
          <w:sz w:val="22"/>
          <w:szCs w:val="22"/>
        </w:rPr>
        <w:t xml:space="preserve">. </w:t>
      </w:r>
      <w:r w:rsidR="00E06FA9" w:rsidRPr="006B2CA9">
        <w:rPr>
          <w:rFonts w:ascii="Arial" w:hAnsi="Arial" w:cs="Arial"/>
          <w:color w:val="000000"/>
          <w:kern w:val="1"/>
          <w:sz w:val="22"/>
          <w:szCs w:val="22"/>
        </w:rPr>
        <w:t xml:space="preserve">– </w:t>
      </w:r>
      <w:r w:rsidR="00F85819" w:rsidRPr="006B2CA9">
        <w:rPr>
          <w:rFonts w:ascii="Arial" w:hAnsi="Arial" w:cs="Arial"/>
          <w:color w:val="000000"/>
          <w:kern w:val="1"/>
          <w:sz w:val="22"/>
          <w:szCs w:val="22"/>
        </w:rPr>
        <w:t>Tout organisme établi hors de la zone CEMAC et proposant des formations dans le domaine de la finance et des se</w:t>
      </w:r>
      <w:r w:rsidR="004232D0" w:rsidRPr="006B2CA9">
        <w:rPr>
          <w:rFonts w:ascii="Arial" w:hAnsi="Arial" w:cs="Arial"/>
          <w:color w:val="000000"/>
          <w:kern w:val="1"/>
          <w:sz w:val="22"/>
          <w:szCs w:val="22"/>
        </w:rPr>
        <w:t xml:space="preserve">rvices d’investissement sur les </w:t>
      </w:r>
      <w:r w:rsidR="00F85819" w:rsidRPr="006B2CA9">
        <w:rPr>
          <w:rFonts w:ascii="Arial" w:hAnsi="Arial" w:cs="Arial"/>
          <w:color w:val="000000"/>
          <w:kern w:val="1"/>
          <w:sz w:val="22"/>
          <w:szCs w:val="22"/>
        </w:rPr>
        <w:t>marchés financiers</w:t>
      </w:r>
      <w:r w:rsidR="008C70BB" w:rsidRPr="006B2CA9">
        <w:rPr>
          <w:rFonts w:ascii="Arial" w:hAnsi="Arial" w:cs="Arial"/>
          <w:color w:val="000000"/>
          <w:kern w:val="1"/>
          <w:sz w:val="22"/>
          <w:szCs w:val="22"/>
        </w:rPr>
        <w:t xml:space="preserve"> </w:t>
      </w:r>
      <w:r w:rsidR="006B2CA9">
        <w:rPr>
          <w:rFonts w:ascii="Arial" w:hAnsi="Arial" w:cs="Arial"/>
          <w:color w:val="000000"/>
          <w:kern w:val="1"/>
          <w:sz w:val="22"/>
          <w:szCs w:val="22"/>
        </w:rPr>
        <w:t xml:space="preserve">et souhaitant organiser l’examen d’habilitation </w:t>
      </w:r>
      <w:r w:rsidR="00E830E6">
        <w:rPr>
          <w:rFonts w:ascii="Arial" w:hAnsi="Arial" w:cs="Arial"/>
          <w:color w:val="000000"/>
          <w:kern w:val="1"/>
          <w:sz w:val="22"/>
          <w:szCs w:val="22"/>
        </w:rPr>
        <w:t xml:space="preserve">dans l’un des six Etats membres de la CEMAC, </w:t>
      </w:r>
      <w:r w:rsidR="006B2CA9">
        <w:rPr>
          <w:rFonts w:ascii="Arial" w:hAnsi="Arial" w:cs="Arial"/>
          <w:color w:val="000000"/>
          <w:kern w:val="1"/>
          <w:sz w:val="22"/>
          <w:szCs w:val="22"/>
        </w:rPr>
        <w:t>doit</w:t>
      </w:r>
      <w:r w:rsidR="008D1CBA" w:rsidRPr="006B2CA9">
        <w:rPr>
          <w:rFonts w:ascii="Arial" w:hAnsi="Arial" w:cs="Arial"/>
          <w:color w:val="000000"/>
          <w:kern w:val="1"/>
          <w:sz w:val="22"/>
          <w:szCs w:val="22"/>
        </w:rPr>
        <w:t xml:space="preserve"> </w:t>
      </w:r>
      <w:r w:rsidR="006B2CA9">
        <w:rPr>
          <w:rFonts w:ascii="Arial" w:hAnsi="Arial" w:cs="Arial"/>
          <w:color w:val="000000"/>
          <w:kern w:val="1"/>
          <w:sz w:val="22"/>
          <w:szCs w:val="22"/>
        </w:rPr>
        <w:t xml:space="preserve">solliciter </w:t>
      </w:r>
      <w:r w:rsidR="008C70BB" w:rsidRPr="006B2CA9">
        <w:rPr>
          <w:rFonts w:ascii="Arial" w:hAnsi="Arial" w:cs="Arial"/>
          <w:color w:val="000000"/>
          <w:kern w:val="1"/>
          <w:sz w:val="22"/>
          <w:szCs w:val="22"/>
        </w:rPr>
        <w:t>l’agrément</w:t>
      </w:r>
      <w:r w:rsidR="006B2CA9">
        <w:rPr>
          <w:rFonts w:ascii="Arial" w:hAnsi="Arial" w:cs="Arial"/>
          <w:color w:val="000000"/>
          <w:kern w:val="1"/>
          <w:sz w:val="22"/>
          <w:szCs w:val="22"/>
        </w:rPr>
        <w:t xml:space="preserve"> de la COSUMAF</w:t>
      </w:r>
      <w:r w:rsidR="00F85819" w:rsidRPr="006B2CA9">
        <w:rPr>
          <w:rFonts w:ascii="Arial" w:hAnsi="Arial" w:cs="Arial"/>
          <w:color w:val="000000"/>
          <w:kern w:val="1"/>
          <w:sz w:val="22"/>
          <w:szCs w:val="22"/>
        </w:rPr>
        <w:t>.</w:t>
      </w:r>
    </w:p>
    <w:p w14:paraId="0AE7AE99"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521D987" w14:textId="6394A638"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20</w:t>
      </w:r>
      <w:r w:rsidR="00E06FA9" w:rsidRPr="00A64175">
        <w:rPr>
          <w:rFonts w:ascii="Arial" w:hAnsi="Arial" w:cs="Arial"/>
          <w:b/>
          <w:bCs/>
          <w:color w:val="000000"/>
          <w:sz w:val="22"/>
          <w:szCs w:val="22"/>
        </w:rPr>
        <w:t xml:space="preserve">. </w:t>
      </w:r>
      <w:r w:rsidR="00E06FA9" w:rsidRPr="00A64175">
        <w:rPr>
          <w:rFonts w:ascii="Arial" w:hAnsi="Arial" w:cs="Arial"/>
          <w:color w:val="000000"/>
          <w:kern w:val="1"/>
          <w:sz w:val="22"/>
          <w:szCs w:val="22"/>
        </w:rPr>
        <w:t xml:space="preserve">– </w:t>
      </w:r>
      <w:r w:rsidR="008C70BB" w:rsidRPr="00A64175">
        <w:rPr>
          <w:rFonts w:ascii="Arial" w:hAnsi="Arial" w:cs="Arial"/>
          <w:color w:val="000000"/>
          <w:kern w:val="1"/>
          <w:sz w:val="22"/>
          <w:szCs w:val="22"/>
        </w:rPr>
        <w:t>Les demandes d’agrément</w:t>
      </w:r>
      <w:r w:rsidR="00F85819" w:rsidRPr="00A64175">
        <w:rPr>
          <w:rFonts w:ascii="Arial" w:hAnsi="Arial" w:cs="Arial"/>
          <w:color w:val="000000"/>
          <w:kern w:val="1"/>
          <w:sz w:val="22"/>
          <w:szCs w:val="22"/>
        </w:rPr>
        <w:t xml:space="preserve"> introduites par les organismes de formation visés </w:t>
      </w:r>
      <w:r w:rsidR="006B2CA9">
        <w:rPr>
          <w:rFonts w:ascii="Arial" w:hAnsi="Arial" w:cs="Arial"/>
          <w:color w:val="000000"/>
          <w:kern w:val="1"/>
          <w:sz w:val="22"/>
          <w:szCs w:val="22"/>
        </w:rPr>
        <w:t>à la</w:t>
      </w:r>
      <w:r w:rsidR="006B2CA9" w:rsidRPr="00A64175">
        <w:rPr>
          <w:rFonts w:ascii="Arial" w:hAnsi="Arial" w:cs="Arial"/>
          <w:color w:val="000000"/>
          <w:kern w:val="1"/>
          <w:sz w:val="22"/>
          <w:szCs w:val="22"/>
        </w:rPr>
        <w:t xml:space="preserve"> </w:t>
      </w:r>
      <w:r w:rsidR="00F85819" w:rsidRPr="00A64175">
        <w:rPr>
          <w:rFonts w:ascii="Arial" w:hAnsi="Arial" w:cs="Arial"/>
          <w:color w:val="000000"/>
          <w:kern w:val="1"/>
          <w:sz w:val="22"/>
          <w:szCs w:val="22"/>
        </w:rPr>
        <w:t>présent</w:t>
      </w:r>
      <w:r w:rsidR="006B2CA9">
        <w:rPr>
          <w:rFonts w:ascii="Arial" w:hAnsi="Arial" w:cs="Arial"/>
          <w:color w:val="000000"/>
          <w:kern w:val="1"/>
          <w:sz w:val="22"/>
          <w:szCs w:val="22"/>
        </w:rPr>
        <w:t>e section</w:t>
      </w:r>
      <w:r w:rsidR="00F85819" w:rsidRPr="00A64175">
        <w:rPr>
          <w:rFonts w:ascii="Arial" w:hAnsi="Arial" w:cs="Arial"/>
          <w:color w:val="000000"/>
          <w:kern w:val="1"/>
          <w:sz w:val="22"/>
          <w:szCs w:val="22"/>
        </w:rPr>
        <w:t xml:space="preserve"> donnent lieu </w:t>
      </w:r>
      <w:r w:rsidR="00342513" w:rsidRPr="00A64175">
        <w:rPr>
          <w:rFonts w:ascii="Arial" w:hAnsi="Arial" w:cs="Arial"/>
          <w:color w:val="000000"/>
          <w:kern w:val="1"/>
          <w:sz w:val="22"/>
          <w:szCs w:val="22"/>
        </w:rPr>
        <w:t>au versement d’une commission</w:t>
      </w:r>
      <w:r w:rsidR="00E467DC" w:rsidRPr="00A64175">
        <w:rPr>
          <w:rFonts w:ascii="Arial" w:hAnsi="Arial" w:cs="Arial"/>
          <w:color w:val="000000"/>
          <w:kern w:val="1"/>
          <w:sz w:val="22"/>
          <w:szCs w:val="22"/>
        </w:rPr>
        <w:t xml:space="preserve"> dont le montant est précisé dans une</w:t>
      </w:r>
      <w:r w:rsidR="00F85819" w:rsidRPr="00A64175">
        <w:rPr>
          <w:rFonts w:ascii="Arial" w:hAnsi="Arial" w:cs="Arial"/>
          <w:color w:val="000000"/>
          <w:kern w:val="1"/>
          <w:sz w:val="22"/>
          <w:szCs w:val="22"/>
        </w:rPr>
        <w:t xml:space="preserve"> instruction de la COSUMAF.</w:t>
      </w:r>
    </w:p>
    <w:p w14:paraId="2EA307DB" w14:textId="77777777" w:rsidR="00F85819" w:rsidRPr="00A64175" w:rsidRDefault="00F85819" w:rsidP="00A64175">
      <w:pPr>
        <w:widowControl w:val="0"/>
        <w:autoSpaceDE w:val="0"/>
        <w:adjustRightInd w:val="0"/>
        <w:jc w:val="both"/>
        <w:rPr>
          <w:rFonts w:ascii="Arial" w:hAnsi="Arial" w:cs="Arial"/>
          <w:color w:val="000000"/>
          <w:kern w:val="1"/>
          <w:sz w:val="22"/>
          <w:szCs w:val="22"/>
        </w:rPr>
      </w:pPr>
    </w:p>
    <w:p w14:paraId="66C2CAC0" w14:textId="58B996E5" w:rsidR="00D6274B"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1</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D6274B" w:rsidRPr="00A64175">
        <w:rPr>
          <w:rFonts w:ascii="Arial" w:hAnsi="Arial" w:cs="Arial"/>
          <w:color w:val="000000"/>
          <w:kern w:val="1"/>
          <w:sz w:val="22"/>
          <w:szCs w:val="22"/>
        </w:rPr>
        <w:t>L’examen d’habili</w:t>
      </w:r>
      <w:r w:rsidR="00D000C8" w:rsidRPr="00A64175">
        <w:rPr>
          <w:rFonts w:ascii="Arial" w:hAnsi="Arial" w:cs="Arial"/>
          <w:color w:val="000000"/>
          <w:kern w:val="1"/>
          <w:sz w:val="22"/>
          <w:szCs w:val="22"/>
        </w:rPr>
        <w:t>tation est organisé au moins deux</w:t>
      </w:r>
      <w:r w:rsidR="00D6274B" w:rsidRPr="00A64175">
        <w:rPr>
          <w:rFonts w:ascii="Arial" w:hAnsi="Arial" w:cs="Arial"/>
          <w:color w:val="000000"/>
          <w:kern w:val="1"/>
          <w:sz w:val="22"/>
          <w:szCs w:val="22"/>
        </w:rPr>
        <w:t xml:space="preserve"> fois par an.</w:t>
      </w:r>
    </w:p>
    <w:p w14:paraId="1F5BB861" w14:textId="77777777" w:rsidR="00D6274B" w:rsidRPr="00A64175" w:rsidRDefault="00D6274B" w:rsidP="00A64175">
      <w:pPr>
        <w:widowControl w:val="0"/>
        <w:autoSpaceDE w:val="0"/>
        <w:autoSpaceDN w:val="0"/>
        <w:adjustRightInd w:val="0"/>
        <w:jc w:val="both"/>
        <w:rPr>
          <w:rFonts w:ascii="Arial" w:hAnsi="Arial" w:cs="Arial"/>
          <w:color w:val="000000"/>
          <w:kern w:val="1"/>
          <w:sz w:val="22"/>
          <w:szCs w:val="22"/>
        </w:rPr>
      </w:pPr>
    </w:p>
    <w:p w14:paraId="3F71211E" w14:textId="73EB7EDC" w:rsidR="00F85819" w:rsidRPr="00A64175" w:rsidRDefault="00F85819"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La COSUMAF porte à la connaissance des structures et organismes soumis à son contr</w:t>
      </w:r>
      <w:r w:rsidR="00FD3FB2" w:rsidRPr="00A64175">
        <w:rPr>
          <w:rFonts w:ascii="Arial" w:hAnsi="Arial" w:cs="Arial"/>
          <w:color w:val="000000"/>
          <w:sz w:val="22"/>
          <w:szCs w:val="22"/>
        </w:rPr>
        <w:t>ôle</w:t>
      </w:r>
      <w:r w:rsidR="00D6274B" w:rsidRPr="00A64175">
        <w:rPr>
          <w:rFonts w:ascii="Arial" w:hAnsi="Arial" w:cs="Arial"/>
          <w:color w:val="000000"/>
          <w:sz w:val="22"/>
          <w:szCs w:val="22"/>
        </w:rPr>
        <w:t xml:space="preserve"> et du public,</w:t>
      </w:r>
      <w:r w:rsidR="00FD3FB2" w:rsidRPr="00A64175">
        <w:rPr>
          <w:rFonts w:ascii="Arial" w:hAnsi="Arial" w:cs="Arial"/>
          <w:color w:val="000000"/>
          <w:sz w:val="22"/>
          <w:szCs w:val="22"/>
        </w:rPr>
        <w:t xml:space="preserve"> sur son site internet et sur tout autre support jugé approprié</w:t>
      </w:r>
      <w:r w:rsidR="00D6274B" w:rsidRPr="00A64175">
        <w:rPr>
          <w:rFonts w:ascii="Arial" w:hAnsi="Arial" w:cs="Arial"/>
          <w:color w:val="000000"/>
          <w:sz w:val="22"/>
          <w:szCs w:val="22"/>
        </w:rPr>
        <w:t>, les dates et lieux de l’examen d’habilitation</w:t>
      </w:r>
      <w:r w:rsidRPr="00A64175">
        <w:rPr>
          <w:rFonts w:ascii="Arial" w:hAnsi="Arial" w:cs="Arial"/>
          <w:color w:val="000000"/>
          <w:sz w:val="22"/>
          <w:szCs w:val="22"/>
        </w:rPr>
        <w:t>.</w:t>
      </w:r>
    </w:p>
    <w:p w14:paraId="72105D74"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B4C0214"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DF8B520" w14:textId="17687725"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2</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Les personnes éligibles nouvellement recrutées disposent d’un délai de six (6) mois à compter de la date de recrutement pour se soumettre à l’examen d’habilitation. En vue de leur habilitation, les structures et organismes don</w:t>
      </w:r>
      <w:r w:rsidR="008201B8" w:rsidRPr="00A64175">
        <w:rPr>
          <w:rFonts w:ascii="Arial" w:hAnsi="Arial" w:cs="Arial"/>
          <w:color w:val="000000"/>
          <w:kern w:val="1"/>
          <w:sz w:val="22"/>
          <w:szCs w:val="22"/>
        </w:rPr>
        <w:t xml:space="preserve">t elles relèvent présentent </w:t>
      </w:r>
      <w:r w:rsidR="008201B8" w:rsidRPr="009228D4">
        <w:rPr>
          <w:rFonts w:ascii="Arial" w:hAnsi="Arial" w:cs="Arial"/>
          <w:color w:val="000000"/>
          <w:kern w:val="1"/>
          <w:sz w:val="22"/>
          <w:szCs w:val="22"/>
        </w:rPr>
        <w:t>au Secrétaire Général</w:t>
      </w:r>
      <w:r w:rsidR="00F85819" w:rsidRPr="009228D4">
        <w:rPr>
          <w:rFonts w:ascii="Arial" w:hAnsi="Arial" w:cs="Arial"/>
          <w:color w:val="000000"/>
          <w:kern w:val="1"/>
          <w:sz w:val="22"/>
          <w:szCs w:val="22"/>
        </w:rPr>
        <w:t xml:space="preserve"> de</w:t>
      </w:r>
      <w:r w:rsidR="00E830E6">
        <w:rPr>
          <w:rFonts w:ascii="Arial" w:hAnsi="Arial" w:cs="Arial"/>
          <w:color w:val="000000"/>
          <w:kern w:val="1"/>
          <w:sz w:val="22"/>
          <w:szCs w:val="22"/>
        </w:rPr>
        <w:t xml:space="preserve"> </w:t>
      </w:r>
      <w:r w:rsidR="00F85819" w:rsidRPr="00A64175">
        <w:rPr>
          <w:rFonts w:ascii="Arial" w:hAnsi="Arial" w:cs="Arial"/>
          <w:color w:val="000000"/>
          <w:kern w:val="1"/>
          <w:sz w:val="22"/>
          <w:szCs w:val="22"/>
        </w:rPr>
        <w:t>la COSUMAF les candidatures à la première session d’examen suivant l’expiration dudit délai de six (6) mois.</w:t>
      </w:r>
    </w:p>
    <w:p w14:paraId="143B7D09" w14:textId="77777777" w:rsidR="00BD745C" w:rsidRPr="00A64175" w:rsidRDefault="00BD745C" w:rsidP="00A64175">
      <w:pPr>
        <w:widowControl w:val="0"/>
        <w:autoSpaceDE w:val="0"/>
        <w:autoSpaceDN w:val="0"/>
        <w:adjustRightInd w:val="0"/>
        <w:jc w:val="both"/>
        <w:rPr>
          <w:rFonts w:ascii="Arial" w:hAnsi="Arial" w:cs="Arial"/>
          <w:color w:val="000000"/>
          <w:kern w:val="1"/>
          <w:sz w:val="22"/>
          <w:szCs w:val="22"/>
        </w:rPr>
      </w:pPr>
    </w:p>
    <w:p w14:paraId="49387E83" w14:textId="1DAF7D84" w:rsidR="00BD745C"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3</w:t>
      </w:r>
      <w:r w:rsidR="00BD745C" w:rsidRPr="00A64175">
        <w:rPr>
          <w:rFonts w:ascii="Arial" w:hAnsi="Arial" w:cs="Arial"/>
          <w:b/>
          <w:bCs/>
          <w:color w:val="000000"/>
          <w:sz w:val="22"/>
          <w:szCs w:val="22"/>
        </w:rPr>
        <w:t xml:space="preserve">. </w:t>
      </w:r>
      <w:r w:rsidR="00BD745C" w:rsidRPr="00A64175">
        <w:rPr>
          <w:rFonts w:ascii="Arial" w:hAnsi="Arial" w:cs="Arial"/>
          <w:color w:val="000000"/>
          <w:kern w:val="1"/>
          <w:sz w:val="22"/>
          <w:szCs w:val="22"/>
        </w:rPr>
        <w:t>– Le niveau de réussite à l’</w:t>
      </w:r>
      <w:r w:rsidR="009F1409" w:rsidRPr="00A64175">
        <w:rPr>
          <w:rFonts w:ascii="Arial" w:hAnsi="Arial" w:cs="Arial"/>
          <w:color w:val="000000"/>
          <w:kern w:val="1"/>
          <w:sz w:val="22"/>
          <w:szCs w:val="22"/>
        </w:rPr>
        <w:t xml:space="preserve">examen est fixé à </w:t>
      </w:r>
      <w:r w:rsidR="009F1409" w:rsidRPr="00480280">
        <w:rPr>
          <w:rFonts w:ascii="Arial" w:hAnsi="Arial" w:cs="Arial"/>
          <w:strike/>
          <w:color w:val="000000"/>
          <w:kern w:val="1"/>
          <w:sz w:val="22"/>
          <w:szCs w:val="22"/>
        </w:rPr>
        <w:t>6</w:t>
      </w:r>
      <w:r w:rsidR="00BD745C" w:rsidRPr="00480280">
        <w:rPr>
          <w:rFonts w:ascii="Arial" w:hAnsi="Arial" w:cs="Arial"/>
          <w:strike/>
          <w:color w:val="000000"/>
          <w:kern w:val="1"/>
          <w:sz w:val="22"/>
          <w:szCs w:val="22"/>
        </w:rPr>
        <w:t>0</w:t>
      </w:r>
      <w:r w:rsidR="00BD745C" w:rsidRPr="00A64175">
        <w:rPr>
          <w:rFonts w:ascii="Arial" w:hAnsi="Arial" w:cs="Arial"/>
          <w:color w:val="000000"/>
          <w:kern w:val="1"/>
          <w:sz w:val="22"/>
          <w:szCs w:val="22"/>
        </w:rPr>
        <w:t xml:space="preserve">% </w:t>
      </w:r>
      <w:r w:rsidR="00E830E6">
        <w:rPr>
          <w:rFonts w:ascii="Arial" w:hAnsi="Arial" w:cs="Arial"/>
          <w:color w:val="000000"/>
          <w:kern w:val="1"/>
          <w:sz w:val="22"/>
          <w:szCs w:val="22"/>
        </w:rPr>
        <w:t xml:space="preserve">70% </w:t>
      </w:r>
      <w:r w:rsidR="009F1409" w:rsidRPr="00A64175">
        <w:rPr>
          <w:rFonts w:ascii="Arial" w:hAnsi="Arial" w:cs="Arial"/>
          <w:color w:val="000000"/>
          <w:kern w:val="1"/>
          <w:sz w:val="22"/>
          <w:szCs w:val="22"/>
        </w:rPr>
        <w:t>de bonnes réponses.</w:t>
      </w:r>
    </w:p>
    <w:p w14:paraId="394949D8"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AC722D8" w14:textId="706EF7D5" w:rsidR="009F140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4</w:t>
      </w:r>
      <w:r w:rsidR="009F1409" w:rsidRPr="00A64175">
        <w:rPr>
          <w:rFonts w:ascii="Arial" w:hAnsi="Arial" w:cs="Arial"/>
          <w:b/>
          <w:bCs/>
          <w:color w:val="000000"/>
          <w:sz w:val="22"/>
          <w:szCs w:val="22"/>
        </w:rPr>
        <w:t xml:space="preserve">. </w:t>
      </w:r>
      <w:r w:rsidR="009F1409" w:rsidRPr="00A64175">
        <w:rPr>
          <w:rFonts w:ascii="Arial" w:hAnsi="Arial" w:cs="Arial"/>
          <w:color w:val="000000"/>
          <w:kern w:val="1"/>
          <w:sz w:val="22"/>
          <w:szCs w:val="22"/>
        </w:rPr>
        <w:t xml:space="preserve">– L’organisateur de l’examen doit </w:t>
      </w:r>
      <w:r w:rsidR="005D0905" w:rsidRPr="00A64175">
        <w:rPr>
          <w:rFonts w:ascii="Arial" w:hAnsi="Arial" w:cs="Arial"/>
          <w:color w:val="000000"/>
          <w:kern w:val="1"/>
          <w:sz w:val="22"/>
          <w:szCs w:val="22"/>
        </w:rPr>
        <w:t>transmettre les résultats de l’évaluation à chaque candidat et à la COSUMAF.</w:t>
      </w:r>
    </w:p>
    <w:p w14:paraId="1F3CCFA8" w14:textId="77777777" w:rsidR="005D0905" w:rsidRPr="00A64175" w:rsidRDefault="005D0905" w:rsidP="00A64175">
      <w:pPr>
        <w:widowControl w:val="0"/>
        <w:autoSpaceDE w:val="0"/>
        <w:autoSpaceDN w:val="0"/>
        <w:adjustRightInd w:val="0"/>
        <w:jc w:val="both"/>
        <w:rPr>
          <w:rFonts w:ascii="Arial" w:hAnsi="Arial" w:cs="Arial"/>
          <w:color w:val="000000"/>
          <w:kern w:val="1"/>
          <w:sz w:val="22"/>
          <w:szCs w:val="22"/>
        </w:rPr>
      </w:pPr>
    </w:p>
    <w:p w14:paraId="73A8B46A" w14:textId="6F156824" w:rsidR="005D0905" w:rsidRPr="00A64175" w:rsidRDefault="005D0905"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 xml:space="preserve">Les résultats doivent être conservés par l’organisateur sur un support durable. </w:t>
      </w:r>
    </w:p>
    <w:p w14:paraId="23492EDB" w14:textId="77777777" w:rsidR="005D0905" w:rsidRPr="00A64175" w:rsidRDefault="005D0905" w:rsidP="00A64175">
      <w:pPr>
        <w:widowControl w:val="0"/>
        <w:autoSpaceDE w:val="0"/>
        <w:autoSpaceDN w:val="0"/>
        <w:adjustRightInd w:val="0"/>
        <w:jc w:val="both"/>
        <w:rPr>
          <w:rFonts w:ascii="Arial" w:hAnsi="Arial" w:cs="Arial"/>
          <w:color w:val="000000"/>
          <w:kern w:val="1"/>
          <w:sz w:val="22"/>
          <w:szCs w:val="22"/>
        </w:rPr>
      </w:pPr>
    </w:p>
    <w:p w14:paraId="04908E0A" w14:textId="77777777" w:rsidR="009F1409" w:rsidRPr="00A64175" w:rsidRDefault="009F1409" w:rsidP="00A64175">
      <w:pPr>
        <w:widowControl w:val="0"/>
        <w:autoSpaceDE w:val="0"/>
        <w:autoSpaceDN w:val="0"/>
        <w:adjustRightInd w:val="0"/>
        <w:jc w:val="both"/>
        <w:rPr>
          <w:rFonts w:ascii="Arial" w:hAnsi="Arial" w:cs="Arial"/>
          <w:color w:val="000000"/>
          <w:kern w:val="1"/>
          <w:sz w:val="22"/>
          <w:szCs w:val="22"/>
        </w:rPr>
      </w:pPr>
    </w:p>
    <w:p w14:paraId="4BA2A64E" w14:textId="6C26A023"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5</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Tout échec à l’examen d’habilitation, y compris en cas de demande de renouvellement d’habilitation, emporte le droit pour le candidat de se présenter à la session d’examen suivante. Ledit candidat continue à exercer ses fonctions auprès de la structure ou de l’organisme dont il relève, jusqu’à sa présentation, sous la responsabilité de la structure ou organisme dont </w:t>
      </w:r>
      <w:r w:rsidR="00EC060B" w:rsidRPr="00A64175">
        <w:rPr>
          <w:rFonts w:ascii="Arial" w:hAnsi="Arial" w:cs="Arial"/>
          <w:color w:val="000000"/>
          <w:kern w:val="1"/>
          <w:sz w:val="22"/>
          <w:szCs w:val="22"/>
        </w:rPr>
        <w:t>il</w:t>
      </w:r>
      <w:r w:rsidR="00F85819" w:rsidRPr="00A64175">
        <w:rPr>
          <w:rFonts w:ascii="Arial" w:hAnsi="Arial" w:cs="Arial"/>
          <w:color w:val="000000"/>
          <w:kern w:val="1"/>
          <w:sz w:val="22"/>
          <w:szCs w:val="22"/>
        </w:rPr>
        <w:t xml:space="preserve"> relève, à la session d’examen suivante.</w:t>
      </w:r>
    </w:p>
    <w:p w14:paraId="39D2D913"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68DE8677"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L’échec à trois sessions d’examen successives entraîne la cessation obligatoire de l’exercice de toute fonction soumise à habilitation jusqu’à la réussite. Les candidats ayant ainsi échoué recouvrent le droit d’exercer toute fonction de cette nature dès leur réussite à l’examen d’habilitation.</w:t>
      </w:r>
    </w:p>
    <w:p w14:paraId="3BD977E5"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0D95EEA" w14:textId="6FAFA635"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6</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Les résultats </w:t>
      </w:r>
      <w:r w:rsidR="00BD0E86" w:rsidRPr="00A64175">
        <w:rPr>
          <w:rFonts w:ascii="Arial" w:hAnsi="Arial" w:cs="Arial"/>
          <w:color w:val="000000"/>
          <w:kern w:val="1"/>
          <w:sz w:val="22"/>
          <w:szCs w:val="22"/>
        </w:rPr>
        <w:t>de</w:t>
      </w:r>
      <w:r w:rsidR="00F85819" w:rsidRPr="00A64175">
        <w:rPr>
          <w:rFonts w:ascii="Arial" w:hAnsi="Arial" w:cs="Arial"/>
          <w:color w:val="000000"/>
          <w:kern w:val="1"/>
          <w:sz w:val="22"/>
          <w:szCs w:val="22"/>
        </w:rPr>
        <w:t xml:space="preserve"> l’examen d’habilitatio</w:t>
      </w:r>
      <w:r w:rsidR="008201B8" w:rsidRPr="00A64175">
        <w:rPr>
          <w:rFonts w:ascii="Arial" w:hAnsi="Arial" w:cs="Arial"/>
          <w:color w:val="000000"/>
          <w:kern w:val="1"/>
          <w:sz w:val="22"/>
          <w:szCs w:val="22"/>
        </w:rPr>
        <w:t xml:space="preserve">n sont adressés </w:t>
      </w:r>
      <w:r w:rsidR="008201B8" w:rsidRPr="009228D4">
        <w:rPr>
          <w:rFonts w:ascii="Arial" w:hAnsi="Arial" w:cs="Arial"/>
          <w:color w:val="000000"/>
          <w:kern w:val="1"/>
          <w:sz w:val="22"/>
          <w:szCs w:val="22"/>
        </w:rPr>
        <w:t>par le Secrétaire Général</w:t>
      </w:r>
      <w:r w:rsidR="00F85819" w:rsidRPr="009228D4">
        <w:rPr>
          <w:rFonts w:ascii="Arial" w:hAnsi="Arial" w:cs="Arial"/>
          <w:color w:val="000000"/>
          <w:kern w:val="1"/>
          <w:sz w:val="22"/>
          <w:szCs w:val="22"/>
        </w:rPr>
        <w:t xml:space="preserve"> de</w:t>
      </w:r>
      <w:r w:rsidR="00E830E6">
        <w:rPr>
          <w:rFonts w:ascii="Arial" w:hAnsi="Arial" w:cs="Arial"/>
          <w:color w:val="000000"/>
          <w:kern w:val="1"/>
          <w:sz w:val="22"/>
          <w:szCs w:val="22"/>
        </w:rPr>
        <w:t xml:space="preserve"> </w:t>
      </w:r>
      <w:r w:rsidR="00F85819" w:rsidRPr="00A64175">
        <w:rPr>
          <w:rFonts w:ascii="Arial" w:hAnsi="Arial" w:cs="Arial"/>
          <w:color w:val="000000"/>
          <w:kern w:val="1"/>
          <w:sz w:val="22"/>
          <w:szCs w:val="22"/>
        </w:rPr>
        <w:t>la COSUMAF à la structure ou l’organisme concerné, accompagnés de la décision d’habilitation et de la carte professionnelle y afférente.</w:t>
      </w:r>
    </w:p>
    <w:p w14:paraId="4E1AFEDD"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CB0458A"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1168B67F" w14:textId="77777777" w:rsidR="00F85819" w:rsidRPr="00A64175" w:rsidRDefault="00B918C8" w:rsidP="00A64175">
      <w:pPr>
        <w:widowControl w:val="0"/>
        <w:autoSpaceDE w:val="0"/>
        <w:autoSpaceDN w:val="0"/>
        <w:adjustRightInd w:val="0"/>
        <w:jc w:val="both"/>
        <w:rPr>
          <w:rFonts w:ascii="Arial" w:hAnsi="Arial" w:cs="Arial"/>
          <w:b/>
          <w:color w:val="000000"/>
          <w:kern w:val="1"/>
          <w:sz w:val="22"/>
          <w:szCs w:val="22"/>
        </w:rPr>
      </w:pPr>
      <w:r w:rsidRPr="00A64175">
        <w:rPr>
          <w:rFonts w:ascii="Arial" w:hAnsi="Arial" w:cs="Arial"/>
          <w:b/>
          <w:color w:val="000000"/>
          <w:kern w:val="1"/>
          <w:sz w:val="22"/>
          <w:szCs w:val="22"/>
        </w:rPr>
        <w:t>Section III</w:t>
      </w:r>
      <w:r w:rsidR="00F85819" w:rsidRPr="00A64175">
        <w:rPr>
          <w:rFonts w:ascii="Arial" w:hAnsi="Arial" w:cs="Arial"/>
          <w:b/>
          <w:color w:val="000000"/>
          <w:kern w:val="1"/>
          <w:sz w:val="22"/>
          <w:szCs w:val="22"/>
        </w:rPr>
        <w:t> : Durée et renouvellement de l’habilitation</w:t>
      </w:r>
    </w:p>
    <w:p w14:paraId="792DE73F"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10D562B"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7AF9A3F" w14:textId="40883CD6" w:rsidR="00F85819"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7</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w:t>
      </w:r>
      <w:r w:rsidR="00F85819" w:rsidRPr="00A64175">
        <w:rPr>
          <w:rFonts w:ascii="Arial" w:hAnsi="Arial" w:cs="Arial"/>
          <w:color w:val="000000"/>
          <w:sz w:val="22"/>
          <w:szCs w:val="22"/>
        </w:rPr>
        <w:t>L’habilitation est délivrée pour une durée</w:t>
      </w:r>
      <w:r w:rsidR="006073EF" w:rsidRPr="00A64175">
        <w:rPr>
          <w:rFonts w:ascii="Arial" w:hAnsi="Arial" w:cs="Arial"/>
          <w:color w:val="000000"/>
          <w:sz w:val="22"/>
          <w:szCs w:val="22"/>
        </w:rPr>
        <w:t xml:space="preserve"> de trois (3</w:t>
      </w:r>
      <w:r w:rsidR="00F85819" w:rsidRPr="00A64175">
        <w:rPr>
          <w:rFonts w:ascii="Arial" w:hAnsi="Arial" w:cs="Arial"/>
          <w:color w:val="000000"/>
          <w:sz w:val="22"/>
          <w:szCs w:val="22"/>
        </w:rPr>
        <w:t>) ans à compter de la date de la décision y afférente.</w:t>
      </w:r>
    </w:p>
    <w:p w14:paraId="16BD28A6" w14:textId="77777777" w:rsidR="00F85819" w:rsidRPr="00A64175" w:rsidRDefault="00F85819" w:rsidP="00A64175">
      <w:pPr>
        <w:widowControl w:val="0"/>
        <w:autoSpaceDE w:val="0"/>
        <w:autoSpaceDN w:val="0"/>
        <w:adjustRightInd w:val="0"/>
        <w:jc w:val="both"/>
        <w:rPr>
          <w:rFonts w:ascii="Arial" w:hAnsi="Arial" w:cs="Arial"/>
          <w:color w:val="000000"/>
          <w:sz w:val="22"/>
          <w:szCs w:val="22"/>
        </w:rPr>
      </w:pPr>
    </w:p>
    <w:p w14:paraId="71CD1FE6" w14:textId="77777777" w:rsidR="00F85819" w:rsidRPr="00A64175" w:rsidRDefault="00F85819"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Les personnes éligibles peuvent être détentrices d’une ou de plusieurs cartes professionnelles pour des fonctions non incompatibles.</w:t>
      </w:r>
    </w:p>
    <w:p w14:paraId="654DB237" w14:textId="77777777" w:rsidR="00F85819" w:rsidRPr="00A64175" w:rsidRDefault="00F85819" w:rsidP="00A64175">
      <w:pPr>
        <w:widowControl w:val="0"/>
        <w:autoSpaceDE w:val="0"/>
        <w:autoSpaceDN w:val="0"/>
        <w:adjustRightInd w:val="0"/>
        <w:jc w:val="both"/>
        <w:rPr>
          <w:rFonts w:ascii="Arial" w:hAnsi="Arial" w:cs="Arial"/>
          <w:color w:val="000000"/>
          <w:sz w:val="22"/>
          <w:szCs w:val="22"/>
        </w:rPr>
      </w:pPr>
    </w:p>
    <w:p w14:paraId="70BAC4F7" w14:textId="5EAFDAF1"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Ava</w:t>
      </w:r>
      <w:r w:rsidR="006073EF" w:rsidRPr="00A64175">
        <w:rPr>
          <w:rFonts w:ascii="Arial" w:hAnsi="Arial" w:cs="Arial"/>
          <w:color w:val="000000"/>
          <w:sz w:val="22"/>
          <w:szCs w:val="22"/>
        </w:rPr>
        <w:t>nt l’expiration du délai de trois</w:t>
      </w:r>
      <w:r w:rsidRPr="00A64175">
        <w:rPr>
          <w:rFonts w:ascii="Arial" w:hAnsi="Arial" w:cs="Arial"/>
          <w:color w:val="000000"/>
          <w:sz w:val="22"/>
          <w:szCs w:val="22"/>
        </w:rPr>
        <w:t xml:space="preserve"> </w:t>
      </w:r>
      <w:r w:rsidR="006073EF" w:rsidRPr="00A64175">
        <w:rPr>
          <w:rFonts w:ascii="Arial" w:hAnsi="Arial" w:cs="Arial"/>
          <w:color w:val="000000"/>
          <w:sz w:val="22"/>
          <w:szCs w:val="22"/>
        </w:rPr>
        <w:t>(3</w:t>
      </w:r>
      <w:r w:rsidR="004F5C3D" w:rsidRPr="00A64175">
        <w:rPr>
          <w:rFonts w:ascii="Arial" w:hAnsi="Arial" w:cs="Arial"/>
          <w:color w:val="000000"/>
          <w:sz w:val="22"/>
          <w:szCs w:val="22"/>
        </w:rPr>
        <w:t xml:space="preserve">) </w:t>
      </w:r>
      <w:r w:rsidRPr="00A64175">
        <w:rPr>
          <w:rFonts w:ascii="Arial" w:hAnsi="Arial" w:cs="Arial"/>
          <w:color w:val="000000"/>
          <w:sz w:val="22"/>
          <w:szCs w:val="22"/>
        </w:rPr>
        <w:t>ans visé à l’alinéa premier du présent article, un renouvellement</w:t>
      </w:r>
      <w:r w:rsidR="008653C2" w:rsidRPr="00A64175">
        <w:rPr>
          <w:rFonts w:ascii="Arial" w:hAnsi="Arial" w:cs="Arial"/>
          <w:color w:val="000000"/>
          <w:sz w:val="22"/>
          <w:szCs w:val="22"/>
        </w:rPr>
        <w:t xml:space="preserve"> doit être</w:t>
      </w:r>
      <w:r w:rsidR="008201B8" w:rsidRPr="00A64175">
        <w:rPr>
          <w:rFonts w:ascii="Arial" w:hAnsi="Arial" w:cs="Arial"/>
          <w:color w:val="000000"/>
          <w:sz w:val="22"/>
          <w:szCs w:val="22"/>
        </w:rPr>
        <w:t xml:space="preserve"> sollicité auprès du Secrétaire</w:t>
      </w:r>
      <w:r w:rsidR="008653C2" w:rsidRPr="00A64175">
        <w:rPr>
          <w:rFonts w:ascii="Arial" w:hAnsi="Arial" w:cs="Arial"/>
          <w:color w:val="000000"/>
          <w:sz w:val="22"/>
          <w:szCs w:val="22"/>
        </w:rPr>
        <w:t xml:space="preserve"> Général de la COSUMAF</w:t>
      </w:r>
      <w:r w:rsidRPr="00A64175">
        <w:rPr>
          <w:rFonts w:ascii="Arial" w:hAnsi="Arial" w:cs="Arial"/>
          <w:color w:val="000000"/>
          <w:sz w:val="22"/>
          <w:szCs w:val="22"/>
        </w:rPr>
        <w:t>.</w:t>
      </w:r>
    </w:p>
    <w:p w14:paraId="48232187"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06CA242B"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En vue du renouvellement de leur habilitation, les personnes concernées sont tenues de se soumettre à l’examen d’habilitation.</w:t>
      </w:r>
    </w:p>
    <w:p w14:paraId="13DA3D39"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66B5EA4" w14:textId="6069E9C9"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 xml:space="preserve">Les personnes justifiant d’une expérience égale ou supérieure à dix (10) ans </w:t>
      </w:r>
      <w:r w:rsidR="005279A1">
        <w:rPr>
          <w:rFonts w:ascii="Arial" w:hAnsi="Arial" w:cs="Arial"/>
          <w:color w:val="000000"/>
          <w:kern w:val="1"/>
          <w:sz w:val="22"/>
          <w:szCs w:val="22"/>
        </w:rPr>
        <w:t>sur le marché financier régional sont</w:t>
      </w:r>
      <w:r w:rsidR="005279A1" w:rsidRPr="00A64175">
        <w:rPr>
          <w:rFonts w:ascii="Arial" w:hAnsi="Arial" w:cs="Arial"/>
          <w:color w:val="000000"/>
          <w:kern w:val="1"/>
          <w:sz w:val="22"/>
          <w:szCs w:val="22"/>
        </w:rPr>
        <w:t xml:space="preserve"> </w:t>
      </w:r>
      <w:r w:rsidR="008201B8" w:rsidRPr="00A64175">
        <w:rPr>
          <w:rFonts w:ascii="Arial" w:hAnsi="Arial" w:cs="Arial"/>
          <w:color w:val="000000"/>
          <w:kern w:val="1"/>
          <w:sz w:val="22"/>
          <w:szCs w:val="22"/>
        </w:rPr>
        <w:t xml:space="preserve">dispensées, </w:t>
      </w:r>
      <w:r w:rsidR="008201B8" w:rsidRPr="0082170C">
        <w:rPr>
          <w:rFonts w:ascii="Arial" w:hAnsi="Arial" w:cs="Arial"/>
          <w:color w:val="000000"/>
          <w:kern w:val="1"/>
          <w:sz w:val="22"/>
          <w:szCs w:val="22"/>
        </w:rPr>
        <w:t>par le Secrétaire Général</w:t>
      </w:r>
      <w:r w:rsidRPr="0082170C">
        <w:rPr>
          <w:rFonts w:ascii="Arial" w:hAnsi="Arial" w:cs="Arial"/>
          <w:color w:val="000000"/>
          <w:kern w:val="1"/>
          <w:sz w:val="22"/>
          <w:szCs w:val="22"/>
        </w:rPr>
        <w:t xml:space="preserve"> de la COSUMAF,</w:t>
      </w:r>
      <w:r w:rsidRPr="00A64175">
        <w:rPr>
          <w:rFonts w:ascii="Arial" w:hAnsi="Arial" w:cs="Arial"/>
          <w:color w:val="000000"/>
          <w:kern w:val="1"/>
          <w:sz w:val="22"/>
          <w:szCs w:val="22"/>
        </w:rPr>
        <w:t xml:space="preserve"> de se soumettre à l’examen de renouvellement visé à l’alinéa 3 du présent article. Ces personnes demeurent toutefois tenues de solliciter le renouvellement, sur dossier, de leur habilitation en vue de l’attribution d’une nouvelle carte professionnelle.</w:t>
      </w:r>
    </w:p>
    <w:p w14:paraId="501A967D"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70C1C3E" w14:textId="5A3ABE4D"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2</w:t>
      </w:r>
      <w:r w:rsidR="007B038E">
        <w:rPr>
          <w:rFonts w:ascii="Arial" w:hAnsi="Arial" w:cs="Arial"/>
          <w:b/>
          <w:bCs/>
          <w:color w:val="000000"/>
          <w:sz w:val="22"/>
          <w:szCs w:val="22"/>
        </w:rPr>
        <w:t>8</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Toute demande d’habilitation ou de renouvellement d’habili</w:t>
      </w:r>
      <w:r w:rsidR="008201B8" w:rsidRPr="00A64175">
        <w:rPr>
          <w:rFonts w:ascii="Arial" w:hAnsi="Arial" w:cs="Arial"/>
          <w:color w:val="000000"/>
          <w:kern w:val="1"/>
          <w:sz w:val="22"/>
          <w:szCs w:val="22"/>
        </w:rPr>
        <w:t>tation est adressée au Secrétaire Général</w:t>
      </w:r>
      <w:r w:rsidR="00F85819" w:rsidRPr="00A64175">
        <w:rPr>
          <w:rFonts w:ascii="Arial" w:hAnsi="Arial" w:cs="Arial"/>
          <w:color w:val="000000"/>
          <w:kern w:val="1"/>
          <w:sz w:val="22"/>
          <w:szCs w:val="22"/>
        </w:rPr>
        <w:t xml:space="preserve"> de la COSUMAF par les structures ou organismes dont relèvent les candidats à l’habilitation.</w:t>
      </w:r>
    </w:p>
    <w:p w14:paraId="16A44068"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36478D01"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Une instruction de la COSUMAF précise les modalités du dépôt des demandes d’habilitation ou de renouvellement d’habilitation et le contenu des dossiers y afférents. Sont également précisés la forme et les mentions de la carte professionnelle.</w:t>
      </w:r>
    </w:p>
    <w:p w14:paraId="71F9342E"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0053BA3B" w14:textId="1AA37A99" w:rsidR="00F85819" w:rsidRPr="00A64175" w:rsidRDefault="008D5BF8"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w:t>
      </w:r>
      <w:r w:rsidR="00A41766" w:rsidRPr="00A64175">
        <w:rPr>
          <w:rFonts w:ascii="Arial" w:hAnsi="Arial" w:cs="Arial"/>
          <w:b/>
          <w:bCs/>
          <w:color w:val="000000"/>
          <w:sz w:val="22"/>
          <w:szCs w:val="22"/>
        </w:rPr>
        <w:t>cle 2</w:t>
      </w:r>
      <w:r w:rsidR="007B038E">
        <w:rPr>
          <w:rFonts w:ascii="Arial" w:hAnsi="Arial" w:cs="Arial"/>
          <w:b/>
          <w:bCs/>
          <w:color w:val="000000"/>
          <w:sz w:val="22"/>
          <w:szCs w:val="22"/>
        </w:rPr>
        <w:t>9</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La décision d’habilitation f</w:t>
      </w:r>
      <w:r w:rsidR="005971F0" w:rsidRPr="00A64175">
        <w:rPr>
          <w:rFonts w:ascii="Arial" w:hAnsi="Arial" w:cs="Arial"/>
          <w:color w:val="000000"/>
          <w:kern w:val="1"/>
          <w:sz w:val="22"/>
          <w:szCs w:val="22"/>
        </w:rPr>
        <w:t>ait l’objet d’un avis publié sur le site internet de</w:t>
      </w:r>
      <w:r w:rsidR="00F85819" w:rsidRPr="00A64175">
        <w:rPr>
          <w:rFonts w:ascii="Arial" w:hAnsi="Arial" w:cs="Arial"/>
          <w:color w:val="000000"/>
          <w:kern w:val="1"/>
          <w:sz w:val="22"/>
          <w:szCs w:val="22"/>
        </w:rPr>
        <w:t xml:space="preserve"> la COSUMAF.</w:t>
      </w:r>
    </w:p>
    <w:p w14:paraId="271C241B"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6048F9B4" w14:textId="0CA30545" w:rsidR="00D00BC4" w:rsidRPr="00A64175" w:rsidRDefault="00A41766" w:rsidP="00A64175">
      <w:pPr>
        <w:widowControl w:val="0"/>
        <w:autoSpaceDE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30</w:t>
      </w:r>
      <w:r w:rsidR="00D00BC4" w:rsidRPr="00A64175">
        <w:rPr>
          <w:rFonts w:ascii="Arial" w:hAnsi="Arial" w:cs="Arial"/>
          <w:b/>
          <w:bCs/>
          <w:color w:val="000000"/>
          <w:sz w:val="22"/>
          <w:szCs w:val="22"/>
        </w:rPr>
        <w:t xml:space="preserve">. </w:t>
      </w:r>
      <w:r w:rsidR="00D00BC4" w:rsidRPr="00A64175">
        <w:rPr>
          <w:rFonts w:ascii="Arial" w:hAnsi="Arial" w:cs="Arial"/>
          <w:color w:val="000000"/>
          <w:kern w:val="1"/>
          <w:sz w:val="22"/>
          <w:szCs w:val="22"/>
        </w:rPr>
        <w:t xml:space="preserve">– La COSUMAF tient un registre des personnes habilitées. Ce registre est publié et régulièrement mis à jour sur le site internet de la COSUMAF. </w:t>
      </w:r>
    </w:p>
    <w:p w14:paraId="19EEEB1D" w14:textId="7995AC31" w:rsidR="00D00BC4" w:rsidRPr="00A64175" w:rsidRDefault="00D00BC4" w:rsidP="00A64175">
      <w:pPr>
        <w:widowControl w:val="0"/>
        <w:autoSpaceDE w:val="0"/>
        <w:autoSpaceDN w:val="0"/>
        <w:adjustRightInd w:val="0"/>
        <w:jc w:val="both"/>
        <w:rPr>
          <w:rFonts w:ascii="Arial" w:hAnsi="Arial" w:cs="Arial"/>
          <w:color w:val="000000"/>
          <w:kern w:val="1"/>
          <w:sz w:val="22"/>
          <w:szCs w:val="22"/>
        </w:rPr>
      </w:pPr>
    </w:p>
    <w:p w14:paraId="7DA1DBE6"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457E08B5" w14:textId="77777777" w:rsidR="00F85819" w:rsidRPr="00A64175" w:rsidRDefault="00F85819" w:rsidP="00A64175">
      <w:pPr>
        <w:widowControl w:val="0"/>
        <w:autoSpaceDE w:val="0"/>
        <w:autoSpaceDN w:val="0"/>
        <w:adjustRightInd w:val="0"/>
        <w:jc w:val="both"/>
        <w:rPr>
          <w:rFonts w:ascii="Arial" w:hAnsi="Arial" w:cs="Arial"/>
          <w:b/>
          <w:color w:val="000000"/>
          <w:kern w:val="1"/>
          <w:sz w:val="22"/>
          <w:szCs w:val="22"/>
        </w:rPr>
      </w:pPr>
      <w:r w:rsidRPr="00A64175">
        <w:rPr>
          <w:rFonts w:ascii="Arial" w:hAnsi="Arial" w:cs="Arial"/>
          <w:b/>
          <w:color w:val="000000"/>
          <w:kern w:val="1"/>
          <w:sz w:val="22"/>
          <w:szCs w:val="22"/>
        </w:rPr>
        <w:t>Se</w:t>
      </w:r>
      <w:r w:rsidR="00B918C8" w:rsidRPr="00A64175">
        <w:rPr>
          <w:rFonts w:ascii="Arial" w:hAnsi="Arial" w:cs="Arial"/>
          <w:b/>
          <w:color w:val="000000"/>
          <w:kern w:val="1"/>
          <w:sz w:val="22"/>
          <w:szCs w:val="22"/>
        </w:rPr>
        <w:t>ction IV</w:t>
      </w:r>
      <w:r w:rsidRPr="00A64175">
        <w:rPr>
          <w:rFonts w:ascii="Arial" w:hAnsi="Arial" w:cs="Arial"/>
          <w:b/>
          <w:color w:val="000000"/>
          <w:kern w:val="1"/>
          <w:sz w:val="22"/>
          <w:szCs w:val="22"/>
        </w:rPr>
        <w:t> : Suspension, retrait et expiration de l’habilitation</w:t>
      </w:r>
    </w:p>
    <w:p w14:paraId="0F20CEDD"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8ACB638"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14D77C8E" w14:textId="650DD8B1"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1</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En cas de non sollicitation d’un renouvellement, les </w:t>
      </w:r>
      <w:r w:rsidR="00AB6176" w:rsidRPr="00A64175">
        <w:rPr>
          <w:rFonts w:ascii="Arial" w:hAnsi="Arial" w:cs="Arial"/>
          <w:color w:val="000000"/>
          <w:kern w:val="1"/>
          <w:sz w:val="22"/>
          <w:szCs w:val="22"/>
        </w:rPr>
        <w:t>habilitations délivrées par le P</w:t>
      </w:r>
      <w:r w:rsidR="00F85819" w:rsidRPr="00A64175">
        <w:rPr>
          <w:rFonts w:ascii="Arial" w:hAnsi="Arial" w:cs="Arial"/>
          <w:color w:val="000000"/>
          <w:kern w:val="1"/>
          <w:sz w:val="22"/>
          <w:szCs w:val="22"/>
        </w:rPr>
        <w:t>résident de la COSUMAF expirent à</w:t>
      </w:r>
      <w:r w:rsidR="00D75ECF" w:rsidRPr="00A64175">
        <w:rPr>
          <w:rFonts w:ascii="Arial" w:hAnsi="Arial" w:cs="Arial"/>
          <w:color w:val="000000"/>
          <w:kern w:val="1"/>
          <w:sz w:val="22"/>
          <w:szCs w:val="22"/>
        </w:rPr>
        <w:t xml:space="preserve"> l’arrivée de leur terme de trois (3</w:t>
      </w:r>
      <w:r w:rsidR="00F85819" w:rsidRPr="00A64175">
        <w:rPr>
          <w:rFonts w:ascii="Arial" w:hAnsi="Arial" w:cs="Arial"/>
          <w:color w:val="000000"/>
          <w:kern w:val="1"/>
          <w:sz w:val="22"/>
          <w:szCs w:val="22"/>
        </w:rPr>
        <w:t>) ans.</w:t>
      </w:r>
    </w:p>
    <w:p w14:paraId="29D210F4"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AE13169" w14:textId="5F3EFA15"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A41766" w:rsidRPr="00A64175">
        <w:rPr>
          <w:rFonts w:ascii="Arial" w:hAnsi="Arial" w:cs="Arial"/>
          <w:b/>
          <w:bCs/>
          <w:color w:val="000000"/>
          <w:sz w:val="22"/>
          <w:szCs w:val="22"/>
        </w:rPr>
        <w:t>3</w:t>
      </w:r>
      <w:r w:rsidR="007B038E">
        <w:rPr>
          <w:rFonts w:ascii="Arial" w:hAnsi="Arial" w:cs="Arial"/>
          <w:b/>
          <w:bCs/>
          <w:color w:val="000000"/>
          <w:sz w:val="22"/>
          <w:szCs w:val="22"/>
        </w:rPr>
        <w:t>2</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Lorsque des personnes physiques placées sous la responsabilité de structures ou organismes soumis au contrôle de la COSUMAF, se sont rendues coupables</w:t>
      </w:r>
      <w:r w:rsidR="00CA452F" w:rsidRPr="00A64175">
        <w:rPr>
          <w:rFonts w:ascii="Arial" w:hAnsi="Arial" w:cs="Arial"/>
          <w:color w:val="000000"/>
          <w:kern w:val="1"/>
          <w:sz w:val="22"/>
          <w:szCs w:val="22"/>
        </w:rPr>
        <w:t xml:space="preserve"> de pratiques illicites </w:t>
      </w:r>
      <w:r w:rsidRPr="00A64175">
        <w:rPr>
          <w:rFonts w:ascii="Arial" w:hAnsi="Arial" w:cs="Arial"/>
          <w:color w:val="000000"/>
          <w:kern w:val="1"/>
          <w:sz w:val="22"/>
          <w:szCs w:val="22"/>
        </w:rPr>
        <w:t>ou de</w:t>
      </w:r>
      <w:r w:rsidR="00CA452F" w:rsidRPr="00A64175">
        <w:rPr>
          <w:rFonts w:ascii="Arial" w:hAnsi="Arial" w:cs="Arial"/>
          <w:color w:val="000000"/>
          <w:kern w:val="1"/>
          <w:sz w:val="22"/>
          <w:szCs w:val="22"/>
        </w:rPr>
        <w:t xml:space="preserve"> tout manquement à leurs</w:t>
      </w:r>
      <w:r w:rsidRPr="00A64175">
        <w:rPr>
          <w:rFonts w:ascii="Arial" w:hAnsi="Arial" w:cs="Arial"/>
          <w:color w:val="000000"/>
          <w:kern w:val="1"/>
          <w:sz w:val="22"/>
          <w:szCs w:val="22"/>
        </w:rPr>
        <w:t xml:space="preserve"> obligations professionnelles, la C</w:t>
      </w:r>
      <w:r w:rsidR="00B57396" w:rsidRPr="00A64175">
        <w:rPr>
          <w:rFonts w:ascii="Arial" w:hAnsi="Arial" w:cs="Arial"/>
          <w:color w:val="000000"/>
          <w:kern w:val="1"/>
          <w:sz w:val="22"/>
          <w:szCs w:val="22"/>
        </w:rPr>
        <w:t xml:space="preserve">OSUMAF peut, à titre </w:t>
      </w:r>
      <w:r w:rsidRPr="00A64175">
        <w:rPr>
          <w:rFonts w:ascii="Arial" w:hAnsi="Arial" w:cs="Arial"/>
          <w:color w:val="000000"/>
          <w:kern w:val="1"/>
          <w:sz w:val="22"/>
          <w:szCs w:val="22"/>
        </w:rPr>
        <w:t xml:space="preserve"> disciplinaire, prononcer à leur encontre, une suspension ou un retrait d’habilitation. </w:t>
      </w:r>
    </w:p>
    <w:p w14:paraId="2C318201"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025539C2" w14:textId="0E0CD42B"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3</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Le retrait d’habilitation peut être prononcé en cas de cessation de fonctions d’une durée égale ou supérieure à six (6) mois ininterrompus.</w:t>
      </w:r>
    </w:p>
    <w:p w14:paraId="1A956F57"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6E812B4E" w14:textId="6C8C14A2"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Le licenciement de personnes plac</w:t>
      </w:r>
      <w:r w:rsidR="00AB6176" w:rsidRPr="00A64175">
        <w:rPr>
          <w:rFonts w:ascii="Arial" w:hAnsi="Arial" w:cs="Arial"/>
          <w:color w:val="000000"/>
          <w:kern w:val="1"/>
          <w:sz w:val="22"/>
          <w:szCs w:val="22"/>
        </w:rPr>
        <w:t>é</w:t>
      </w:r>
      <w:r w:rsidRPr="00A64175">
        <w:rPr>
          <w:rFonts w:ascii="Arial" w:hAnsi="Arial" w:cs="Arial"/>
          <w:color w:val="000000"/>
          <w:kern w:val="1"/>
          <w:sz w:val="22"/>
          <w:szCs w:val="22"/>
        </w:rPr>
        <w:t>es sous l’autorité ou agissant pour le compte d’une structure ou organisme soumis au contrôle de la COSUMAF entraîne le retrait d</w:t>
      </w:r>
      <w:r w:rsidR="00492568" w:rsidRPr="00A64175">
        <w:rPr>
          <w:rFonts w:ascii="Arial" w:hAnsi="Arial" w:cs="Arial"/>
          <w:color w:val="000000"/>
          <w:kern w:val="1"/>
          <w:sz w:val="22"/>
          <w:szCs w:val="22"/>
        </w:rPr>
        <w:t>e l</w:t>
      </w:r>
      <w:r w:rsidRPr="00A64175">
        <w:rPr>
          <w:rFonts w:ascii="Arial" w:hAnsi="Arial" w:cs="Arial"/>
          <w:color w:val="000000"/>
          <w:kern w:val="1"/>
          <w:sz w:val="22"/>
          <w:szCs w:val="22"/>
        </w:rPr>
        <w:t>’habilitation et l’annulation des cartes</w:t>
      </w:r>
      <w:r w:rsidR="00B57396" w:rsidRPr="00A64175">
        <w:rPr>
          <w:rFonts w:ascii="Arial" w:hAnsi="Arial" w:cs="Arial"/>
          <w:color w:val="000000"/>
          <w:kern w:val="1"/>
          <w:sz w:val="22"/>
          <w:szCs w:val="22"/>
        </w:rPr>
        <w:t xml:space="preserve"> professionnelles y afférentes. </w:t>
      </w:r>
      <w:r w:rsidRPr="00A64175">
        <w:rPr>
          <w:rFonts w:ascii="Arial" w:hAnsi="Arial" w:cs="Arial"/>
          <w:color w:val="000000"/>
          <w:kern w:val="1"/>
          <w:sz w:val="22"/>
          <w:szCs w:val="22"/>
        </w:rPr>
        <w:t>Toutefois, n’est pas considéré</w:t>
      </w:r>
      <w:r w:rsidR="00C96313" w:rsidRPr="00A64175">
        <w:rPr>
          <w:rFonts w:ascii="Arial" w:hAnsi="Arial" w:cs="Arial"/>
          <w:color w:val="000000"/>
          <w:kern w:val="1"/>
          <w:sz w:val="22"/>
          <w:szCs w:val="22"/>
        </w:rPr>
        <w:t>e</w:t>
      </w:r>
      <w:r w:rsidRPr="00A64175">
        <w:rPr>
          <w:rFonts w:ascii="Arial" w:hAnsi="Arial" w:cs="Arial"/>
          <w:color w:val="000000"/>
          <w:kern w:val="1"/>
          <w:sz w:val="22"/>
          <w:szCs w:val="22"/>
        </w:rPr>
        <w:t xml:space="preserve"> comme une cause de retrait d’habilitation la cessation de fonctions d’une durée égale ou supérieure à six (6) mois mais inférieure à douze (12) mois ininterrompus pour cause de maladie ou de formation.</w:t>
      </w:r>
    </w:p>
    <w:p w14:paraId="6C675202"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52C20E89" w14:textId="777F6ECA" w:rsidR="00F85819" w:rsidRPr="00A64175" w:rsidRDefault="00F85819"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Les décisions de suspension et de retrait d’habilitation f</w:t>
      </w:r>
      <w:r w:rsidR="00B57396" w:rsidRPr="00A64175">
        <w:rPr>
          <w:rFonts w:ascii="Arial" w:hAnsi="Arial" w:cs="Arial"/>
          <w:color w:val="000000"/>
          <w:kern w:val="1"/>
          <w:sz w:val="22"/>
          <w:szCs w:val="22"/>
        </w:rPr>
        <w:t>ont l’objet d’un avis publié sur le site internet de</w:t>
      </w:r>
      <w:r w:rsidRPr="00A64175">
        <w:rPr>
          <w:rFonts w:ascii="Arial" w:hAnsi="Arial" w:cs="Arial"/>
          <w:color w:val="000000"/>
          <w:kern w:val="1"/>
          <w:sz w:val="22"/>
          <w:szCs w:val="22"/>
        </w:rPr>
        <w:t xml:space="preserve"> la COSUMAF.</w:t>
      </w:r>
      <w:r w:rsidR="00B57396" w:rsidRPr="00A64175">
        <w:rPr>
          <w:rFonts w:ascii="Arial" w:hAnsi="Arial" w:cs="Arial"/>
          <w:color w:val="000000"/>
          <w:kern w:val="1"/>
          <w:sz w:val="22"/>
          <w:szCs w:val="22"/>
        </w:rPr>
        <w:t xml:space="preserve"> Le registre des pe</w:t>
      </w:r>
      <w:r w:rsidR="00AE6A20" w:rsidRPr="00A64175">
        <w:rPr>
          <w:rFonts w:ascii="Arial" w:hAnsi="Arial" w:cs="Arial"/>
          <w:color w:val="000000"/>
          <w:kern w:val="1"/>
          <w:sz w:val="22"/>
          <w:szCs w:val="22"/>
        </w:rPr>
        <w:t>rsonnes habilitées est corrélativement</w:t>
      </w:r>
      <w:r w:rsidR="00B57396" w:rsidRPr="00A64175">
        <w:rPr>
          <w:rFonts w:ascii="Arial" w:hAnsi="Arial" w:cs="Arial"/>
          <w:color w:val="000000"/>
          <w:kern w:val="1"/>
          <w:sz w:val="22"/>
          <w:szCs w:val="22"/>
        </w:rPr>
        <w:t xml:space="preserve"> </w:t>
      </w:r>
      <w:r w:rsidR="00AE6A20" w:rsidRPr="00A64175">
        <w:rPr>
          <w:rFonts w:ascii="Arial" w:hAnsi="Arial" w:cs="Arial"/>
          <w:color w:val="000000"/>
          <w:kern w:val="1"/>
          <w:sz w:val="22"/>
          <w:szCs w:val="22"/>
        </w:rPr>
        <w:t>mis à jour</w:t>
      </w:r>
      <w:r w:rsidR="00B57396" w:rsidRPr="00A64175">
        <w:rPr>
          <w:rFonts w:ascii="Arial" w:hAnsi="Arial" w:cs="Arial"/>
          <w:color w:val="000000"/>
          <w:kern w:val="1"/>
          <w:sz w:val="22"/>
          <w:szCs w:val="22"/>
        </w:rPr>
        <w:t>.</w:t>
      </w:r>
    </w:p>
    <w:p w14:paraId="1DECCFDC"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5F9AA79E"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0A1CCD8F" w14:textId="246DE5AE" w:rsidR="00F85819" w:rsidRPr="008E379E" w:rsidRDefault="004F1724"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IV </w:t>
      </w:r>
      <w:r w:rsidR="003A370F" w:rsidRPr="00A64175">
        <w:rPr>
          <w:rFonts w:ascii="Arial" w:hAnsi="Arial" w:cs="Arial"/>
          <w:b/>
          <w:bCs/>
          <w:color w:val="000000"/>
          <w:sz w:val="22"/>
          <w:szCs w:val="22"/>
        </w:rPr>
        <w:t xml:space="preserve">– </w:t>
      </w:r>
      <w:r w:rsidRPr="00A64175">
        <w:rPr>
          <w:rFonts w:ascii="Arial" w:hAnsi="Arial" w:cs="Arial"/>
          <w:b/>
          <w:bCs/>
          <w:color w:val="000000"/>
          <w:sz w:val="22"/>
          <w:szCs w:val="22"/>
        </w:rPr>
        <w:t>PENALITES DE RETARD</w:t>
      </w:r>
    </w:p>
    <w:p w14:paraId="70B91448"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76FBAEFF" w14:textId="1D34359D" w:rsidR="00C25C4E"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4</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Tout retard de diffusion d’une information au public prévue par les dispositions législatives ou réglementaires donne obligatoirement lieu à l’application d’une pénalité d’un montant de </w:t>
      </w:r>
      <w:r w:rsidR="0058085D" w:rsidRPr="00A64175">
        <w:rPr>
          <w:rFonts w:ascii="Arial" w:hAnsi="Arial" w:cs="Arial"/>
          <w:color w:val="000000"/>
          <w:kern w:val="1"/>
          <w:sz w:val="22"/>
          <w:szCs w:val="22"/>
        </w:rPr>
        <w:t xml:space="preserve">cinq </w:t>
      </w:r>
      <w:r w:rsidR="00F85819" w:rsidRPr="00A64175">
        <w:rPr>
          <w:rFonts w:ascii="Arial" w:hAnsi="Arial" w:cs="Arial"/>
          <w:color w:val="000000"/>
          <w:kern w:val="1"/>
          <w:sz w:val="22"/>
          <w:szCs w:val="22"/>
        </w:rPr>
        <w:t>cent mille (</w:t>
      </w:r>
      <w:r w:rsidR="0058085D" w:rsidRPr="00A64175">
        <w:rPr>
          <w:rFonts w:ascii="Arial" w:hAnsi="Arial" w:cs="Arial"/>
          <w:color w:val="000000"/>
          <w:kern w:val="1"/>
          <w:sz w:val="22"/>
          <w:szCs w:val="22"/>
        </w:rPr>
        <w:t>5</w:t>
      </w:r>
      <w:r w:rsidR="00F85819" w:rsidRPr="00A64175">
        <w:rPr>
          <w:rFonts w:ascii="Arial" w:hAnsi="Arial" w:cs="Arial"/>
          <w:color w:val="000000"/>
          <w:kern w:val="1"/>
          <w:sz w:val="22"/>
          <w:szCs w:val="22"/>
        </w:rPr>
        <w:t>00 000) francs CFA par jour de retard.</w:t>
      </w:r>
      <w:r w:rsidR="00C25C4E" w:rsidRPr="00A64175">
        <w:rPr>
          <w:rFonts w:ascii="Arial" w:hAnsi="Arial" w:cs="Arial"/>
          <w:color w:val="000000"/>
          <w:kern w:val="1"/>
          <w:sz w:val="22"/>
          <w:szCs w:val="22"/>
        </w:rPr>
        <w:t xml:space="preserve"> </w:t>
      </w:r>
    </w:p>
    <w:p w14:paraId="208A6C23" w14:textId="77777777" w:rsidR="00C25C4E" w:rsidRPr="00A64175" w:rsidRDefault="00C25C4E" w:rsidP="00A64175">
      <w:pPr>
        <w:widowControl w:val="0"/>
        <w:autoSpaceDE w:val="0"/>
        <w:autoSpaceDN w:val="0"/>
        <w:adjustRightInd w:val="0"/>
        <w:jc w:val="both"/>
        <w:rPr>
          <w:rFonts w:ascii="Arial" w:hAnsi="Arial" w:cs="Arial"/>
          <w:color w:val="000000"/>
          <w:kern w:val="1"/>
          <w:sz w:val="22"/>
          <w:szCs w:val="22"/>
        </w:rPr>
      </w:pPr>
    </w:p>
    <w:p w14:paraId="1B2461FA" w14:textId="5787F70E" w:rsidR="00C25C4E" w:rsidRPr="00A64175" w:rsidRDefault="00C25C4E"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La pénalité visée au présent article est portée à sept cent cinquante mille  (750 000) francs CFA par jour de retard en cas de publication tardive du rapport de clôture d’une opération d’appel public à l’épargne.</w:t>
      </w:r>
    </w:p>
    <w:p w14:paraId="074BEF6B" w14:textId="620B9618"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072C86A9"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5236AA01" w14:textId="76F98027" w:rsidR="00F85819"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5</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xml:space="preserve">– Tout retard relevé dans la transmission à la COSUMAF d’un document ou d’une information prévue par les dispositions législatives ou réglementaires donne obligatoirement lieu à l’application d’une pénalité d’un montant de </w:t>
      </w:r>
      <w:r w:rsidR="0058085D" w:rsidRPr="00A64175">
        <w:rPr>
          <w:rFonts w:ascii="Arial" w:hAnsi="Arial" w:cs="Arial"/>
          <w:color w:val="000000"/>
          <w:kern w:val="1"/>
          <w:sz w:val="22"/>
          <w:szCs w:val="22"/>
        </w:rPr>
        <w:t xml:space="preserve">cinq </w:t>
      </w:r>
      <w:r w:rsidR="00F85819" w:rsidRPr="00A64175">
        <w:rPr>
          <w:rFonts w:ascii="Arial" w:hAnsi="Arial" w:cs="Arial"/>
          <w:color w:val="000000"/>
          <w:kern w:val="1"/>
          <w:sz w:val="22"/>
          <w:szCs w:val="22"/>
        </w:rPr>
        <w:t>cent mille (</w:t>
      </w:r>
      <w:r w:rsidR="0058085D" w:rsidRPr="00A64175">
        <w:rPr>
          <w:rFonts w:ascii="Arial" w:hAnsi="Arial" w:cs="Arial"/>
          <w:color w:val="000000"/>
          <w:kern w:val="1"/>
          <w:sz w:val="22"/>
          <w:szCs w:val="22"/>
        </w:rPr>
        <w:t>5</w:t>
      </w:r>
      <w:r w:rsidR="00F85819" w:rsidRPr="00A64175">
        <w:rPr>
          <w:rFonts w:ascii="Arial" w:hAnsi="Arial" w:cs="Arial"/>
          <w:color w:val="000000"/>
          <w:kern w:val="1"/>
          <w:sz w:val="22"/>
          <w:szCs w:val="22"/>
        </w:rPr>
        <w:t>00 000) francs CFA par jour de retard.</w:t>
      </w:r>
    </w:p>
    <w:p w14:paraId="67C11B5F" w14:textId="77777777" w:rsidR="002D6695" w:rsidRPr="00A64175" w:rsidRDefault="002D6695" w:rsidP="00A64175">
      <w:pPr>
        <w:widowControl w:val="0"/>
        <w:autoSpaceDE w:val="0"/>
        <w:autoSpaceDN w:val="0"/>
        <w:adjustRightInd w:val="0"/>
        <w:jc w:val="both"/>
        <w:rPr>
          <w:rFonts w:ascii="Arial" w:hAnsi="Arial" w:cs="Arial"/>
          <w:color w:val="000000"/>
          <w:kern w:val="1"/>
          <w:sz w:val="22"/>
          <w:szCs w:val="22"/>
        </w:rPr>
      </w:pPr>
    </w:p>
    <w:p w14:paraId="47041C7B" w14:textId="6B348D9C" w:rsidR="002D6695" w:rsidRPr="00A64175" w:rsidRDefault="002D6695"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 xml:space="preserve">La pénalité visée au présent article est portée à </w:t>
      </w:r>
      <w:r w:rsidR="00591DE7" w:rsidRPr="00A64175">
        <w:rPr>
          <w:rFonts w:ascii="Arial" w:hAnsi="Arial" w:cs="Arial"/>
          <w:color w:val="000000"/>
          <w:kern w:val="1"/>
          <w:sz w:val="22"/>
          <w:szCs w:val="22"/>
        </w:rPr>
        <w:t xml:space="preserve">sept cent cinquante mille </w:t>
      </w:r>
      <w:r w:rsidRPr="00A64175">
        <w:rPr>
          <w:rFonts w:ascii="Arial" w:hAnsi="Arial" w:cs="Arial"/>
          <w:color w:val="000000"/>
          <w:kern w:val="1"/>
          <w:sz w:val="22"/>
          <w:szCs w:val="22"/>
        </w:rPr>
        <w:t xml:space="preserve"> (</w:t>
      </w:r>
      <w:r w:rsidR="00591DE7" w:rsidRPr="00A64175">
        <w:rPr>
          <w:rFonts w:ascii="Arial" w:hAnsi="Arial" w:cs="Arial"/>
          <w:color w:val="000000"/>
          <w:kern w:val="1"/>
          <w:sz w:val="22"/>
          <w:szCs w:val="22"/>
        </w:rPr>
        <w:t>75</w:t>
      </w:r>
      <w:r w:rsidRPr="00A64175">
        <w:rPr>
          <w:rFonts w:ascii="Arial" w:hAnsi="Arial" w:cs="Arial"/>
          <w:color w:val="000000"/>
          <w:kern w:val="1"/>
          <w:sz w:val="22"/>
          <w:szCs w:val="22"/>
        </w:rPr>
        <w:t xml:space="preserve">0 000) francs CFA par jour de retard </w:t>
      </w:r>
      <w:r w:rsidR="00C25C4E" w:rsidRPr="00A64175">
        <w:rPr>
          <w:rFonts w:ascii="Arial" w:hAnsi="Arial" w:cs="Arial"/>
          <w:color w:val="000000"/>
          <w:kern w:val="1"/>
          <w:sz w:val="22"/>
          <w:szCs w:val="22"/>
        </w:rPr>
        <w:t xml:space="preserve">en cas de </w:t>
      </w:r>
      <w:r w:rsidR="00591DE7" w:rsidRPr="00A64175">
        <w:rPr>
          <w:rFonts w:ascii="Arial" w:hAnsi="Arial" w:cs="Arial"/>
          <w:color w:val="000000"/>
          <w:kern w:val="1"/>
          <w:sz w:val="22"/>
          <w:szCs w:val="22"/>
        </w:rPr>
        <w:t>communication tardive à l’émetteur et à la COSUMAF du rapport de clôture d’une opération d’appel public à l’épargne</w:t>
      </w:r>
      <w:r w:rsidR="00C25C4E" w:rsidRPr="00A64175">
        <w:rPr>
          <w:rFonts w:ascii="Arial" w:hAnsi="Arial" w:cs="Arial"/>
          <w:color w:val="000000"/>
          <w:kern w:val="1"/>
          <w:sz w:val="22"/>
          <w:szCs w:val="22"/>
        </w:rPr>
        <w:t>.</w:t>
      </w:r>
    </w:p>
    <w:p w14:paraId="62771333" w14:textId="77777777" w:rsidR="00C25C4E" w:rsidRPr="00A64175" w:rsidRDefault="00C25C4E" w:rsidP="00A64175">
      <w:pPr>
        <w:widowControl w:val="0"/>
        <w:autoSpaceDE w:val="0"/>
        <w:autoSpaceDN w:val="0"/>
        <w:adjustRightInd w:val="0"/>
        <w:jc w:val="both"/>
        <w:rPr>
          <w:rFonts w:ascii="Arial" w:hAnsi="Arial" w:cs="Arial"/>
          <w:color w:val="000000"/>
          <w:kern w:val="1"/>
          <w:sz w:val="22"/>
          <w:szCs w:val="22"/>
        </w:rPr>
      </w:pPr>
    </w:p>
    <w:p w14:paraId="228EC37C" w14:textId="46E9BE4B" w:rsidR="002D6695" w:rsidRPr="00A64175" w:rsidRDefault="00591DE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La pénalité visée au présent article est portée à un million  (1 000 000) de francs CFA par jour de retard</w:t>
      </w:r>
      <w:r w:rsidR="00C25C4E" w:rsidRPr="00A64175">
        <w:rPr>
          <w:rFonts w:ascii="Arial" w:hAnsi="Arial" w:cs="Arial"/>
          <w:color w:val="000000"/>
          <w:kern w:val="1"/>
          <w:sz w:val="22"/>
          <w:szCs w:val="22"/>
        </w:rPr>
        <w:t xml:space="preserve"> lorsque les fonds collect</w:t>
      </w:r>
      <w:r w:rsidRPr="00A64175">
        <w:rPr>
          <w:rFonts w:ascii="Arial" w:hAnsi="Arial" w:cs="Arial"/>
          <w:color w:val="000000"/>
          <w:kern w:val="1"/>
          <w:sz w:val="22"/>
          <w:szCs w:val="22"/>
        </w:rPr>
        <w:t xml:space="preserve">és dans le cadre d’une opération d’appel public à l’épargne n’ont pas été remis à l’émetteur dans les délais requis. </w:t>
      </w:r>
    </w:p>
    <w:p w14:paraId="1624D370" w14:textId="77777777" w:rsidR="00F85819" w:rsidRPr="00A64175" w:rsidRDefault="00F85819" w:rsidP="00A64175">
      <w:pPr>
        <w:widowControl w:val="0"/>
        <w:autoSpaceDE w:val="0"/>
        <w:autoSpaceDN w:val="0"/>
        <w:adjustRightInd w:val="0"/>
        <w:jc w:val="both"/>
        <w:rPr>
          <w:rFonts w:ascii="Arial" w:hAnsi="Arial" w:cs="Arial"/>
          <w:color w:val="000000"/>
          <w:kern w:val="1"/>
          <w:sz w:val="22"/>
          <w:szCs w:val="22"/>
        </w:rPr>
      </w:pPr>
    </w:p>
    <w:p w14:paraId="2300995E" w14:textId="5CB65A3E" w:rsidR="00272687"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6</w:t>
      </w:r>
      <w:r w:rsidR="00F85819" w:rsidRPr="00A64175">
        <w:rPr>
          <w:rFonts w:ascii="Arial" w:hAnsi="Arial" w:cs="Arial"/>
          <w:b/>
          <w:bCs/>
          <w:color w:val="000000"/>
          <w:sz w:val="22"/>
          <w:szCs w:val="22"/>
        </w:rPr>
        <w:t xml:space="preserve">. </w:t>
      </w:r>
      <w:r w:rsidR="00F85819" w:rsidRPr="00A64175">
        <w:rPr>
          <w:rFonts w:ascii="Arial" w:hAnsi="Arial" w:cs="Arial"/>
          <w:color w:val="000000"/>
          <w:kern w:val="1"/>
          <w:sz w:val="22"/>
          <w:szCs w:val="22"/>
        </w:rPr>
        <w:t>– Le décompte des jours de retard à prendre en compte pour l’application des pénalités court</w:t>
      </w:r>
      <w:r w:rsidR="00272687" w:rsidRPr="00A64175">
        <w:rPr>
          <w:rFonts w:ascii="Arial" w:hAnsi="Arial" w:cs="Arial"/>
          <w:color w:val="000000"/>
          <w:kern w:val="1"/>
          <w:sz w:val="22"/>
          <w:szCs w:val="22"/>
        </w:rPr>
        <w:t xml:space="preserve"> à partir du jour où l’information ou les documents auraient dû être communiqués au public ou à la COSUMAF, jusqu’à la date effective de leur publication ou de leur communication.</w:t>
      </w:r>
    </w:p>
    <w:p w14:paraId="012E7149" w14:textId="77777777" w:rsidR="00272687" w:rsidRPr="00A64175" w:rsidRDefault="00272687" w:rsidP="00A64175">
      <w:pPr>
        <w:widowControl w:val="0"/>
        <w:autoSpaceDE w:val="0"/>
        <w:autoSpaceDN w:val="0"/>
        <w:adjustRightInd w:val="0"/>
        <w:jc w:val="both"/>
        <w:rPr>
          <w:rFonts w:ascii="Arial" w:hAnsi="Arial" w:cs="Arial"/>
          <w:color w:val="000000"/>
          <w:kern w:val="1"/>
          <w:sz w:val="22"/>
          <w:szCs w:val="22"/>
        </w:rPr>
      </w:pPr>
    </w:p>
    <w:p w14:paraId="1B3A0BB4" w14:textId="77777777" w:rsidR="008C2758" w:rsidRPr="00A64175" w:rsidRDefault="008C2758" w:rsidP="00A64175">
      <w:pPr>
        <w:widowControl w:val="0"/>
        <w:autoSpaceDE w:val="0"/>
        <w:autoSpaceDN w:val="0"/>
        <w:adjustRightInd w:val="0"/>
        <w:jc w:val="both"/>
        <w:rPr>
          <w:rFonts w:ascii="Arial" w:hAnsi="Arial" w:cs="Arial"/>
          <w:color w:val="000000"/>
          <w:kern w:val="1"/>
          <w:sz w:val="22"/>
          <w:szCs w:val="22"/>
        </w:rPr>
      </w:pPr>
    </w:p>
    <w:p w14:paraId="1CDFC2B9" w14:textId="77777777" w:rsidR="00F85819" w:rsidRPr="00A64175" w:rsidRDefault="004F1724"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V </w:t>
      </w:r>
      <w:r w:rsidR="003A370F" w:rsidRPr="00A64175">
        <w:rPr>
          <w:rFonts w:ascii="Arial" w:hAnsi="Arial" w:cs="Arial"/>
          <w:b/>
          <w:bCs/>
          <w:color w:val="000000"/>
          <w:sz w:val="22"/>
          <w:szCs w:val="22"/>
        </w:rPr>
        <w:t>–</w:t>
      </w:r>
      <w:r w:rsidRPr="00A64175">
        <w:rPr>
          <w:rFonts w:ascii="Arial" w:hAnsi="Arial" w:cs="Arial"/>
          <w:b/>
          <w:bCs/>
          <w:color w:val="000000"/>
          <w:sz w:val="22"/>
          <w:szCs w:val="22"/>
        </w:rPr>
        <w:t> CONTROLES ET ENQUÊTES</w:t>
      </w:r>
    </w:p>
    <w:p w14:paraId="15DB8CD5" w14:textId="77777777" w:rsidR="009211D7" w:rsidRPr="00A64175" w:rsidRDefault="009211D7" w:rsidP="00A64175">
      <w:pPr>
        <w:widowControl w:val="0"/>
        <w:autoSpaceDE w:val="0"/>
        <w:autoSpaceDN w:val="0"/>
        <w:adjustRightInd w:val="0"/>
        <w:jc w:val="both"/>
        <w:rPr>
          <w:rFonts w:ascii="Arial" w:hAnsi="Arial" w:cs="Arial"/>
          <w:b/>
          <w:bCs/>
          <w:color w:val="000000"/>
          <w:sz w:val="22"/>
          <w:szCs w:val="22"/>
        </w:rPr>
      </w:pPr>
    </w:p>
    <w:p w14:paraId="5176887C" w14:textId="27111775"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Section I : </w:t>
      </w:r>
      <w:r w:rsidR="004B1162" w:rsidRPr="00A64175">
        <w:rPr>
          <w:rFonts w:ascii="Arial" w:hAnsi="Arial" w:cs="Arial"/>
          <w:b/>
          <w:bCs/>
          <w:color w:val="000000"/>
          <w:sz w:val="22"/>
          <w:szCs w:val="22"/>
        </w:rPr>
        <w:t>Cadre des contrôles et enquêtes</w:t>
      </w:r>
    </w:p>
    <w:p w14:paraId="7FBCF83C" w14:textId="77777777" w:rsidR="00DA08E2" w:rsidRPr="00A64175" w:rsidRDefault="00DA08E2" w:rsidP="00A64175">
      <w:pPr>
        <w:widowControl w:val="0"/>
        <w:autoSpaceDE w:val="0"/>
        <w:autoSpaceDN w:val="0"/>
        <w:adjustRightInd w:val="0"/>
        <w:jc w:val="both"/>
        <w:rPr>
          <w:rFonts w:ascii="Arial" w:hAnsi="Arial" w:cs="Arial"/>
          <w:color w:val="000000"/>
          <w:kern w:val="1"/>
          <w:sz w:val="22"/>
          <w:szCs w:val="22"/>
        </w:rPr>
      </w:pPr>
    </w:p>
    <w:p w14:paraId="4B5ECFFE" w14:textId="5AB0E2F3"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7</w:t>
      </w:r>
      <w:r w:rsidRPr="00A64175">
        <w:rPr>
          <w:rFonts w:ascii="Arial" w:hAnsi="Arial" w:cs="Arial"/>
          <w:color w:val="000000"/>
          <w:sz w:val="22"/>
          <w:szCs w:val="22"/>
        </w:rPr>
        <w:t xml:space="preserve">. – La COSUMAF jouit des pouvoirs les plus étendus pour ordonner tout contrôle ou enquête à l’égard de toutes les personnes ou entités impliquées dans le fonctionnement </w:t>
      </w:r>
      <w:r w:rsidR="00FF1D81" w:rsidRPr="00A64175">
        <w:rPr>
          <w:rFonts w:ascii="Arial" w:hAnsi="Arial" w:cs="Arial"/>
          <w:color w:val="000000"/>
          <w:sz w:val="22"/>
          <w:szCs w:val="22"/>
        </w:rPr>
        <w:t xml:space="preserve">du </w:t>
      </w:r>
      <w:r w:rsidRPr="00A64175">
        <w:rPr>
          <w:rFonts w:ascii="Arial" w:hAnsi="Arial" w:cs="Arial"/>
          <w:color w:val="000000"/>
          <w:sz w:val="22"/>
          <w:szCs w:val="22"/>
        </w:rPr>
        <w:t xml:space="preserve">Marché Financier Régional, qui y interviennent ou y exercent une fonction. </w:t>
      </w:r>
    </w:p>
    <w:p w14:paraId="0F5E200A"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28FFCE2A"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pouvoirs de contrôle et d’enquête dévolus à la COSUMAF s’exercent également sur toute</w:t>
      </w:r>
      <w:r w:rsidR="008D3F2C" w:rsidRPr="00A64175">
        <w:rPr>
          <w:rFonts w:ascii="Arial" w:hAnsi="Arial" w:cs="Arial"/>
          <w:color w:val="000000"/>
          <w:sz w:val="22"/>
          <w:szCs w:val="22"/>
        </w:rPr>
        <w:t xml:space="preserve"> opération d’appel public à l’épargne et</w:t>
      </w:r>
      <w:r w:rsidR="001B6A87" w:rsidRPr="00A64175">
        <w:rPr>
          <w:rFonts w:ascii="Arial" w:hAnsi="Arial" w:cs="Arial"/>
          <w:color w:val="000000"/>
          <w:sz w:val="22"/>
          <w:szCs w:val="22"/>
        </w:rPr>
        <w:t xml:space="preserve"> sur</w:t>
      </w:r>
      <w:r w:rsidR="008D3F2C" w:rsidRPr="00A64175">
        <w:rPr>
          <w:rFonts w:ascii="Arial" w:hAnsi="Arial" w:cs="Arial"/>
          <w:color w:val="000000"/>
          <w:sz w:val="22"/>
          <w:szCs w:val="22"/>
        </w:rPr>
        <w:t xml:space="preserve"> toute</w:t>
      </w:r>
      <w:r w:rsidRPr="00A64175">
        <w:rPr>
          <w:rFonts w:ascii="Arial" w:hAnsi="Arial" w:cs="Arial"/>
          <w:color w:val="000000"/>
          <w:sz w:val="22"/>
          <w:szCs w:val="22"/>
        </w:rPr>
        <w:t xml:space="preserve"> opération portant sur une ou plusieurs valeurs </w:t>
      </w:r>
      <w:r w:rsidR="00346FE3" w:rsidRPr="00A64175">
        <w:rPr>
          <w:rFonts w:ascii="Arial" w:hAnsi="Arial" w:cs="Arial"/>
          <w:color w:val="000000"/>
          <w:sz w:val="22"/>
          <w:szCs w:val="22"/>
        </w:rPr>
        <w:t xml:space="preserve">admises </w:t>
      </w:r>
      <w:r w:rsidRPr="00A64175">
        <w:rPr>
          <w:rFonts w:ascii="Arial" w:hAnsi="Arial" w:cs="Arial"/>
          <w:color w:val="000000"/>
          <w:sz w:val="22"/>
          <w:szCs w:val="22"/>
        </w:rPr>
        <w:t>à la</w:t>
      </w:r>
      <w:r w:rsidR="00346FE3" w:rsidRPr="00A64175">
        <w:rPr>
          <w:rFonts w:ascii="Arial" w:hAnsi="Arial" w:cs="Arial"/>
          <w:color w:val="000000"/>
          <w:sz w:val="22"/>
          <w:szCs w:val="22"/>
        </w:rPr>
        <w:t xml:space="preserve"> négociation </w:t>
      </w:r>
      <w:r w:rsidR="000A699F" w:rsidRPr="00A64175">
        <w:rPr>
          <w:rFonts w:ascii="Arial" w:hAnsi="Arial" w:cs="Arial"/>
          <w:color w:val="000000"/>
          <w:sz w:val="22"/>
          <w:szCs w:val="22"/>
        </w:rPr>
        <w:t>sur le Marché Financier Régional</w:t>
      </w:r>
      <w:r w:rsidRPr="00A64175">
        <w:rPr>
          <w:rFonts w:ascii="Arial" w:hAnsi="Arial" w:cs="Arial"/>
          <w:color w:val="000000"/>
          <w:sz w:val="22"/>
          <w:szCs w:val="22"/>
        </w:rPr>
        <w:t>.</w:t>
      </w:r>
    </w:p>
    <w:p w14:paraId="7894F360"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0549AD14" w14:textId="4EFF69BB" w:rsidR="009211D7" w:rsidRPr="00A64175" w:rsidRDefault="009211D7"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8</w:t>
      </w:r>
      <w:r w:rsidRPr="00A64175">
        <w:rPr>
          <w:rFonts w:ascii="Arial" w:hAnsi="Arial" w:cs="Arial"/>
          <w:color w:val="000000"/>
          <w:sz w:val="22"/>
          <w:szCs w:val="22"/>
        </w:rPr>
        <w:t>. – Les contrôles et enquêtes sont effectués sur pièces et sur place.</w:t>
      </w:r>
    </w:p>
    <w:p w14:paraId="76818DD6"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632B4613"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Un ordre de mission est établi. Il est signé par le Secrétaire Général de la COSUMAF.</w:t>
      </w:r>
    </w:p>
    <w:p w14:paraId="0E2C202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4DD9EBBB"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L’ordre de mission indique notamment l’entité ou la personne à contrôler, l’identité du chef de mission et l’objet de la mission. Le chef de la mission informe la personne ou entité concernée de l’identité des agents ou enquêteurs associés à la mission.</w:t>
      </w:r>
    </w:p>
    <w:p w14:paraId="3C3538EE"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60D5CDB0"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personnes chargées de la mission indiquent à l’entité ou à la personne contrôlée la nature des renseignements, documents et justifications dont la communication est demandée. Elles peuvent entendre toute personne agissant pour le compte ou sous l’autorité de la personne ou entité contrôlée et susceptible de leur fournir des informations qu’elles estiment utiles au bon déroulement de leur mission. Elles peuvent procéder à la vérification des informations transmises par confrontation avec des informations recueillies auprès de tiers.</w:t>
      </w:r>
    </w:p>
    <w:p w14:paraId="0540C0DE"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2033B5A7"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personnes ou entités contrôlées apportent leur concours à la COSUMAF avec diligence et loyauté.</w:t>
      </w:r>
    </w:p>
    <w:p w14:paraId="7ACC9990"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162C179C" w14:textId="37880287"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3</w:t>
      </w:r>
      <w:r w:rsidR="007B038E">
        <w:rPr>
          <w:rFonts w:ascii="Arial" w:hAnsi="Arial" w:cs="Arial"/>
          <w:b/>
          <w:bCs/>
          <w:color w:val="000000"/>
          <w:sz w:val="22"/>
          <w:szCs w:val="22"/>
        </w:rPr>
        <w:t>9</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Les contrôles et enquêtes sont menés par des agents des services de la COSUMAF.</w:t>
      </w:r>
    </w:p>
    <w:p w14:paraId="34927D89"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72E6BDA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Toutefois, la COSUMAF peut recourir à des corps de contrôle extérieurs, à des commissaires aux comptes, à des autorités ou experts spécialisés. Ces personnes peuvent recevoir une rémunération à la charge de la COSUMAF.</w:t>
      </w:r>
    </w:p>
    <w:p w14:paraId="19064AB8"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216D3E5A" w14:textId="77D5B57A" w:rsidR="009211D7" w:rsidRPr="00A64175" w:rsidRDefault="00A41766"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color w:val="000000"/>
          <w:kern w:val="1"/>
          <w:sz w:val="22"/>
          <w:szCs w:val="22"/>
        </w:rPr>
        <w:t xml:space="preserve">Article </w:t>
      </w:r>
      <w:r w:rsidR="007B038E">
        <w:rPr>
          <w:rFonts w:ascii="Arial" w:hAnsi="Arial" w:cs="Arial"/>
          <w:b/>
          <w:color w:val="000000"/>
          <w:kern w:val="1"/>
          <w:sz w:val="22"/>
          <w:szCs w:val="22"/>
        </w:rPr>
        <w:t>40</w:t>
      </w:r>
      <w:r w:rsidR="009211D7" w:rsidRPr="00A64175">
        <w:rPr>
          <w:rFonts w:ascii="Arial" w:hAnsi="Arial" w:cs="Arial"/>
          <w:b/>
          <w:color w:val="000000"/>
          <w:kern w:val="1"/>
          <w:sz w:val="22"/>
          <w:szCs w:val="22"/>
        </w:rPr>
        <w:t xml:space="preserve">. – </w:t>
      </w:r>
      <w:r w:rsidR="009211D7" w:rsidRPr="00A64175">
        <w:rPr>
          <w:rFonts w:ascii="Arial" w:hAnsi="Arial" w:cs="Arial"/>
          <w:color w:val="000000"/>
          <w:sz w:val="22"/>
          <w:szCs w:val="22"/>
        </w:rPr>
        <w:t>Nul ne peut être habilité ou désigné pour effectuer une enquête ou un contrôle s'il a fait l'objet de l'une des condamnations</w:t>
      </w:r>
      <w:r w:rsidR="00B77039" w:rsidRPr="00A64175">
        <w:rPr>
          <w:rFonts w:ascii="Arial" w:hAnsi="Arial" w:cs="Arial"/>
          <w:color w:val="000000"/>
          <w:sz w:val="22"/>
          <w:szCs w:val="22"/>
        </w:rPr>
        <w:t xml:space="preserve"> suivantes</w:t>
      </w:r>
      <w:r w:rsidR="009211D7" w:rsidRPr="00A64175">
        <w:rPr>
          <w:rFonts w:ascii="Arial" w:hAnsi="Arial" w:cs="Arial"/>
          <w:color w:val="000000"/>
          <w:sz w:val="22"/>
          <w:szCs w:val="22"/>
        </w:rPr>
        <w:t> :</w:t>
      </w:r>
    </w:p>
    <w:p w14:paraId="0F8C194D" w14:textId="77777777" w:rsidR="00DA08E2" w:rsidRPr="00A64175" w:rsidRDefault="00DA08E2" w:rsidP="00A64175">
      <w:pPr>
        <w:widowControl w:val="0"/>
        <w:autoSpaceDE w:val="0"/>
        <w:autoSpaceDN w:val="0"/>
        <w:adjustRightInd w:val="0"/>
        <w:jc w:val="both"/>
        <w:rPr>
          <w:rFonts w:ascii="Arial" w:hAnsi="Arial" w:cs="Arial"/>
          <w:b/>
          <w:color w:val="000000"/>
          <w:kern w:val="1"/>
          <w:sz w:val="22"/>
          <w:szCs w:val="22"/>
        </w:rPr>
      </w:pPr>
    </w:p>
    <w:p w14:paraId="76FDBD70"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escroquerie ou abus de confiance ;</w:t>
      </w:r>
    </w:p>
    <w:p w14:paraId="0CB34A0F" w14:textId="77777777" w:rsidR="00DA08E2" w:rsidRPr="00A64175" w:rsidRDefault="00DA08E2" w:rsidP="00A64175">
      <w:pPr>
        <w:pStyle w:val="NormalWeb"/>
        <w:spacing w:before="0" w:beforeAutospacing="0" w:after="0" w:afterAutospacing="0"/>
        <w:ind w:left="720"/>
        <w:jc w:val="both"/>
        <w:rPr>
          <w:rFonts w:ascii="Arial" w:hAnsi="Arial" w:cs="Arial"/>
          <w:color w:val="000000"/>
          <w:sz w:val="22"/>
          <w:szCs w:val="22"/>
        </w:rPr>
      </w:pPr>
    </w:p>
    <w:p w14:paraId="7F595B1C"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blanchiment ;</w:t>
      </w:r>
    </w:p>
    <w:p w14:paraId="552CE5EF"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220930E4"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corruption active ou passive, trafic d’influence, soustraction et détournement de biens ;</w:t>
      </w:r>
    </w:p>
    <w:p w14:paraId="157D9924"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55A56E13"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participation à une association de malfaiteurs ;</w:t>
      </w:r>
    </w:p>
    <w:p w14:paraId="605877F2"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467CA12C"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banqueroute ;</w:t>
      </w:r>
    </w:p>
    <w:p w14:paraId="08BBC675"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363FFFC2"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fraude fiscale ;</w:t>
      </w:r>
    </w:p>
    <w:p w14:paraId="26A96996"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50438919" w14:textId="77777777" w:rsidR="009211D7" w:rsidRPr="00A64175" w:rsidRDefault="009211D7" w:rsidP="00A64175">
      <w:pPr>
        <w:pStyle w:val="NormalWeb"/>
        <w:numPr>
          <w:ilvl w:val="0"/>
          <w:numId w:val="4"/>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trafic de stupéfiants ;</w:t>
      </w:r>
    </w:p>
    <w:p w14:paraId="7463836F"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49EF52D5" w14:textId="77777777" w:rsidR="009211D7" w:rsidRPr="00A64175" w:rsidRDefault="009211D7" w:rsidP="00A64175">
      <w:pPr>
        <w:pStyle w:val="Paragraphedeliste"/>
        <w:numPr>
          <w:ilvl w:val="0"/>
          <w:numId w:val="4"/>
        </w:numPr>
        <w:spacing w:before="0" w:beforeAutospacing="0" w:after="0" w:afterAutospacing="0" w:line="240" w:lineRule="auto"/>
        <w:rPr>
          <w:rFonts w:eastAsia="Times New Roman"/>
          <w:sz w:val="22"/>
          <w:szCs w:val="22"/>
        </w:rPr>
      </w:pPr>
      <w:r w:rsidRPr="00A64175">
        <w:rPr>
          <w:rFonts w:eastAsia="Times New Roman"/>
          <w:color w:val="000000"/>
          <w:sz w:val="22"/>
          <w:szCs w:val="22"/>
          <w:shd w:val="clear" w:color="auto" w:fill="FFFFFF"/>
        </w:rPr>
        <w:t>faux, falsification de titres ou autres valeurs fiduciaires émises par l'autorité publique, falsification des marques de l'autorité.</w:t>
      </w:r>
    </w:p>
    <w:p w14:paraId="721A3E2A" w14:textId="77777777" w:rsidR="00DA08E2" w:rsidRPr="00A64175" w:rsidRDefault="00DA08E2" w:rsidP="00A64175">
      <w:pPr>
        <w:jc w:val="both"/>
        <w:rPr>
          <w:rFonts w:ascii="Arial" w:eastAsia="Times New Roman" w:hAnsi="Arial" w:cs="Arial"/>
          <w:sz w:val="22"/>
          <w:szCs w:val="22"/>
        </w:rPr>
      </w:pPr>
    </w:p>
    <w:p w14:paraId="7D498B8B" w14:textId="77777777" w:rsidR="009211D7" w:rsidRPr="00A64175" w:rsidRDefault="009211D7"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Nul ne peut être désigné pour effectuer une enquête ou un contrôle auprès d'une personne physique ou morale auprès de laquelle il a exercé une activité professionnelle au cours des trois (3) années précédentes.</w:t>
      </w:r>
    </w:p>
    <w:p w14:paraId="621D1739" w14:textId="77777777" w:rsidR="00DA08E2" w:rsidRPr="00A64175" w:rsidRDefault="00DA08E2" w:rsidP="00A64175">
      <w:pPr>
        <w:pStyle w:val="NormalWeb"/>
        <w:spacing w:before="0" w:beforeAutospacing="0" w:after="0" w:afterAutospacing="0"/>
        <w:jc w:val="both"/>
        <w:rPr>
          <w:rFonts w:ascii="Arial" w:hAnsi="Arial" w:cs="Arial"/>
          <w:color w:val="000000"/>
          <w:sz w:val="22"/>
          <w:szCs w:val="22"/>
        </w:rPr>
      </w:pPr>
    </w:p>
    <w:p w14:paraId="097B4F5B" w14:textId="5CA0119D"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1</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Les inspecteurs et enquêteurs mandatés par la COSUMAF peuvent :</w:t>
      </w:r>
    </w:p>
    <w:p w14:paraId="5AA01346"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4A104DA1" w14:textId="77777777" w:rsidR="009211D7" w:rsidRPr="00A64175" w:rsidRDefault="009211D7" w:rsidP="00A64175">
      <w:pPr>
        <w:widowControl w:val="0"/>
        <w:numPr>
          <w:ilvl w:val="0"/>
          <w:numId w:val="3"/>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se faire communiquer et obtenir copie de tout document, quel qu’en soit le support, auprès des personnes ou entités contrôlées, auprès des tiers ou des administrations publiques de tous les Etats membres de la CEMAC ;</w:t>
      </w:r>
    </w:p>
    <w:p w14:paraId="6E7EF439" w14:textId="77777777" w:rsidR="009211D7" w:rsidRPr="00A64175" w:rsidRDefault="009211D7"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176C2DA3" w14:textId="77777777" w:rsidR="009211D7" w:rsidRPr="00A64175" w:rsidRDefault="009211D7" w:rsidP="00A64175">
      <w:pPr>
        <w:widowControl w:val="0"/>
        <w:numPr>
          <w:ilvl w:val="0"/>
          <w:numId w:val="3"/>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convoquer et entendre toute personne susceptible de leur fournir des informations utiles au bon déroulement de l’enquête ;</w:t>
      </w:r>
    </w:p>
    <w:p w14:paraId="2C1F94AB" w14:textId="77777777" w:rsidR="009211D7" w:rsidRPr="00A64175" w:rsidRDefault="009211D7"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2971E6A" w14:textId="77777777" w:rsidR="009211D7" w:rsidRPr="00A64175" w:rsidRDefault="009211D7" w:rsidP="00A64175">
      <w:pPr>
        <w:widowControl w:val="0"/>
        <w:numPr>
          <w:ilvl w:val="0"/>
          <w:numId w:val="3"/>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accéder aux locaux à usage professionnel afin de procéder à des constatations.</w:t>
      </w:r>
    </w:p>
    <w:p w14:paraId="0A76AE7D"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0610AD0F" w14:textId="42F0449F"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2</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 xml:space="preserve">Dans le cadre des contrôles et enquêtes effectués par la COSUMAF, le secret professionnel ne peut être opposé ni par la personne ou l’entité qui en fait l’objet, ni par ses commissaires aux comptes, ses conseils juridiques et fiscaux, ni par tout </w:t>
      </w:r>
      <w:r w:rsidR="00EB2178" w:rsidRPr="00A64175">
        <w:rPr>
          <w:rFonts w:ascii="Arial" w:hAnsi="Arial" w:cs="Arial"/>
          <w:color w:val="000000"/>
          <w:sz w:val="22"/>
          <w:szCs w:val="22"/>
        </w:rPr>
        <w:t>tiers détenant</w:t>
      </w:r>
      <w:r w:rsidR="009211D7" w:rsidRPr="00A64175">
        <w:rPr>
          <w:rFonts w:ascii="Arial" w:hAnsi="Arial" w:cs="Arial"/>
          <w:color w:val="000000"/>
          <w:sz w:val="22"/>
          <w:szCs w:val="22"/>
        </w:rPr>
        <w:t xml:space="preserve"> des informations ou documents susceptibles de servir au bon déroulement de la mission.</w:t>
      </w:r>
    </w:p>
    <w:p w14:paraId="48CBBC0A" w14:textId="77777777" w:rsidR="009211D7" w:rsidRPr="00A64175" w:rsidRDefault="009211D7" w:rsidP="00A64175">
      <w:pPr>
        <w:widowControl w:val="0"/>
        <w:tabs>
          <w:tab w:val="left" w:pos="2115"/>
        </w:tabs>
        <w:autoSpaceDE w:val="0"/>
        <w:autoSpaceDN w:val="0"/>
        <w:adjustRightInd w:val="0"/>
        <w:jc w:val="both"/>
        <w:rPr>
          <w:rFonts w:ascii="Arial" w:hAnsi="Arial" w:cs="Arial"/>
          <w:color w:val="000000"/>
          <w:kern w:val="1"/>
          <w:sz w:val="22"/>
          <w:szCs w:val="22"/>
        </w:rPr>
      </w:pPr>
    </w:p>
    <w:p w14:paraId="4AF9B030" w14:textId="20A85B02" w:rsidR="009211D7" w:rsidRPr="00A64175" w:rsidRDefault="00A41766" w:rsidP="00A64175">
      <w:pPr>
        <w:widowControl w:val="0"/>
        <w:tabs>
          <w:tab w:val="left" w:pos="2115"/>
        </w:tabs>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3</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Lorsque des obstacles ont été mis au bon déroulement d’une mission de contrôle ou d’enquête effectuée par la COSUMAF, mention en est faite dans le rapport par les contrôleurs ou les enquêteurs.</w:t>
      </w:r>
    </w:p>
    <w:p w14:paraId="67E8F222"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6E9DF43D" w14:textId="75B82B39" w:rsidR="009211D7" w:rsidRPr="00A64175" w:rsidRDefault="009211D7"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w:t>
      </w:r>
      <w:r w:rsidR="00A41766" w:rsidRPr="00A64175">
        <w:rPr>
          <w:rFonts w:ascii="Arial" w:hAnsi="Arial" w:cs="Arial"/>
          <w:b/>
          <w:bCs/>
          <w:color w:val="000000"/>
          <w:sz w:val="22"/>
          <w:szCs w:val="22"/>
        </w:rPr>
        <w:t xml:space="preserve"> 4</w:t>
      </w:r>
      <w:r w:rsidR="007B038E">
        <w:rPr>
          <w:rFonts w:ascii="Arial" w:hAnsi="Arial" w:cs="Arial"/>
          <w:b/>
          <w:bCs/>
          <w:color w:val="000000"/>
          <w:sz w:val="22"/>
          <w:szCs w:val="22"/>
        </w:rPr>
        <w:t>4</w:t>
      </w:r>
      <w:r w:rsidRPr="00A64175">
        <w:rPr>
          <w:rFonts w:ascii="Arial" w:hAnsi="Arial" w:cs="Arial"/>
          <w:b/>
          <w:bCs/>
          <w:color w:val="000000"/>
          <w:sz w:val="22"/>
          <w:szCs w:val="22"/>
        </w:rPr>
        <w:t xml:space="preserve">. – </w:t>
      </w:r>
      <w:r w:rsidRPr="00A64175">
        <w:rPr>
          <w:rFonts w:ascii="Arial" w:hAnsi="Arial" w:cs="Arial"/>
          <w:color w:val="000000"/>
          <w:sz w:val="22"/>
          <w:szCs w:val="22"/>
        </w:rPr>
        <w:t>Les organismes d</w:t>
      </w:r>
      <w:r w:rsidR="002C57F8" w:rsidRPr="00A64175">
        <w:rPr>
          <w:rFonts w:ascii="Arial" w:hAnsi="Arial" w:cs="Arial"/>
          <w:color w:val="000000"/>
          <w:sz w:val="22"/>
          <w:szCs w:val="22"/>
        </w:rPr>
        <w:t>e</w:t>
      </w:r>
      <w:r w:rsidRPr="00A64175">
        <w:rPr>
          <w:rFonts w:ascii="Arial" w:hAnsi="Arial" w:cs="Arial"/>
          <w:color w:val="000000"/>
          <w:sz w:val="22"/>
          <w:szCs w:val="22"/>
        </w:rPr>
        <w:t xml:space="preserve"> marché sont tenus de communiquer à la  COSUMAF, dès qu’ils en ont connaissance, toute information de nature à affecter le bon fonctionnement du marché, la régularité des transactions qui y sont exécutées, la crédibilité d’un intervenant ou de l’un quelconque de leurs propres administrateurs ou actionnaires.  </w:t>
      </w:r>
    </w:p>
    <w:p w14:paraId="3F306353" w14:textId="77777777" w:rsidR="009211D7" w:rsidRPr="00A64175" w:rsidRDefault="009211D7" w:rsidP="00A64175">
      <w:pPr>
        <w:widowControl w:val="0"/>
        <w:tabs>
          <w:tab w:val="left" w:pos="5415"/>
        </w:tabs>
        <w:autoSpaceDE w:val="0"/>
        <w:autoSpaceDN w:val="0"/>
        <w:adjustRightInd w:val="0"/>
        <w:jc w:val="both"/>
        <w:rPr>
          <w:rFonts w:ascii="Arial" w:hAnsi="Arial" w:cs="Arial"/>
          <w:color w:val="000000"/>
          <w:kern w:val="1"/>
          <w:sz w:val="22"/>
          <w:szCs w:val="22"/>
        </w:rPr>
      </w:pPr>
    </w:p>
    <w:p w14:paraId="3E5F4184" w14:textId="77777777" w:rsidR="009211D7" w:rsidRPr="00A64175" w:rsidRDefault="009211D7" w:rsidP="00A64175">
      <w:pPr>
        <w:widowControl w:val="0"/>
        <w:tabs>
          <w:tab w:val="left" w:pos="5415"/>
        </w:tabs>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Section II : Rapport de contrôle ou d’enquête</w:t>
      </w:r>
      <w:r w:rsidRPr="00A64175">
        <w:rPr>
          <w:rFonts w:ascii="Arial" w:hAnsi="Arial" w:cs="Arial"/>
          <w:b/>
          <w:bCs/>
          <w:color w:val="000000"/>
          <w:sz w:val="22"/>
          <w:szCs w:val="22"/>
        </w:rPr>
        <w:tab/>
      </w:r>
    </w:p>
    <w:p w14:paraId="1908FF8A" w14:textId="77777777" w:rsidR="008C2758" w:rsidRPr="00A64175" w:rsidRDefault="008C2758" w:rsidP="00A64175">
      <w:pPr>
        <w:widowControl w:val="0"/>
        <w:autoSpaceDE w:val="0"/>
        <w:autoSpaceDN w:val="0"/>
        <w:adjustRightInd w:val="0"/>
        <w:jc w:val="both"/>
        <w:rPr>
          <w:rFonts w:ascii="Arial" w:hAnsi="Arial" w:cs="Arial"/>
          <w:color w:val="000000"/>
          <w:kern w:val="1"/>
          <w:sz w:val="22"/>
          <w:szCs w:val="22"/>
        </w:rPr>
      </w:pPr>
    </w:p>
    <w:p w14:paraId="094021FC" w14:textId="355F1F32"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5</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Au terme des missions de contrôle ou d’enquête, un rapport écrit est établi. Ce rapport doit préciser les éventuels manquements relevés au présent Règlement et à la réglementation générale du marché. Il précise si ces manquements sont susceptibles de recevoir une qualification pénale.</w:t>
      </w:r>
    </w:p>
    <w:p w14:paraId="7C6473A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34B57C80" w14:textId="1D3C93D0"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6</w:t>
      </w:r>
      <w:r w:rsidR="009211D7" w:rsidRPr="00A64175">
        <w:rPr>
          <w:rFonts w:ascii="Arial" w:hAnsi="Arial" w:cs="Arial"/>
          <w:b/>
          <w:bCs/>
          <w:color w:val="000000"/>
          <w:sz w:val="22"/>
          <w:szCs w:val="22"/>
        </w:rPr>
        <w:t xml:space="preserve">. – </w:t>
      </w:r>
      <w:r w:rsidR="009211D7" w:rsidRPr="00A64175">
        <w:rPr>
          <w:rFonts w:ascii="Arial" w:hAnsi="Arial" w:cs="Arial"/>
          <w:sz w:val="22"/>
          <w:szCs w:val="22"/>
        </w:rPr>
        <w:t>Lorsque le rapport de contrôle ou d’enquête fait état d’éventuelles infractions pénales, il est transmis par le Président de la COSUMAF aux autorités judiciaires nationales compétentes. Lorsqu’il indique des faits ne relevant pas de la compétence de la COSUMAF, il est transmis aux autorités compétentes, sous régionales ou internationales.</w:t>
      </w:r>
    </w:p>
    <w:p w14:paraId="3176023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173F7E94" w14:textId="37FF5374"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7</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 xml:space="preserve">Tout rapport établi au terme d’un </w:t>
      </w:r>
      <w:r w:rsidR="00C628D7" w:rsidRPr="00A64175">
        <w:rPr>
          <w:rFonts w:ascii="Arial" w:hAnsi="Arial" w:cs="Arial"/>
          <w:color w:val="000000"/>
          <w:sz w:val="22"/>
          <w:szCs w:val="22"/>
        </w:rPr>
        <w:t xml:space="preserve">contrôle ou d’une enquête est </w:t>
      </w:r>
      <w:r w:rsidR="009211D7" w:rsidRPr="00A64175">
        <w:rPr>
          <w:rFonts w:ascii="Arial" w:hAnsi="Arial" w:cs="Arial"/>
          <w:color w:val="000000"/>
          <w:sz w:val="22"/>
          <w:szCs w:val="22"/>
        </w:rPr>
        <w:t xml:space="preserve"> communiqué, par le Président de la COSUMAF, à la personne ou </w:t>
      </w:r>
      <w:r w:rsidR="00DC0C13" w:rsidRPr="00A64175">
        <w:rPr>
          <w:rFonts w:ascii="Arial" w:hAnsi="Arial" w:cs="Arial"/>
          <w:color w:val="000000"/>
          <w:sz w:val="22"/>
          <w:szCs w:val="22"/>
        </w:rPr>
        <w:t>l’</w:t>
      </w:r>
      <w:r w:rsidR="009211D7" w:rsidRPr="00A64175">
        <w:rPr>
          <w:rFonts w:ascii="Arial" w:hAnsi="Arial" w:cs="Arial"/>
          <w:color w:val="000000"/>
          <w:sz w:val="22"/>
          <w:szCs w:val="22"/>
        </w:rPr>
        <w:t>entité qui en a fait l’objet. Une synthèse du rapport est adressée aux membres du Collège de la COSUMAF.</w:t>
      </w:r>
    </w:p>
    <w:p w14:paraId="79E7A6A4"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46F0C83B"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Toute autre personne concernée par le contrôle ou l’enquête peut solliciter, auprès du Président de la COSUMAF, la communication de tout ou partie dudit rapport. La COSUMAF apprécie souverainement la suite à donner à cette demande.</w:t>
      </w:r>
    </w:p>
    <w:p w14:paraId="1E3E539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58192DEE"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communication du rapport se fait soit par lettre recommandée avec demande d’avis de réception soit par remise en main propre contre récépissé ou décharge.</w:t>
      </w:r>
    </w:p>
    <w:p w14:paraId="5903E32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052DDA90" w14:textId="77777777" w:rsidR="009211D7" w:rsidRPr="00A64175" w:rsidRDefault="009211D7"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La personne ou l’entité qui a fait l’objet du contrôle ou de l’enquête dispose d’un délai de dix (10) jours, à compter de la réception du rapport, pour faire part de ses éventuelles observations.</w:t>
      </w:r>
    </w:p>
    <w:p w14:paraId="074C7EF8" w14:textId="77777777" w:rsidR="00C628D7" w:rsidRPr="00A64175" w:rsidRDefault="00C628D7" w:rsidP="00A64175">
      <w:pPr>
        <w:widowControl w:val="0"/>
        <w:autoSpaceDE w:val="0"/>
        <w:autoSpaceDN w:val="0"/>
        <w:adjustRightInd w:val="0"/>
        <w:jc w:val="both"/>
        <w:rPr>
          <w:rFonts w:ascii="Arial" w:hAnsi="Arial" w:cs="Arial"/>
          <w:color w:val="000000"/>
          <w:sz w:val="22"/>
          <w:szCs w:val="22"/>
        </w:rPr>
      </w:pPr>
    </w:p>
    <w:p w14:paraId="1CAF9F27" w14:textId="0F31ACFA" w:rsidR="00C628D7" w:rsidRPr="00A64175" w:rsidRDefault="00C628D7"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Dans un délai de trente (30) jours à compter de la réception des observations formulées par la personne ou l’entité qui a fait l’objet du contrôle, la COSUMAF lui adresse son rapport final.</w:t>
      </w:r>
    </w:p>
    <w:p w14:paraId="18795158" w14:textId="77777777" w:rsidR="00C628D7" w:rsidRPr="00A64175" w:rsidRDefault="00C628D7" w:rsidP="00A64175">
      <w:pPr>
        <w:widowControl w:val="0"/>
        <w:autoSpaceDE w:val="0"/>
        <w:autoSpaceDN w:val="0"/>
        <w:adjustRightInd w:val="0"/>
        <w:jc w:val="both"/>
        <w:rPr>
          <w:rFonts w:ascii="Arial" w:hAnsi="Arial" w:cs="Arial"/>
          <w:color w:val="000000"/>
          <w:kern w:val="1"/>
          <w:sz w:val="22"/>
          <w:szCs w:val="22"/>
        </w:rPr>
      </w:pPr>
    </w:p>
    <w:p w14:paraId="4B266ACD"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1BDC25EC" w14:textId="59314827"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8</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Au vu des conclusions du rapport, la COSUMAF indique à l’entité ou la personne concernée, par lettre recommandée avec demande d’avis de réception ou remise en main propre contre récépissé ou décharge, les mesures à prendre afin de mettre fin aux pratiques c</w:t>
      </w:r>
      <w:r w:rsidR="00C45B9A" w:rsidRPr="00A64175">
        <w:rPr>
          <w:rFonts w:ascii="Arial" w:hAnsi="Arial" w:cs="Arial"/>
          <w:color w:val="000000"/>
          <w:sz w:val="22"/>
          <w:szCs w:val="22"/>
        </w:rPr>
        <w:t>ontraires aux dispositions législativ</w:t>
      </w:r>
      <w:r w:rsidR="009211D7" w:rsidRPr="00A64175">
        <w:rPr>
          <w:rFonts w:ascii="Arial" w:hAnsi="Arial" w:cs="Arial"/>
          <w:color w:val="000000"/>
          <w:sz w:val="22"/>
          <w:szCs w:val="22"/>
        </w:rPr>
        <w:t xml:space="preserve">es et réglementaires. </w:t>
      </w:r>
    </w:p>
    <w:p w14:paraId="67A79457"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22F2C3FF"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décision de la COSUMAF est d’application immédiate. Elle peut être rendue publique.</w:t>
      </w:r>
    </w:p>
    <w:p w14:paraId="5655C0D0"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32D2C7BA"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personne ou l’entité qui a fait l’objet du contrôle ou de l’enquête est tenue de communiquer le rapport et la lettre de la COSUMAF à l’organe délibérant de sa structure, ainsi qu’aux commissaires aux comptes, et le cas échéant à l’organisme professionnel auquel elle est affiliée.</w:t>
      </w:r>
    </w:p>
    <w:p w14:paraId="5B44EE14"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7E6E685A" w14:textId="52A9F727"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4</w:t>
      </w:r>
      <w:r w:rsidR="007B038E">
        <w:rPr>
          <w:rFonts w:ascii="Arial" w:hAnsi="Arial" w:cs="Arial"/>
          <w:b/>
          <w:bCs/>
          <w:color w:val="000000"/>
          <w:sz w:val="22"/>
          <w:szCs w:val="22"/>
        </w:rPr>
        <w:t>9</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 xml:space="preserve">La COSUMAF peut enjoindre à la personne ou </w:t>
      </w:r>
      <w:r w:rsidR="005B19B8" w:rsidRPr="00A64175">
        <w:rPr>
          <w:rFonts w:ascii="Arial" w:hAnsi="Arial" w:cs="Arial"/>
          <w:color w:val="000000"/>
          <w:sz w:val="22"/>
          <w:szCs w:val="22"/>
        </w:rPr>
        <w:t>l’</w:t>
      </w:r>
      <w:r w:rsidR="009211D7" w:rsidRPr="00A64175">
        <w:rPr>
          <w:rFonts w:ascii="Arial" w:hAnsi="Arial" w:cs="Arial"/>
          <w:color w:val="000000"/>
          <w:sz w:val="22"/>
          <w:szCs w:val="22"/>
        </w:rPr>
        <w:t>entité responsable de la pratique relevée de se conformer aux dispositions légales en vigueur, et de mettre fin à l’irrégularité ou d’en supprimer les effets.</w:t>
      </w:r>
    </w:p>
    <w:p w14:paraId="6CA644E5"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41ADFD4D" w14:textId="5D7B7E17" w:rsidR="009211D7" w:rsidRPr="00A64175" w:rsidRDefault="00A41766"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50</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La COSUMAF peut déléguer à l’</w:t>
      </w:r>
      <w:r w:rsidR="00BB0873" w:rsidRPr="00A64175">
        <w:rPr>
          <w:rFonts w:ascii="Arial" w:hAnsi="Arial" w:cs="Arial"/>
          <w:color w:val="000000"/>
          <w:sz w:val="22"/>
          <w:szCs w:val="22"/>
        </w:rPr>
        <w:t>e</w:t>
      </w:r>
      <w:r w:rsidR="009211D7" w:rsidRPr="00A64175">
        <w:rPr>
          <w:rFonts w:ascii="Arial" w:hAnsi="Arial" w:cs="Arial"/>
          <w:color w:val="000000"/>
          <w:sz w:val="22"/>
          <w:szCs w:val="22"/>
        </w:rPr>
        <w:t>ntrepris</w:t>
      </w:r>
      <w:r w:rsidR="0042110B" w:rsidRPr="00A64175">
        <w:rPr>
          <w:rFonts w:ascii="Arial" w:hAnsi="Arial" w:cs="Arial"/>
          <w:color w:val="000000"/>
          <w:sz w:val="22"/>
          <w:szCs w:val="22"/>
        </w:rPr>
        <w:t>e</w:t>
      </w:r>
      <w:r w:rsidR="009211D7" w:rsidRPr="00A64175">
        <w:rPr>
          <w:rFonts w:ascii="Arial" w:hAnsi="Arial" w:cs="Arial"/>
          <w:color w:val="000000"/>
          <w:sz w:val="22"/>
          <w:szCs w:val="22"/>
        </w:rPr>
        <w:t xml:space="preserve"> de </w:t>
      </w:r>
      <w:r w:rsidR="00BB0873" w:rsidRPr="00A64175">
        <w:rPr>
          <w:rFonts w:ascii="Arial" w:hAnsi="Arial" w:cs="Arial"/>
          <w:color w:val="000000"/>
          <w:sz w:val="22"/>
          <w:szCs w:val="22"/>
        </w:rPr>
        <w:t>m</w:t>
      </w:r>
      <w:r w:rsidR="009211D7" w:rsidRPr="00A64175">
        <w:rPr>
          <w:rFonts w:ascii="Arial" w:hAnsi="Arial" w:cs="Arial"/>
          <w:color w:val="000000"/>
          <w:sz w:val="22"/>
          <w:szCs w:val="22"/>
        </w:rPr>
        <w:t xml:space="preserve">arché ou au Dépositaire Central le contrôle de l’activité et des opérations effectuées par les émetteurs dont les valeurs sont </w:t>
      </w:r>
      <w:r w:rsidR="00F23F4B" w:rsidRPr="00A64175">
        <w:rPr>
          <w:rFonts w:ascii="Arial" w:hAnsi="Arial" w:cs="Arial"/>
          <w:color w:val="000000"/>
          <w:sz w:val="22"/>
          <w:szCs w:val="22"/>
        </w:rPr>
        <w:t>admises à la négociation à</w:t>
      </w:r>
      <w:r w:rsidR="009211D7" w:rsidRPr="00A64175">
        <w:rPr>
          <w:rFonts w:ascii="Arial" w:hAnsi="Arial" w:cs="Arial"/>
          <w:color w:val="000000"/>
          <w:sz w:val="22"/>
          <w:szCs w:val="22"/>
        </w:rPr>
        <w:t xml:space="preserve"> la Bourse Régionale, ainsi que celles effectuées par les intermédiaires de marché. </w:t>
      </w:r>
    </w:p>
    <w:p w14:paraId="4ADB5368"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5B1B8DDA"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Cette délégation peut être retirée à tout moment.</w:t>
      </w:r>
    </w:p>
    <w:p w14:paraId="4B1DD290" w14:textId="77777777" w:rsidR="009211D7" w:rsidRPr="00A64175" w:rsidRDefault="009211D7" w:rsidP="00A64175">
      <w:pPr>
        <w:widowControl w:val="0"/>
        <w:autoSpaceDE w:val="0"/>
        <w:autoSpaceDN w:val="0"/>
        <w:adjustRightInd w:val="0"/>
        <w:jc w:val="both"/>
        <w:rPr>
          <w:rFonts w:ascii="Arial" w:hAnsi="Arial" w:cs="Arial"/>
          <w:kern w:val="1"/>
          <w:sz w:val="22"/>
          <w:szCs w:val="22"/>
        </w:rPr>
      </w:pPr>
    </w:p>
    <w:p w14:paraId="5223CD81" w14:textId="77777777" w:rsidR="009211D7" w:rsidRPr="00A64175" w:rsidRDefault="009211D7" w:rsidP="00A64175">
      <w:pPr>
        <w:widowControl w:val="0"/>
        <w:autoSpaceDE w:val="0"/>
        <w:autoSpaceDN w:val="0"/>
        <w:adjustRightInd w:val="0"/>
        <w:jc w:val="both"/>
        <w:rPr>
          <w:rFonts w:ascii="Arial" w:hAnsi="Arial" w:cs="Arial"/>
          <w:sz w:val="22"/>
          <w:szCs w:val="22"/>
        </w:rPr>
      </w:pPr>
    </w:p>
    <w:p w14:paraId="428FBCFB"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Section III : Assistance et coopération en matière de contrôle et d’enquête</w:t>
      </w:r>
    </w:p>
    <w:p w14:paraId="20D89627"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30051BB4" w14:textId="65A119E9" w:rsidR="009211D7" w:rsidRPr="00A64175" w:rsidRDefault="00A41766"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 xml:space="preserve">Article </w:t>
      </w:r>
      <w:r w:rsidR="007B038E">
        <w:rPr>
          <w:rFonts w:ascii="Arial" w:hAnsi="Arial" w:cs="Arial"/>
          <w:b/>
          <w:bCs/>
          <w:color w:val="000000"/>
          <w:sz w:val="22"/>
          <w:szCs w:val="22"/>
        </w:rPr>
        <w:t>51</w:t>
      </w:r>
      <w:r w:rsidR="009211D7" w:rsidRPr="00A64175">
        <w:rPr>
          <w:rFonts w:ascii="Arial" w:hAnsi="Arial" w:cs="Arial"/>
          <w:b/>
          <w:bCs/>
          <w:color w:val="000000"/>
          <w:sz w:val="22"/>
          <w:szCs w:val="22"/>
        </w:rPr>
        <w:t xml:space="preserve">. – </w:t>
      </w:r>
      <w:r w:rsidR="009211D7" w:rsidRPr="00A64175">
        <w:rPr>
          <w:rFonts w:ascii="Arial" w:hAnsi="Arial" w:cs="Arial"/>
          <w:color w:val="000000"/>
          <w:sz w:val="22"/>
          <w:szCs w:val="22"/>
        </w:rPr>
        <w:t>Lorsqu’une enquête est diligentée à la requête d’une autorité étrangère à laquelle la COSUMAF est liée par un accord de coopération, la COSUMAF lui apporte son concours.</w:t>
      </w:r>
    </w:p>
    <w:p w14:paraId="4F049172"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7D4CA012"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L’assistance demandée par une autorité étrangère peut être écartée par la COSUMAF lorsque :</w:t>
      </w:r>
    </w:p>
    <w:p w14:paraId="7FA5D4B0"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17DD5169" w14:textId="77777777" w:rsidR="009211D7" w:rsidRPr="00A64175" w:rsidRDefault="009211D7" w:rsidP="00A64175">
      <w:pPr>
        <w:widowControl w:val="0"/>
        <w:numPr>
          <w:ilvl w:val="0"/>
          <w:numId w:val="2"/>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l’exécution de la demande est de nature à porter atteinte à la souveraineté, à la sécurité, aux intérêts économiques essentiels ou à l’ordre public d’un Etat membre de la CEMAC ;</w:t>
      </w:r>
    </w:p>
    <w:p w14:paraId="2088EB29" w14:textId="77777777" w:rsidR="009211D7" w:rsidRPr="00A64175" w:rsidRDefault="009211D7"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3FB23858" w14:textId="77777777" w:rsidR="009211D7" w:rsidRPr="00A64175" w:rsidRDefault="009211D7" w:rsidP="00A64175">
      <w:pPr>
        <w:widowControl w:val="0"/>
        <w:numPr>
          <w:ilvl w:val="0"/>
          <w:numId w:val="2"/>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une procédure pénale a déjà été engagée sur la base des mêmes faits et contre les mêmes personnes ;</w:t>
      </w:r>
    </w:p>
    <w:p w14:paraId="33286781" w14:textId="77777777" w:rsidR="009211D7" w:rsidRPr="00A64175" w:rsidRDefault="009211D7"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30178A0B" w14:textId="77777777" w:rsidR="009211D7" w:rsidRPr="00A64175" w:rsidRDefault="009211D7" w:rsidP="00A64175">
      <w:pPr>
        <w:widowControl w:val="0"/>
        <w:numPr>
          <w:ilvl w:val="0"/>
          <w:numId w:val="2"/>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personnes qui font l’objet de la requête ont été sanctionnées, par une décision définitive, pour les mêmes faits.</w:t>
      </w:r>
    </w:p>
    <w:p w14:paraId="12179B18" w14:textId="77777777" w:rsidR="009211D7" w:rsidRPr="00A64175" w:rsidRDefault="009211D7" w:rsidP="00A64175">
      <w:pPr>
        <w:widowControl w:val="0"/>
        <w:autoSpaceDE w:val="0"/>
        <w:autoSpaceDN w:val="0"/>
        <w:adjustRightInd w:val="0"/>
        <w:jc w:val="both"/>
        <w:rPr>
          <w:rFonts w:ascii="Arial" w:hAnsi="Arial" w:cs="Arial"/>
          <w:color w:val="000000"/>
          <w:kern w:val="1"/>
          <w:sz w:val="22"/>
          <w:szCs w:val="22"/>
        </w:rPr>
      </w:pPr>
    </w:p>
    <w:p w14:paraId="2EA5AC0E" w14:textId="77777777" w:rsidR="00F85819" w:rsidRPr="00A64175" w:rsidRDefault="009211D7"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COSUMAF peut requérir l’assistance d’une autorité étrangère avec laquelle elle a conclu un accord de coopération.</w:t>
      </w:r>
    </w:p>
    <w:p w14:paraId="499B0A97" w14:textId="77777777" w:rsidR="001F17CB" w:rsidRPr="00A64175" w:rsidRDefault="001F17CB" w:rsidP="00A64175">
      <w:pPr>
        <w:widowControl w:val="0"/>
        <w:autoSpaceDE w:val="0"/>
        <w:autoSpaceDN w:val="0"/>
        <w:adjustRightInd w:val="0"/>
        <w:jc w:val="both"/>
        <w:rPr>
          <w:rFonts w:ascii="Arial" w:hAnsi="Arial" w:cs="Arial"/>
          <w:color w:val="000000"/>
          <w:kern w:val="1"/>
          <w:sz w:val="22"/>
          <w:szCs w:val="22"/>
        </w:rPr>
      </w:pPr>
    </w:p>
    <w:p w14:paraId="48F0D133" w14:textId="77777777" w:rsidR="00033EB9" w:rsidRPr="00A64175" w:rsidRDefault="00033EB9" w:rsidP="00A64175">
      <w:pPr>
        <w:widowControl w:val="0"/>
        <w:autoSpaceDE w:val="0"/>
        <w:autoSpaceDN w:val="0"/>
        <w:adjustRightInd w:val="0"/>
        <w:jc w:val="both"/>
        <w:rPr>
          <w:rFonts w:ascii="Arial" w:hAnsi="Arial" w:cs="Arial"/>
          <w:color w:val="000000"/>
          <w:kern w:val="1"/>
          <w:sz w:val="22"/>
          <w:szCs w:val="22"/>
        </w:rPr>
      </w:pPr>
    </w:p>
    <w:p w14:paraId="59966A8A" w14:textId="77777777" w:rsidR="00F85819" w:rsidRPr="00A64175" w:rsidRDefault="004F1724"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VI</w:t>
      </w:r>
      <w:r w:rsidR="00F85819" w:rsidRPr="00A64175">
        <w:rPr>
          <w:rFonts w:ascii="Arial" w:hAnsi="Arial" w:cs="Arial"/>
          <w:b/>
          <w:bCs/>
          <w:color w:val="000000"/>
          <w:sz w:val="22"/>
          <w:szCs w:val="22"/>
        </w:rPr>
        <w:t> </w:t>
      </w:r>
      <w:r w:rsidR="00DB7EF1" w:rsidRPr="00A64175">
        <w:rPr>
          <w:rFonts w:ascii="Arial" w:hAnsi="Arial" w:cs="Arial"/>
          <w:b/>
          <w:bCs/>
          <w:color w:val="000000"/>
          <w:sz w:val="22"/>
          <w:szCs w:val="22"/>
        </w:rPr>
        <w:t>–</w:t>
      </w:r>
      <w:r w:rsidR="00F85819" w:rsidRPr="00A64175">
        <w:rPr>
          <w:rFonts w:ascii="Arial" w:hAnsi="Arial" w:cs="Arial"/>
          <w:b/>
          <w:bCs/>
          <w:color w:val="000000"/>
          <w:sz w:val="22"/>
          <w:szCs w:val="22"/>
        </w:rPr>
        <w:t> PROCEDURE DE SANCTION</w:t>
      </w:r>
    </w:p>
    <w:p w14:paraId="5C8536B5" w14:textId="77777777" w:rsidR="00033EB9" w:rsidRPr="00A64175" w:rsidRDefault="00033EB9" w:rsidP="00A64175">
      <w:pPr>
        <w:widowControl w:val="0"/>
        <w:autoSpaceDE w:val="0"/>
        <w:autoSpaceDN w:val="0"/>
        <w:adjustRightInd w:val="0"/>
        <w:jc w:val="both"/>
        <w:rPr>
          <w:rFonts w:ascii="Arial" w:hAnsi="Arial" w:cs="Arial"/>
          <w:b/>
          <w:bCs/>
          <w:sz w:val="22"/>
          <w:szCs w:val="22"/>
        </w:rPr>
      </w:pPr>
    </w:p>
    <w:p w14:paraId="7D90AD2B" w14:textId="775D5ADE" w:rsidR="009211D7" w:rsidRPr="00A64175" w:rsidRDefault="00A41766" w:rsidP="00A64175">
      <w:pPr>
        <w:widowControl w:val="0"/>
        <w:autoSpaceDE w:val="0"/>
        <w:autoSpaceDN w:val="0"/>
        <w:adjustRightInd w:val="0"/>
        <w:jc w:val="both"/>
        <w:rPr>
          <w:rFonts w:ascii="Arial" w:hAnsi="Arial" w:cs="Arial"/>
          <w:sz w:val="22"/>
          <w:szCs w:val="22"/>
        </w:rPr>
      </w:pPr>
      <w:r w:rsidRPr="00A64175">
        <w:rPr>
          <w:rFonts w:ascii="Arial" w:hAnsi="Arial" w:cs="Arial"/>
          <w:b/>
          <w:bCs/>
          <w:sz w:val="22"/>
          <w:szCs w:val="22"/>
        </w:rPr>
        <w:t>Article 5</w:t>
      </w:r>
      <w:r w:rsidR="007B038E">
        <w:rPr>
          <w:rFonts w:ascii="Arial" w:hAnsi="Arial" w:cs="Arial"/>
          <w:b/>
          <w:bCs/>
          <w:sz w:val="22"/>
          <w:szCs w:val="22"/>
        </w:rPr>
        <w:t>2</w:t>
      </w:r>
      <w:r w:rsidR="009211D7" w:rsidRPr="00A64175">
        <w:rPr>
          <w:rFonts w:ascii="Arial" w:hAnsi="Arial" w:cs="Arial"/>
          <w:b/>
          <w:bCs/>
          <w:color w:val="000000"/>
          <w:sz w:val="22"/>
          <w:szCs w:val="22"/>
        </w:rPr>
        <w:t>. –</w:t>
      </w:r>
      <w:r w:rsidR="009211D7" w:rsidRPr="00A64175">
        <w:rPr>
          <w:rFonts w:ascii="Arial" w:hAnsi="Arial" w:cs="Arial"/>
          <w:kern w:val="1"/>
          <w:sz w:val="22"/>
          <w:szCs w:val="22"/>
        </w:rPr>
        <w:t xml:space="preserve"> </w:t>
      </w:r>
      <w:r w:rsidR="009211D7" w:rsidRPr="00A64175">
        <w:rPr>
          <w:rFonts w:ascii="Arial" w:hAnsi="Arial" w:cs="Arial"/>
          <w:sz w:val="22"/>
          <w:szCs w:val="22"/>
        </w:rPr>
        <w:t>Lorsque le ra</w:t>
      </w:r>
      <w:r w:rsidR="004C0366" w:rsidRPr="00A64175">
        <w:rPr>
          <w:rFonts w:ascii="Arial" w:hAnsi="Arial" w:cs="Arial"/>
          <w:sz w:val="22"/>
          <w:szCs w:val="22"/>
        </w:rPr>
        <w:t xml:space="preserve">pport de contrôle ou d’enquête </w:t>
      </w:r>
      <w:r w:rsidR="009211D7" w:rsidRPr="00A64175">
        <w:rPr>
          <w:rFonts w:ascii="Arial" w:hAnsi="Arial" w:cs="Arial"/>
          <w:sz w:val="22"/>
          <w:szCs w:val="22"/>
        </w:rPr>
        <w:t>révèle des manquements</w:t>
      </w:r>
      <w:r w:rsidR="004C0366" w:rsidRPr="00A64175">
        <w:rPr>
          <w:rFonts w:ascii="Arial" w:hAnsi="Arial" w:cs="Arial"/>
          <w:sz w:val="22"/>
          <w:szCs w:val="22"/>
        </w:rPr>
        <w:t xml:space="preserve"> à la réglementation en vigueur</w:t>
      </w:r>
      <w:r w:rsidR="009211D7" w:rsidRPr="00A64175">
        <w:rPr>
          <w:rFonts w:ascii="Arial" w:hAnsi="Arial" w:cs="Arial"/>
          <w:sz w:val="22"/>
          <w:szCs w:val="22"/>
        </w:rPr>
        <w:t xml:space="preserve"> </w:t>
      </w:r>
      <w:r w:rsidR="004C0366" w:rsidRPr="00A64175">
        <w:rPr>
          <w:rFonts w:ascii="Arial" w:hAnsi="Arial" w:cs="Arial"/>
          <w:sz w:val="22"/>
          <w:szCs w:val="22"/>
        </w:rPr>
        <w:t>ou des</w:t>
      </w:r>
      <w:r w:rsidR="009211D7" w:rsidRPr="00A64175">
        <w:rPr>
          <w:rFonts w:ascii="Arial" w:hAnsi="Arial" w:cs="Arial"/>
          <w:sz w:val="22"/>
          <w:szCs w:val="22"/>
        </w:rPr>
        <w:t xml:space="preserve"> manquement</w:t>
      </w:r>
      <w:r w:rsidR="004C0366" w:rsidRPr="00A64175">
        <w:rPr>
          <w:rFonts w:ascii="Arial" w:hAnsi="Arial" w:cs="Arial"/>
          <w:sz w:val="22"/>
          <w:szCs w:val="22"/>
        </w:rPr>
        <w:t>s</w:t>
      </w:r>
      <w:r w:rsidR="009211D7" w:rsidRPr="00A64175">
        <w:rPr>
          <w:rFonts w:ascii="Arial" w:hAnsi="Arial" w:cs="Arial"/>
          <w:sz w:val="22"/>
          <w:szCs w:val="22"/>
        </w:rPr>
        <w:t xml:space="preserve"> de nature à porter atteinte à la protection des investisseurs ou au bon fonction</w:t>
      </w:r>
      <w:r w:rsidR="004C0366" w:rsidRPr="00A64175">
        <w:rPr>
          <w:rFonts w:ascii="Arial" w:hAnsi="Arial" w:cs="Arial"/>
          <w:sz w:val="22"/>
          <w:szCs w:val="22"/>
        </w:rPr>
        <w:t>nement du marché, le</w:t>
      </w:r>
      <w:r w:rsidR="009211D7" w:rsidRPr="00A64175">
        <w:rPr>
          <w:rFonts w:ascii="Arial" w:hAnsi="Arial" w:cs="Arial"/>
          <w:sz w:val="22"/>
          <w:szCs w:val="22"/>
        </w:rPr>
        <w:t xml:space="preserve"> Collège</w:t>
      </w:r>
      <w:r w:rsidR="004C0366" w:rsidRPr="00A64175">
        <w:rPr>
          <w:rFonts w:ascii="Arial" w:hAnsi="Arial" w:cs="Arial"/>
          <w:sz w:val="22"/>
          <w:szCs w:val="22"/>
        </w:rPr>
        <w:t xml:space="preserve"> de la COSUMAF</w:t>
      </w:r>
      <w:r w:rsidR="009211D7" w:rsidRPr="00A64175">
        <w:rPr>
          <w:rFonts w:ascii="Arial" w:hAnsi="Arial" w:cs="Arial"/>
          <w:sz w:val="22"/>
          <w:szCs w:val="22"/>
        </w:rPr>
        <w:t xml:space="preserve"> peut décider l’ouverture d’une procédure de sanction.</w:t>
      </w:r>
    </w:p>
    <w:p w14:paraId="32504EA5" w14:textId="77777777" w:rsidR="009211D7" w:rsidRPr="00A64175" w:rsidRDefault="009211D7" w:rsidP="00A64175">
      <w:pPr>
        <w:widowControl w:val="0"/>
        <w:autoSpaceDE w:val="0"/>
        <w:autoSpaceDN w:val="0"/>
        <w:adjustRightInd w:val="0"/>
        <w:jc w:val="both"/>
        <w:rPr>
          <w:rFonts w:ascii="Arial" w:hAnsi="Arial" w:cs="Arial"/>
          <w:sz w:val="22"/>
          <w:szCs w:val="22"/>
        </w:rPr>
      </w:pPr>
    </w:p>
    <w:p w14:paraId="4DE5EBE1" w14:textId="5373EB76" w:rsidR="009211D7" w:rsidRPr="00A64175" w:rsidRDefault="00A41766" w:rsidP="00A64175">
      <w:pPr>
        <w:widowControl w:val="0"/>
        <w:autoSpaceDE w:val="0"/>
        <w:autoSpaceDN w:val="0"/>
        <w:adjustRightInd w:val="0"/>
        <w:jc w:val="both"/>
        <w:rPr>
          <w:rFonts w:ascii="Arial" w:hAnsi="Arial" w:cs="Arial"/>
          <w:b/>
          <w:bCs/>
          <w:sz w:val="22"/>
          <w:szCs w:val="22"/>
        </w:rPr>
      </w:pPr>
      <w:r w:rsidRPr="00A64175">
        <w:rPr>
          <w:rFonts w:ascii="Arial" w:hAnsi="Arial" w:cs="Arial"/>
          <w:b/>
          <w:bCs/>
          <w:sz w:val="22"/>
          <w:szCs w:val="22"/>
        </w:rPr>
        <w:t>Article 5</w:t>
      </w:r>
      <w:r w:rsidR="007B038E">
        <w:rPr>
          <w:rFonts w:ascii="Arial" w:hAnsi="Arial" w:cs="Arial"/>
          <w:b/>
          <w:bCs/>
          <w:sz w:val="22"/>
          <w:szCs w:val="22"/>
        </w:rPr>
        <w:t>3</w:t>
      </w:r>
      <w:r w:rsidR="009211D7" w:rsidRPr="00A64175">
        <w:rPr>
          <w:rFonts w:ascii="Arial" w:hAnsi="Arial" w:cs="Arial"/>
          <w:b/>
          <w:bCs/>
          <w:color w:val="000000"/>
          <w:sz w:val="22"/>
          <w:szCs w:val="22"/>
        </w:rPr>
        <w:t xml:space="preserve">. – </w:t>
      </w:r>
      <w:r w:rsidR="009211D7" w:rsidRPr="00A64175">
        <w:rPr>
          <w:rFonts w:ascii="Arial" w:hAnsi="Arial" w:cs="Arial"/>
          <w:bCs/>
          <w:sz w:val="22"/>
          <w:szCs w:val="22"/>
        </w:rPr>
        <w:t xml:space="preserve">La procédure de sanction doit être équitable, contradictoire et préserver l’équilibre des droits des parties. </w:t>
      </w:r>
      <w:r w:rsidR="00573EC1">
        <w:rPr>
          <w:rFonts w:ascii="Arial" w:hAnsi="Arial" w:cs="Arial"/>
          <w:bCs/>
          <w:sz w:val="22"/>
          <w:szCs w:val="22"/>
        </w:rPr>
        <w:t xml:space="preserve">  </w:t>
      </w:r>
    </w:p>
    <w:p w14:paraId="0896EBB6" w14:textId="77777777" w:rsidR="009211D7" w:rsidRPr="00A64175" w:rsidRDefault="009211D7" w:rsidP="00A64175">
      <w:pPr>
        <w:widowControl w:val="0"/>
        <w:autoSpaceDE w:val="0"/>
        <w:autoSpaceDN w:val="0"/>
        <w:adjustRightInd w:val="0"/>
        <w:jc w:val="both"/>
        <w:rPr>
          <w:rFonts w:ascii="Arial" w:hAnsi="Arial" w:cs="Arial"/>
          <w:bCs/>
          <w:sz w:val="22"/>
          <w:szCs w:val="22"/>
        </w:rPr>
      </w:pPr>
    </w:p>
    <w:p w14:paraId="20DD57D9" w14:textId="77777777" w:rsidR="009211D7" w:rsidRPr="00A64175" w:rsidRDefault="009211D7" w:rsidP="00A64175">
      <w:pPr>
        <w:widowControl w:val="0"/>
        <w:autoSpaceDE w:val="0"/>
        <w:autoSpaceDN w:val="0"/>
        <w:adjustRightInd w:val="0"/>
        <w:jc w:val="both"/>
        <w:rPr>
          <w:rFonts w:ascii="Arial" w:hAnsi="Arial" w:cs="Arial"/>
          <w:bCs/>
          <w:sz w:val="22"/>
          <w:szCs w:val="22"/>
        </w:rPr>
      </w:pPr>
      <w:r w:rsidRPr="00A64175">
        <w:rPr>
          <w:rFonts w:ascii="Arial" w:hAnsi="Arial" w:cs="Arial"/>
          <w:bCs/>
          <w:sz w:val="22"/>
          <w:szCs w:val="22"/>
        </w:rPr>
        <w:t>Toute personne ou entité mise en cause est présumée innocente jusqu’à ce que sa culpabilité ait été établie par la Commission des sanctions.</w:t>
      </w:r>
    </w:p>
    <w:p w14:paraId="7555708F" w14:textId="77777777" w:rsidR="00A81506" w:rsidRPr="00A64175" w:rsidRDefault="00A81506" w:rsidP="00A64175">
      <w:pPr>
        <w:widowControl w:val="0"/>
        <w:autoSpaceDE w:val="0"/>
        <w:autoSpaceDN w:val="0"/>
        <w:adjustRightInd w:val="0"/>
        <w:jc w:val="both"/>
        <w:rPr>
          <w:rFonts w:ascii="Arial" w:hAnsi="Arial" w:cs="Arial"/>
          <w:bCs/>
          <w:sz w:val="22"/>
          <w:szCs w:val="22"/>
        </w:rPr>
      </w:pPr>
    </w:p>
    <w:p w14:paraId="667FD22F" w14:textId="211CEE9A" w:rsidR="009211D7" w:rsidRPr="00A64175" w:rsidRDefault="00A41766"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b/>
          <w:bCs/>
          <w:sz w:val="22"/>
          <w:szCs w:val="22"/>
        </w:rPr>
        <w:t>Article 5</w:t>
      </w:r>
      <w:r w:rsidR="007B038E">
        <w:rPr>
          <w:rFonts w:ascii="Arial" w:hAnsi="Arial" w:cs="Arial"/>
          <w:b/>
          <w:bCs/>
          <w:sz w:val="22"/>
          <w:szCs w:val="22"/>
        </w:rPr>
        <w:t>4</w:t>
      </w:r>
      <w:r w:rsidR="009211D7" w:rsidRPr="00A64175">
        <w:rPr>
          <w:rFonts w:ascii="Arial" w:hAnsi="Arial" w:cs="Arial"/>
          <w:b/>
          <w:bCs/>
          <w:color w:val="000000"/>
          <w:sz w:val="22"/>
          <w:szCs w:val="22"/>
        </w:rPr>
        <w:t>. –</w:t>
      </w:r>
      <w:r w:rsidR="009211D7" w:rsidRPr="00A64175">
        <w:rPr>
          <w:rFonts w:ascii="Arial" w:hAnsi="Arial" w:cs="Arial"/>
          <w:kern w:val="1"/>
          <w:sz w:val="22"/>
          <w:szCs w:val="22"/>
        </w:rPr>
        <w:t xml:space="preserve"> </w:t>
      </w:r>
      <w:r w:rsidR="009211D7" w:rsidRPr="00A64175">
        <w:rPr>
          <w:rFonts w:ascii="Arial" w:hAnsi="Arial" w:cs="Arial"/>
          <w:color w:val="000000"/>
          <w:sz w:val="22"/>
          <w:szCs w:val="22"/>
        </w:rPr>
        <w:t>La Commission des sanctions ne peut être saisie de faits remontant à plus de cinq (5) ans s'il n'a été fait pendant ce délai aucun acte tendant à leur recherche, à leur constatation ou à leur sanction.</w:t>
      </w:r>
    </w:p>
    <w:p w14:paraId="50AF314F" w14:textId="77777777" w:rsidR="009211D7" w:rsidRPr="00A64175" w:rsidRDefault="009211D7" w:rsidP="00A64175">
      <w:pPr>
        <w:widowControl w:val="0"/>
        <w:autoSpaceDE w:val="0"/>
        <w:autoSpaceDN w:val="0"/>
        <w:adjustRightInd w:val="0"/>
        <w:jc w:val="both"/>
        <w:rPr>
          <w:rFonts w:ascii="Arial" w:hAnsi="Arial" w:cs="Arial"/>
          <w:kern w:val="1"/>
          <w:sz w:val="22"/>
          <w:szCs w:val="22"/>
        </w:rPr>
      </w:pPr>
    </w:p>
    <w:p w14:paraId="3911A78C" w14:textId="77777777" w:rsidR="00A81506" w:rsidRDefault="00A81506" w:rsidP="00A64175">
      <w:pPr>
        <w:widowControl w:val="0"/>
        <w:autoSpaceDE w:val="0"/>
        <w:autoSpaceDN w:val="0"/>
        <w:adjustRightInd w:val="0"/>
        <w:jc w:val="both"/>
        <w:rPr>
          <w:rFonts w:ascii="Arial" w:hAnsi="Arial" w:cs="Arial"/>
          <w:kern w:val="1"/>
          <w:sz w:val="22"/>
          <w:szCs w:val="22"/>
        </w:rPr>
      </w:pPr>
    </w:p>
    <w:p w14:paraId="222C8865" w14:textId="37789826" w:rsidR="000441B6" w:rsidRDefault="000441B6" w:rsidP="00A64175">
      <w:pPr>
        <w:widowControl w:val="0"/>
        <w:autoSpaceDE w:val="0"/>
        <w:autoSpaceDN w:val="0"/>
        <w:adjustRightInd w:val="0"/>
        <w:jc w:val="both"/>
        <w:rPr>
          <w:rFonts w:ascii="Arial" w:hAnsi="Arial" w:cs="Arial"/>
          <w:kern w:val="1"/>
          <w:sz w:val="22"/>
          <w:szCs w:val="22"/>
        </w:rPr>
      </w:pPr>
      <w:r>
        <w:rPr>
          <w:rFonts w:ascii="Arial" w:hAnsi="Arial" w:cs="Arial"/>
          <w:b/>
          <w:bCs/>
          <w:sz w:val="22"/>
          <w:szCs w:val="22"/>
        </w:rPr>
        <w:t>Article 5</w:t>
      </w:r>
      <w:r w:rsidR="00BB741D">
        <w:rPr>
          <w:rFonts w:ascii="Arial" w:hAnsi="Arial" w:cs="Arial"/>
          <w:b/>
          <w:bCs/>
          <w:sz w:val="22"/>
          <w:szCs w:val="22"/>
        </w:rPr>
        <w:t>5</w:t>
      </w:r>
      <w:r w:rsidRPr="00A64175">
        <w:rPr>
          <w:rFonts w:ascii="Arial" w:hAnsi="Arial" w:cs="Arial"/>
          <w:b/>
          <w:bCs/>
          <w:color w:val="000000"/>
          <w:sz w:val="22"/>
          <w:szCs w:val="22"/>
        </w:rPr>
        <w:t>. –</w:t>
      </w:r>
      <w:r w:rsidRPr="00A64175">
        <w:rPr>
          <w:rFonts w:ascii="Arial" w:hAnsi="Arial" w:cs="Arial"/>
          <w:kern w:val="1"/>
          <w:sz w:val="22"/>
          <w:szCs w:val="22"/>
        </w:rPr>
        <w:t xml:space="preserve"> </w:t>
      </w:r>
      <w:r>
        <w:rPr>
          <w:rFonts w:ascii="Arial" w:hAnsi="Arial" w:cs="Arial"/>
          <w:color w:val="000000"/>
          <w:sz w:val="22"/>
          <w:szCs w:val="22"/>
        </w:rPr>
        <w:t xml:space="preserve">En cas de circonstances </w:t>
      </w:r>
      <w:r w:rsidR="00046925">
        <w:rPr>
          <w:rFonts w:ascii="Arial" w:hAnsi="Arial" w:cs="Arial"/>
          <w:color w:val="000000"/>
          <w:sz w:val="22"/>
          <w:szCs w:val="22"/>
        </w:rPr>
        <w:t>exceptionnelles présentant un caractère d’urgence avéré, une décision de sanction peut être prononcée sans audition préalable. La personne mise en cause dispose, dans ce cas, de la possibilité de s’expliquer dans un délai de dix jours suivant la publication de la décision.</w:t>
      </w:r>
    </w:p>
    <w:p w14:paraId="217951CD" w14:textId="77777777" w:rsidR="000441B6" w:rsidRPr="00A64175" w:rsidRDefault="000441B6" w:rsidP="00A64175">
      <w:pPr>
        <w:widowControl w:val="0"/>
        <w:autoSpaceDE w:val="0"/>
        <w:autoSpaceDN w:val="0"/>
        <w:adjustRightInd w:val="0"/>
        <w:jc w:val="both"/>
        <w:rPr>
          <w:rFonts w:ascii="Arial" w:hAnsi="Arial" w:cs="Arial"/>
          <w:kern w:val="1"/>
          <w:sz w:val="22"/>
          <w:szCs w:val="22"/>
        </w:rPr>
      </w:pPr>
    </w:p>
    <w:p w14:paraId="52A7FCBC" w14:textId="6BE94794" w:rsidR="00343699" w:rsidRPr="00A64175" w:rsidRDefault="00343699" w:rsidP="00A64175">
      <w:pPr>
        <w:widowControl w:val="0"/>
        <w:autoSpaceDE w:val="0"/>
        <w:autoSpaceDN w:val="0"/>
        <w:adjustRightInd w:val="0"/>
        <w:jc w:val="both"/>
        <w:rPr>
          <w:rFonts w:ascii="Arial" w:hAnsi="Arial" w:cs="Arial"/>
          <w:b/>
          <w:bCs/>
          <w:sz w:val="22"/>
          <w:szCs w:val="22"/>
        </w:rPr>
      </w:pPr>
    </w:p>
    <w:tbl>
      <w:tblPr>
        <w:tblStyle w:val="Grilledutableau"/>
        <w:tblW w:w="8185"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5"/>
      </w:tblGrid>
      <w:tr w:rsidR="002F52AA" w:rsidRPr="00A64175" w14:paraId="2516EFC1" w14:textId="77777777" w:rsidTr="00A902FD">
        <w:tc>
          <w:tcPr>
            <w:tcW w:w="8185" w:type="dxa"/>
            <w:shd w:val="clear" w:color="auto" w:fill="auto"/>
          </w:tcPr>
          <w:p w14:paraId="488EB086" w14:textId="6DFA5086" w:rsidR="002F52AA" w:rsidRPr="00A64175" w:rsidRDefault="002F52AA" w:rsidP="00A64175">
            <w:pPr>
              <w:widowControl w:val="0"/>
              <w:autoSpaceDE w:val="0"/>
              <w:adjustRightInd w:val="0"/>
              <w:jc w:val="both"/>
              <w:rPr>
                <w:rFonts w:ascii="Arial" w:eastAsia="Times New Roman" w:hAnsi="Arial" w:cs="Arial"/>
                <w:lang w:eastAsia="fr-FR"/>
              </w:rPr>
            </w:pPr>
            <w:r w:rsidRPr="00A64175">
              <w:rPr>
                <w:rFonts w:ascii="Arial" w:hAnsi="Arial" w:cs="Arial"/>
                <w:b/>
                <w:kern w:val="1"/>
              </w:rPr>
              <w:t xml:space="preserve">Section I : </w:t>
            </w:r>
            <w:r w:rsidR="001B1319">
              <w:rPr>
                <w:rFonts w:ascii="Arial" w:hAnsi="Arial" w:cs="Arial"/>
                <w:b/>
                <w:kern w:val="1"/>
              </w:rPr>
              <w:t xml:space="preserve">Procédure ordinaire  </w:t>
            </w:r>
          </w:p>
        </w:tc>
      </w:tr>
      <w:tr w:rsidR="002F52AA" w:rsidRPr="00A64175" w14:paraId="0EE4C6F7" w14:textId="77777777" w:rsidTr="00A902FD">
        <w:tc>
          <w:tcPr>
            <w:tcW w:w="8185" w:type="dxa"/>
          </w:tcPr>
          <w:p w14:paraId="3D7CAB2B" w14:textId="77777777" w:rsidR="001B1319" w:rsidRDefault="001B1319" w:rsidP="00A64175">
            <w:pPr>
              <w:widowControl w:val="0"/>
              <w:autoSpaceDE w:val="0"/>
              <w:adjustRightInd w:val="0"/>
              <w:jc w:val="both"/>
              <w:rPr>
                <w:rFonts w:ascii="Arial" w:hAnsi="Arial" w:cs="Arial"/>
                <w:b/>
                <w:bCs/>
              </w:rPr>
            </w:pPr>
          </w:p>
          <w:p w14:paraId="72BF5866" w14:textId="77777777" w:rsidR="001B1319" w:rsidRPr="00A64175" w:rsidRDefault="001B1319" w:rsidP="00A64175">
            <w:pPr>
              <w:widowControl w:val="0"/>
              <w:autoSpaceDE w:val="0"/>
              <w:adjustRightInd w:val="0"/>
              <w:jc w:val="both"/>
              <w:rPr>
                <w:rFonts w:ascii="Arial" w:hAnsi="Arial" w:cs="Arial"/>
                <w:b/>
                <w:bCs/>
              </w:rPr>
            </w:pPr>
          </w:p>
          <w:p w14:paraId="088F9728" w14:textId="2871C12C" w:rsidR="002F52AA" w:rsidRPr="00A64175" w:rsidRDefault="00994F10"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b/>
                <w:bCs/>
                <w:sz w:val="22"/>
                <w:szCs w:val="22"/>
              </w:rPr>
              <w:t>Article 5</w:t>
            </w:r>
            <w:r w:rsidR="00BB741D">
              <w:rPr>
                <w:rFonts w:ascii="Arial" w:hAnsi="Arial" w:cs="Arial"/>
                <w:b/>
                <w:bCs/>
                <w:sz w:val="22"/>
                <w:szCs w:val="22"/>
              </w:rPr>
              <w:t>6</w:t>
            </w:r>
            <w:r w:rsidRPr="00A64175">
              <w:rPr>
                <w:rFonts w:ascii="Arial" w:hAnsi="Arial" w:cs="Arial"/>
                <w:b/>
                <w:bCs/>
                <w:sz w:val="22"/>
                <w:szCs w:val="22"/>
              </w:rPr>
              <w:t xml:space="preserve">. </w:t>
            </w:r>
            <w:r w:rsidR="002F52AA" w:rsidRPr="00A64175">
              <w:rPr>
                <w:rFonts w:ascii="Arial" w:hAnsi="Arial" w:cs="Arial"/>
                <w:b/>
                <w:bCs/>
                <w:color w:val="000000"/>
                <w:sz w:val="22"/>
                <w:szCs w:val="22"/>
              </w:rPr>
              <w:t>–</w:t>
            </w:r>
            <w:r w:rsidR="002F52AA" w:rsidRPr="00A64175">
              <w:rPr>
                <w:rFonts w:ascii="Arial" w:hAnsi="Arial" w:cs="Arial"/>
                <w:kern w:val="1"/>
                <w:sz w:val="22"/>
                <w:szCs w:val="22"/>
              </w:rPr>
              <w:t xml:space="preserve"> </w:t>
            </w:r>
            <w:r w:rsidR="002F52AA" w:rsidRPr="00A64175">
              <w:rPr>
                <w:rFonts w:ascii="Arial" w:hAnsi="Arial" w:cs="Arial"/>
                <w:sz w:val="22"/>
                <w:szCs w:val="22"/>
              </w:rPr>
              <w:t xml:space="preserve">En cas d’ouverture de la procédure de sanction, </w:t>
            </w:r>
            <w:r w:rsidR="002F52AA" w:rsidRPr="00A64175">
              <w:rPr>
                <w:rFonts w:ascii="Arial" w:hAnsi="Arial" w:cs="Arial"/>
                <w:color w:val="000000"/>
                <w:sz w:val="22"/>
                <w:szCs w:val="22"/>
              </w:rPr>
              <w:t xml:space="preserve">Le Président de la COSUMAF :  </w:t>
            </w:r>
          </w:p>
          <w:p w14:paraId="7D7B27A4"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07A68AEA" w14:textId="16C0C92A" w:rsidR="002F52AA" w:rsidRPr="00A64175" w:rsidRDefault="002F52AA" w:rsidP="00A64175">
            <w:pPr>
              <w:pStyle w:val="Paragraphedeliste"/>
              <w:widowControl w:val="0"/>
              <w:numPr>
                <w:ilvl w:val="0"/>
                <w:numId w:val="61"/>
              </w:numPr>
              <w:autoSpaceDE w:val="0"/>
              <w:adjustRightInd w:val="0"/>
              <w:spacing w:before="0" w:beforeAutospacing="0" w:after="0" w:afterAutospacing="0" w:line="240" w:lineRule="auto"/>
              <w:rPr>
                <w:kern w:val="1"/>
              </w:rPr>
            </w:pPr>
            <w:r w:rsidRPr="00A64175">
              <w:t>Adresse à la personne mise en cause</w:t>
            </w:r>
            <w:r w:rsidRPr="00A64175">
              <w:rPr>
                <w:bCs/>
              </w:rPr>
              <w:t xml:space="preserve"> une notification</w:t>
            </w:r>
            <w:r w:rsidRPr="00A64175">
              <w:t xml:space="preserve"> des griefs, par lettre recommandée avec demande d’avis de réception ou remise en main propre contre récépissé ou par acte d’huissier, </w:t>
            </w:r>
          </w:p>
          <w:p w14:paraId="1B2BDB06" w14:textId="77777777" w:rsidR="002F52AA" w:rsidRPr="00A64175" w:rsidRDefault="002F52AA" w:rsidP="00A64175">
            <w:pPr>
              <w:pStyle w:val="Paragraphedeliste"/>
              <w:widowControl w:val="0"/>
              <w:numPr>
                <w:ilvl w:val="0"/>
                <w:numId w:val="61"/>
              </w:numPr>
              <w:autoSpaceDE w:val="0"/>
              <w:adjustRightInd w:val="0"/>
              <w:spacing w:before="0" w:beforeAutospacing="0" w:after="0" w:afterAutospacing="0" w:line="240" w:lineRule="auto"/>
              <w:rPr>
                <w:rFonts w:eastAsia="Times New Roman"/>
                <w:lang w:eastAsia="fr-FR"/>
              </w:rPr>
            </w:pPr>
            <w:r w:rsidRPr="00A64175">
              <w:rPr>
                <w:color w:val="000000"/>
              </w:rPr>
              <w:t>Transmet la notification des griefs à la Commission des sanctions.</w:t>
            </w:r>
          </w:p>
          <w:p w14:paraId="7C7E2881" w14:textId="77777777" w:rsidR="002F52AA" w:rsidRPr="00A64175" w:rsidRDefault="002F52AA" w:rsidP="00A64175">
            <w:pPr>
              <w:pStyle w:val="Paragraphedeliste"/>
              <w:widowControl w:val="0"/>
              <w:autoSpaceDE w:val="0"/>
              <w:adjustRightInd w:val="0"/>
              <w:rPr>
                <w:rFonts w:eastAsia="Times New Roman"/>
                <w:lang w:eastAsia="fr-FR"/>
              </w:rPr>
            </w:pPr>
          </w:p>
        </w:tc>
      </w:tr>
      <w:tr w:rsidR="002F52AA" w:rsidRPr="00A64175" w14:paraId="216D6945" w14:textId="77777777" w:rsidTr="00A902FD">
        <w:tc>
          <w:tcPr>
            <w:tcW w:w="8185" w:type="dxa"/>
          </w:tcPr>
          <w:p w14:paraId="79B1ACFF" w14:textId="2F0C86E2" w:rsidR="002F52AA" w:rsidRPr="00A64175" w:rsidRDefault="00994F10" w:rsidP="00A64175">
            <w:pPr>
              <w:widowControl w:val="0"/>
              <w:autoSpaceDE w:val="0"/>
              <w:adjustRightInd w:val="0"/>
              <w:jc w:val="both"/>
              <w:rPr>
                <w:rFonts w:ascii="Arial" w:hAnsi="Arial" w:cs="Arial"/>
              </w:rPr>
            </w:pPr>
            <w:r w:rsidRPr="00A64175">
              <w:rPr>
                <w:rFonts w:ascii="Arial" w:hAnsi="Arial" w:cs="Arial"/>
                <w:b/>
                <w:bCs/>
              </w:rPr>
              <w:t>Article 5</w:t>
            </w:r>
            <w:r w:rsidR="00BB741D">
              <w:rPr>
                <w:rFonts w:ascii="Arial" w:hAnsi="Arial" w:cs="Arial"/>
                <w:b/>
                <w:bCs/>
              </w:rPr>
              <w:t>7</w:t>
            </w:r>
            <w:r w:rsidR="00A64175" w:rsidRPr="00A64175">
              <w:rPr>
                <w:rFonts w:ascii="Arial" w:hAnsi="Arial" w:cs="Arial"/>
                <w:b/>
                <w:bCs/>
              </w:rPr>
              <w:t>.</w:t>
            </w:r>
            <w:r w:rsidR="00A64175" w:rsidRPr="00A64175">
              <w:rPr>
                <w:rFonts w:ascii="Arial" w:hAnsi="Arial" w:cs="Arial"/>
                <w:b/>
                <w:bCs/>
                <w:color w:val="000000"/>
              </w:rPr>
              <w:t xml:space="preserve"> –</w:t>
            </w:r>
            <w:r w:rsidR="002F52AA" w:rsidRPr="00A64175">
              <w:rPr>
                <w:rFonts w:ascii="Arial" w:hAnsi="Arial" w:cs="Arial"/>
                <w:b/>
                <w:bCs/>
                <w:color w:val="000000"/>
              </w:rPr>
              <w:t xml:space="preserve"> </w:t>
            </w:r>
            <w:r w:rsidR="002F52AA" w:rsidRPr="00A64175">
              <w:rPr>
                <w:rFonts w:ascii="Arial" w:hAnsi="Arial" w:cs="Arial"/>
              </w:rPr>
              <w:t>La lettre de notification des griefs invite la personne mise en cause à formuler ses observations écrites dans un délai de quinze (15) jours ouvrés. Elle est accompagnée du rapport de contrôle ou d’enquête. Elle précise que la personne mise en cause peut prendre connaissance des pièces du dossier auprès de la Commission des sanctions et se faire assister par le conseil de son choix.</w:t>
            </w:r>
          </w:p>
          <w:p w14:paraId="3046A67A"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1005D138" w14:textId="77777777" w:rsidTr="00A902FD">
        <w:tc>
          <w:tcPr>
            <w:tcW w:w="8185" w:type="dxa"/>
          </w:tcPr>
          <w:p w14:paraId="7D6C3276" w14:textId="0E9F5409" w:rsidR="002F52AA" w:rsidRPr="00A64175" w:rsidRDefault="00994F10" w:rsidP="00A64175">
            <w:pPr>
              <w:widowControl w:val="0"/>
              <w:autoSpaceDE w:val="0"/>
              <w:adjustRightInd w:val="0"/>
              <w:jc w:val="both"/>
              <w:rPr>
                <w:rFonts w:ascii="Arial" w:hAnsi="Arial" w:cs="Arial"/>
                <w:kern w:val="1"/>
              </w:rPr>
            </w:pPr>
            <w:r w:rsidRPr="00A64175">
              <w:rPr>
                <w:rFonts w:ascii="Arial" w:hAnsi="Arial" w:cs="Arial"/>
                <w:b/>
                <w:bCs/>
              </w:rPr>
              <w:t>Article 5</w:t>
            </w:r>
            <w:r w:rsidR="00BB741D">
              <w:rPr>
                <w:rFonts w:ascii="Arial" w:hAnsi="Arial" w:cs="Arial"/>
                <w:b/>
                <w:bCs/>
              </w:rPr>
              <w:t>8</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rPr>
              <w:t>Le Président de la Commission des Sanctions désigne pour chaque procédure de sanction ouverte, un rapporteur parmi les membres de la Commission des sanctions.</w:t>
            </w:r>
            <w:r w:rsidR="00343AD8" w:rsidRPr="00A64175">
              <w:rPr>
                <w:rFonts w:ascii="Arial" w:hAnsi="Arial" w:cs="Arial"/>
              </w:rPr>
              <w:t xml:space="preserve"> La désignation du rapporteur est faite dès la réception de la lettre de notification des griefs adressée par le Président de la COSUMAF.</w:t>
            </w:r>
          </w:p>
          <w:p w14:paraId="3AD8D420" w14:textId="77777777" w:rsidR="002F52AA" w:rsidRPr="00A64175" w:rsidRDefault="002F52AA" w:rsidP="00A64175">
            <w:pPr>
              <w:widowControl w:val="0"/>
              <w:autoSpaceDE w:val="0"/>
              <w:adjustRightInd w:val="0"/>
              <w:jc w:val="both"/>
              <w:rPr>
                <w:rFonts w:ascii="Arial" w:hAnsi="Arial" w:cs="Arial"/>
                <w:kern w:val="1"/>
              </w:rPr>
            </w:pPr>
          </w:p>
          <w:p w14:paraId="2B4EA1D3" w14:textId="77777777" w:rsidR="002F52AA" w:rsidRPr="00A64175" w:rsidRDefault="002F52AA" w:rsidP="00A64175">
            <w:pPr>
              <w:widowControl w:val="0"/>
              <w:autoSpaceDE w:val="0"/>
              <w:adjustRightInd w:val="0"/>
              <w:jc w:val="both"/>
              <w:rPr>
                <w:rFonts w:ascii="Arial" w:hAnsi="Arial" w:cs="Arial"/>
                <w:kern w:val="1"/>
              </w:rPr>
            </w:pPr>
            <w:r w:rsidRPr="00A64175">
              <w:rPr>
                <w:rFonts w:ascii="Arial" w:hAnsi="Arial" w:cs="Arial"/>
              </w:rPr>
              <w:t>Pour l’exécution de sa mission, le rapporteur peut utiliser les services de la COSUMAF et solliciter toute assistance nécessaire à l’exécution de sa mission.</w:t>
            </w:r>
          </w:p>
          <w:p w14:paraId="02A2D919" w14:textId="77777777" w:rsidR="002F52AA" w:rsidRPr="00A64175" w:rsidRDefault="002F52AA" w:rsidP="00A64175">
            <w:pPr>
              <w:widowControl w:val="0"/>
              <w:autoSpaceDE w:val="0"/>
              <w:adjustRightInd w:val="0"/>
              <w:jc w:val="both"/>
              <w:rPr>
                <w:rFonts w:ascii="Arial" w:hAnsi="Arial" w:cs="Arial"/>
                <w:kern w:val="1"/>
              </w:rPr>
            </w:pPr>
          </w:p>
          <w:p w14:paraId="3C6F4576" w14:textId="4A8A79A7" w:rsidR="002F52AA" w:rsidRPr="00A64175" w:rsidRDefault="002F52AA" w:rsidP="00A64175">
            <w:pPr>
              <w:widowControl w:val="0"/>
              <w:autoSpaceDE w:val="0"/>
              <w:adjustRightInd w:val="0"/>
              <w:jc w:val="both"/>
              <w:rPr>
                <w:rFonts w:ascii="Arial" w:hAnsi="Arial" w:cs="Arial"/>
                <w:kern w:val="1"/>
              </w:rPr>
            </w:pPr>
            <w:r w:rsidRPr="00A64175">
              <w:rPr>
                <w:rFonts w:ascii="Arial" w:hAnsi="Arial" w:cs="Arial"/>
              </w:rPr>
              <w:t>La personne mise en cause peut demander à être entendue par le rapporteur. Ce dernier peut également, de sa propre initiative, entendre l’intéressé ou toute personne dont l’audition lui paraît nécessaire.</w:t>
            </w:r>
          </w:p>
          <w:p w14:paraId="13C88E3F" w14:textId="77777777" w:rsidR="002F52AA" w:rsidRPr="00A64175" w:rsidRDefault="002F52AA" w:rsidP="00A64175">
            <w:pPr>
              <w:jc w:val="both"/>
              <w:rPr>
                <w:rFonts w:ascii="Arial" w:eastAsia="Times New Roman" w:hAnsi="Arial" w:cs="Arial"/>
                <w:lang w:eastAsia="fr-FR"/>
              </w:rPr>
            </w:pPr>
          </w:p>
        </w:tc>
      </w:tr>
      <w:tr w:rsidR="002F52AA" w:rsidRPr="00A64175" w14:paraId="6331B18B" w14:textId="77777777" w:rsidTr="00A902FD">
        <w:tc>
          <w:tcPr>
            <w:tcW w:w="8185" w:type="dxa"/>
          </w:tcPr>
          <w:p w14:paraId="4A380C03" w14:textId="11679F22" w:rsidR="002F52AA" w:rsidRPr="00A64175" w:rsidRDefault="002F52AA" w:rsidP="00A64175">
            <w:pPr>
              <w:tabs>
                <w:tab w:val="left" w:pos="1485"/>
              </w:tabs>
              <w:jc w:val="both"/>
              <w:rPr>
                <w:rFonts w:ascii="Arial" w:eastAsia="Times New Roman" w:hAnsi="Arial" w:cs="Arial"/>
                <w:lang w:eastAsia="fr-FR"/>
              </w:rPr>
            </w:pPr>
            <w:r w:rsidRPr="00A64175">
              <w:rPr>
                <w:rFonts w:ascii="Arial" w:hAnsi="Arial" w:cs="Arial"/>
                <w:b/>
                <w:bCs/>
              </w:rPr>
              <w:t xml:space="preserve">Article </w:t>
            </w:r>
            <w:r w:rsidR="00994F10" w:rsidRPr="00A64175">
              <w:rPr>
                <w:rFonts w:ascii="Arial" w:hAnsi="Arial" w:cs="Arial"/>
                <w:b/>
                <w:bCs/>
              </w:rPr>
              <w:t>5</w:t>
            </w:r>
            <w:r w:rsidR="00BB741D">
              <w:rPr>
                <w:rFonts w:ascii="Arial" w:hAnsi="Arial" w:cs="Arial"/>
                <w:b/>
                <w:bCs/>
              </w:rPr>
              <w:t>9</w:t>
            </w:r>
            <w:r w:rsidRPr="00A64175">
              <w:rPr>
                <w:rFonts w:ascii="Arial" w:hAnsi="Arial" w:cs="Arial"/>
                <w:b/>
                <w:bCs/>
                <w:color w:val="000000"/>
              </w:rPr>
              <w:t xml:space="preserve">– </w:t>
            </w:r>
            <w:r w:rsidR="00025C99" w:rsidRPr="00A64175">
              <w:rPr>
                <w:rFonts w:ascii="Arial" w:hAnsi="Arial" w:cs="Arial"/>
              </w:rPr>
              <w:t>D</w:t>
            </w:r>
            <w:r w:rsidRPr="00A64175">
              <w:rPr>
                <w:rFonts w:ascii="Arial" w:hAnsi="Arial" w:cs="Arial"/>
              </w:rPr>
              <w:t>ans le cadre de ses diligences, le rapporteur</w:t>
            </w:r>
            <w:r w:rsidR="00025C99" w:rsidRPr="00A64175">
              <w:rPr>
                <w:rFonts w:ascii="Arial" w:hAnsi="Arial" w:cs="Arial"/>
              </w:rPr>
              <w:t xml:space="preserve"> peut, lorsqu’il</w:t>
            </w:r>
            <w:r w:rsidRPr="00A64175">
              <w:rPr>
                <w:rFonts w:ascii="Arial" w:hAnsi="Arial" w:cs="Arial"/>
              </w:rPr>
              <w:t xml:space="preserve"> </w:t>
            </w:r>
            <w:r w:rsidR="00025C99" w:rsidRPr="00A64175">
              <w:rPr>
                <w:rFonts w:ascii="Arial" w:hAnsi="Arial" w:cs="Arial"/>
              </w:rPr>
              <w:t xml:space="preserve">le juge </w:t>
            </w:r>
            <w:r w:rsidRPr="00A64175">
              <w:rPr>
                <w:rFonts w:ascii="Arial" w:hAnsi="Arial" w:cs="Arial"/>
              </w:rPr>
              <w:t>nécessaire</w:t>
            </w:r>
            <w:r w:rsidR="00025C99" w:rsidRPr="00A64175">
              <w:rPr>
                <w:rFonts w:ascii="Arial" w:hAnsi="Arial" w:cs="Arial"/>
              </w:rPr>
              <w:t>, compléter les griefs ou</w:t>
            </w:r>
            <w:r w:rsidRPr="00A64175">
              <w:rPr>
                <w:rFonts w:ascii="Arial" w:hAnsi="Arial" w:cs="Arial"/>
              </w:rPr>
              <w:t xml:space="preserve"> les notifier à des personnes autres que celles mises en cause</w:t>
            </w:r>
            <w:r w:rsidR="00025C99" w:rsidRPr="00A64175">
              <w:rPr>
                <w:rFonts w:ascii="Arial" w:hAnsi="Arial" w:cs="Arial"/>
              </w:rPr>
              <w:t>.</w:t>
            </w:r>
          </w:p>
        </w:tc>
      </w:tr>
      <w:tr w:rsidR="002F52AA" w:rsidRPr="00A64175" w14:paraId="2A29F719" w14:textId="77777777" w:rsidTr="00A902FD">
        <w:tc>
          <w:tcPr>
            <w:tcW w:w="8185" w:type="dxa"/>
          </w:tcPr>
          <w:p w14:paraId="04751544" w14:textId="77777777" w:rsidR="002F52AA" w:rsidRPr="00A64175" w:rsidRDefault="002F52AA" w:rsidP="00A64175">
            <w:pPr>
              <w:widowControl w:val="0"/>
              <w:autoSpaceDE w:val="0"/>
              <w:adjustRightInd w:val="0"/>
              <w:jc w:val="both"/>
              <w:rPr>
                <w:rFonts w:ascii="Arial" w:hAnsi="Arial" w:cs="Arial"/>
                <w:b/>
                <w:bCs/>
              </w:rPr>
            </w:pPr>
          </w:p>
          <w:p w14:paraId="1ABD772B" w14:textId="6452A0D8" w:rsidR="002F52AA" w:rsidRPr="00A64175" w:rsidRDefault="002F52AA" w:rsidP="00A64175">
            <w:pPr>
              <w:widowControl w:val="0"/>
              <w:autoSpaceDE w:val="0"/>
              <w:adjustRightInd w:val="0"/>
              <w:jc w:val="both"/>
              <w:rPr>
                <w:rFonts w:ascii="Arial" w:hAnsi="Arial" w:cs="Arial"/>
              </w:rPr>
            </w:pPr>
            <w:r w:rsidRPr="00A64175">
              <w:rPr>
                <w:rFonts w:ascii="Arial" w:hAnsi="Arial" w:cs="Arial"/>
                <w:b/>
                <w:bCs/>
              </w:rPr>
              <w:t xml:space="preserve">Article </w:t>
            </w:r>
            <w:r w:rsidR="00BB741D">
              <w:rPr>
                <w:rFonts w:ascii="Arial" w:hAnsi="Arial" w:cs="Arial"/>
                <w:b/>
                <w:bCs/>
                <w:color w:val="000000"/>
              </w:rPr>
              <w:t>60</w:t>
            </w:r>
            <w:r w:rsidR="00994F10" w:rsidRPr="00A64175">
              <w:rPr>
                <w:rFonts w:ascii="Arial" w:hAnsi="Arial" w:cs="Arial"/>
                <w:b/>
                <w:bCs/>
                <w:color w:val="000000"/>
              </w:rPr>
              <w:t xml:space="preserve"> </w:t>
            </w:r>
            <w:r w:rsidRPr="00A64175">
              <w:rPr>
                <w:rFonts w:ascii="Arial" w:hAnsi="Arial" w:cs="Arial"/>
                <w:b/>
                <w:bCs/>
                <w:color w:val="000000"/>
              </w:rPr>
              <w:t xml:space="preserve">– </w:t>
            </w:r>
            <w:r w:rsidR="00025C99" w:rsidRPr="00A64175">
              <w:rPr>
                <w:rFonts w:ascii="Arial" w:hAnsi="Arial" w:cs="Arial"/>
              </w:rPr>
              <w:t xml:space="preserve">Dans un délai de </w:t>
            </w:r>
            <w:r w:rsidR="00E1543B" w:rsidRPr="00A64175">
              <w:rPr>
                <w:rFonts w:ascii="Arial" w:hAnsi="Arial" w:cs="Arial"/>
              </w:rPr>
              <w:t>quarante-cinq</w:t>
            </w:r>
            <w:r w:rsidR="00025C99" w:rsidRPr="00A64175">
              <w:rPr>
                <w:rFonts w:ascii="Arial" w:hAnsi="Arial" w:cs="Arial"/>
              </w:rPr>
              <w:t xml:space="preserve"> (45) jours à compter de sa désignation, l</w:t>
            </w:r>
            <w:r w:rsidRPr="00A64175">
              <w:rPr>
                <w:rFonts w:ascii="Arial" w:hAnsi="Arial" w:cs="Arial"/>
              </w:rPr>
              <w:t>e rapporteur établit un rapport d’instruction décrivant les diligences ac</w:t>
            </w:r>
            <w:r w:rsidR="00025C99" w:rsidRPr="00A64175">
              <w:rPr>
                <w:rFonts w:ascii="Arial" w:hAnsi="Arial" w:cs="Arial"/>
              </w:rPr>
              <w:t>complies et leur résultat</w:t>
            </w:r>
            <w:r w:rsidRPr="00A64175">
              <w:rPr>
                <w:rFonts w:ascii="Arial" w:hAnsi="Arial" w:cs="Arial"/>
              </w:rPr>
              <w:t xml:space="preserve">. </w:t>
            </w:r>
          </w:p>
          <w:p w14:paraId="71917F90" w14:textId="77777777" w:rsidR="002F52AA" w:rsidRPr="00A64175" w:rsidRDefault="002F52AA" w:rsidP="00A64175">
            <w:pPr>
              <w:widowControl w:val="0"/>
              <w:autoSpaceDE w:val="0"/>
              <w:adjustRightInd w:val="0"/>
              <w:jc w:val="both"/>
              <w:rPr>
                <w:rFonts w:ascii="Arial" w:hAnsi="Arial" w:cs="Arial"/>
              </w:rPr>
            </w:pPr>
          </w:p>
          <w:p w14:paraId="75D7BA6F" w14:textId="0C6D1016" w:rsidR="002F52AA" w:rsidRPr="00A64175" w:rsidRDefault="002F52AA" w:rsidP="00A64175">
            <w:pPr>
              <w:widowControl w:val="0"/>
              <w:autoSpaceDE w:val="0"/>
              <w:adjustRightInd w:val="0"/>
              <w:jc w:val="both"/>
              <w:rPr>
                <w:rFonts w:ascii="Arial" w:hAnsi="Arial" w:cs="Arial"/>
              </w:rPr>
            </w:pPr>
            <w:r w:rsidRPr="00A64175">
              <w:rPr>
                <w:rFonts w:ascii="Arial" w:hAnsi="Arial" w:cs="Arial"/>
              </w:rPr>
              <w:t xml:space="preserve">En cas de nécessité dûment motivée, ce délai peut être prorogé par le Président de la COSUMAF de </w:t>
            </w:r>
            <w:r w:rsidR="00025C99" w:rsidRPr="00A64175">
              <w:rPr>
                <w:rFonts w:ascii="Arial" w:hAnsi="Arial" w:cs="Arial"/>
              </w:rPr>
              <w:t>trente (30) jours</w:t>
            </w:r>
            <w:r w:rsidRPr="00A64175">
              <w:rPr>
                <w:rFonts w:ascii="Arial" w:hAnsi="Arial" w:cs="Arial"/>
              </w:rPr>
              <w:t xml:space="preserve"> maximum. </w:t>
            </w:r>
          </w:p>
          <w:p w14:paraId="70182FBA" w14:textId="77777777" w:rsidR="002F52AA" w:rsidRPr="00A64175" w:rsidRDefault="002F52AA" w:rsidP="00A64175">
            <w:pPr>
              <w:widowControl w:val="0"/>
              <w:autoSpaceDE w:val="0"/>
              <w:adjustRightInd w:val="0"/>
              <w:jc w:val="both"/>
              <w:rPr>
                <w:rFonts w:ascii="Arial" w:hAnsi="Arial" w:cs="Arial"/>
                <w:kern w:val="1"/>
              </w:rPr>
            </w:pPr>
          </w:p>
          <w:p w14:paraId="6AEBF910" w14:textId="77777777" w:rsidR="002F52AA" w:rsidRPr="00A64175" w:rsidRDefault="002F52AA" w:rsidP="00A64175">
            <w:pPr>
              <w:widowControl w:val="0"/>
              <w:autoSpaceDE w:val="0"/>
              <w:adjustRightInd w:val="0"/>
              <w:jc w:val="both"/>
              <w:rPr>
                <w:rFonts w:ascii="Arial" w:hAnsi="Arial" w:cs="Arial"/>
                <w:kern w:val="1"/>
              </w:rPr>
            </w:pPr>
            <w:r w:rsidRPr="00A64175">
              <w:rPr>
                <w:rFonts w:ascii="Arial" w:hAnsi="Arial" w:cs="Arial"/>
              </w:rPr>
              <w:t>Le rapport d’instruction est transmis à la Commission des sanctions et communiqué à la personne mise en cause, par lettre recommandée avec demande d’avis de réception ou remise en main propre contre récépissé ou par acte d’huissier aux frais des intéressés.</w:t>
            </w:r>
          </w:p>
          <w:p w14:paraId="79BEDCCF" w14:textId="77777777" w:rsidR="002F52AA" w:rsidRPr="00A64175" w:rsidRDefault="002F52AA" w:rsidP="00A64175">
            <w:pPr>
              <w:jc w:val="both"/>
              <w:rPr>
                <w:rFonts w:ascii="Arial" w:eastAsia="Times New Roman" w:hAnsi="Arial" w:cs="Arial"/>
                <w:lang w:eastAsia="fr-FR"/>
              </w:rPr>
            </w:pPr>
          </w:p>
        </w:tc>
      </w:tr>
      <w:tr w:rsidR="002F52AA" w:rsidRPr="00A64175" w14:paraId="36CBAFFE" w14:textId="77777777" w:rsidTr="00A902FD">
        <w:tc>
          <w:tcPr>
            <w:tcW w:w="8185" w:type="dxa"/>
          </w:tcPr>
          <w:p w14:paraId="26F94456" w14:textId="50F16E43" w:rsidR="002F52AA" w:rsidRPr="00A64175" w:rsidRDefault="00994F10" w:rsidP="00A64175">
            <w:pPr>
              <w:widowControl w:val="0"/>
              <w:autoSpaceDE w:val="0"/>
              <w:adjustRightInd w:val="0"/>
              <w:jc w:val="both"/>
              <w:rPr>
                <w:rFonts w:ascii="Arial" w:hAnsi="Arial" w:cs="Arial"/>
                <w:kern w:val="1"/>
              </w:rPr>
            </w:pPr>
            <w:r w:rsidRPr="00A64175">
              <w:rPr>
                <w:rFonts w:ascii="Arial" w:hAnsi="Arial" w:cs="Arial"/>
                <w:b/>
                <w:bCs/>
              </w:rPr>
              <w:t xml:space="preserve">Article </w:t>
            </w:r>
            <w:r w:rsidR="007B038E">
              <w:rPr>
                <w:rFonts w:ascii="Arial" w:hAnsi="Arial" w:cs="Arial"/>
                <w:b/>
                <w:bCs/>
                <w:color w:val="000000"/>
              </w:rPr>
              <w:t>6</w:t>
            </w:r>
            <w:r w:rsidR="00BB741D">
              <w:rPr>
                <w:rFonts w:ascii="Arial" w:hAnsi="Arial" w:cs="Arial"/>
                <w:b/>
                <w:bCs/>
                <w:color w:val="000000"/>
              </w:rPr>
              <w:t>1</w:t>
            </w:r>
            <w:r w:rsidRPr="00A64175">
              <w:rPr>
                <w:rFonts w:ascii="Arial" w:hAnsi="Arial" w:cs="Arial"/>
                <w:b/>
                <w:bCs/>
                <w:color w:val="000000"/>
              </w:rPr>
              <w:t xml:space="preserve"> </w:t>
            </w:r>
            <w:r w:rsidR="002F52AA" w:rsidRPr="00A64175">
              <w:rPr>
                <w:rFonts w:ascii="Arial" w:hAnsi="Arial" w:cs="Arial"/>
                <w:b/>
                <w:bCs/>
                <w:color w:val="000000"/>
              </w:rPr>
              <w:t xml:space="preserve">– </w:t>
            </w:r>
            <w:r w:rsidR="002F52AA" w:rsidRPr="00A64175">
              <w:rPr>
                <w:rFonts w:ascii="Arial" w:hAnsi="Arial" w:cs="Arial"/>
              </w:rPr>
              <w:t>La personne mise en cause est convoqué</w:t>
            </w:r>
            <w:r w:rsidR="00AF44EC" w:rsidRPr="00A64175">
              <w:rPr>
                <w:rFonts w:ascii="Arial" w:hAnsi="Arial" w:cs="Arial"/>
              </w:rPr>
              <w:t>e par le Président de la Commission des sanctions</w:t>
            </w:r>
            <w:r w:rsidR="002F52AA" w:rsidRPr="00A64175">
              <w:rPr>
                <w:rFonts w:ascii="Arial" w:hAnsi="Arial" w:cs="Arial"/>
              </w:rPr>
              <w:t xml:space="preserve"> à la séance de la Commission des sanctions, qui doit se tenir dans un délai </w:t>
            </w:r>
            <w:r w:rsidR="00847A3B" w:rsidRPr="00A64175">
              <w:rPr>
                <w:rFonts w:ascii="Arial" w:hAnsi="Arial" w:cs="Arial"/>
              </w:rPr>
              <w:t>de trente</w:t>
            </w:r>
            <w:r w:rsidR="002F52AA" w:rsidRPr="00A64175">
              <w:rPr>
                <w:rFonts w:ascii="Arial" w:hAnsi="Arial" w:cs="Arial"/>
              </w:rPr>
              <w:t xml:space="preserve"> (</w:t>
            </w:r>
            <w:r w:rsidR="00847A3B" w:rsidRPr="00A64175">
              <w:rPr>
                <w:rFonts w:ascii="Arial" w:hAnsi="Arial" w:cs="Arial"/>
              </w:rPr>
              <w:t>30</w:t>
            </w:r>
            <w:r w:rsidR="002F52AA" w:rsidRPr="00A64175">
              <w:rPr>
                <w:rFonts w:ascii="Arial" w:hAnsi="Arial" w:cs="Arial"/>
              </w:rPr>
              <w:t xml:space="preserve">) jours ouvrés à compter de la réception de la convocation. </w:t>
            </w:r>
          </w:p>
          <w:p w14:paraId="43BF714E" w14:textId="77777777" w:rsidR="002F52AA" w:rsidRPr="00A64175" w:rsidRDefault="002F52AA" w:rsidP="00A64175">
            <w:pPr>
              <w:widowControl w:val="0"/>
              <w:autoSpaceDE w:val="0"/>
              <w:adjustRightInd w:val="0"/>
              <w:jc w:val="both"/>
              <w:rPr>
                <w:rFonts w:ascii="Arial" w:hAnsi="Arial" w:cs="Arial"/>
                <w:kern w:val="1"/>
              </w:rPr>
            </w:pPr>
          </w:p>
          <w:p w14:paraId="226AA3EA" w14:textId="77777777" w:rsidR="002F52AA" w:rsidRPr="00A64175" w:rsidRDefault="002F52AA" w:rsidP="00A64175">
            <w:pPr>
              <w:widowControl w:val="0"/>
              <w:autoSpaceDE w:val="0"/>
              <w:adjustRightInd w:val="0"/>
              <w:jc w:val="both"/>
              <w:rPr>
                <w:rFonts w:ascii="Arial" w:hAnsi="Arial" w:cs="Arial"/>
              </w:rPr>
            </w:pPr>
            <w:r w:rsidRPr="00A64175">
              <w:rPr>
                <w:rFonts w:ascii="Arial" w:hAnsi="Arial" w:cs="Arial"/>
              </w:rPr>
              <w:t xml:space="preserve">La convocation est faite par lettre recommandée avec demande d’avis de réception ou remise en main propre contre récépissé ou par acte d’huissier aux frais des intéressés. </w:t>
            </w:r>
          </w:p>
          <w:p w14:paraId="701F1508" w14:textId="77777777" w:rsidR="002F52AA" w:rsidRPr="00A64175" w:rsidRDefault="002F52AA" w:rsidP="00A64175">
            <w:pPr>
              <w:widowControl w:val="0"/>
              <w:autoSpaceDE w:val="0"/>
              <w:adjustRightInd w:val="0"/>
              <w:jc w:val="both"/>
              <w:rPr>
                <w:rFonts w:ascii="Arial" w:hAnsi="Arial" w:cs="Arial"/>
              </w:rPr>
            </w:pPr>
          </w:p>
          <w:p w14:paraId="7376C99E" w14:textId="78B962C1" w:rsidR="002F52AA" w:rsidRPr="00A64175" w:rsidRDefault="002F52AA" w:rsidP="00A64175">
            <w:pPr>
              <w:widowControl w:val="0"/>
              <w:autoSpaceDE w:val="0"/>
              <w:adjustRightInd w:val="0"/>
              <w:jc w:val="both"/>
              <w:rPr>
                <w:rFonts w:ascii="Arial" w:hAnsi="Arial" w:cs="Arial"/>
              </w:rPr>
            </w:pPr>
            <w:r w:rsidRPr="00A64175">
              <w:rPr>
                <w:rFonts w:ascii="Arial" w:hAnsi="Arial" w:cs="Arial"/>
              </w:rPr>
              <w:t>El</w:t>
            </w:r>
            <w:r w:rsidR="00AF44EC" w:rsidRPr="00A64175">
              <w:rPr>
                <w:rFonts w:ascii="Arial" w:hAnsi="Arial" w:cs="Arial"/>
              </w:rPr>
              <w:t>le précise la date de la séance et</w:t>
            </w:r>
            <w:r w:rsidRPr="00A64175">
              <w:rPr>
                <w:rFonts w:ascii="Arial" w:hAnsi="Arial" w:cs="Arial"/>
              </w:rPr>
              <w:t xml:space="preserve"> la composition de la Commission des sanctions. Elle invite la personne mise en cause à formuler ses observations écrites dans un délai de quinze (15) jours au moins avant la séance de la Commission des sanctions. </w:t>
            </w:r>
          </w:p>
          <w:p w14:paraId="2F219A07" w14:textId="77777777" w:rsidR="002F52AA" w:rsidRPr="00A64175" w:rsidRDefault="002F52AA" w:rsidP="00A64175">
            <w:pPr>
              <w:widowControl w:val="0"/>
              <w:autoSpaceDE w:val="0"/>
              <w:adjustRightInd w:val="0"/>
              <w:jc w:val="both"/>
              <w:rPr>
                <w:rFonts w:ascii="Arial" w:hAnsi="Arial" w:cs="Arial"/>
                <w:color w:val="000000"/>
              </w:rPr>
            </w:pPr>
          </w:p>
          <w:p w14:paraId="371EBA1D" w14:textId="77777777" w:rsidR="002F52AA" w:rsidRPr="00A64175" w:rsidRDefault="002F52AA" w:rsidP="00A64175">
            <w:pPr>
              <w:widowControl w:val="0"/>
              <w:autoSpaceDE w:val="0"/>
              <w:adjustRightInd w:val="0"/>
              <w:jc w:val="both"/>
              <w:rPr>
                <w:rFonts w:ascii="Arial" w:hAnsi="Arial" w:cs="Arial"/>
                <w:color w:val="000000"/>
              </w:rPr>
            </w:pPr>
            <w:r w:rsidRPr="00A64175">
              <w:rPr>
                <w:rFonts w:ascii="Arial" w:hAnsi="Arial" w:cs="Arial"/>
                <w:color w:val="000000"/>
              </w:rPr>
              <w:t>La Commission des sanctions peut entendre tout agent des services de la COSUMAF ou toute personne dont l’audition lui paraît nécessaire.</w:t>
            </w:r>
          </w:p>
          <w:p w14:paraId="536CC42B" w14:textId="77777777" w:rsidR="002F52AA" w:rsidRDefault="002F52AA" w:rsidP="00A64175">
            <w:pPr>
              <w:tabs>
                <w:tab w:val="left" w:pos="2670"/>
              </w:tabs>
              <w:jc w:val="both"/>
              <w:rPr>
                <w:rFonts w:ascii="Arial" w:eastAsia="Times New Roman" w:hAnsi="Arial" w:cs="Arial"/>
                <w:lang w:eastAsia="fr-FR"/>
              </w:rPr>
            </w:pPr>
          </w:p>
          <w:p w14:paraId="0EAE9A23" w14:textId="4B9691C1" w:rsidR="001B1319" w:rsidRPr="00322DD3" w:rsidRDefault="001B1319" w:rsidP="00A64175">
            <w:pPr>
              <w:tabs>
                <w:tab w:val="left" w:pos="2670"/>
              </w:tabs>
              <w:jc w:val="both"/>
              <w:rPr>
                <w:rFonts w:ascii="Arial" w:eastAsia="Times New Roman" w:hAnsi="Arial" w:cs="Arial"/>
                <w:b/>
                <w:lang w:eastAsia="fr-FR"/>
              </w:rPr>
            </w:pPr>
            <w:r w:rsidRPr="00322DD3">
              <w:rPr>
                <w:rFonts w:ascii="Arial" w:eastAsia="Times New Roman" w:hAnsi="Arial" w:cs="Arial"/>
                <w:b/>
                <w:lang w:eastAsia="fr-FR"/>
              </w:rPr>
              <w:t>Section II : Procédure simplifiée</w:t>
            </w:r>
          </w:p>
          <w:p w14:paraId="5B5BF57F" w14:textId="77777777" w:rsidR="001B1319" w:rsidRPr="00294561" w:rsidRDefault="001B1319" w:rsidP="00A64175">
            <w:pPr>
              <w:tabs>
                <w:tab w:val="left" w:pos="2670"/>
              </w:tabs>
              <w:jc w:val="both"/>
              <w:rPr>
                <w:rFonts w:ascii="Arial" w:eastAsia="Times New Roman" w:hAnsi="Arial" w:cs="Arial"/>
                <w:lang w:eastAsia="fr-FR"/>
              </w:rPr>
            </w:pPr>
          </w:p>
          <w:p w14:paraId="12BF7B66" w14:textId="591FDA7A" w:rsidR="00BD5D4B" w:rsidRPr="00480280" w:rsidRDefault="00BD5D4B" w:rsidP="00BD5D4B">
            <w:pPr>
              <w:jc w:val="both"/>
              <w:rPr>
                <w:rFonts w:ascii="Arial" w:hAnsi="Arial" w:cs="Arial"/>
                <w:b/>
                <w:u w:val="single"/>
              </w:rPr>
            </w:pPr>
            <w:r w:rsidRPr="00294561">
              <w:rPr>
                <w:rFonts w:ascii="Arial" w:hAnsi="Arial" w:cs="Arial"/>
                <w:b/>
                <w:u w:val="single"/>
              </w:rPr>
              <w:t xml:space="preserve">Article </w:t>
            </w:r>
            <w:r w:rsidR="007B038E">
              <w:rPr>
                <w:rFonts w:ascii="Arial" w:hAnsi="Arial" w:cs="Arial"/>
                <w:b/>
                <w:u w:val="single"/>
              </w:rPr>
              <w:t>6</w:t>
            </w:r>
            <w:r w:rsidR="00BB741D">
              <w:rPr>
                <w:rFonts w:ascii="Arial" w:hAnsi="Arial" w:cs="Arial"/>
                <w:b/>
                <w:u w:val="single"/>
              </w:rPr>
              <w:t>2</w:t>
            </w:r>
          </w:p>
          <w:p w14:paraId="581BE8D9" w14:textId="77777777" w:rsidR="00BD5D4B" w:rsidRPr="00480280" w:rsidRDefault="00BD5D4B" w:rsidP="00BD5D4B">
            <w:pPr>
              <w:jc w:val="both"/>
              <w:rPr>
                <w:rFonts w:ascii="Arial" w:hAnsi="Arial" w:cs="Arial"/>
              </w:rPr>
            </w:pPr>
          </w:p>
          <w:p w14:paraId="56EDA6BC" w14:textId="4234432A" w:rsidR="00BD5D4B" w:rsidRPr="00480280" w:rsidRDefault="00BD5D4B" w:rsidP="00BD5D4B">
            <w:pPr>
              <w:jc w:val="both"/>
              <w:rPr>
                <w:rFonts w:ascii="Arial" w:hAnsi="Arial" w:cs="Arial"/>
              </w:rPr>
            </w:pPr>
            <w:r w:rsidRPr="00294561">
              <w:rPr>
                <w:rFonts w:ascii="Arial" w:hAnsi="Arial" w:cs="Arial"/>
              </w:rPr>
              <w:t>Lorsqu’un motif impérieux le requiert, notamment en présence de manquements d’une particulière gravité à la réglementation en vigueur, de nature à porter atteinte à la protection des investisseurs ou au bon fonctionnement du marché, le Collège de la COSUMAF peut décider l’ouverture d’une procédure de sanction simplifiée.</w:t>
            </w:r>
          </w:p>
          <w:p w14:paraId="453A9AE0" w14:textId="77777777" w:rsidR="00BF12E0" w:rsidRPr="00480280" w:rsidRDefault="00BF12E0" w:rsidP="00BD5D4B">
            <w:pPr>
              <w:jc w:val="both"/>
              <w:rPr>
                <w:rFonts w:ascii="Arial" w:hAnsi="Arial" w:cs="Arial"/>
              </w:rPr>
            </w:pPr>
          </w:p>
          <w:p w14:paraId="1EF129A8" w14:textId="21C14042" w:rsidR="00BD5D4B" w:rsidRPr="00480280" w:rsidRDefault="00BF12E0" w:rsidP="00BD5D4B">
            <w:pPr>
              <w:jc w:val="both"/>
              <w:rPr>
                <w:rFonts w:ascii="Arial" w:hAnsi="Arial" w:cs="Arial"/>
              </w:rPr>
            </w:pPr>
            <w:r w:rsidRPr="00294561">
              <w:rPr>
                <w:rFonts w:ascii="Arial" w:hAnsi="Arial" w:cs="Arial"/>
              </w:rPr>
              <w:t xml:space="preserve">Dans l’hypothèse d’une procédure simplifiée, le </w:t>
            </w:r>
            <w:r w:rsidR="00BD5D4B" w:rsidRPr="00294561">
              <w:rPr>
                <w:rFonts w:ascii="Arial" w:hAnsi="Arial" w:cs="Arial"/>
              </w:rPr>
              <w:t xml:space="preserve">rapport </w:t>
            </w:r>
            <w:r w:rsidRPr="00294561">
              <w:rPr>
                <w:rFonts w:ascii="Arial" w:hAnsi="Arial" w:cs="Arial"/>
              </w:rPr>
              <w:t xml:space="preserve">de contrôle ou d’enquête visé </w:t>
            </w:r>
            <w:r w:rsidRPr="008800A4">
              <w:rPr>
                <w:rFonts w:ascii="Arial" w:hAnsi="Arial" w:cs="Arial"/>
              </w:rPr>
              <w:t xml:space="preserve">à </w:t>
            </w:r>
            <w:r w:rsidRPr="00C21CF0">
              <w:rPr>
                <w:rFonts w:ascii="Arial" w:hAnsi="Arial" w:cs="Arial"/>
              </w:rPr>
              <w:t>l’article 5</w:t>
            </w:r>
            <w:r w:rsidR="000705F2" w:rsidRPr="00C21CF0">
              <w:rPr>
                <w:rFonts w:ascii="Arial" w:hAnsi="Arial" w:cs="Arial"/>
              </w:rPr>
              <w:t>7</w:t>
            </w:r>
            <w:r w:rsidRPr="00C21CF0">
              <w:rPr>
                <w:rFonts w:ascii="Arial" w:hAnsi="Arial" w:cs="Arial"/>
              </w:rPr>
              <w:t xml:space="preserve"> du présent règlement général</w:t>
            </w:r>
            <w:r w:rsidRPr="00294561">
              <w:rPr>
                <w:rFonts w:ascii="Arial" w:hAnsi="Arial" w:cs="Arial"/>
              </w:rPr>
              <w:t xml:space="preserve"> n’est pas requis.</w:t>
            </w:r>
          </w:p>
          <w:p w14:paraId="002B8ED9" w14:textId="77777777" w:rsidR="00BD5D4B" w:rsidRPr="00480280" w:rsidRDefault="00BD5D4B" w:rsidP="00BD5D4B">
            <w:pPr>
              <w:jc w:val="both"/>
              <w:rPr>
                <w:rFonts w:ascii="Arial" w:hAnsi="Arial" w:cs="Arial"/>
                <w:b/>
                <w:u w:val="single"/>
              </w:rPr>
            </w:pPr>
          </w:p>
          <w:p w14:paraId="2213D3DB" w14:textId="360D67DE" w:rsidR="00BD5D4B" w:rsidRPr="00480280" w:rsidRDefault="00BD5D4B" w:rsidP="00BD5D4B">
            <w:pPr>
              <w:jc w:val="both"/>
              <w:rPr>
                <w:rFonts w:ascii="Arial" w:hAnsi="Arial" w:cs="Arial"/>
                <w:b/>
                <w:u w:val="single"/>
              </w:rPr>
            </w:pPr>
            <w:r w:rsidRPr="00294561">
              <w:rPr>
                <w:rFonts w:ascii="Arial" w:hAnsi="Arial" w:cs="Arial"/>
                <w:b/>
                <w:u w:val="single"/>
              </w:rPr>
              <w:t xml:space="preserve">Article </w:t>
            </w:r>
            <w:r w:rsidR="007B038E">
              <w:rPr>
                <w:rFonts w:ascii="Arial" w:hAnsi="Arial" w:cs="Arial"/>
                <w:b/>
                <w:u w:val="single"/>
              </w:rPr>
              <w:t>6</w:t>
            </w:r>
            <w:r w:rsidR="00BB741D">
              <w:rPr>
                <w:rFonts w:ascii="Arial" w:hAnsi="Arial" w:cs="Arial"/>
                <w:b/>
                <w:u w:val="single"/>
              </w:rPr>
              <w:t>3</w:t>
            </w:r>
          </w:p>
          <w:p w14:paraId="0EFD8633" w14:textId="77777777" w:rsidR="00BD5D4B" w:rsidRPr="00480280" w:rsidRDefault="00BD5D4B" w:rsidP="00BD5D4B">
            <w:pPr>
              <w:widowControl w:val="0"/>
              <w:autoSpaceDE w:val="0"/>
              <w:autoSpaceDN w:val="0"/>
              <w:adjustRightInd w:val="0"/>
              <w:spacing w:before="29"/>
              <w:ind w:right="69"/>
              <w:jc w:val="both"/>
              <w:rPr>
                <w:rFonts w:ascii="Arial" w:hAnsi="Arial" w:cs="Arial"/>
              </w:rPr>
            </w:pPr>
          </w:p>
          <w:p w14:paraId="0E11BAE4" w14:textId="3B56788E" w:rsidR="00801367" w:rsidRPr="00294561" w:rsidRDefault="00BD5D4B" w:rsidP="00801367">
            <w:pPr>
              <w:widowControl w:val="0"/>
              <w:autoSpaceDE w:val="0"/>
              <w:adjustRightInd w:val="0"/>
              <w:jc w:val="both"/>
              <w:rPr>
                <w:rFonts w:ascii="Arial" w:hAnsi="Arial" w:cs="Arial"/>
              </w:rPr>
            </w:pPr>
            <w:r w:rsidRPr="00294561">
              <w:rPr>
                <w:rFonts w:ascii="Arial" w:hAnsi="Arial" w:cs="Arial"/>
              </w:rPr>
              <w:t>La lettre de notification des griefs</w:t>
            </w:r>
            <w:r w:rsidR="00801367" w:rsidRPr="00294561">
              <w:rPr>
                <w:rFonts w:ascii="Arial" w:hAnsi="Arial" w:cs="Arial"/>
              </w:rPr>
              <w:t xml:space="preserve"> visée à l’article </w:t>
            </w:r>
            <w:r w:rsidR="00801367" w:rsidRPr="00C21CF0">
              <w:rPr>
                <w:rFonts w:ascii="Arial" w:hAnsi="Arial" w:cs="Arial"/>
              </w:rPr>
              <w:t>5</w:t>
            </w:r>
            <w:r w:rsidR="008116D3" w:rsidRPr="00C21CF0">
              <w:rPr>
                <w:rFonts w:ascii="Arial" w:hAnsi="Arial" w:cs="Arial"/>
              </w:rPr>
              <w:t>6</w:t>
            </w:r>
            <w:r w:rsidR="00801367" w:rsidRPr="00C21CF0">
              <w:rPr>
                <w:rFonts w:ascii="Arial" w:hAnsi="Arial" w:cs="Arial"/>
              </w:rPr>
              <w:t xml:space="preserve"> du présent règlement général</w:t>
            </w:r>
            <w:r w:rsidRPr="00294561">
              <w:rPr>
                <w:rFonts w:ascii="Arial" w:hAnsi="Arial" w:cs="Arial"/>
              </w:rPr>
              <w:t xml:space="preserve"> </w:t>
            </w:r>
            <w:r w:rsidR="00801367" w:rsidRPr="00294561">
              <w:rPr>
                <w:rFonts w:ascii="Arial" w:hAnsi="Arial" w:cs="Arial"/>
              </w:rPr>
              <w:t>précise que la personne mise en cause peut prendre connaissance des pièces du dossier auprès de la Commission des sanctions et se faire assister par le conseil de son choix.</w:t>
            </w:r>
          </w:p>
          <w:p w14:paraId="6A11B073" w14:textId="77777777" w:rsidR="00801367" w:rsidRPr="00480280" w:rsidRDefault="00801367" w:rsidP="00BD5D4B">
            <w:pPr>
              <w:widowControl w:val="0"/>
              <w:autoSpaceDE w:val="0"/>
              <w:adjustRightInd w:val="0"/>
              <w:jc w:val="both"/>
              <w:rPr>
                <w:rFonts w:ascii="Arial" w:hAnsi="Arial" w:cs="Arial"/>
              </w:rPr>
            </w:pPr>
          </w:p>
          <w:p w14:paraId="1644EA92" w14:textId="593B7540" w:rsidR="00801367" w:rsidRPr="00480280" w:rsidRDefault="00801367" w:rsidP="00BD5D4B">
            <w:pPr>
              <w:widowControl w:val="0"/>
              <w:autoSpaceDE w:val="0"/>
              <w:adjustRightInd w:val="0"/>
              <w:jc w:val="both"/>
              <w:rPr>
                <w:rFonts w:ascii="Arial" w:hAnsi="Arial" w:cs="Arial"/>
              </w:rPr>
            </w:pPr>
            <w:r w:rsidRPr="00294561">
              <w:rPr>
                <w:rFonts w:ascii="Arial" w:hAnsi="Arial" w:cs="Arial"/>
              </w:rPr>
              <w:t>Le président de la COSUMAF transmet la notification des griefs à la Commission des sanctions.</w:t>
            </w:r>
          </w:p>
          <w:p w14:paraId="0EC614FC" w14:textId="77777777" w:rsidR="00801367" w:rsidRPr="00480280" w:rsidRDefault="00801367" w:rsidP="00BD5D4B">
            <w:pPr>
              <w:widowControl w:val="0"/>
              <w:autoSpaceDE w:val="0"/>
              <w:adjustRightInd w:val="0"/>
              <w:jc w:val="both"/>
              <w:rPr>
                <w:rFonts w:ascii="Arial" w:hAnsi="Arial" w:cs="Arial"/>
              </w:rPr>
            </w:pPr>
          </w:p>
          <w:p w14:paraId="1C657A26" w14:textId="7F5BAF4E" w:rsidR="00801367" w:rsidRPr="00480280" w:rsidRDefault="00801367" w:rsidP="00801367">
            <w:pPr>
              <w:jc w:val="both"/>
              <w:rPr>
                <w:rFonts w:ascii="Arial" w:hAnsi="Arial" w:cs="Arial"/>
                <w:b/>
                <w:u w:val="single"/>
              </w:rPr>
            </w:pPr>
            <w:r w:rsidRPr="00294561">
              <w:rPr>
                <w:rFonts w:ascii="Arial" w:hAnsi="Arial" w:cs="Arial"/>
                <w:b/>
                <w:u w:val="single"/>
              </w:rPr>
              <w:t xml:space="preserve">Article </w:t>
            </w:r>
            <w:r w:rsidR="007B038E">
              <w:rPr>
                <w:rFonts w:ascii="Arial" w:hAnsi="Arial" w:cs="Arial"/>
                <w:b/>
                <w:u w:val="single"/>
              </w:rPr>
              <w:t>6</w:t>
            </w:r>
            <w:r w:rsidR="00BB741D">
              <w:rPr>
                <w:rFonts w:ascii="Arial" w:hAnsi="Arial" w:cs="Arial"/>
                <w:b/>
                <w:u w:val="single"/>
              </w:rPr>
              <w:t>4</w:t>
            </w:r>
          </w:p>
          <w:p w14:paraId="601FBB52" w14:textId="77777777" w:rsidR="00801367" w:rsidRPr="00480280" w:rsidRDefault="00801367" w:rsidP="00BD5D4B">
            <w:pPr>
              <w:widowControl w:val="0"/>
              <w:autoSpaceDE w:val="0"/>
              <w:adjustRightInd w:val="0"/>
              <w:jc w:val="both"/>
              <w:rPr>
                <w:rFonts w:ascii="Arial" w:hAnsi="Arial" w:cs="Arial"/>
              </w:rPr>
            </w:pPr>
          </w:p>
          <w:p w14:paraId="63321260" w14:textId="2D2E5FE8" w:rsidR="00BD5D4B" w:rsidRPr="00480280" w:rsidRDefault="00801367" w:rsidP="00BD5D4B">
            <w:pPr>
              <w:widowControl w:val="0"/>
              <w:autoSpaceDE w:val="0"/>
              <w:adjustRightInd w:val="0"/>
              <w:jc w:val="both"/>
              <w:rPr>
                <w:rFonts w:ascii="Arial" w:hAnsi="Arial" w:cs="Arial"/>
              </w:rPr>
            </w:pPr>
            <w:r w:rsidRPr="00294561">
              <w:rPr>
                <w:rFonts w:ascii="Arial" w:hAnsi="Arial" w:cs="Arial"/>
              </w:rPr>
              <w:t xml:space="preserve">La </w:t>
            </w:r>
            <w:r w:rsidR="00BD5D4B" w:rsidRPr="00294561">
              <w:rPr>
                <w:rFonts w:ascii="Arial" w:hAnsi="Arial" w:cs="Arial"/>
              </w:rPr>
              <w:t>personne mise en cause</w:t>
            </w:r>
            <w:r w:rsidRPr="00294561">
              <w:rPr>
                <w:rFonts w:ascii="Arial" w:hAnsi="Arial" w:cs="Arial"/>
              </w:rPr>
              <w:t xml:space="preserve"> est convoquée par le Président de la Commission des sanctions</w:t>
            </w:r>
            <w:r w:rsidR="00BD5D4B" w:rsidRPr="00294561">
              <w:rPr>
                <w:rFonts w:ascii="Arial" w:hAnsi="Arial" w:cs="Arial"/>
              </w:rPr>
              <w:t xml:space="preserve"> à la séance de la</w:t>
            </w:r>
            <w:r w:rsidR="00294561" w:rsidRPr="00294561">
              <w:rPr>
                <w:rFonts w:ascii="Arial" w:hAnsi="Arial" w:cs="Arial"/>
              </w:rPr>
              <w:t>dite</w:t>
            </w:r>
            <w:r w:rsidR="00BD5D4B" w:rsidRPr="00294561">
              <w:rPr>
                <w:rFonts w:ascii="Arial" w:hAnsi="Arial" w:cs="Arial"/>
              </w:rPr>
              <w:t xml:space="preserve"> Commission, qui doit se tenir dans un délai de huit (8) jours ouvrés à compter de la réception de la</w:t>
            </w:r>
            <w:r w:rsidR="00294561" w:rsidRPr="00294561">
              <w:rPr>
                <w:rFonts w:ascii="Arial" w:hAnsi="Arial" w:cs="Arial"/>
              </w:rPr>
              <w:t xml:space="preserve"> convocation</w:t>
            </w:r>
            <w:r w:rsidR="00BD5D4B" w:rsidRPr="00294561">
              <w:rPr>
                <w:rFonts w:ascii="Arial" w:hAnsi="Arial" w:cs="Arial"/>
              </w:rPr>
              <w:t xml:space="preserve">. </w:t>
            </w:r>
          </w:p>
          <w:p w14:paraId="0757C528" w14:textId="77777777" w:rsidR="00801367" w:rsidRPr="00480280" w:rsidRDefault="00801367" w:rsidP="00BD5D4B">
            <w:pPr>
              <w:widowControl w:val="0"/>
              <w:autoSpaceDE w:val="0"/>
              <w:adjustRightInd w:val="0"/>
              <w:jc w:val="both"/>
              <w:rPr>
                <w:rFonts w:ascii="Arial" w:hAnsi="Arial" w:cs="Arial"/>
              </w:rPr>
            </w:pPr>
          </w:p>
          <w:p w14:paraId="12F7E00B" w14:textId="59EA1F47" w:rsidR="00BD5D4B" w:rsidRPr="00480280" w:rsidRDefault="00BD5D4B" w:rsidP="00BD5D4B">
            <w:pPr>
              <w:widowControl w:val="0"/>
              <w:autoSpaceDE w:val="0"/>
              <w:adjustRightInd w:val="0"/>
              <w:jc w:val="both"/>
              <w:rPr>
                <w:rFonts w:ascii="Arial" w:hAnsi="Arial" w:cs="Arial"/>
              </w:rPr>
            </w:pPr>
            <w:r w:rsidRPr="00294561">
              <w:rPr>
                <w:rFonts w:ascii="Arial" w:hAnsi="Arial" w:cs="Arial"/>
              </w:rPr>
              <w:t>La convocation de la personne mise en cause est</w:t>
            </w:r>
            <w:r w:rsidR="00294561" w:rsidRPr="00294561">
              <w:rPr>
                <w:rFonts w:ascii="Arial" w:hAnsi="Arial" w:cs="Arial"/>
              </w:rPr>
              <w:t xml:space="preserve"> faite par lettre recommandée avec demande d’avis de réception ou remise en main propre contre récépissé ou par acte d’huissier aux frais des intéressés</w:t>
            </w:r>
            <w:r w:rsidRPr="00294561">
              <w:rPr>
                <w:rFonts w:ascii="Arial" w:hAnsi="Arial" w:cs="Arial"/>
              </w:rPr>
              <w:t>.</w:t>
            </w:r>
            <w:r w:rsidR="00294561">
              <w:rPr>
                <w:rFonts w:ascii="Arial" w:hAnsi="Arial" w:cs="Arial"/>
              </w:rPr>
              <w:t xml:space="preserve"> Elle précise la date de la séance et la composition de la Commission des sanctions.</w:t>
            </w:r>
          </w:p>
          <w:p w14:paraId="30B70826" w14:textId="77777777" w:rsidR="00413F2C" w:rsidRDefault="00413F2C" w:rsidP="00A64175">
            <w:pPr>
              <w:tabs>
                <w:tab w:val="left" w:pos="2670"/>
              </w:tabs>
              <w:jc w:val="both"/>
              <w:rPr>
                <w:rFonts w:ascii="Arial" w:eastAsia="Times New Roman" w:hAnsi="Arial" w:cs="Arial"/>
                <w:lang w:eastAsia="fr-FR"/>
              </w:rPr>
            </w:pPr>
          </w:p>
          <w:p w14:paraId="30D6AD86" w14:textId="77777777" w:rsidR="001B1319" w:rsidRPr="00A64175" w:rsidRDefault="001B1319" w:rsidP="00A64175">
            <w:pPr>
              <w:tabs>
                <w:tab w:val="left" w:pos="2670"/>
              </w:tabs>
              <w:jc w:val="both"/>
              <w:rPr>
                <w:rFonts w:ascii="Arial" w:eastAsia="Times New Roman" w:hAnsi="Arial" w:cs="Arial"/>
                <w:lang w:eastAsia="fr-FR"/>
              </w:rPr>
            </w:pPr>
          </w:p>
        </w:tc>
      </w:tr>
      <w:tr w:rsidR="002F52AA" w:rsidRPr="00A64175" w14:paraId="00FE83A3" w14:textId="77777777" w:rsidTr="00A902FD">
        <w:tc>
          <w:tcPr>
            <w:tcW w:w="8185" w:type="dxa"/>
            <w:shd w:val="clear" w:color="auto" w:fill="auto"/>
          </w:tcPr>
          <w:p w14:paraId="3F2B7399" w14:textId="315ACFF7" w:rsidR="002F52AA" w:rsidRPr="00A64175" w:rsidRDefault="002F52AA" w:rsidP="00A64175">
            <w:pPr>
              <w:jc w:val="both"/>
              <w:rPr>
                <w:rFonts w:ascii="Arial" w:eastAsia="Times New Roman" w:hAnsi="Arial" w:cs="Arial"/>
                <w:b/>
                <w:lang w:eastAsia="fr-FR"/>
              </w:rPr>
            </w:pPr>
            <w:r w:rsidRPr="00A64175">
              <w:rPr>
                <w:rFonts w:ascii="Arial" w:eastAsia="Times New Roman" w:hAnsi="Arial" w:cs="Arial"/>
                <w:b/>
                <w:lang w:eastAsia="fr-FR"/>
              </w:rPr>
              <w:t>Section II</w:t>
            </w:r>
            <w:r w:rsidR="00413F2C">
              <w:rPr>
                <w:rFonts w:ascii="Arial" w:eastAsia="Times New Roman" w:hAnsi="Arial" w:cs="Arial"/>
                <w:b/>
                <w:lang w:eastAsia="fr-FR"/>
              </w:rPr>
              <w:t>I</w:t>
            </w:r>
            <w:r w:rsidRPr="00A64175">
              <w:rPr>
                <w:rFonts w:ascii="Arial" w:eastAsia="Times New Roman" w:hAnsi="Arial" w:cs="Arial"/>
                <w:b/>
                <w:lang w:eastAsia="fr-FR"/>
              </w:rPr>
              <w:t xml:space="preserve"> : Récusation d’un membre de la Commission des sanctions </w:t>
            </w:r>
          </w:p>
        </w:tc>
      </w:tr>
      <w:tr w:rsidR="002F52AA" w:rsidRPr="00A64175" w14:paraId="4632AFF3" w14:textId="77777777" w:rsidTr="00A902FD">
        <w:tc>
          <w:tcPr>
            <w:tcW w:w="8185" w:type="dxa"/>
          </w:tcPr>
          <w:p w14:paraId="3F0CA988" w14:textId="77777777" w:rsidR="002F52AA" w:rsidRPr="00A64175" w:rsidRDefault="002F52AA" w:rsidP="00A64175">
            <w:pPr>
              <w:widowControl w:val="0"/>
              <w:autoSpaceDE w:val="0"/>
              <w:adjustRightInd w:val="0"/>
              <w:jc w:val="both"/>
              <w:rPr>
                <w:rFonts w:ascii="Arial" w:hAnsi="Arial" w:cs="Arial"/>
                <w:b/>
                <w:bCs/>
              </w:rPr>
            </w:pPr>
          </w:p>
          <w:p w14:paraId="63D08B6A" w14:textId="7B614DBA" w:rsidR="002F52AA" w:rsidRPr="00A64175" w:rsidRDefault="00994F10" w:rsidP="00A64175">
            <w:pPr>
              <w:widowControl w:val="0"/>
              <w:autoSpaceDE w:val="0"/>
              <w:adjustRightInd w:val="0"/>
              <w:jc w:val="both"/>
              <w:rPr>
                <w:rFonts w:ascii="Arial" w:eastAsia="Times New Roman" w:hAnsi="Arial" w:cs="Arial"/>
                <w:color w:val="000000"/>
                <w:shd w:val="clear" w:color="auto" w:fill="FFFFFF"/>
              </w:rPr>
            </w:pPr>
            <w:r w:rsidRPr="00A64175">
              <w:rPr>
                <w:rFonts w:ascii="Arial" w:hAnsi="Arial" w:cs="Arial"/>
                <w:b/>
                <w:bCs/>
              </w:rPr>
              <w:t>Article 6</w:t>
            </w:r>
            <w:r w:rsidR="00BB741D">
              <w:rPr>
                <w:rFonts w:ascii="Arial" w:hAnsi="Arial" w:cs="Arial"/>
                <w:b/>
                <w:bCs/>
              </w:rPr>
              <w:t>5</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bCs/>
                <w:color w:val="000000"/>
              </w:rPr>
              <w:t xml:space="preserve">La notification des griefs doit mentionner </w:t>
            </w:r>
            <w:r w:rsidR="002F52AA" w:rsidRPr="00A64175">
              <w:rPr>
                <w:rFonts w:ascii="Arial" w:hAnsi="Arial" w:cs="Arial"/>
              </w:rPr>
              <w:t xml:space="preserve">la possibilité de demander la récusation d’un ou de plusieurs membres de la Commission pour motif légitime et sérieux susceptible de mettre </w:t>
            </w:r>
            <w:r w:rsidR="002F52AA" w:rsidRPr="00A64175">
              <w:rPr>
                <w:rFonts w:ascii="Arial" w:eastAsia="Times New Roman" w:hAnsi="Arial" w:cs="Arial"/>
                <w:color w:val="000000"/>
                <w:shd w:val="clear" w:color="auto" w:fill="FFFFFF"/>
              </w:rPr>
              <w:t>en doute leur impartialité.</w:t>
            </w:r>
          </w:p>
          <w:p w14:paraId="528151F9"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3C14A2CC" w14:textId="77777777" w:rsidTr="00A902FD">
        <w:tc>
          <w:tcPr>
            <w:tcW w:w="8185" w:type="dxa"/>
          </w:tcPr>
          <w:p w14:paraId="2194C5BC" w14:textId="5EEFC54A" w:rsidR="002F52AA" w:rsidRPr="00A64175" w:rsidRDefault="00994F10" w:rsidP="00A64175">
            <w:pPr>
              <w:widowControl w:val="0"/>
              <w:autoSpaceDE w:val="0"/>
              <w:adjustRightInd w:val="0"/>
              <w:jc w:val="both"/>
              <w:rPr>
                <w:rFonts w:ascii="Arial" w:hAnsi="Arial" w:cs="Arial"/>
                <w:kern w:val="1"/>
              </w:rPr>
            </w:pPr>
            <w:r w:rsidRPr="00A64175">
              <w:rPr>
                <w:rFonts w:ascii="Arial" w:hAnsi="Arial" w:cs="Arial"/>
                <w:b/>
                <w:bCs/>
              </w:rPr>
              <w:t xml:space="preserve">Article </w:t>
            </w:r>
            <w:r w:rsidR="002F52AA" w:rsidRPr="00A64175">
              <w:rPr>
                <w:rFonts w:ascii="Arial" w:hAnsi="Arial" w:cs="Arial"/>
                <w:b/>
                <w:bCs/>
              </w:rPr>
              <w:t>6</w:t>
            </w:r>
            <w:r w:rsidR="00BB741D">
              <w:rPr>
                <w:rFonts w:ascii="Arial" w:hAnsi="Arial" w:cs="Arial"/>
                <w:b/>
                <w:bCs/>
              </w:rPr>
              <w:t>6</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bCs/>
                <w:color w:val="000000"/>
              </w:rPr>
              <w:t>Lorsqu’il existe</w:t>
            </w:r>
            <w:r w:rsidR="002F52AA" w:rsidRPr="00A64175">
              <w:rPr>
                <w:rFonts w:ascii="Arial" w:hAnsi="Arial" w:cs="Arial"/>
                <w:b/>
                <w:bCs/>
                <w:color w:val="000000"/>
              </w:rPr>
              <w:t xml:space="preserve"> </w:t>
            </w:r>
            <w:r w:rsidR="002F52AA" w:rsidRPr="00A64175">
              <w:rPr>
                <w:rFonts w:ascii="Arial" w:eastAsia="Times New Roman" w:hAnsi="Arial" w:cs="Arial"/>
                <w:color w:val="000000"/>
                <w:shd w:val="clear" w:color="auto" w:fill="FFFFFF"/>
              </w:rPr>
              <w:t xml:space="preserve">un motif légitime et sérieux susceptible de remettre en doute l’impartialité d’un membre de la Commission des sanctions, ce membre doit s’abstenir </w:t>
            </w:r>
            <w:r w:rsidR="002F52AA" w:rsidRPr="00A64175">
              <w:rPr>
                <w:rFonts w:ascii="Arial" w:hAnsi="Arial" w:cs="Arial"/>
                <w:color w:val="000000"/>
              </w:rPr>
              <w:t>de prendre part à la séance de la Commission des sanctions et au délibéré</w:t>
            </w:r>
            <w:r w:rsidR="00AF44EC" w:rsidRPr="00A64175">
              <w:rPr>
                <w:rFonts w:ascii="Arial" w:hAnsi="Arial" w:cs="Arial"/>
                <w:color w:val="000000"/>
              </w:rPr>
              <w:t>.</w:t>
            </w:r>
          </w:p>
          <w:p w14:paraId="63728992"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7CB72D23" w14:textId="77777777" w:rsidTr="00A902FD">
        <w:tc>
          <w:tcPr>
            <w:tcW w:w="8185" w:type="dxa"/>
          </w:tcPr>
          <w:p w14:paraId="7EB63024" w14:textId="2F70974D" w:rsidR="002F52AA" w:rsidRPr="00A64175" w:rsidRDefault="00994F10" w:rsidP="00A64175">
            <w:pPr>
              <w:widowControl w:val="0"/>
              <w:autoSpaceDE w:val="0"/>
              <w:adjustRightInd w:val="0"/>
              <w:jc w:val="both"/>
              <w:rPr>
                <w:rFonts w:ascii="Arial" w:hAnsi="Arial" w:cs="Arial"/>
                <w:color w:val="000000"/>
              </w:rPr>
            </w:pPr>
            <w:r w:rsidRPr="00A64175">
              <w:rPr>
                <w:rFonts w:ascii="Arial" w:hAnsi="Arial" w:cs="Arial"/>
                <w:b/>
                <w:kern w:val="1"/>
              </w:rPr>
              <w:t>Article 6</w:t>
            </w:r>
            <w:r w:rsidR="00BB741D">
              <w:rPr>
                <w:rFonts w:ascii="Arial" w:hAnsi="Arial" w:cs="Arial"/>
                <w:b/>
                <w:kern w:val="1"/>
              </w:rPr>
              <w:t>7</w:t>
            </w:r>
            <w:r w:rsidRPr="00A64175">
              <w:rPr>
                <w:rFonts w:ascii="Arial" w:hAnsi="Arial" w:cs="Arial"/>
                <w:b/>
                <w:kern w:val="1"/>
              </w:rPr>
              <w:t xml:space="preserve"> </w:t>
            </w:r>
            <w:r w:rsidR="002F52AA" w:rsidRPr="00A64175">
              <w:rPr>
                <w:rFonts w:ascii="Arial" w:hAnsi="Arial" w:cs="Arial"/>
                <w:b/>
                <w:kern w:val="1"/>
              </w:rPr>
              <w:t>–</w:t>
            </w:r>
            <w:r w:rsidR="002F52AA" w:rsidRPr="00A64175">
              <w:rPr>
                <w:rFonts w:ascii="Arial" w:hAnsi="Arial" w:cs="Arial"/>
                <w:kern w:val="1"/>
              </w:rPr>
              <w:t xml:space="preserve"> </w:t>
            </w:r>
            <w:r w:rsidR="002F52AA" w:rsidRPr="00A64175">
              <w:rPr>
                <w:rFonts w:ascii="Arial" w:hAnsi="Arial" w:cs="Arial"/>
                <w:color w:val="000000"/>
              </w:rPr>
              <w:t>Toute demande de récusation doit être formée :</w:t>
            </w:r>
          </w:p>
          <w:p w14:paraId="7884AEC3" w14:textId="77777777" w:rsidR="00994F10" w:rsidRPr="00A64175" w:rsidRDefault="00994F10" w:rsidP="00A64175">
            <w:pPr>
              <w:widowControl w:val="0"/>
              <w:autoSpaceDE w:val="0"/>
              <w:adjustRightInd w:val="0"/>
              <w:jc w:val="both"/>
              <w:rPr>
                <w:rFonts w:ascii="Arial" w:hAnsi="Arial" w:cs="Arial"/>
                <w:color w:val="000000"/>
              </w:rPr>
            </w:pPr>
          </w:p>
          <w:p w14:paraId="2E61D296" w14:textId="16F666A3" w:rsidR="002F52AA" w:rsidRPr="00A64175" w:rsidRDefault="002F52AA" w:rsidP="00A64175">
            <w:pPr>
              <w:pStyle w:val="NormalWeb"/>
              <w:numPr>
                <w:ilvl w:val="0"/>
                <w:numId w:val="1"/>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S’il s'agit du rapporteur, dans le délai d'un (1) mois à compter de s</w:t>
            </w:r>
            <w:r w:rsidR="00AF44EC" w:rsidRPr="00A64175">
              <w:rPr>
                <w:rFonts w:ascii="Arial" w:hAnsi="Arial" w:cs="Arial"/>
                <w:color w:val="000000"/>
                <w:sz w:val="22"/>
                <w:szCs w:val="22"/>
              </w:rPr>
              <w:t>a désignation</w:t>
            </w:r>
            <w:r w:rsidRPr="00A64175">
              <w:rPr>
                <w:rFonts w:ascii="Arial" w:hAnsi="Arial" w:cs="Arial"/>
                <w:color w:val="000000"/>
                <w:sz w:val="22"/>
                <w:szCs w:val="22"/>
              </w:rPr>
              <w:t xml:space="preserve"> ;</w:t>
            </w:r>
          </w:p>
          <w:p w14:paraId="79D8818E" w14:textId="77777777" w:rsidR="002F52AA" w:rsidRPr="00A64175" w:rsidRDefault="002F52AA" w:rsidP="00A64175">
            <w:pPr>
              <w:pStyle w:val="NormalWeb"/>
              <w:spacing w:before="0" w:beforeAutospacing="0" w:after="0" w:afterAutospacing="0"/>
              <w:ind w:left="720"/>
              <w:jc w:val="both"/>
              <w:rPr>
                <w:rFonts w:ascii="Arial" w:hAnsi="Arial" w:cs="Arial"/>
                <w:color w:val="000000"/>
                <w:sz w:val="22"/>
                <w:szCs w:val="22"/>
              </w:rPr>
            </w:pPr>
          </w:p>
          <w:p w14:paraId="01EF2637" w14:textId="30B19902" w:rsidR="002F52AA" w:rsidRPr="00A64175" w:rsidRDefault="002F52AA" w:rsidP="00A64175">
            <w:pPr>
              <w:pStyle w:val="NormalWeb"/>
              <w:numPr>
                <w:ilvl w:val="0"/>
                <w:numId w:val="1"/>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 xml:space="preserve">S’il s'agit d'un membre de la Commission </w:t>
            </w:r>
            <w:r w:rsidR="00297324" w:rsidRPr="00A64175">
              <w:rPr>
                <w:rFonts w:ascii="Arial" w:hAnsi="Arial" w:cs="Arial"/>
                <w:color w:val="000000"/>
                <w:sz w:val="22"/>
                <w:szCs w:val="22"/>
              </w:rPr>
              <w:t>des sanctions autre que le rapporteur</w:t>
            </w:r>
            <w:r w:rsidRPr="00A64175">
              <w:rPr>
                <w:rFonts w:ascii="Arial" w:hAnsi="Arial" w:cs="Arial"/>
                <w:color w:val="000000"/>
                <w:sz w:val="22"/>
                <w:szCs w:val="22"/>
              </w:rPr>
              <w:t>, dans le délai de quinze (15) jours à compter de la notification de</w:t>
            </w:r>
            <w:r w:rsidR="00297324" w:rsidRPr="00A64175">
              <w:rPr>
                <w:rFonts w:ascii="Arial" w:hAnsi="Arial" w:cs="Arial"/>
                <w:color w:val="000000"/>
                <w:sz w:val="22"/>
                <w:szCs w:val="22"/>
              </w:rPr>
              <w:t>s griefs.</w:t>
            </w:r>
          </w:p>
          <w:p w14:paraId="4E99C8BF" w14:textId="77777777" w:rsidR="002F52AA" w:rsidRPr="00A64175" w:rsidRDefault="002F52AA" w:rsidP="00A64175">
            <w:pPr>
              <w:widowControl w:val="0"/>
              <w:tabs>
                <w:tab w:val="left" w:pos="1200"/>
              </w:tabs>
              <w:autoSpaceDE w:val="0"/>
              <w:adjustRightInd w:val="0"/>
              <w:jc w:val="both"/>
              <w:rPr>
                <w:rFonts w:ascii="Arial" w:hAnsi="Arial" w:cs="Arial"/>
                <w:b/>
                <w:bCs/>
              </w:rPr>
            </w:pPr>
          </w:p>
        </w:tc>
      </w:tr>
      <w:tr w:rsidR="002F52AA" w:rsidRPr="00A64175" w14:paraId="11DB4D11" w14:textId="77777777" w:rsidTr="00A902FD">
        <w:tc>
          <w:tcPr>
            <w:tcW w:w="8185" w:type="dxa"/>
          </w:tcPr>
          <w:p w14:paraId="1A4BA22F" w14:textId="0D6942A3" w:rsidR="002F52AA" w:rsidRPr="00A64175" w:rsidRDefault="00994F10" w:rsidP="00A64175">
            <w:pPr>
              <w:jc w:val="both"/>
              <w:rPr>
                <w:rFonts w:ascii="Arial" w:eastAsia="Times New Roman" w:hAnsi="Arial" w:cs="Arial"/>
                <w:color w:val="000000"/>
              </w:rPr>
            </w:pPr>
            <w:r w:rsidRPr="00A64175">
              <w:rPr>
                <w:rFonts w:ascii="Arial" w:hAnsi="Arial" w:cs="Arial"/>
                <w:b/>
                <w:color w:val="000000"/>
              </w:rPr>
              <w:t xml:space="preserve">Article </w:t>
            </w:r>
            <w:r w:rsidRPr="00A64175">
              <w:rPr>
                <w:rFonts w:ascii="Arial" w:hAnsi="Arial" w:cs="Arial"/>
                <w:b/>
                <w:bCs/>
                <w:color w:val="000000"/>
              </w:rPr>
              <w:t>6</w:t>
            </w:r>
            <w:r w:rsidR="00BB741D">
              <w:rPr>
                <w:rFonts w:ascii="Arial" w:hAnsi="Arial" w:cs="Arial"/>
                <w:b/>
                <w:bCs/>
                <w:color w:val="000000"/>
              </w:rPr>
              <w:t>8</w:t>
            </w:r>
            <w:r w:rsidRPr="00A64175">
              <w:rPr>
                <w:rFonts w:ascii="Arial" w:hAnsi="Arial" w:cs="Arial"/>
                <w:b/>
                <w:bCs/>
                <w:color w:val="000000"/>
              </w:rPr>
              <w:t xml:space="preserve"> </w:t>
            </w:r>
            <w:r w:rsidR="002F52AA" w:rsidRPr="00A64175">
              <w:rPr>
                <w:rFonts w:ascii="Arial" w:hAnsi="Arial" w:cs="Arial"/>
                <w:b/>
                <w:bCs/>
                <w:color w:val="000000"/>
              </w:rPr>
              <w:t xml:space="preserve">– </w:t>
            </w:r>
            <w:r w:rsidR="00297324" w:rsidRPr="00A64175">
              <w:rPr>
                <w:rFonts w:ascii="Arial" w:hAnsi="Arial" w:cs="Arial"/>
                <w:color w:val="000000"/>
              </w:rPr>
              <w:t xml:space="preserve">Le Président de la Commission des sanctions </w:t>
            </w:r>
            <w:r w:rsidR="002F52AA" w:rsidRPr="00A64175">
              <w:rPr>
                <w:rFonts w:ascii="Arial" w:hAnsi="Arial" w:cs="Arial"/>
                <w:color w:val="000000"/>
              </w:rPr>
              <w:t xml:space="preserve"> communique la copie de la demande de récusation au membre qui en est l'objet. </w:t>
            </w:r>
            <w:r w:rsidR="002F52AA" w:rsidRPr="00A64175">
              <w:rPr>
                <w:rFonts w:ascii="Arial" w:eastAsia="Times New Roman" w:hAnsi="Arial" w:cs="Arial"/>
                <w:color w:val="000000"/>
              </w:rPr>
              <w:t>Dans les huit (8) jours de cette</w:t>
            </w:r>
            <w:r w:rsidR="00297324" w:rsidRPr="00A64175">
              <w:rPr>
                <w:rFonts w:ascii="Arial" w:eastAsia="Times New Roman" w:hAnsi="Arial" w:cs="Arial"/>
                <w:color w:val="000000"/>
              </w:rPr>
              <w:t xml:space="preserve"> communication, le membre concerné</w:t>
            </w:r>
            <w:r w:rsidR="002F52AA" w:rsidRPr="00A64175">
              <w:rPr>
                <w:rFonts w:ascii="Arial" w:eastAsia="Times New Roman" w:hAnsi="Arial" w:cs="Arial"/>
                <w:color w:val="000000"/>
              </w:rPr>
              <w:t xml:space="preserve"> fait connaître par écrit soit son acquiescement à la récusation, soit les motifs pour lesquels il s'y oppose. </w:t>
            </w:r>
          </w:p>
          <w:p w14:paraId="6299B253" w14:textId="77777777" w:rsidR="002F52AA" w:rsidRPr="00A64175" w:rsidRDefault="002F52AA" w:rsidP="00A64175">
            <w:pPr>
              <w:pStyle w:val="NormalWeb"/>
              <w:spacing w:before="0" w:beforeAutospacing="0" w:after="0" w:afterAutospacing="0"/>
              <w:jc w:val="both"/>
              <w:rPr>
                <w:rFonts w:ascii="Arial" w:hAnsi="Arial" w:cs="Arial"/>
                <w:b/>
                <w:color w:val="000000"/>
                <w:sz w:val="22"/>
                <w:szCs w:val="22"/>
              </w:rPr>
            </w:pPr>
          </w:p>
          <w:p w14:paraId="3D5AFE68" w14:textId="652A22DB" w:rsidR="002F52AA" w:rsidRPr="00A64175" w:rsidRDefault="002F52AA" w:rsidP="00A64175">
            <w:pPr>
              <w:jc w:val="both"/>
              <w:rPr>
                <w:rFonts w:ascii="Arial" w:eastAsia="Times New Roman" w:hAnsi="Arial" w:cs="Arial"/>
                <w:color w:val="000000"/>
              </w:rPr>
            </w:pPr>
            <w:r w:rsidRPr="00A64175">
              <w:rPr>
                <w:rFonts w:ascii="Arial" w:eastAsia="Times New Roman" w:hAnsi="Arial" w:cs="Arial"/>
                <w:color w:val="000000"/>
              </w:rPr>
              <w:t>Dès qu'il a reçu communication</w:t>
            </w:r>
            <w:r w:rsidR="00297324" w:rsidRPr="00A64175">
              <w:rPr>
                <w:rFonts w:ascii="Arial" w:eastAsia="Times New Roman" w:hAnsi="Arial" w:cs="Arial"/>
                <w:color w:val="000000"/>
              </w:rPr>
              <w:t xml:space="preserve"> de la demande de récusation, le membre concerné </w:t>
            </w:r>
            <w:r w:rsidRPr="00A64175">
              <w:rPr>
                <w:rFonts w:ascii="Arial" w:eastAsia="Times New Roman" w:hAnsi="Arial" w:cs="Arial"/>
                <w:color w:val="000000"/>
              </w:rPr>
              <w:t xml:space="preserve"> s'abstient de participer aux travaux de la Commission jusqu'à ce qu'il ait été statué sur la demande</w:t>
            </w:r>
            <w:r w:rsidR="00297324" w:rsidRPr="00A64175">
              <w:rPr>
                <w:rFonts w:ascii="Arial" w:eastAsia="Times New Roman" w:hAnsi="Arial" w:cs="Arial"/>
                <w:color w:val="000000"/>
              </w:rPr>
              <w:t xml:space="preserve"> de</w:t>
            </w:r>
            <w:r w:rsidRPr="00A64175">
              <w:rPr>
                <w:rFonts w:ascii="Arial" w:eastAsia="Times New Roman" w:hAnsi="Arial" w:cs="Arial"/>
                <w:color w:val="000000"/>
              </w:rPr>
              <w:t xml:space="preserve"> récusation. Les actes</w:t>
            </w:r>
            <w:r w:rsidR="00297324" w:rsidRPr="00A64175">
              <w:rPr>
                <w:rFonts w:ascii="Arial" w:eastAsia="Times New Roman" w:hAnsi="Arial" w:cs="Arial"/>
                <w:color w:val="000000"/>
              </w:rPr>
              <w:t xml:space="preserve"> accomplis avant la communication de</w:t>
            </w:r>
            <w:r w:rsidRPr="00A64175">
              <w:rPr>
                <w:rFonts w:ascii="Arial" w:eastAsia="Times New Roman" w:hAnsi="Arial" w:cs="Arial"/>
                <w:color w:val="000000"/>
              </w:rPr>
              <w:t xml:space="preserve"> la demande de récusation ne peuvent être remis en cause. </w:t>
            </w:r>
          </w:p>
          <w:p w14:paraId="66DEB6F8" w14:textId="77777777" w:rsidR="002F52AA" w:rsidRPr="00A64175" w:rsidRDefault="002F52AA" w:rsidP="00A64175">
            <w:pPr>
              <w:jc w:val="both"/>
              <w:rPr>
                <w:rFonts w:ascii="Arial" w:eastAsia="Times New Roman" w:hAnsi="Arial" w:cs="Arial"/>
                <w:color w:val="000000"/>
              </w:rPr>
            </w:pPr>
          </w:p>
          <w:p w14:paraId="091E241C"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Si le membre récusé acquiesce à la demande de récusation, il s’abstient de prendre part à la séance de la Commission des sanctions et au délibéré.</w:t>
            </w:r>
          </w:p>
          <w:p w14:paraId="645BFBBE"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37D5A35B"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Dans le cas contraire, la Commission des sanctions se prononce sur la demande. Le demandeur de la récusation est averti par tous moyens de la date à laquelle elle sera examinée ainsi que de la possibilité qu'il aura de présenter des observations orales.</w:t>
            </w:r>
          </w:p>
          <w:p w14:paraId="19E8B327"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0F2D9186" w14:textId="46B9FB59" w:rsidR="002F52AA" w:rsidRPr="00A64175" w:rsidRDefault="002F52AA"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La Commission des sanctions statue sans la participation du membre dont la récusation est demandée.</w:t>
            </w:r>
            <w:r w:rsidR="00297324" w:rsidRPr="00A64175">
              <w:rPr>
                <w:rFonts w:ascii="Arial" w:hAnsi="Arial" w:cs="Arial"/>
                <w:color w:val="000000"/>
                <w:sz w:val="22"/>
                <w:szCs w:val="22"/>
              </w:rPr>
              <w:t xml:space="preserve"> S'il n'est pas concerné</w:t>
            </w:r>
            <w:r w:rsidRPr="00A64175">
              <w:rPr>
                <w:rFonts w:ascii="Arial" w:hAnsi="Arial" w:cs="Arial"/>
                <w:color w:val="000000"/>
                <w:sz w:val="22"/>
                <w:szCs w:val="22"/>
              </w:rPr>
              <w:t>, le rapporteur participe à la délibération.</w:t>
            </w:r>
          </w:p>
          <w:p w14:paraId="6234778D"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tc>
      </w:tr>
      <w:tr w:rsidR="002F52AA" w:rsidRPr="00A64175" w14:paraId="1266EC1E" w14:textId="77777777" w:rsidTr="00A902FD">
        <w:tc>
          <w:tcPr>
            <w:tcW w:w="8185" w:type="dxa"/>
          </w:tcPr>
          <w:p w14:paraId="25284DC9" w14:textId="1A2E1CA4" w:rsidR="002F52AA" w:rsidRPr="00A64175" w:rsidRDefault="00994F10"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b/>
                <w:bCs/>
                <w:sz w:val="22"/>
                <w:szCs w:val="22"/>
              </w:rPr>
              <w:t>Article 6</w:t>
            </w:r>
            <w:r w:rsidR="00BB741D">
              <w:rPr>
                <w:rFonts w:ascii="Arial" w:hAnsi="Arial" w:cs="Arial"/>
                <w:b/>
                <w:bCs/>
                <w:sz w:val="22"/>
                <w:szCs w:val="22"/>
              </w:rPr>
              <w:t>9</w:t>
            </w:r>
            <w:r w:rsidRPr="00A64175">
              <w:rPr>
                <w:rFonts w:ascii="Arial" w:hAnsi="Arial" w:cs="Arial"/>
                <w:b/>
                <w:bCs/>
                <w:sz w:val="22"/>
                <w:szCs w:val="22"/>
              </w:rPr>
              <w:t xml:space="preserve"> </w:t>
            </w:r>
            <w:r w:rsidR="002F52AA" w:rsidRPr="00A64175">
              <w:rPr>
                <w:rFonts w:ascii="Arial" w:hAnsi="Arial" w:cs="Arial"/>
                <w:b/>
                <w:bCs/>
                <w:color w:val="000000"/>
                <w:sz w:val="22"/>
                <w:szCs w:val="22"/>
              </w:rPr>
              <w:t xml:space="preserve">– </w:t>
            </w:r>
            <w:r w:rsidR="002F52AA" w:rsidRPr="00A64175">
              <w:rPr>
                <w:rFonts w:ascii="Arial" w:hAnsi="Arial" w:cs="Arial"/>
                <w:color w:val="000000"/>
                <w:sz w:val="22"/>
                <w:szCs w:val="22"/>
              </w:rPr>
              <w:t>La Commission des sanction</w:t>
            </w:r>
            <w:r w:rsidR="00297324" w:rsidRPr="00A64175">
              <w:rPr>
                <w:rFonts w:ascii="Arial" w:hAnsi="Arial" w:cs="Arial"/>
                <w:color w:val="000000"/>
                <w:sz w:val="22"/>
                <w:szCs w:val="22"/>
              </w:rPr>
              <w:t>s</w:t>
            </w:r>
            <w:r w:rsidR="002F52AA" w:rsidRPr="00A64175">
              <w:rPr>
                <w:rFonts w:ascii="Arial" w:hAnsi="Arial" w:cs="Arial"/>
                <w:color w:val="000000"/>
                <w:sz w:val="22"/>
                <w:szCs w:val="22"/>
              </w:rPr>
              <w:t xml:space="preserve"> statue à la majorité des voix exprimées. </w:t>
            </w:r>
          </w:p>
          <w:p w14:paraId="163CCBDF"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3565F82A" w14:textId="5DA763DE" w:rsidR="002F52AA" w:rsidRPr="00A64175" w:rsidRDefault="00CF69DC"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La</w:t>
            </w:r>
            <w:r w:rsidR="002F52AA" w:rsidRPr="00A64175">
              <w:rPr>
                <w:rFonts w:ascii="Arial" w:hAnsi="Arial" w:cs="Arial"/>
                <w:color w:val="000000"/>
                <w:sz w:val="22"/>
                <w:szCs w:val="22"/>
              </w:rPr>
              <w:t xml:space="preserve"> décision de</w:t>
            </w:r>
            <w:r w:rsidRPr="00A64175">
              <w:rPr>
                <w:rFonts w:ascii="Arial" w:hAnsi="Arial" w:cs="Arial"/>
                <w:color w:val="000000"/>
                <w:sz w:val="22"/>
                <w:szCs w:val="22"/>
              </w:rPr>
              <w:t xml:space="preserve"> la Commission des sanctions es</w:t>
            </w:r>
            <w:r w:rsidR="002F52AA" w:rsidRPr="00A64175">
              <w:rPr>
                <w:rFonts w:ascii="Arial" w:hAnsi="Arial" w:cs="Arial"/>
                <w:color w:val="000000"/>
                <w:sz w:val="22"/>
                <w:szCs w:val="22"/>
              </w:rPr>
              <w:t>t consignée</w:t>
            </w:r>
            <w:r w:rsidRPr="00A64175">
              <w:rPr>
                <w:rFonts w:ascii="Arial" w:hAnsi="Arial" w:cs="Arial"/>
                <w:color w:val="000000"/>
                <w:sz w:val="22"/>
                <w:szCs w:val="22"/>
              </w:rPr>
              <w:t xml:space="preserve"> par son </w:t>
            </w:r>
            <w:r w:rsidR="002F52AA" w:rsidRPr="00A64175">
              <w:rPr>
                <w:rFonts w:ascii="Arial" w:hAnsi="Arial" w:cs="Arial"/>
                <w:color w:val="000000"/>
                <w:sz w:val="22"/>
                <w:szCs w:val="22"/>
              </w:rPr>
              <w:t xml:space="preserve"> Président dans un procès-verbal</w:t>
            </w:r>
            <w:r w:rsidRPr="00A64175">
              <w:rPr>
                <w:rFonts w:ascii="Arial" w:hAnsi="Arial" w:cs="Arial"/>
                <w:color w:val="000000"/>
                <w:sz w:val="22"/>
                <w:szCs w:val="22"/>
              </w:rPr>
              <w:t>.</w:t>
            </w:r>
          </w:p>
          <w:p w14:paraId="23EE280B"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0282FE19" w14:textId="77777777" w:rsidR="002F52AA" w:rsidRPr="00A64175" w:rsidRDefault="002F52AA" w:rsidP="00A64175">
            <w:pPr>
              <w:jc w:val="both"/>
              <w:rPr>
                <w:rFonts w:ascii="Arial" w:eastAsia="Times New Roman" w:hAnsi="Arial" w:cs="Arial"/>
                <w:color w:val="000000"/>
                <w:shd w:val="clear" w:color="auto" w:fill="FFFFFF"/>
              </w:rPr>
            </w:pPr>
            <w:r w:rsidRPr="00A64175">
              <w:rPr>
                <w:rFonts w:ascii="Arial" w:hAnsi="Arial" w:cs="Arial"/>
                <w:color w:val="000000"/>
              </w:rPr>
              <w:t>La décision de la Commission des sanctions est notifiée au demandeur de la récusation et au membre intéressé. Elle n</w:t>
            </w:r>
            <w:r w:rsidRPr="00A64175">
              <w:rPr>
                <w:rFonts w:ascii="Arial" w:eastAsia="Times New Roman" w:hAnsi="Arial" w:cs="Arial"/>
                <w:color w:val="000000"/>
                <w:shd w:val="clear" w:color="auto" w:fill="FFFFFF"/>
              </w:rPr>
              <w:t>e peut donner lieu à recours qu'avec la décision statuant sur les griefs.</w:t>
            </w:r>
          </w:p>
          <w:p w14:paraId="79AF2D3D" w14:textId="77777777" w:rsidR="00CF69DC" w:rsidRPr="00A64175" w:rsidRDefault="00CF69DC" w:rsidP="00A64175">
            <w:pPr>
              <w:jc w:val="both"/>
              <w:rPr>
                <w:rFonts w:ascii="Arial" w:eastAsia="Times New Roman" w:hAnsi="Arial" w:cs="Arial"/>
              </w:rPr>
            </w:pPr>
          </w:p>
          <w:p w14:paraId="765ABF39"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00F9E8BE" w14:textId="77777777" w:rsidTr="00A902FD">
        <w:tc>
          <w:tcPr>
            <w:tcW w:w="8185" w:type="dxa"/>
            <w:shd w:val="clear" w:color="auto" w:fill="auto"/>
          </w:tcPr>
          <w:p w14:paraId="117CEF6D" w14:textId="77777777" w:rsidR="002F52AA" w:rsidRPr="00A64175" w:rsidRDefault="002F52AA" w:rsidP="00A64175">
            <w:pPr>
              <w:widowControl w:val="0"/>
              <w:autoSpaceDE w:val="0"/>
              <w:adjustRightInd w:val="0"/>
              <w:jc w:val="both"/>
              <w:rPr>
                <w:rFonts w:ascii="Arial" w:hAnsi="Arial" w:cs="Arial"/>
                <w:b/>
                <w:bCs/>
              </w:rPr>
            </w:pPr>
            <w:r w:rsidRPr="00A64175">
              <w:rPr>
                <w:rFonts w:ascii="Arial" w:hAnsi="Arial" w:cs="Arial"/>
                <w:b/>
                <w:bCs/>
              </w:rPr>
              <w:t xml:space="preserve">Section III : Délibération de la Commission des sanctions </w:t>
            </w:r>
          </w:p>
        </w:tc>
      </w:tr>
      <w:tr w:rsidR="002F52AA" w:rsidRPr="00A64175" w14:paraId="14F39FCF" w14:textId="77777777" w:rsidTr="00A902FD">
        <w:tc>
          <w:tcPr>
            <w:tcW w:w="8185" w:type="dxa"/>
          </w:tcPr>
          <w:p w14:paraId="0E6260B9" w14:textId="77777777" w:rsidR="002F52AA" w:rsidRPr="00A64175" w:rsidRDefault="002F52AA" w:rsidP="00A64175">
            <w:pPr>
              <w:widowControl w:val="0"/>
              <w:autoSpaceDE w:val="0"/>
              <w:adjustRightInd w:val="0"/>
              <w:jc w:val="both"/>
              <w:rPr>
                <w:rFonts w:ascii="Arial" w:hAnsi="Arial" w:cs="Arial"/>
                <w:b/>
                <w:bCs/>
              </w:rPr>
            </w:pPr>
          </w:p>
          <w:p w14:paraId="6F254650" w14:textId="7FF1F000" w:rsidR="002F52AA" w:rsidRPr="00A64175" w:rsidRDefault="00994F10" w:rsidP="00A64175">
            <w:pPr>
              <w:widowControl w:val="0"/>
              <w:autoSpaceDE w:val="0"/>
              <w:adjustRightInd w:val="0"/>
              <w:jc w:val="both"/>
              <w:rPr>
                <w:rFonts w:ascii="Arial" w:hAnsi="Arial" w:cs="Arial"/>
                <w:color w:val="000000"/>
              </w:rPr>
            </w:pPr>
            <w:r w:rsidRPr="00A64175">
              <w:rPr>
                <w:rFonts w:ascii="Arial" w:hAnsi="Arial" w:cs="Arial"/>
                <w:b/>
                <w:bCs/>
              </w:rPr>
              <w:t xml:space="preserve">Article </w:t>
            </w:r>
            <w:r w:rsidR="00BB741D">
              <w:rPr>
                <w:rFonts w:ascii="Arial" w:hAnsi="Arial" w:cs="Arial"/>
                <w:b/>
                <w:bCs/>
              </w:rPr>
              <w:t>70</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color w:val="000000"/>
              </w:rPr>
              <w:t>Les séances de la Commission des sanctions sont publiques.</w:t>
            </w:r>
          </w:p>
          <w:p w14:paraId="50676516" w14:textId="77777777" w:rsidR="00CF69DC" w:rsidRPr="00A64175" w:rsidRDefault="00CF69DC" w:rsidP="00A64175">
            <w:pPr>
              <w:widowControl w:val="0"/>
              <w:autoSpaceDE w:val="0"/>
              <w:adjustRightInd w:val="0"/>
              <w:jc w:val="both"/>
              <w:rPr>
                <w:rFonts w:ascii="Arial" w:hAnsi="Arial" w:cs="Arial"/>
                <w:kern w:val="1"/>
              </w:rPr>
            </w:pPr>
          </w:p>
          <w:p w14:paraId="04075DBF" w14:textId="3BA6E75E" w:rsidR="002F52AA" w:rsidRPr="00A64175" w:rsidRDefault="00CF69DC"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Toutefois, d'office ou à la demande d</w:t>
            </w:r>
            <w:r w:rsidR="002F52AA" w:rsidRPr="00A64175">
              <w:rPr>
                <w:rFonts w:ascii="Arial" w:hAnsi="Arial" w:cs="Arial"/>
                <w:color w:val="000000"/>
                <w:sz w:val="22"/>
                <w:szCs w:val="22"/>
              </w:rPr>
              <w:t xml:space="preserve">e </w:t>
            </w:r>
            <w:r w:rsidRPr="00A64175">
              <w:rPr>
                <w:rFonts w:ascii="Arial" w:hAnsi="Arial" w:cs="Arial"/>
                <w:color w:val="000000"/>
                <w:sz w:val="22"/>
                <w:szCs w:val="22"/>
              </w:rPr>
              <w:t>la personne mise en cause, la C</w:t>
            </w:r>
            <w:r w:rsidR="002F52AA" w:rsidRPr="00A64175">
              <w:rPr>
                <w:rFonts w:ascii="Arial" w:hAnsi="Arial" w:cs="Arial"/>
                <w:color w:val="000000"/>
                <w:sz w:val="22"/>
                <w:szCs w:val="22"/>
              </w:rPr>
              <w:t>ommission des sanctions peut interdire l'accès de la salle au public pendant tout ou partie de la séance</w:t>
            </w:r>
            <w:r w:rsidRPr="00A64175">
              <w:rPr>
                <w:rFonts w:ascii="Arial" w:hAnsi="Arial" w:cs="Arial"/>
                <w:color w:val="000000"/>
                <w:sz w:val="22"/>
                <w:szCs w:val="22"/>
              </w:rPr>
              <w:t xml:space="preserve"> pour une raison d'ordre public, de </w:t>
            </w:r>
            <w:r w:rsidR="002F52AA" w:rsidRPr="00A64175">
              <w:rPr>
                <w:rFonts w:ascii="Arial" w:hAnsi="Arial" w:cs="Arial"/>
                <w:color w:val="000000"/>
                <w:sz w:val="22"/>
                <w:szCs w:val="22"/>
              </w:rPr>
              <w:t xml:space="preserve"> sécurité nationale ou lorsqu</w:t>
            </w:r>
            <w:r w:rsidRPr="00A64175">
              <w:rPr>
                <w:rFonts w:ascii="Arial" w:hAnsi="Arial" w:cs="Arial"/>
                <w:color w:val="000000"/>
                <w:sz w:val="22"/>
                <w:szCs w:val="22"/>
              </w:rPr>
              <w:t xml:space="preserve">e la protection du secret des </w:t>
            </w:r>
            <w:r w:rsidR="002F52AA" w:rsidRPr="00A64175">
              <w:rPr>
                <w:rFonts w:ascii="Arial" w:hAnsi="Arial" w:cs="Arial"/>
                <w:color w:val="000000"/>
                <w:sz w:val="22"/>
                <w:szCs w:val="22"/>
              </w:rPr>
              <w:t>affaires ou de tout autre secret protégé par la loi l'exige.</w:t>
            </w:r>
          </w:p>
          <w:p w14:paraId="29A408D5"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3A5A42B5" w14:textId="77777777" w:rsidTr="00A902FD">
        <w:tc>
          <w:tcPr>
            <w:tcW w:w="8185" w:type="dxa"/>
          </w:tcPr>
          <w:p w14:paraId="6146862A" w14:textId="7F912E67" w:rsidR="002F52AA" w:rsidRPr="00A64175" w:rsidRDefault="00994F10" w:rsidP="00A64175">
            <w:pPr>
              <w:widowControl w:val="0"/>
              <w:autoSpaceDE w:val="0"/>
              <w:adjustRightInd w:val="0"/>
              <w:jc w:val="both"/>
              <w:rPr>
                <w:rFonts w:ascii="Arial" w:hAnsi="Arial" w:cs="Arial"/>
              </w:rPr>
            </w:pPr>
            <w:r w:rsidRPr="00A64175">
              <w:rPr>
                <w:rFonts w:ascii="Arial" w:hAnsi="Arial" w:cs="Arial"/>
                <w:b/>
                <w:bCs/>
              </w:rPr>
              <w:t xml:space="preserve">Article </w:t>
            </w:r>
            <w:r w:rsidR="004C7499">
              <w:rPr>
                <w:rFonts w:ascii="Arial" w:hAnsi="Arial" w:cs="Arial"/>
                <w:b/>
                <w:bCs/>
                <w:color w:val="000000"/>
              </w:rPr>
              <w:t>7</w:t>
            </w:r>
            <w:r w:rsidR="00BB1AFC">
              <w:rPr>
                <w:rFonts w:ascii="Arial" w:hAnsi="Arial" w:cs="Arial"/>
                <w:b/>
                <w:bCs/>
                <w:color w:val="000000"/>
              </w:rPr>
              <w:t>1</w:t>
            </w:r>
            <w:r w:rsidRPr="00A64175">
              <w:rPr>
                <w:rFonts w:ascii="Arial" w:hAnsi="Arial" w:cs="Arial"/>
                <w:b/>
                <w:bCs/>
                <w:color w:val="000000"/>
              </w:rPr>
              <w:t xml:space="preserve"> </w:t>
            </w:r>
            <w:r w:rsidR="002F52AA" w:rsidRPr="00A64175">
              <w:rPr>
                <w:rFonts w:ascii="Arial" w:hAnsi="Arial" w:cs="Arial"/>
                <w:b/>
                <w:bCs/>
                <w:color w:val="000000"/>
              </w:rPr>
              <w:t xml:space="preserve">– </w:t>
            </w:r>
            <w:r w:rsidR="002F52AA" w:rsidRPr="00A64175">
              <w:rPr>
                <w:rFonts w:ascii="Arial" w:eastAsia="Times New Roman" w:hAnsi="Arial" w:cs="Arial"/>
                <w:color w:val="000000"/>
                <w:shd w:val="clear" w:color="auto" w:fill="FFFFFF"/>
              </w:rPr>
              <w:t xml:space="preserve">La Commission des sanctions statue par décision motivée </w:t>
            </w:r>
            <w:r w:rsidR="002F52AA" w:rsidRPr="00A64175">
              <w:rPr>
                <w:rFonts w:ascii="Arial" w:hAnsi="Arial" w:cs="Arial"/>
                <w:bCs/>
                <w:color w:val="000000"/>
              </w:rPr>
              <w:t xml:space="preserve">sur la base des éléments qui lui ont été valablement communiqués. </w:t>
            </w:r>
            <w:r w:rsidR="002F52AA" w:rsidRPr="00A64175">
              <w:rPr>
                <w:rFonts w:ascii="Arial" w:hAnsi="Arial" w:cs="Arial"/>
              </w:rPr>
              <w:t xml:space="preserve">Elle peut suspendre la procédure et ordonner un complément d’informations lorsqu’elle s’estime insuffisamment éclairée. </w:t>
            </w:r>
          </w:p>
          <w:p w14:paraId="6995DB69" w14:textId="77777777" w:rsidR="002F52AA" w:rsidRPr="00A64175" w:rsidRDefault="002F52AA" w:rsidP="00A64175">
            <w:pPr>
              <w:widowControl w:val="0"/>
              <w:autoSpaceDE w:val="0"/>
              <w:adjustRightInd w:val="0"/>
              <w:jc w:val="both"/>
              <w:rPr>
                <w:rFonts w:ascii="Arial" w:hAnsi="Arial" w:cs="Arial"/>
                <w:bCs/>
                <w:color w:val="000000"/>
              </w:rPr>
            </w:pPr>
          </w:p>
          <w:p w14:paraId="350F4966" w14:textId="2AEE5B31" w:rsidR="002F52AA" w:rsidRPr="00A64175" w:rsidRDefault="003C1745" w:rsidP="00A64175">
            <w:pPr>
              <w:widowControl w:val="0"/>
              <w:autoSpaceDE w:val="0"/>
              <w:adjustRightInd w:val="0"/>
              <w:jc w:val="both"/>
              <w:rPr>
                <w:rFonts w:ascii="Arial" w:eastAsia="Times New Roman" w:hAnsi="Arial" w:cs="Arial"/>
                <w:color w:val="000000"/>
                <w:shd w:val="clear" w:color="auto" w:fill="FFFFFF"/>
              </w:rPr>
            </w:pPr>
            <w:r w:rsidRPr="00A64175">
              <w:rPr>
                <w:rFonts w:ascii="Arial" w:hAnsi="Arial" w:cs="Arial"/>
                <w:bCs/>
                <w:color w:val="000000"/>
              </w:rPr>
              <w:t>La Commission des sanctions</w:t>
            </w:r>
            <w:r w:rsidR="002F52AA" w:rsidRPr="00A64175">
              <w:rPr>
                <w:rFonts w:ascii="Arial" w:hAnsi="Arial" w:cs="Arial"/>
                <w:bCs/>
                <w:color w:val="000000"/>
              </w:rPr>
              <w:t xml:space="preserve"> statue en</w:t>
            </w:r>
            <w:r w:rsidR="002F52AA" w:rsidRPr="00A64175">
              <w:rPr>
                <w:rFonts w:ascii="Arial" w:eastAsia="Times New Roman" w:hAnsi="Arial" w:cs="Arial"/>
                <w:color w:val="000000"/>
                <w:shd w:val="clear" w:color="auto" w:fill="FFFFFF"/>
              </w:rPr>
              <w:t xml:space="preserve"> présence d’un agent des services de la COSUMAF fa</w:t>
            </w:r>
            <w:r w:rsidRPr="00A64175">
              <w:rPr>
                <w:rFonts w:ascii="Arial" w:eastAsia="Times New Roman" w:hAnsi="Arial" w:cs="Arial"/>
                <w:color w:val="000000"/>
                <w:shd w:val="clear" w:color="auto" w:fill="FFFFFF"/>
              </w:rPr>
              <w:t>isant office de secrétaire de</w:t>
            </w:r>
            <w:r w:rsidR="002F52AA" w:rsidRPr="00A64175">
              <w:rPr>
                <w:rFonts w:ascii="Arial" w:eastAsia="Times New Roman" w:hAnsi="Arial" w:cs="Arial"/>
                <w:color w:val="000000"/>
                <w:shd w:val="clear" w:color="auto" w:fill="FFFFFF"/>
              </w:rPr>
              <w:t xml:space="preserve"> séance. Le rapporteur ne </w:t>
            </w:r>
            <w:r w:rsidRPr="00A64175">
              <w:rPr>
                <w:rFonts w:ascii="Arial" w:eastAsia="Times New Roman" w:hAnsi="Arial" w:cs="Arial"/>
                <w:color w:val="000000"/>
                <w:shd w:val="clear" w:color="auto" w:fill="FFFFFF"/>
              </w:rPr>
              <w:t>prend part ni aux délibérations, ni au prononcé</w:t>
            </w:r>
            <w:r w:rsidR="002F52AA" w:rsidRPr="00A64175">
              <w:rPr>
                <w:rFonts w:ascii="Arial" w:eastAsia="Times New Roman" w:hAnsi="Arial" w:cs="Arial"/>
                <w:color w:val="000000"/>
                <w:shd w:val="clear" w:color="auto" w:fill="FFFFFF"/>
              </w:rPr>
              <w:t xml:space="preserve"> de la décision de la Commission.</w:t>
            </w:r>
          </w:p>
          <w:p w14:paraId="267FAA5E" w14:textId="77777777" w:rsidR="002F52AA" w:rsidRPr="00A64175" w:rsidRDefault="002F52AA" w:rsidP="00A64175">
            <w:pPr>
              <w:widowControl w:val="0"/>
              <w:autoSpaceDE w:val="0"/>
              <w:adjustRightInd w:val="0"/>
              <w:jc w:val="both"/>
              <w:rPr>
                <w:rFonts w:ascii="Arial" w:eastAsia="Times New Roman" w:hAnsi="Arial" w:cs="Arial"/>
                <w:color w:val="000000"/>
                <w:shd w:val="clear" w:color="auto" w:fill="FFFFFF"/>
              </w:rPr>
            </w:pPr>
          </w:p>
          <w:p w14:paraId="0AB7A999" w14:textId="77777777" w:rsidR="002F52AA" w:rsidRPr="00A64175" w:rsidRDefault="002F52AA" w:rsidP="00A64175">
            <w:pPr>
              <w:widowControl w:val="0"/>
              <w:autoSpaceDE w:val="0"/>
              <w:adjustRightInd w:val="0"/>
              <w:jc w:val="both"/>
              <w:rPr>
                <w:rFonts w:ascii="Arial" w:hAnsi="Arial" w:cs="Arial"/>
                <w:kern w:val="1"/>
              </w:rPr>
            </w:pPr>
            <w:r w:rsidRPr="00A64175">
              <w:rPr>
                <w:rFonts w:ascii="Arial" w:eastAsia="Times New Roman" w:hAnsi="Arial" w:cs="Arial"/>
                <w:color w:val="000000"/>
                <w:shd w:val="clear" w:color="auto" w:fill="FFFFFF"/>
              </w:rPr>
              <w:t>Aucune sanction ne peut être prononcée sans que la personne mise en cause ou son représentant ait été entendu ou, à défaut, dûment appelé.</w:t>
            </w:r>
          </w:p>
          <w:p w14:paraId="42F21711" w14:textId="77777777" w:rsidR="002F52AA" w:rsidRPr="00A64175" w:rsidRDefault="002F52AA" w:rsidP="00A64175">
            <w:pPr>
              <w:jc w:val="both"/>
              <w:rPr>
                <w:rFonts w:ascii="Arial" w:eastAsia="Times New Roman" w:hAnsi="Arial" w:cs="Arial"/>
                <w:color w:val="000000"/>
                <w:shd w:val="clear" w:color="auto" w:fill="FFFFFF"/>
              </w:rPr>
            </w:pPr>
          </w:p>
          <w:p w14:paraId="5C6BC1C3" w14:textId="152D2C7D" w:rsidR="002F52AA" w:rsidRPr="00A64175" w:rsidRDefault="002F52AA" w:rsidP="00A64175">
            <w:pPr>
              <w:jc w:val="both"/>
              <w:rPr>
                <w:rFonts w:ascii="Arial" w:hAnsi="Arial" w:cs="Arial"/>
                <w:color w:val="000000"/>
              </w:rPr>
            </w:pPr>
            <w:r w:rsidRPr="00A64175">
              <w:rPr>
                <w:rFonts w:ascii="Arial" w:hAnsi="Arial" w:cs="Arial"/>
                <w:color w:val="000000"/>
              </w:rPr>
              <w:t xml:space="preserve">Les décisions sont prises à la majorité des voix exprimées. </w:t>
            </w:r>
          </w:p>
          <w:p w14:paraId="58AB2FEB"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179332C6" w14:textId="77777777" w:rsidTr="00A902FD">
        <w:tc>
          <w:tcPr>
            <w:tcW w:w="8185" w:type="dxa"/>
            <w:shd w:val="clear" w:color="auto" w:fill="auto"/>
          </w:tcPr>
          <w:p w14:paraId="33BDE8A8" w14:textId="77777777" w:rsidR="002F52AA" w:rsidRPr="00A64175" w:rsidRDefault="002F52AA" w:rsidP="00A64175">
            <w:pPr>
              <w:widowControl w:val="0"/>
              <w:autoSpaceDE w:val="0"/>
              <w:adjustRightInd w:val="0"/>
              <w:jc w:val="both"/>
              <w:rPr>
                <w:rFonts w:ascii="Arial" w:hAnsi="Arial" w:cs="Arial"/>
                <w:b/>
                <w:bCs/>
              </w:rPr>
            </w:pPr>
            <w:r w:rsidRPr="00A64175">
              <w:rPr>
                <w:rFonts w:ascii="Arial" w:hAnsi="Arial" w:cs="Arial"/>
                <w:b/>
                <w:color w:val="000000"/>
              </w:rPr>
              <w:t>Section IV : Mise en œuvre de la sanction</w:t>
            </w:r>
          </w:p>
        </w:tc>
      </w:tr>
      <w:tr w:rsidR="002F52AA" w:rsidRPr="00A64175" w14:paraId="0E631598" w14:textId="77777777" w:rsidTr="00A902FD">
        <w:tc>
          <w:tcPr>
            <w:tcW w:w="8185" w:type="dxa"/>
          </w:tcPr>
          <w:p w14:paraId="050FA32F" w14:textId="77777777" w:rsidR="002F52AA" w:rsidRPr="00A64175" w:rsidRDefault="002F52AA" w:rsidP="00A64175">
            <w:pPr>
              <w:widowControl w:val="0"/>
              <w:autoSpaceDE w:val="0"/>
              <w:adjustRightInd w:val="0"/>
              <w:jc w:val="both"/>
              <w:rPr>
                <w:rFonts w:ascii="Arial" w:hAnsi="Arial" w:cs="Arial"/>
                <w:b/>
                <w:bCs/>
              </w:rPr>
            </w:pPr>
          </w:p>
          <w:p w14:paraId="43F3FFF7" w14:textId="7FAE0FBD" w:rsidR="002F52AA" w:rsidRPr="00A64175" w:rsidRDefault="00994F10" w:rsidP="00A64175">
            <w:pPr>
              <w:widowControl w:val="0"/>
              <w:autoSpaceDE w:val="0"/>
              <w:adjustRightInd w:val="0"/>
              <w:jc w:val="both"/>
              <w:rPr>
                <w:rFonts w:ascii="Arial" w:hAnsi="Arial" w:cs="Arial"/>
                <w:color w:val="000000"/>
              </w:rPr>
            </w:pPr>
            <w:r w:rsidRPr="00A64175">
              <w:rPr>
                <w:rFonts w:ascii="Arial" w:hAnsi="Arial" w:cs="Arial"/>
                <w:b/>
                <w:bCs/>
              </w:rPr>
              <w:t xml:space="preserve">Article </w:t>
            </w:r>
            <w:r w:rsidR="004C7499">
              <w:rPr>
                <w:rFonts w:ascii="Arial" w:hAnsi="Arial" w:cs="Arial"/>
                <w:b/>
                <w:bCs/>
              </w:rPr>
              <w:t>7</w:t>
            </w:r>
            <w:r w:rsidR="00BB1AFC">
              <w:rPr>
                <w:rFonts w:ascii="Arial" w:hAnsi="Arial" w:cs="Arial"/>
                <w:b/>
                <w:bCs/>
              </w:rPr>
              <w:t>2</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color w:val="000000"/>
              </w:rPr>
              <w:t>Dans la mise en œuvre des sanctions, il est tenu compte notamment :</w:t>
            </w:r>
          </w:p>
          <w:p w14:paraId="02AF81EC" w14:textId="77777777" w:rsidR="002F52AA" w:rsidRPr="00A64175" w:rsidRDefault="002F52AA" w:rsidP="00A64175">
            <w:pPr>
              <w:widowControl w:val="0"/>
              <w:autoSpaceDE w:val="0"/>
              <w:adjustRightInd w:val="0"/>
              <w:jc w:val="both"/>
              <w:rPr>
                <w:rFonts w:ascii="Arial" w:hAnsi="Arial" w:cs="Arial"/>
                <w:kern w:val="1"/>
              </w:rPr>
            </w:pPr>
          </w:p>
          <w:p w14:paraId="2217F063" w14:textId="6D741D0C"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e la gravité et de la durée du manquement ;</w:t>
            </w:r>
          </w:p>
          <w:p w14:paraId="0B6DBB8B" w14:textId="3E7B17CA"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e la qualité et du degré d'implication de la personne</w:t>
            </w:r>
            <w:r w:rsidRPr="00A64175">
              <w:rPr>
                <w:rFonts w:ascii="Arial" w:hAnsi="Arial" w:cs="Arial"/>
                <w:color w:val="000000"/>
                <w:sz w:val="22"/>
                <w:szCs w:val="22"/>
              </w:rPr>
              <w:t xml:space="preserve"> mise</w:t>
            </w:r>
            <w:r w:rsidR="002F52AA" w:rsidRPr="00A64175">
              <w:rPr>
                <w:rFonts w:ascii="Arial" w:hAnsi="Arial" w:cs="Arial"/>
                <w:color w:val="000000"/>
                <w:sz w:val="22"/>
                <w:szCs w:val="22"/>
              </w:rPr>
              <w:t xml:space="preserve"> en cause</w:t>
            </w:r>
            <w:r w:rsidRPr="00A64175">
              <w:rPr>
                <w:rFonts w:ascii="Arial" w:hAnsi="Arial" w:cs="Arial"/>
                <w:color w:val="000000"/>
                <w:sz w:val="22"/>
                <w:szCs w:val="22"/>
              </w:rPr>
              <w:t> ;</w:t>
            </w:r>
          </w:p>
          <w:p w14:paraId="0BC0891C" w14:textId="194060C3"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 xml:space="preserve">e la situation et de la capacité financières de la personne </w:t>
            </w:r>
            <w:r w:rsidRPr="00A64175">
              <w:rPr>
                <w:rFonts w:ascii="Arial" w:hAnsi="Arial" w:cs="Arial"/>
                <w:color w:val="000000"/>
                <w:sz w:val="22"/>
                <w:szCs w:val="22"/>
              </w:rPr>
              <w:t xml:space="preserve">mise </w:t>
            </w:r>
            <w:r w:rsidR="002F52AA" w:rsidRPr="00A64175">
              <w:rPr>
                <w:rFonts w:ascii="Arial" w:hAnsi="Arial" w:cs="Arial"/>
                <w:color w:val="000000"/>
                <w:sz w:val="22"/>
                <w:szCs w:val="22"/>
              </w:rPr>
              <w:t>en cause, au vu notamment de son patrimoine et, s'agissant d'une personne physique de ses revenus annuels, s'agissant d'une personne morale de son chiffre d'affaires total ;</w:t>
            </w:r>
          </w:p>
          <w:p w14:paraId="7458A0D4" w14:textId="55CCDF6C"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 xml:space="preserve">e l'importance soit des gains ou avantages obtenus, soit des pertes ou coûts évités par la personne </w:t>
            </w:r>
            <w:r w:rsidRPr="00A64175">
              <w:rPr>
                <w:rFonts w:ascii="Arial" w:hAnsi="Arial" w:cs="Arial"/>
                <w:color w:val="000000"/>
                <w:sz w:val="22"/>
                <w:szCs w:val="22"/>
              </w:rPr>
              <w:t xml:space="preserve">mise </w:t>
            </w:r>
            <w:r w:rsidR="002F52AA" w:rsidRPr="00A64175">
              <w:rPr>
                <w:rFonts w:ascii="Arial" w:hAnsi="Arial" w:cs="Arial"/>
                <w:color w:val="000000"/>
                <w:sz w:val="22"/>
                <w:szCs w:val="22"/>
              </w:rPr>
              <w:t>en cause, dans la mesure où ils peuvent être déterminés ;</w:t>
            </w:r>
          </w:p>
          <w:p w14:paraId="071EE4EC" w14:textId="59CAF633"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es pertes subies par des tiers du fait du manquement, dans la mesure où elles peuvent être déterminées ;</w:t>
            </w:r>
          </w:p>
          <w:p w14:paraId="4740E79C" w14:textId="7E9364E2"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u degré de coopération</w:t>
            </w:r>
            <w:r w:rsidRPr="00A64175">
              <w:rPr>
                <w:rFonts w:ascii="Arial" w:hAnsi="Arial" w:cs="Arial"/>
                <w:color w:val="000000"/>
                <w:sz w:val="22"/>
                <w:szCs w:val="22"/>
              </w:rPr>
              <w:t xml:space="preserve"> de la personne mise en cause</w:t>
            </w:r>
            <w:r w:rsidR="002F52AA" w:rsidRPr="00A64175">
              <w:rPr>
                <w:rFonts w:ascii="Arial" w:hAnsi="Arial" w:cs="Arial"/>
                <w:color w:val="000000"/>
                <w:sz w:val="22"/>
                <w:szCs w:val="22"/>
              </w:rPr>
              <w:t xml:space="preserve"> avec la COSUMAF, sans préjudice de la nécessité de veiller à la restitution de l'avantage retiré par cette personne ;</w:t>
            </w:r>
          </w:p>
          <w:p w14:paraId="20021627" w14:textId="77923AEB" w:rsidR="002F52AA" w:rsidRPr="00A64175" w:rsidRDefault="003C1745" w:rsidP="00A64175">
            <w:pPr>
              <w:pStyle w:val="NormalWeb"/>
              <w:numPr>
                <w:ilvl w:val="0"/>
                <w:numId w:val="23"/>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es manquements commis précédemment par la personne</w:t>
            </w:r>
            <w:r w:rsidRPr="00A64175">
              <w:rPr>
                <w:rFonts w:ascii="Arial" w:hAnsi="Arial" w:cs="Arial"/>
                <w:color w:val="000000"/>
                <w:sz w:val="22"/>
                <w:szCs w:val="22"/>
              </w:rPr>
              <w:t xml:space="preserve"> mise</w:t>
            </w:r>
            <w:r w:rsidR="002F52AA" w:rsidRPr="00A64175">
              <w:rPr>
                <w:rFonts w:ascii="Arial" w:hAnsi="Arial" w:cs="Arial"/>
                <w:color w:val="000000"/>
                <w:sz w:val="22"/>
                <w:szCs w:val="22"/>
              </w:rPr>
              <w:t xml:space="preserve"> en cause ;</w:t>
            </w:r>
          </w:p>
          <w:p w14:paraId="0B189EC7" w14:textId="3FEB3D49" w:rsidR="002F52AA" w:rsidRPr="00A64175" w:rsidRDefault="003C1745" w:rsidP="00A64175">
            <w:pPr>
              <w:pStyle w:val="NormalWeb"/>
              <w:numPr>
                <w:ilvl w:val="0"/>
                <w:numId w:val="23"/>
              </w:numPr>
              <w:spacing w:before="0" w:beforeAutospacing="0" w:after="0" w:afterAutospacing="0"/>
              <w:jc w:val="both"/>
              <w:rPr>
                <w:rFonts w:ascii="Arial" w:hAnsi="Arial" w:cs="Arial"/>
                <w:kern w:val="1"/>
                <w:sz w:val="22"/>
                <w:szCs w:val="22"/>
              </w:rPr>
            </w:pPr>
            <w:r w:rsidRPr="00A64175">
              <w:rPr>
                <w:rFonts w:ascii="Arial" w:hAnsi="Arial" w:cs="Arial"/>
                <w:color w:val="000000"/>
                <w:sz w:val="22"/>
                <w:szCs w:val="22"/>
              </w:rPr>
              <w:t>d</w:t>
            </w:r>
            <w:r w:rsidR="002F52AA" w:rsidRPr="00A64175">
              <w:rPr>
                <w:rFonts w:ascii="Arial" w:hAnsi="Arial" w:cs="Arial"/>
                <w:color w:val="000000"/>
                <w:sz w:val="22"/>
                <w:szCs w:val="22"/>
              </w:rPr>
              <w:t>e toute circonstance propre à la personne</w:t>
            </w:r>
            <w:r w:rsidRPr="00A64175">
              <w:rPr>
                <w:rFonts w:ascii="Arial" w:hAnsi="Arial" w:cs="Arial"/>
                <w:color w:val="000000"/>
                <w:sz w:val="22"/>
                <w:szCs w:val="22"/>
              </w:rPr>
              <w:t xml:space="preserve"> mise</w:t>
            </w:r>
            <w:r w:rsidR="002F52AA" w:rsidRPr="00A64175">
              <w:rPr>
                <w:rFonts w:ascii="Arial" w:hAnsi="Arial" w:cs="Arial"/>
                <w:color w:val="000000"/>
                <w:sz w:val="22"/>
                <w:szCs w:val="22"/>
              </w:rPr>
              <w:t xml:space="preserve"> en cause, notamment des mesures prises par elle pour remédier aux dysfonctionnements constatés, provoqués par le manquement qui lui est imputable et le cas échéant pour réparer les préjudices causés aux tiers, ainsi que pour éviter toute réitération du manquement.</w:t>
            </w:r>
          </w:p>
          <w:p w14:paraId="4A8FEC25"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4431DF42" w14:textId="77777777" w:rsidTr="00A902FD">
        <w:tc>
          <w:tcPr>
            <w:tcW w:w="8185" w:type="dxa"/>
          </w:tcPr>
          <w:p w14:paraId="0A402D02" w14:textId="539EBC45" w:rsidR="002F52AA" w:rsidRPr="00A64175" w:rsidRDefault="00994F10" w:rsidP="00A64175">
            <w:pPr>
              <w:widowControl w:val="0"/>
              <w:autoSpaceDE w:val="0"/>
              <w:adjustRightInd w:val="0"/>
              <w:jc w:val="both"/>
              <w:rPr>
                <w:rFonts w:ascii="Arial" w:hAnsi="Arial" w:cs="Arial"/>
                <w:kern w:val="1"/>
              </w:rPr>
            </w:pPr>
            <w:r w:rsidRPr="00A64175">
              <w:rPr>
                <w:rFonts w:ascii="Arial" w:hAnsi="Arial" w:cs="Arial"/>
                <w:b/>
                <w:bCs/>
              </w:rPr>
              <w:t xml:space="preserve">Article </w:t>
            </w:r>
            <w:r w:rsidR="004C7499">
              <w:rPr>
                <w:rFonts w:ascii="Arial" w:hAnsi="Arial" w:cs="Arial"/>
                <w:b/>
                <w:bCs/>
              </w:rPr>
              <w:t>7</w:t>
            </w:r>
            <w:r w:rsidR="00BB1AFC">
              <w:rPr>
                <w:rFonts w:ascii="Arial" w:hAnsi="Arial" w:cs="Arial"/>
                <w:b/>
                <w:bCs/>
              </w:rPr>
              <w:t>3</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rPr>
              <w:t xml:space="preserve">Les délibérations font l’objet d’un procès-verbal signé par le Président de la Commission des </w:t>
            </w:r>
            <w:r w:rsidR="003C1745" w:rsidRPr="00A64175">
              <w:rPr>
                <w:rFonts w:ascii="Arial" w:hAnsi="Arial" w:cs="Arial"/>
              </w:rPr>
              <w:t xml:space="preserve">sanctions et le secrétaire de </w:t>
            </w:r>
            <w:r w:rsidR="002F52AA" w:rsidRPr="00A64175">
              <w:rPr>
                <w:rFonts w:ascii="Arial" w:hAnsi="Arial" w:cs="Arial"/>
              </w:rPr>
              <w:t xml:space="preserve"> séance.</w:t>
            </w:r>
          </w:p>
          <w:p w14:paraId="5B0B4F76" w14:textId="77777777" w:rsidR="002F52AA" w:rsidRPr="00A64175" w:rsidRDefault="002F52AA" w:rsidP="00A64175">
            <w:pPr>
              <w:widowControl w:val="0"/>
              <w:autoSpaceDE w:val="0"/>
              <w:adjustRightInd w:val="0"/>
              <w:jc w:val="both"/>
              <w:rPr>
                <w:rFonts w:ascii="Arial" w:hAnsi="Arial" w:cs="Arial"/>
                <w:kern w:val="1"/>
              </w:rPr>
            </w:pPr>
          </w:p>
          <w:p w14:paraId="5BF44260" w14:textId="600EEDFE" w:rsidR="002F52AA" w:rsidRPr="00A64175" w:rsidRDefault="002F52AA" w:rsidP="00A64175">
            <w:pPr>
              <w:widowControl w:val="0"/>
              <w:autoSpaceDE w:val="0"/>
              <w:adjustRightInd w:val="0"/>
              <w:jc w:val="both"/>
              <w:rPr>
                <w:rFonts w:ascii="Arial" w:hAnsi="Arial" w:cs="Arial"/>
                <w:kern w:val="1"/>
              </w:rPr>
            </w:pPr>
            <w:r w:rsidRPr="00A64175">
              <w:rPr>
                <w:rFonts w:ascii="Arial" w:hAnsi="Arial" w:cs="Arial"/>
              </w:rPr>
              <w:t>La décision de sanction mentionne les noms des membres de la Commission des sanctions qui ont statué. Elle est</w:t>
            </w:r>
            <w:r w:rsidR="00F34491" w:rsidRPr="00A64175">
              <w:rPr>
                <w:rFonts w:ascii="Arial" w:hAnsi="Arial" w:cs="Arial"/>
              </w:rPr>
              <w:t xml:space="preserve"> </w:t>
            </w:r>
            <w:r w:rsidR="00CA1B78" w:rsidRPr="00A64175">
              <w:rPr>
                <w:rFonts w:ascii="Arial" w:hAnsi="Arial" w:cs="Arial"/>
              </w:rPr>
              <w:t>signée</w:t>
            </w:r>
            <w:r w:rsidR="00F34491" w:rsidRPr="00A64175">
              <w:rPr>
                <w:rFonts w:ascii="Arial" w:hAnsi="Arial" w:cs="Arial"/>
              </w:rPr>
              <w:t xml:space="preserve"> par le</w:t>
            </w:r>
            <w:r w:rsidRPr="00A64175">
              <w:rPr>
                <w:rFonts w:ascii="Arial" w:hAnsi="Arial" w:cs="Arial"/>
              </w:rPr>
              <w:t xml:space="preserve"> Président de la</w:t>
            </w:r>
            <w:r w:rsidR="00F34491" w:rsidRPr="00A64175">
              <w:rPr>
                <w:rFonts w:ascii="Arial" w:hAnsi="Arial" w:cs="Arial"/>
              </w:rPr>
              <w:t xml:space="preserve"> Commission des sanctions</w:t>
            </w:r>
            <w:r w:rsidRPr="00A64175">
              <w:rPr>
                <w:rFonts w:ascii="Arial" w:hAnsi="Arial" w:cs="Arial"/>
              </w:rPr>
              <w:t xml:space="preserve"> et notifiée aux parties par lettre recommandée avec demande d’avis de réception, ou remise en main propre contre récépissé ou signifiée par acte d’huissier de justice.</w:t>
            </w:r>
          </w:p>
          <w:p w14:paraId="44A334EA"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0FE36A3F" w14:textId="77777777" w:rsidTr="00A902FD">
        <w:tc>
          <w:tcPr>
            <w:tcW w:w="8185" w:type="dxa"/>
          </w:tcPr>
          <w:p w14:paraId="484EB02E" w14:textId="0BA99197" w:rsidR="002F52AA" w:rsidRPr="00A64175" w:rsidRDefault="00994F10" w:rsidP="00A64175">
            <w:pPr>
              <w:widowControl w:val="0"/>
              <w:autoSpaceDE w:val="0"/>
              <w:adjustRightInd w:val="0"/>
              <w:jc w:val="both"/>
              <w:rPr>
                <w:rFonts w:ascii="Arial" w:hAnsi="Arial" w:cs="Arial"/>
                <w:kern w:val="1"/>
              </w:rPr>
            </w:pPr>
            <w:r w:rsidRPr="00A64175">
              <w:rPr>
                <w:rFonts w:ascii="Arial" w:hAnsi="Arial" w:cs="Arial"/>
                <w:b/>
                <w:bCs/>
              </w:rPr>
              <w:t xml:space="preserve">Article </w:t>
            </w:r>
            <w:r w:rsidR="004C7499">
              <w:rPr>
                <w:rFonts w:ascii="Arial" w:hAnsi="Arial" w:cs="Arial"/>
                <w:b/>
                <w:bCs/>
              </w:rPr>
              <w:t>7</w:t>
            </w:r>
            <w:r w:rsidR="00BB1AFC">
              <w:rPr>
                <w:rFonts w:ascii="Arial" w:hAnsi="Arial" w:cs="Arial"/>
                <w:b/>
                <w:bCs/>
              </w:rPr>
              <w:t>4</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rPr>
              <w:t xml:space="preserve">Lorsqu’ une décision de sanction concerne un établissement de crédit,  </w:t>
            </w:r>
            <w:r w:rsidR="00245918">
              <w:rPr>
                <w:rFonts w:ascii="Arial" w:hAnsi="Arial" w:cs="Arial"/>
              </w:rPr>
              <w:t xml:space="preserve">elle </w:t>
            </w:r>
            <w:r w:rsidR="002F52AA" w:rsidRPr="00A64175">
              <w:rPr>
                <w:rFonts w:ascii="Arial" w:hAnsi="Arial" w:cs="Arial"/>
              </w:rPr>
              <w:t>est communiquée à la Commission Bancaire de l’Afrique Centrale.</w:t>
            </w:r>
          </w:p>
          <w:p w14:paraId="0DC9C050" w14:textId="77777777" w:rsidR="002F52AA" w:rsidRPr="00A64175" w:rsidRDefault="002F52AA" w:rsidP="00A64175">
            <w:pPr>
              <w:widowControl w:val="0"/>
              <w:autoSpaceDE w:val="0"/>
              <w:adjustRightInd w:val="0"/>
              <w:jc w:val="both"/>
              <w:rPr>
                <w:rFonts w:ascii="Arial" w:hAnsi="Arial" w:cs="Arial"/>
                <w:b/>
                <w:bCs/>
              </w:rPr>
            </w:pPr>
          </w:p>
        </w:tc>
      </w:tr>
      <w:tr w:rsidR="002F52AA" w:rsidRPr="00A64175" w14:paraId="538870D3" w14:textId="77777777" w:rsidTr="00A902FD">
        <w:tc>
          <w:tcPr>
            <w:tcW w:w="8185" w:type="dxa"/>
          </w:tcPr>
          <w:p w14:paraId="226FBAAC" w14:textId="0342FE43" w:rsidR="002F52AA" w:rsidRPr="00A64175" w:rsidRDefault="00994F10" w:rsidP="00A64175">
            <w:pPr>
              <w:widowControl w:val="0"/>
              <w:autoSpaceDE w:val="0"/>
              <w:adjustRightInd w:val="0"/>
              <w:jc w:val="both"/>
              <w:rPr>
                <w:rFonts w:ascii="Arial" w:hAnsi="Arial" w:cs="Arial"/>
                <w:color w:val="000000"/>
              </w:rPr>
            </w:pPr>
            <w:r w:rsidRPr="00A64175">
              <w:rPr>
                <w:rFonts w:ascii="Arial" w:hAnsi="Arial" w:cs="Arial"/>
                <w:b/>
                <w:bCs/>
              </w:rPr>
              <w:t>Article 7</w:t>
            </w:r>
            <w:r w:rsidR="00BB1AFC">
              <w:rPr>
                <w:rFonts w:ascii="Arial" w:hAnsi="Arial" w:cs="Arial"/>
                <w:b/>
                <w:bCs/>
              </w:rPr>
              <w:t>5</w:t>
            </w:r>
            <w:r w:rsidRPr="00A64175">
              <w:rPr>
                <w:rFonts w:ascii="Arial" w:hAnsi="Arial" w:cs="Arial"/>
                <w:b/>
                <w:bCs/>
              </w:rPr>
              <w:t xml:space="preserve"> </w:t>
            </w:r>
            <w:r w:rsidR="002F52AA" w:rsidRPr="00A64175">
              <w:rPr>
                <w:rFonts w:ascii="Arial" w:hAnsi="Arial" w:cs="Arial"/>
                <w:b/>
                <w:bCs/>
                <w:color w:val="000000"/>
              </w:rPr>
              <w:t xml:space="preserve">– </w:t>
            </w:r>
            <w:r w:rsidR="002F52AA" w:rsidRPr="00A64175">
              <w:rPr>
                <w:rFonts w:ascii="Arial" w:hAnsi="Arial" w:cs="Arial"/>
                <w:color w:val="000000"/>
              </w:rPr>
              <w:t xml:space="preserve">La décision de la Commission des sanctions est rendue publique dans </w:t>
            </w:r>
            <w:r w:rsidR="00F34491" w:rsidRPr="00A64175">
              <w:rPr>
                <w:rFonts w:ascii="Arial" w:hAnsi="Arial" w:cs="Arial"/>
                <w:color w:val="000000"/>
              </w:rPr>
              <w:t>un délai de cinq (5) jours ouvré</w:t>
            </w:r>
            <w:r w:rsidR="002F52AA" w:rsidRPr="00A64175">
              <w:rPr>
                <w:rFonts w:ascii="Arial" w:hAnsi="Arial" w:cs="Arial"/>
                <w:color w:val="000000"/>
              </w:rPr>
              <w:t>s, sur le site</w:t>
            </w:r>
            <w:r w:rsidR="00F34491" w:rsidRPr="00A64175">
              <w:rPr>
                <w:rFonts w:ascii="Arial" w:hAnsi="Arial" w:cs="Arial"/>
                <w:color w:val="000000"/>
              </w:rPr>
              <w:t xml:space="preserve"> internet </w:t>
            </w:r>
            <w:r w:rsidR="002F52AA" w:rsidRPr="00A64175">
              <w:rPr>
                <w:rFonts w:ascii="Arial" w:hAnsi="Arial" w:cs="Arial"/>
                <w:color w:val="000000"/>
              </w:rPr>
              <w:t xml:space="preserve"> de la COSUMAF et</w:t>
            </w:r>
            <w:r w:rsidR="00F34491" w:rsidRPr="00A64175">
              <w:rPr>
                <w:rFonts w:ascii="Arial" w:hAnsi="Arial" w:cs="Arial"/>
                <w:color w:val="000000"/>
              </w:rPr>
              <w:t xml:space="preserve"> sur toute autre support précisé dans ladite décision</w:t>
            </w:r>
            <w:r w:rsidR="002F52AA" w:rsidRPr="00A64175">
              <w:rPr>
                <w:rFonts w:ascii="Arial" w:hAnsi="Arial" w:cs="Arial"/>
                <w:color w:val="000000"/>
              </w:rPr>
              <w:t xml:space="preserve">, dans un format proportionné à la faute commise et à la sanction infligée. Les frais </w:t>
            </w:r>
            <w:r w:rsidR="00F34491" w:rsidRPr="00A64175">
              <w:rPr>
                <w:rFonts w:ascii="Arial" w:hAnsi="Arial" w:cs="Arial"/>
                <w:color w:val="000000"/>
              </w:rPr>
              <w:t xml:space="preserve">éventuels de publication </w:t>
            </w:r>
            <w:r w:rsidR="002F52AA" w:rsidRPr="00A64175">
              <w:rPr>
                <w:rFonts w:ascii="Arial" w:hAnsi="Arial" w:cs="Arial"/>
                <w:color w:val="000000"/>
              </w:rPr>
              <w:t>sont supportés par les personnes sanctionnées.</w:t>
            </w:r>
          </w:p>
          <w:p w14:paraId="33590C69" w14:textId="77777777" w:rsidR="002F52AA" w:rsidRPr="00A64175" w:rsidRDefault="002F52AA" w:rsidP="00A64175">
            <w:pPr>
              <w:widowControl w:val="0"/>
              <w:autoSpaceDE w:val="0"/>
              <w:adjustRightInd w:val="0"/>
              <w:jc w:val="both"/>
              <w:rPr>
                <w:rFonts w:ascii="Arial" w:hAnsi="Arial" w:cs="Arial"/>
                <w:kern w:val="1"/>
              </w:rPr>
            </w:pPr>
          </w:p>
          <w:p w14:paraId="7A3DED43"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La Commission des sanctions peut décider de publier une décision sous une forme anonymisée :</w:t>
            </w:r>
          </w:p>
          <w:p w14:paraId="34C40A5E"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5FCE88B2" w14:textId="48869484" w:rsidR="002F52AA" w:rsidRPr="00A64175" w:rsidRDefault="002F52AA" w:rsidP="00A64175">
            <w:pPr>
              <w:pStyle w:val="NormalWeb"/>
              <w:numPr>
                <w:ilvl w:val="0"/>
                <w:numId w:val="22"/>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 xml:space="preserve">Lorsque la publication de la décision est susceptible de causer à la personne </w:t>
            </w:r>
            <w:r w:rsidR="00F34491" w:rsidRPr="00A64175">
              <w:rPr>
                <w:rFonts w:ascii="Arial" w:hAnsi="Arial" w:cs="Arial"/>
                <w:color w:val="000000"/>
                <w:sz w:val="22"/>
                <w:szCs w:val="22"/>
              </w:rPr>
              <w:t xml:space="preserve">mise </w:t>
            </w:r>
            <w:r w:rsidRPr="00A64175">
              <w:rPr>
                <w:rFonts w:ascii="Arial" w:hAnsi="Arial" w:cs="Arial"/>
                <w:color w:val="000000"/>
                <w:sz w:val="22"/>
                <w:szCs w:val="22"/>
              </w:rPr>
              <w:t>en cause un préjudice grav</w:t>
            </w:r>
            <w:r w:rsidR="00F34491" w:rsidRPr="00A64175">
              <w:rPr>
                <w:rFonts w:ascii="Arial" w:hAnsi="Arial" w:cs="Arial"/>
                <w:color w:val="000000"/>
                <w:sz w:val="22"/>
                <w:szCs w:val="22"/>
              </w:rPr>
              <w:t>e et disproportionné, notamment,</w:t>
            </w:r>
            <w:r w:rsidRPr="00A64175">
              <w:rPr>
                <w:rFonts w:ascii="Arial" w:hAnsi="Arial" w:cs="Arial"/>
                <w:color w:val="000000"/>
                <w:sz w:val="22"/>
                <w:szCs w:val="22"/>
              </w:rPr>
              <w:t xml:space="preserve"> dans le cas d'une sanction infligée à une personne physique, lorsque la publication inclut des données personnelles ;</w:t>
            </w:r>
          </w:p>
          <w:p w14:paraId="115EF89F" w14:textId="77777777" w:rsidR="002F52AA" w:rsidRPr="00A64175" w:rsidRDefault="002F52AA" w:rsidP="00A64175">
            <w:pPr>
              <w:pStyle w:val="NormalWeb"/>
              <w:spacing w:before="0" w:beforeAutospacing="0" w:after="0" w:afterAutospacing="0"/>
              <w:ind w:left="720"/>
              <w:jc w:val="both"/>
              <w:rPr>
                <w:rFonts w:ascii="Arial" w:hAnsi="Arial" w:cs="Arial"/>
                <w:color w:val="000000"/>
                <w:sz w:val="22"/>
                <w:szCs w:val="22"/>
              </w:rPr>
            </w:pPr>
          </w:p>
          <w:p w14:paraId="0374AB15" w14:textId="77777777" w:rsidR="002F52AA" w:rsidRPr="00A64175" w:rsidRDefault="002F52AA" w:rsidP="00A64175">
            <w:pPr>
              <w:pStyle w:val="NormalWeb"/>
              <w:numPr>
                <w:ilvl w:val="0"/>
                <w:numId w:val="22"/>
              </w:numPr>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Lorsque la publication serait de nature à perturber gravement la stabilité du système financier, de même que le déroulement d'une enquête ou d'un contrôle en cours.</w:t>
            </w:r>
          </w:p>
          <w:p w14:paraId="2DD3E466"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3400C6CD"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1CD777B3" w14:textId="3C2110DB" w:rsidR="002F52AA" w:rsidRPr="00A64175" w:rsidRDefault="00994F10"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 xml:space="preserve">Article </w:t>
            </w:r>
            <w:r w:rsidR="002F52AA" w:rsidRPr="00A64175">
              <w:rPr>
                <w:rFonts w:ascii="Arial" w:hAnsi="Arial" w:cs="Arial"/>
                <w:b/>
                <w:bCs/>
                <w:color w:val="000000" w:themeColor="text1"/>
              </w:rPr>
              <w:t>7</w:t>
            </w:r>
            <w:r w:rsidR="00BB1AFC">
              <w:rPr>
                <w:rFonts w:ascii="Arial" w:hAnsi="Arial" w:cs="Arial"/>
                <w:b/>
                <w:bCs/>
                <w:color w:val="000000" w:themeColor="text1"/>
              </w:rPr>
              <w:t>6</w:t>
            </w:r>
            <w:r w:rsidRPr="00A64175">
              <w:rPr>
                <w:rFonts w:ascii="Arial" w:hAnsi="Arial" w:cs="Arial"/>
                <w:b/>
                <w:bCs/>
                <w:color w:val="000000" w:themeColor="text1"/>
              </w:rPr>
              <w:t xml:space="preserve"> </w:t>
            </w:r>
            <w:r w:rsidR="002F52AA" w:rsidRPr="00A64175">
              <w:rPr>
                <w:rFonts w:ascii="Arial" w:hAnsi="Arial" w:cs="Arial"/>
                <w:b/>
                <w:bCs/>
                <w:color w:val="000000" w:themeColor="text1"/>
              </w:rPr>
              <w:t xml:space="preserve">– </w:t>
            </w:r>
            <w:r w:rsidR="002F52AA" w:rsidRPr="00A64175">
              <w:rPr>
                <w:rFonts w:ascii="Arial" w:hAnsi="Arial" w:cs="Arial"/>
                <w:color w:val="000000" w:themeColor="text1"/>
              </w:rPr>
              <w:t xml:space="preserve">La décision de sanction peut faire l’objet d’un recours dans un délai de deux (2) mois à compter de sa notification. L’examen des recours relève de la compétence de la Cour de Justice de la CEMAC. </w:t>
            </w:r>
          </w:p>
          <w:p w14:paraId="1117BD9C" w14:textId="77777777" w:rsidR="002F52AA" w:rsidRPr="00A64175" w:rsidRDefault="002F52AA" w:rsidP="00A64175">
            <w:pPr>
              <w:widowControl w:val="0"/>
              <w:autoSpaceDE w:val="0"/>
              <w:adjustRightInd w:val="0"/>
              <w:ind w:right="1024"/>
              <w:jc w:val="both"/>
              <w:rPr>
                <w:rFonts w:ascii="Arial" w:hAnsi="Arial" w:cs="Arial"/>
                <w:color w:val="000000" w:themeColor="text1"/>
                <w:kern w:val="1"/>
              </w:rPr>
            </w:pPr>
          </w:p>
          <w:p w14:paraId="56D1CA42" w14:textId="77777777" w:rsidR="002F52AA" w:rsidRPr="00A64175" w:rsidRDefault="002F52AA"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Le recours n’est pas suspensif. Toutefois, la Cour de Justice Communautaire peut ordonner qu’il soit sursis à l’exécution de la sanction si celle-ci est susceptible d’entraîner des conséquences manifestement excessives.</w:t>
            </w:r>
          </w:p>
          <w:p w14:paraId="494935D8" w14:textId="77777777" w:rsidR="002F52AA" w:rsidRPr="00A64175" w:rsidRDefault="002F52AA" w:rsidP="00A64175">
            <w:pPr>
              <w:pStyle w:val="NormalWeb"/>
              <w:spacing w:before="0" w:beforeAutospacing="0" w:after="0" w:afterAutospacing="0"/>
              <w:jc w:val="both"/>
              <w:rPr>
                <w:rFonts w:ascii="Arial" w:hAnsi="Arial" w:cs="Arial"/>
                <w:color w:val="000000"/>
                <w:sz w:val="22"/>
                <w:szCs w:val="22"/>
              </w:rPr>
            </w:pPr>
          </w:p>
          <w:p w14:paraId="7CFFF7F4" w14:textId="5B906419" w:rsidR="00F34491" w:rsidRPr="00A64175" w:rsidRDefault="00994F10"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b/>
                <w:bCs/>
                <w:color w:val="000000" w:themeColor="text1"/>
                <w:sz w:val="22"/>
                <w:szCs w:val="22"/>
              </w:rPr>
              <w:t xml:space="preserve">Article </w:t>
            </w:r>
            <w:r w:rsidR="00F34491" w:rsidRPr="00A64175">
              <w:rPr>
                <w:rFonts w:ascii="Arial" w:hAnsi="Arial" w:cs="Arial"/>
                <w:b/>
                <w:bCs/>
                <w:color w:val="000000" w:themeColor="text1"/>
                <w:sz w:val="22"/>
                <w:szCs w:val="22"/>
              </w:rPr>
              <w:t>7</w:t>
            </w:r>
            <w:r w:rsidR="00BB1AFC">
              <w:rPr>
                <w:rFonts w:ascii="Arial" w:hAnsi="Arial" w:cs="Arial"/>
                <w:b/>
                <w:bCs/>
                <w:color w:val="000000" w:themeColor="text1"/>
                <w:sz w:val="22"/>
                <w:szCs w:val="22"/>
              </w:rPr>
              <w:t>7</w:t>
            </w:r>
            <w:r w:rsidRPr="00A64175">
              <w:rPr>
                <w:rFonts w:ascii="Arial" w:hAnsi="Arial" w:cs="Arial"/>
                <w:b/>
                <w:bCs/>
                <w:color w:val="000000" w:themeColor="text1"/>
                <w:sz w:val="22"/>
                <w:szCs w:val="22"/>
              </w:rPr>
              <w:t xml:space="preserve"> </w:t>
            </w:r>
            <w:r w:rsidR="00F34491" w:rsidRPr="00A64175">
              <w:rPr>
                <w:rFonts w:ascii="Arial" w:hAnsi="Arial" w:cs="Arial"/>
                <w:b/>
                <w:bCs/>
                <w:color w:val="000000" w:themeColor="text1"/>
                <w:sz w:val="22"/>
                <w:szCs w:val="22"/>
              </w:rPr>
              <w:t xml:space="preserve">– </w:t>
            </w:r>
            <w:r w:rsidR="00F34491" w:rsidRPr="00A64175">
              <w:rPr>
                <w:rFonts w:ascii="Arial" w:hAnsi="Arial" w:cs="Arial"/>
                <w:color w:val="000000"/>
                <w:sz w:val="22"/>
                <w:szCs w:val="22"/>
              </w:rPr>
              <w:t>Lorsqu'une décision de sanction prise par la Commission des sanctions fait l'objet d'un recours, la COSUMAF publie cette information sur son site internet ainsi que toute information sur le résultat du recours.</w:t>
            </w:r>
          </w:p>
          <w:p w14:paraId="02D84900" w14:textId="77777777" w:rsidR="00F34491" w:rsidRPr="00A64175" w:rsidRDefault="00F34491"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 xml:space="preserve"> </w:t>
            </w:r>
          </w:p>
          <w:p w14:paraId="3E753421" w14:textId="77777777" w:rsidR="00F34491" w:rsidRPr="00A64175" w:rsidRDefault="00F34491" w:rsidP="00A64175">
            <w:pPr>
              <w:pStyle w:val="NormalWeb"/>
              <w:spacing w:before="0" w:beforeAutospacing="0" w:after="0" w:afterAutospacing="0"/>
              <w:jc w:val="both"/>
              <w:rPr>
                <w:rFonts w:ascii="Arial" w:hAnsi="Arial" w:cs="Arial"/>
                <w:color w:val="000000"/>
                <w:sz w:val="22"/>
                <w:szCs w:val="22"/>
              </w:rPr>
            </w:pPr>
            <w:r w:rsidRPr="00A64175">
              <w:rPr>
                <w:rFonts w:ascii="Arial" w:hAnsi="Arial" w:cs="Arial"/>
                <w:color w:val="000000"/>
                <w:sz w:val="22"/>
                <w:szCs w:val="22"/>
              </w:rPr>
              <w:t>Toute décision censurant une sanction prononcée par la Commission des sanctions est publiée sur le site internet de la COSUMAF.</w:t>
            </w:r>
          </w:p>
          <w:p w14:paraId="18A38094" w14:textId="77777777" w:rsidR="002F52AA" w:rsidRPr="00A64175" w:rsidRDefault="002F52AA" w:rsidP="00A64175">
            <w:pPr>
              <w:pStyle w:val="NormalWeb"/>
              <w:spacing w:before="0" w:beforeAutospacing="0" w:after="0" w:afterAutospacing="0"/>
              <w:jc w:val="both"/>
              <w:rPr>
                <w:rFonts w:ascii="Arial" w:hAnsi="Arial" w:cs="Arial"/>
                <w:b/>
                <w:bCs/>
                <w:sz w:val="22"/>
                <w:szCs w:val="22"/>
              </w:rPr>
            </w:pPr>
          </w:p>
        </w:tc>
      </w:tr>
    </w:tbl>
    <w:p w14:paraId="6B6411A2" w14:textId="77777777" w:rsidR="009211D7" w:rsidRPr="00A64175" w:rsidRDefault="009211D7" w:rsidP="00A64175">
      <w:pPr>
        <w:widowControl w:val="0"/>
        <w:autoSpaceDE w:val="0"/>
        <w:autoSpaceDN w:val="0"/>
        <w:adjustRightInd w:val="0"/>
        <w:jc w:val="both"/>
        <w:rPr>
          <w:rFonts w:ascii="Arial" w:hAnsi="Arial" w:cs="Arial"/>
          <w:sz w:val="22"/>
          <w:szCs w:val="22"/>
        </w:rPr>
      </w:pPr>
    </w:p>
    <w:p w14:paraId="2AFF9F02" w14:textId="0FDB5280" w:rsidR="004F5537" w:rsidRPr="00A64175" w:rsidRDefault="00650B48" w:rsidP="00A64175">
      <w:pPr>
        <w:jc w:val="both"/>
        <w:rPr>
          <w:rFonts w:ascii="Arial" w:hAnsi="Arial" w:cs="Arial"/>
          <w:b/>
          <w:sz w:val="22"/>
          <w:szCs w:val="22"/>
        </w:rPr>
      </w:pPr>
      <w:r w:rsidRPr="00A64175">
        <w:rPr>
          <w:rFonts w:ascii="Arial" w:hAnsi="Arial" w:cs="Arial"/>
          <w:b/>
          <w:sz w:val="22"/>
          <w:szCs w:val="22"/>
        </w:rPr>
        <w:t>TITRE II</w:t>
      </w:r>
      <w:r w:rsidR="003F311B" w:rsidRPr="00A64175">
        <w:rPr>
          <w:rFonts w:ascii="Arial" w:hAnsi="Arial" w:cs="Arial"/>
          <w:b/>
          <w:sz w:val="22"/>
          <w:szCs w:val="22"/>
        </w:rPr>
        <w:t>I</w:t>
      </w:r>
      <w:r w:rsidRPr="00A64175">
        <w:rPr>
          <w:rFonts w:ascii="Arial" w:hAnsi="Arial" w:cs="Arial"/>
          <w:b/>
          <w:sz w:val="22"/>
          <w:szCs w:val="22"/>
        </w:rPr>
        <w:t xml:space="preserve"> – DISPOSITIFS DE LUTTE CONTR</w:t>
      </w:r>
      <w:r w:rsidR="004F5537" w:rsidRPr="00A64175">
        <w:rPr>
          <w:rFonts w:ascii="Arial" w:hAnsi="Arial" w:cs="Arial"/>
          <w:b/>
          <w:sz w:val="22"/>
          <w:szCs w:val="22"/>
        </w:rPr>
        <w:t xml:space="preserve">E LE </w:t>
      </w:r>
    </w:p>
    <w:p w14:paraId="7905752D" w14:textId="37C2B78A" w:rsidR="00F85819" w:rsidRPr="00A64175" w:rsidRDefault="004F5537" w:rsidP="00A64175">
      <w:pPr>
        <w:ind w:left="1335"/>
        <w:jc w:val="both"/>
        <w:rPr>
          <w:rFonts w:ascii="Arial" w:hAnsi="Arial" w:cs="Arial"/>
          <w:b/>
          <w:sz w:val="22"/>
          <w:szCs w:val="22"/>
        </w:rPr>
      </w:pPr>
      <w:r w:rsidRPr="00A64175">
        <w:rPr>
          <w:rFonts w:ascii="Arial" w:hAnsi="Arial" w:cs="Arial"/>
          <w:b/>
          <w:sz w:val="22"/>
          <w:szCs w:val="22"/>
        </w:rPr>
        <w:t xml:space="preserve">BLANCHIMENT DE CAPITAUX ET </w:t>
      </w:r>
      <w:r w:rsidR="00650B48" w:rsidRPr="00A64175">
        <w:rPr>
          <w:rFonts w:ascii="Arial" w:hAnsi="Arial" w:cs="Arial"/>
          <w:b/>
          <w:sz w:val="22"/>
          <w:szCs w:val="22"/>
        </w:rPr>
        <w:t xml:space="preserve">LE </w:t>
      </w:r>
      <w:r w:rsidRPr="00A64175">
        <w:rPr>
          <w:rFonts w:ascii="Arial" w:hAnsi="Arial" w:cs="Arial"/>
          <w:b/>
          <w:sz w:val="22"/>
          <w:szCs w:val="22"/>
        </w:rPr>
        <w:t xml:space="preserve">   </w:t>
      </w:r>
      <w:r w:rsidR="00650B48" w:rsidRPr="00A64175">
        <w:rPr>
          <w:rFonts w:ascii="Arial" w:hAnsi="Arial" w:cs="Arial"/>
          <w:b/>
          <w:sz w:val="22"/>
          <w:szCs w:val="22"/>
        </w:rPr>
        <w:t>FINANCEMENT DU TERRORISME</w:t>
      </w:r>
    </w:p>
    <w:p w14:paraId="6DA8D5B5" w14:textId="77777777" w:rsidR="00360B75" w:rsidRPr="00A64175" w:rsidRDefault="00360B75" w:rsidP="00A64175">
      <w:pPr>
        <w:autoSpaceDE w:val="0"/>
        <w:adjustRightInd w:val="0"/>
        <w:jc w:val="both"/>
        <w:rPr>
          <w:rFonts w:ascii="Arial" w:hAnsi="Arial" w:cs="Arial"/>
          <w:b/>
          <w:sz w:val="22"/>
          <w:szCs w:val="22"/>
        </w:rPr>
      </w:pPr>
      <w:bookmarkStart w:id="1" w:name="_Ref73371274"/>
    </w:p>
    <w:p w14:paraId="257BD88F" w14:textId="77777777" w:rsidR="009A04AD" w:rsidRPr="00A64175" w:rsidRDefault="009A04AD" w:rsidP="00A64175">
      <w:pPr>
        <w:autoSpaceDE w:val="0"/>
        <w:adjustRightInd w:val="0"/>
        <w:jc w:val="both"/>
        <w:rPr>
          <w:rFonts w:ascii="Arial" w:hAnsi="Arial" w:cs="Arial"/>
          <w:b/>
          <w:sz w:val="22"/>
          <w:szCs w:val="22"/>
        </w:rPr>
      </w:pPr>
    </w:p>
    <w:p w14:paraId="2742C009" w14:textId="4D5CE8F3" w:rsidR="00360B75" w:rsidRPr="00A64175" w:rsidRDefault="00360B75" w:rsidP="00A64175">
      <w:pPr>
        <w:autoSpaceDE w:val="0"/>
        <w:adjustRightInd w:val="0"/>
        <w:jc w:val="both"/>
        <w:rPr>
          <w:rFonts w:ascii="Arial" w:hAnsi="Arial" w:cs="Arial"/>
          <w:sz w:val="22"/>
          <w:szCs w:val="22"/>
        </w:rPr>
      </w:pPr>
      <w:r w:rsidRPr="00A64175">
        <w:rPr>
          <w:rFonts w:ascii="Arial" w:hAnsi="Arial" w:cs="Arial"/>
          <w:b/>
          <w:bCs/>
          <w:color w:val="000000"/>
          <w:sz w:val="22"/>
          <w:szCs w:val="22"/>
        </w:rPr>
        <w:t xml:space="preserve">Article </w:t>
      </w:r>
      <w:r w:rsidR="00927CA5" w:rsidRPr="00A64175">
        <w:rPr>
          <w:rFonts w:ascii="Arial" w:hAnsi="Arial" w:cs="Arial"/>
          <w:b/>
          <w:bCs/>
          <w:color w:val="000000"/>
          <w:sz w:val="22"/>
          <w:szCs w:val="22"/>
        </w:rPr>
        <w:t>7</w:t>
      </w:r>
      <w:r w:rsidR="00BB1AFC">
        <w:rPr>
          <w:rFonts w:ascii="Arial" w:hAnsi="Arial" w:cs="Arial"/>
          <w:b/>
          <w:bCs/>
          <w:color w:val="000000"/>
          <w:sz w:val="22"/>
          <w:szCs w:val="22"/>
        </w:rPr>
        <w:t>8</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hAnsi="Arial" w:cs="Arial"/>
          <w:sz w:val="22"/>
          <w:szCs w:val="22"/>
        </w:rPr>
        <w:t>Les dispositions du présent titre</w:t>
      </w:r>
      <w:r w:rsidR="00AB779C" w:rsidRPr="00A64175">
        <w:rPr>
          <w:rFonts w:ascii="Arial" w:hAnsi="Arial" w:cs="Arial"/>
          <w:sz w:val="22"/>
          <w:szCs w:val="22"/>
        </w:rPr>
        <w:t xml:space="preserve"> ont pour objet de</w:t>
      </w:r>
      <w:r w:rsidR="002B7E71" w:rsidRPr="00A64175">
        <w:rPr>
          <w:rFonts w:ascii="Arial" w:hAnsi="Arial" w:cs="Arial"/>
          <w:sz w:val="22"/>
          <w:szCs w:val="22"/>
        </w:rPr>
        <w:t xml:space="preserve"> prévenir et de réprimer, sur le marché financier de l’Afrique Centrale, le blanchiment de  capitaux, le financement du terrorisme et de la prolifération des armes de destruction massive</w:t>
      </w:r>
      <w:r w:rsidR="00AB779C" w:rsidRPr="00A64175">
        <w:rPr>
          <w:rFonts w:ascii="Arial" w:hAnsi="Arial" w:cs="Arial"/>
          <w:sz w:val="22"/>
          <w:szCs w:val="22"/>
        </w:rPr>
        <w:t>. Lesdites dispositions</w:t>
      </w:r>
      <w:r w:rsidRPr="00A64175">
        <w:rPr>
          <w:rFonts w:ascii="Arial" w:hAnsi="Arial" w:cs="Arial"/>
          <w:sz w:val="22"/>
          <w:szCs w:val="22"/>
        </w:rPr>
        <w:t xml:space="preserve"> s’appliquent aux </w:t>
      </w:r>
      <w:r w:rsidR="001C251C" w:rsidRPr="00A64175">
        <w:rPr>
          <w:rFonts w:ascii="Arial" w:hAnsi="Arial" w:cs="Arial"/>
          <w:sz w:val="22"/>
          <w:szCs w:val="22"/>
        </w:rPr>
        <w:t xml:space="preserve">acteurs et intervenants du marché </w:t>
      </w:r>
      <w:r w:rsidRPr="00A64175">
        <w:rPr>
          <w:rFonts w:ascii="Arial" w:hAnsi="Arial" w:cs="Arial"/>
          <w:sz w:val="22"/>
          <w:szCs w:val="22"/>
        </w:rPr>
        <w:t>suivants :</w:t>
      </w:r>
      <w:bookmarkEnd w:id="1"/>
    </w:p>
    <w:p w14:paraId="6358E99A" w14:textId="77777777" w:rsidR="00360B75" w:rsidRPr="00A64175" w:rsidRDefault="00360B75" w:rsidP="00A64175">
      <w:pPr>
        <w:autoSpaceDE w:val="0"/>
        <w:adjustRightInd w:val="0"/>
        <w:jc w:val="both"/>
        <w:rPr>
          <w:rFonts w:ascii="Arial" w:hAnsi="Arial" w:cs="Arial"/>
          <w:sz w:val="22"/>
          <w:szCs w:val="22"/>
        </w:rPr>
      </w:pPr>
    </w:p>
    <w:p w14:paraId="46CDD968" w14:textId="18474FC4"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 xml:space="preserve">les organismes centraux du marché ; </w:t>
      </w:r>
    </w:p>
    <w:p w14:paraId="2790395D"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les intermédiaires de marché ;</w:t>
      </w:r>
    </w:p>
    <w:p w14:paraId="62F56599"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les agences de notation financière ;</w:t>
      </w:r>
    </w:p>
    <w:p w14:paraId="0092F106"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 xml:space="preserve">les organismes de placement collectif, les sociétés de gestion et leurs dépositaires ;  </w:t>
      </w:r>
    </w:p>
    <w:p w14:paraId="20351114"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le fonds de garantie du marché ;</w:t>
      </w:r>
    </w:p>
    <w:p w14:paraId="6D3AD9C5"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les analystes financiers intervenant sur le marché ou y exerçant une activité ;</w:t>
      </w:r>
    </w:p>
    <w:p w14:paraId="05C13EA3" w14:textId="77777777" w:rsidR="00360B75" w:rsidRPr="00A64175"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les organismes de garantie des émissions ;</w:t>
      </w:r>
    </w:p>
    <w:p w14:paraId="2222896C" w14:textId="7FE14348" w:rsidR="00FF17F4" w:rsidRPr="00322DD3" w:rsidRDefault="00360B75" w:rsidP="00A64175">
      <w:pPr>
        <w:pStyle w:val="Paragraphedeliste"/>
        <w:numPr>
          <w:ilvl w:val="0"/>
          <w:numId w:val="88"/>
        </w:numPr>
        <w:spacing w:before="0" w:beforeAutospacing="0" w:after="0" w:afterAutospacing="0"/>
        <w:rPr>
          <w:rFonts w:eastAsia="Times New Roman"/>
          <w:bCs/>
          <w:color w:val="000000"/>
          <w:sz w:val="22"/>
          <w:szCs w:val="22"/>
          <w:lang w:eastAsia="fr-FR"/>
        </w:rPr>
      </w:pPr>
      <w:r w:rsidRPr="00A64175">
        <w:rPr>
          <w:rFonts w:eastAsia="Times New Roman"/>
          <w:bCs/>
          <w:color w:val="000000"/>
          <w:sz w:val="22"/>
          <w:szCs w:val="22"/>
          <w:lang w:eastAsia="fr-FR"/>
        </w:rPr>
        <w:t>toute autre personne ou structure agréée par la COSUMAF.</w:t>
      </w:r>
    </w:p>
    <w:p w14:paraId="21FEA9CF" w14:textId="77777777" w:rsidR="00FF17F4" w:rsidRPr="00A64175" w:rsidRDefault="00FF17F4" w:rsidP="00A64175">
      <w:pPr>
        <w:jc w:val="both"/>
        <w:rPr>
          <w:rFonts w:ascii="Arial" w:hAnsi="Arial" w:cs="Arial"/>
          <w:b/>
          <w:sz w:val="22"/>
          <w:szCs w:val="22"/>
        </w:rPr>
      </w:pPr>
    </w:p>
    <w:p w14:paraId="4BC892AA" w14:textId="33C4A89E" w:rsidR="00DA18F3" w:rsidRPr="00A64175" w:rsidRDefault="003C5F4D" w:rsidP="00A64175">
      <w:pPr>
        <w:jc w:val="both"/>
        <w:rPr>
          <w:rFonts w:ascii="Arial" w:hAnsi="Arial" w:cs="Arial"/>
          <w:b/>
          <w:sz w:val="22"/>
          <w:szCs w:val="22"/>
        </w:rPr>
      </w:pPr>
      <w:r w:rsidRPr="00A64175">
        <w:rPr>
          <w:rFonts w:ascii="Arial" w:hAnsi="Arial" w:cs="Arial"/>
          <w:b/>
          <w:bCs/>
          <w:color w:val="000000"/>
          <w:sz w:val="22"/>
          <w:szCs w:val="22"/>
        </w:rPr>
        <w:t xml:space="preserve">Article </w:t>
      </w:r>
      <w:r w:rsidR="00927CA5" w:rsidRPr="00A64175">
        <w:rPr>
          <w:rFonts w:ascii="Arial" w:hAnsi="Arial" w:cs="Arial"/>
          <w:b/>
          <w:bCs/>
          <w:color w:val="000000"/>
          <w:sz w:val="22"/>
          <w:szCs w:val="22"/>
        </w:rPr>
        <w:t>7</w:t>
      </w:r>
      <w:r w:rsidR="00BB1AFC">
        <w:rPr>
          <w:rFonts w:ascii="Arial" w:hAnsi="Arial" w:cs="Arial"/>
          <w:b/>
          <w:bCs/>
          <w:color w:val="000000"/>
          <w:sz w:val="22"/>
          <w:szCs w:val="22"/>
        </w:rPr>
        <w:t>9</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hAnsi="Arial" w:cs="Arial"/>
          <w:sz w:val="22"/>
          <w:szCs w:val="22"/>
        </w:rPr>
        <w:t>La COSUMAF veille en toutes circonstances, au respect, par les acteurs et intervenants du marché, des recommandations du GAFI, des dispositions du</w:t>
      </w:r>
      <w:r w:rsidR="00453A1B" w:rsidRPr="00A64175">
        <w:rPr>
          <w:rFonts w:ascii="Arial" w:hAnsi="Arial" w:cs="Arial"/>
          <w:sz w:val="22"/>
          <w:szCs w:val="22"/>
        </w:rPr>
        <w:t xml:space="preserve"> Règlement n°01-16/CEMAC/UMAC/CM</w:t>
      </w:r>
      <w:r w:rsidRPr="00A64175">
        <w:rPr>
          <w:rFonts w:ascii="Arial" w:hAnsi="Arial" w:cs="Arial"/>
          <w:sz w:val="22"/>
          <w:szCs w:val="22"/>
        </w:rPr>
        <w:t xml:space="preserve"> du 11 avril 2016 précité</w:t>
      </w:r>
      <w:r w:rsidR="00E5394E" w:rsidRPr="00A64175">
        <w:rPr>
          <w:rFonts w:ascii="Arial" w:hAnsi="Arial" w:cs="Arial"/>
          <w:sz w:val="22"/>
          <w:szCs w:val="22"/>
        </w:rPr>
        <w:t>, du Règlement</w:t>
      </w:r>
      <w:r w:rsidR="00453A1B" w:rsidRPr="00A64175">
        <w:rPr>
          <w:rFonts w:ascii="Arial" w:hAnsi="Arial" w:cs="Arial"/>
          <w:color w:val="000000"/>
          <w:sz w:val="22"/>
          <w:szCs w:val="22"/>
        </w:rPr>
        <w:t xml:space="preserve"> n°01/22/CEMAC/UMAC/CM/COSUMAF du 21 juillet 2022 précité</w:t>
      </w:r>
      <w:r w:rsidRPr="00A64175">
        <w:rPr>
          <w:rFonts w:ascii="Arial" w:hAnsi="Arial" w:cs="Arial"/>
          <w:sz w:val="22"/>
          <w:szCs w:val="22"/>
        </w:rPr>
        <w:t xml:space="preserve"> et de celles du présent Règlement général. La mise en œuvre </w:t>
      </w:r>
      <w:r w:rsidR="00453A1B" w:rsidRPr="00A64175">
        <w:rPr>
          <w:rFonts w:ascii="Arial" w:hAnsi="Arial" w:cs="Arial"/>
          <w:sz w:val="22"/>
          <w:szCs w:val="22"/>
        </w:rPr>
        <w:t xml:space="preserve"> d</w:t>
      </w:r>
      <w:r w:rsidRPr="00A64175">
        <w:rPr>
          <w:rFonts w:ascii="Arial" w:hAnsi="Arial" w:cs="Arial"/>
          <w:sz w:val="22"/>
          <w:szCs w:val="22"/>
        </w:rPr>
        <w:t xml:space="preserve">es recommandations et dispositions </w:t>
      </w:r>
      <w:r w:rsidR="00453A1B" w:rsidRPr="00A64175">
        <w:rPr>
          <w:rFonts w:ascii="Arial" w:hAnsi="Arial" w:cs="Arial"/>
          <w:sz w:val="22"/>
          <w:szCs w:val="22"/>
        </w:rPr>
        <w:t>visées au présent article ne peut en aucune manière être entravée par les lois nationales et étrangères sur le secret profession</w:t>
      </w:r>
      <w:r w:rsidR="00634A16" w:rsidRPr="00A64175">
        <w:rPr>
          <w:rFonts w:ascii="Arial" w:hAnsi="Arial" w:cs="Arial"/>
          <w:sz w:val="22"/>
          <w:szCs w:val="22"/>
        </w:rPr>
        <w:t>nel</w:t>
      </w:r>
      <w:r w:rsidR="00453A1B" w:rsidRPr="00A64175">
        <w:rPr>
          <w:rFonts w:ascii="Arial" w:hAnsi="Arial" w:cs="Arial"/>
          <w:sz w:val="22"/>
          <w:szCs w:val="22"/>
        </w:rPr>
        <w:t>.</w:t>
      </w:r>
    </w:p>
    <w:p w14:paraId="2FA51512" w14:textId="77777777" w:rsidR="003C5F4D" w:rsidRPr="00A64175" w:rsidRDefault="003C5F4D" w:rsidP="00A64175">
      <w:pPr>
        <w:jc w:val="both"/>
        <w:rPr>
          <w:rFonts w:ascii="Arial" w:hAnsi="Arial" w:cs="Arial"/>
          <w:b/>
          <w:sz w:val="22"/>
          <w:szCs w:val="22"/>
        </w:rPr>
      </w:pPr>
    </w:p>
    <w:p w14:paraId="6B261A92" w14:textId="77777777" w:rsidR="003C5F4D" w:rsidRPr="00A64175" w:rsidRDefault="003C5F4D" w:rsidP="00A64175">
      <w:pPr>
        <w:jc w:val="both"/>
        <w:rPr>
          <w:rFonts w:ascii="Arial" w:hAnsi="Arial" w:cs="Arial"/>
          <w:b/>
          <w:sz w:val="22"/>
          <w:szCs w:val="22"/>
        </w:rPr>
      </w:pPr>
    </w:p>
    <w:p w14:paraId="35C84C71" w14:textId="10A9D647" w:rsidR="00592005" w:rsidRPr="00A64175" w:rsidRDefault="0091143E" w:rsidP="00A64175">
      <w:pPr>
        <w:jc w:val="both"/>
        <w:rPr>
          <w:rFonts w:ascii="Arial" w:hAnsi="Arial" w:cs="Arial"/>
          <w:sz w:val="22"/>
          <w:szCs w:val="22"/>
        </w:rPr>
      </w:pPr>
      <w:r w:rsidRPr="00A64175">
        <w:rPr>
          <w:rFonts w:ascii="Arial" w:hAnsi="Arial" w:cs="Arial"/>
          <w:b/>
          <w:bCs/>
          <w:color w:val="000000"/>
          <w:sz w:val="22"/>
          <w:szCs w:val="22"/>
        </w:rPr>
        <w:t xml:space="preserve">Article </w:t>
      </w:r>
      <w:r w:rsidR="00BB1AFC">
        <w:rPr>
          <w:rFonts w:ascii="Arial" w:hAnsi="Arial" w:cs="Arial"/>
          <w:b/>
          <w:bCs/>
          <w:color w:val="000000"/>
          <w:sz w:val="22"/>
          <w:szCs w:val="22"/>
        </w:rPr>
        <w:t>80</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hAnsi="Arial" w:cs="Arial"/>
          <w:sz w:val="22"/>
          <w:szCs w:val="22"/>
        </w:rPr>
        <w:t>L</w:t>
      </w:r>
      <w:r w:rsidR="008B4422" w:rsidRPr="00A64175">
        <w:rPr>
          <w:rFonts w:ascii="Arial" w:hAnsi="Arial" w:cs="Arial"/>
          <w:sz w:val="22"/>
          <w:szCs w:val="22"/>
        </w:rPr>
        <w:t>a COSUMAF applique,</w:t>
      </w:r>
      <w:r w:rsidR="001C251C" w:rsidRPr="00A64175">
        <w:rPr>
          <w:rFonts w:ascii="Arial" w:hAnsi="Arial" w:cs="Arial"/>
          <w:sz w:val="22"/>
          <w:szCs w:val="22"/>
        </w:rPr>
        <w:t xml:space="preserve"> en matière de lutte contre le  blanchiment de capitaux et de financement du terrorisme</w:t>
      </w:r>
      <w:r w:rsidR="008B4422" w:rsidRPr="00A64175">
        <w:rPr>
          <w:rFonts w:ascii="Arial" w:hAnsi="Arial" w:cs="Arial"/>
          <w:sz w:val="22"/>
          <w:szCs w:val="22"/>
        </w:rPr>
        <w:t xml:space="preserve">, une approche </w:t>
      </w:r>
      <w:r w:rsidR="007477B0" w:rsidRPr="00A64175">
        <w:rPr>
          <w:rFonts w:ascii="Arial" w:hAnsi="Arial" w:cs="Arial"/>
          <w:sz w:val="22"/>
          <w:szCs w:val="22"/>
        </w:rPr>
        <w:t xml:space="preserve">de la surveillance </w:t>
      </w:r>
      <w:r w:rsidR="008B4422" w:rsidRPr="00A64175">
        <w:rPr>
          <w:rFonts w:ascii="Arial" w:hAnsi="Arial" w:cs="Arial"/>
          <w:sz w:val="22"/>
          <w:szCs w:val="22"/>
        </w:rPr>
        <w:t>basée sur les risques</w:t>
      </w:r>
      <w:r w:rsidR="007477B0" w:rsidRPr="00A64175">
        <w:rPr>
          <w:rFonts w:ascii="Arial" w:hAnsi="Arial" w:cs="Arial"/>
          <w:sz w:val="22"/>
          <w:szCs w:val="22"/>
        </w:rPr>
        <w:t>.</w:t>
      </w:r>
      <w:r w:rsidR="008B4422" w:rsidRPr="00A64175">
        <w:rPr>
          <w:rFonts w:ascii="Arial" w:hAnsi="Arial" w:cs="Arial"/>
          <w:sz w:val="22"/>
          <w:szCs w:val="22"/>
        </w:rPr>
        <w:t xml:space="preserve"> </w:t>
      </w:r>
      <w:r w:rsidR="00592005" w:rsidRPr="00A64175">
        <w:rPr>
          <w:rFonts w:ascii="Arial" w:hAnsi="Arial" w:cs="Arial"/>
          <w:sz w:val="22"/>
          <w:szCs w:val="22"/>
        </w:rPr>
        <w:t>Cette approche consiste d’une part, à identifier, évaluer et comprendre les risqu</w:t>
      </w:r>
      <w:r w:rsidR="00BC6835" w:rsidRPr="00A64175">
        <w:rPr>
          <w:rFonts w:ascii="Arial" w:hAnsi="Arial" w:cs="Arial"/>
          <w:sz w:val="22"/>
          <w:szCs w:val="22"/>
        </w:rPr>
        <w:t>es de blanchiment de capitaux,</w:t>
      </w:r>
      <w:r w:rsidR="00592005" w:rsidRPr="00A64175">
        <w:rPr>
          <w:rFonts w:ascii="Arial" w:hAnsi="Arial" w:cs="Arial"/>
          <w:sz w:val="22"/>
          <w:szCs w:val="22"/>
        </w:rPr>
        <w:t xml:space="preserve"> de financement du terrorisme</w:t>
      </w:r>
      <w:r w:rsidR="00BC6835" w:rsidRPr="00A64175">
        <w:rPr>
          <w:rFonts w:ascii="Arial" w:hAnsi="Arial" w:cs="Arial"/>
          <w:sz w:val="22"/>
          <w:szCs w:val="22"/>
        </w:rPr>
        <w:t xml:space="preserve"> et de la prolifération</w:t>
      </w:r>
      <w:r w:rsidR="00592005" w:rsidRPr="00A64175">
        <w:rPr>
          <w:rFonts w:ascii="Arial" w:hAnsi="Arial" w:cs="Arial"/>
          <w:sz w:val="22"/>
          <w:szCs w:val="22"/>
        </w:rPr>
        <w:t xml:space="preserve"> auxquels sont exposés les </w:t>
      </w:r>
      <w:r w:rsidR="00220A4E" w:rsidRPr="00A64175">
        <w:rPr>
          <w:rFonts w:ascii="Arial" w:hAnsi="Arial" w:cs="Arial"/>
          <w:sz w:val="22"/>
          <w:szCs w:val="22"/>
        </w:rPr>
        <w:t xml:space="preserve">acteurs et intervenants du marché soumis au contrôle de la COSUMAF </w:t>
      </w:r>
      <w:r w:rsidR="00592005" w:rsidRPr="00A64175">
        <w:rPr>
          <w:rFonts w:ascii="Arial" w:hAnsi="Arial" w:cs="Arial"/>
          <w:sz w:val="22"/>
          <w:szCs w:val="22"/>
        </w:rPr>
        <w:t>et, d’autre part, à prendre des mesures qui sont proportionnées à ces risques</w:t>
      </w:r>
      <w:r w:rsidR="00F2727E" w:rsidRPr="00A64175">
        <w:rPr>
          <w:rFonts w:ascii="Arial" w:hAnsi="Arial" w:cs="Arial"/>
          <w:sz w:val="22"/>
          <w:szCs w:val="22"/>
        </w:rPr>
        <w:t>, y compris ceux liés aux actifs virtuels et aux activités des prestataires intervenant sur de tels actifs</w:t>
      </w:r>
      <w:r w:rsidR="00592005" w:rsidRPr="00A64175">
        <w:rPr>
          <w:rFonts w:ascii="Arial" w:hAnsi="Arial" w:cs="Arial"/>
          <w:sz w:val="22"/>
          <w:szCs w:val="22"/>
        </w:rPr>
        <w:t>.</w:t>
      </w:r>
    </w:p>
    <w:p w14:paraId="3A9EF128" w14:textId="77777777" w:rsidR="0091143E" w:rsidRPr="00A64175" w:rsidRDefault="0091143E" w:rsidP="00A64175">
      <w:pPr>
        <w:jc w:val="both"/>
        <w:rPr>
          <w:rFonts w:ascii="Arial" w:hAnsi="Arial" w:cs="Arial"/>
          <w:sz w:val="22"/>
          <w:szCs w:val="22"/>
        </w:rPr>
      </w:pPr>
    </w:p>
    <w:p w14:paraId="7E967181" w14:textId="6A248955" w:rsidR="0091143E" w:rsidRPr="00A64175" w:rsidRDefault="008B4422" w:rsidP="00A64175">
      <w:pPr>
        <w:jc w:val="both"/>
        <w:rPr>
          <w:rFonts w:ascii="Arial" w:hAnsi="Arial" w:cs="Arial"/>
          <w:sz w:val="22"/>
          <w:szCs w:val="22"/>
        </w:rPr>
      </w:pPr>
      <w:r w:rsidRPr="00A64175">
        <w:rPr>
          <w:rFonts w:ascii="Arial" w:hAnsi="Arial" w:cs="Arial"/>
          <w:sz w:val="22"/>
          <w:szCs w:val="22"/>
        </w:rPr>
        <w:t xml:space="preserve">La COSUMAF veille à ce que les </w:t>
      </w:r>
      <w:r w:rsidR="00220A4E" w:rsidRPr="00A64175">
        <w:rPr>
          <w:rFonts w:ascii="Arial" w:hAnsi="Arial" w:cs="Arial"/>
          <w:sz w:val="22"/>
          <w:szCs w:val="22"/>
        </w:rPr>
        <w:t xml:space="preserve">acteurs et intervenants du marché </w:t>
      </w:r>
      <w:r w:rsidRPr="00A64175">
        <w:rPr>
          <w:rFonts w:ascii="Arial" w:hAnsi="Arial" w:cs="Arial"/>
          <w:sz w:val="22"/>
          <w:szCs w:val="22"/>
        </w:rPr>
        <w:t>mettent</w:t>
      </w:r>
      <w:r w:rsidR="00592005" w:rsidRPr="00A64175">
        <w:rPr>
          <w:rFonts w:ascii="Arial" w:hAnsi="Arial" w:cs="Arial"/>
          <w:sz w:val="22"/>
          <w:szCs w:val="22"/>
        </w:rPr>
        <w:t xml:space="preserve"> également</w:t>
      </w:r>
      <w:r w:rsidRPr="00A64175">
        <w:rPr>
          <w:rFonts w:ascii="Arial" w:hAnsi="Arial" w:cs="Arial"/>
          <w:sz w:val="22"/>
          <w:szCs w:val="22"/>
        </w:rPr>
        <w:t xml:space="preserve"> en œuvre une approche basée sur les risques afin d’allouer des moyens et ressources adéquats aux clients et produits qui présentent des risques plus élevés.</w:t>
      </w:r>
    </w:p>
    <w:p w14:paraId="7C66A1F1" w14:textId="77777777" w:rsidR="006E0B3C" w:rsidRPr="00A64175" w:rsidRDefault="006E0B3C" w:rsidP="00A64175">
      <w:pPr>
        <w:jc w:val="both"/>
        <w:rPr>
          <w:rFonts w:ascii="Arial" w:hAnsi="Arial" w:cs="Arial"/>
          <w:sz w:val="22"/>
          <w:szCs w:val="22"/>
        </w:rPr>
      </w:pPr>
    </w:p>
    <w:p w14:paraId="6AB3B578" w14:textId="77777777" w:rsidR="008D3806" w:rsidRPr="00A64175" w:rsidRDefault="008D3806" w:rsidP="00A64175">
      <w:pPr>
        <w:jc w:val="both"/>
        <w:rPr>
          <w:rFonts w:ascii="Arial" w:hAnsi="Arial" w:cs="Arial"/>
          <w:b/>
          <w:bCs/>
          <w:color w:val="000000"/>
          <w:sz w:val="22"/>
          <w:szCs w:val="22"/>
        </w:rPr>
      </w:pPr>
    </w:p>
    <w:p w14:paraId="6C8D6A3B" w14:textId="5E8E148E" w:rsidR="0091143E" w:rsidRPr="00A64175" w:rsidRDefault="00927CA5" w:rsidP="00A64175">
      <w:pPr>
        <w:jc w:val="both"/>
        <w:rPr>
          <w:rFonts w:ascii="Arial" w:hAnsi="Arial" w:cs="Arial"/>
          <w:sz w:val="22"/>
          <w:szCs w:val="22"/>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8</w:t>
      </w:r>
      <w:r w:rsidR="00BB1AFC">
        <w:rPr>
          <w:rFonts w:ascii="Arial" w:hAnsi="Arial" w:cs="Arial"/>
          <w:b/>
          <w:bCs/>
          <w:color w:val="000000"/>
          <w:sz w:val="22"/>
          <w:szCs w:val="22"/>
        </w:rPr>
        <w:t>1</w:t>
      </w:r>
      <w:r w:rsidR="006E0B3C" w:rsidRPr="00A64175">
        <w:rPr>
          <w:rFonts w:ascii="Arial" w:hAnsi="Arial" w:cs="Arial"/>
          <w:b/>
          <w:bCs/>
          <w:color w:val="000000"/>
          <w:sz w:val="22"/>
          <w:szCs w:val="22"/>
        </w:rPr>
        <w:t xml:space="preserve">. </w:t>
      </w:r>
      <w:r w:rsidR="006E0B3C" w:rsidRPr="00A64175">
        <w:rPr>
          <w:rFonts w:ascii="Arial" w:hAnsi="Arial" w:cs="Arial"/>
          <w:color w:val="000000"/>
          <w:kern w:val="1"/>
          <w:sz w:val="22"/>
          <w:szCs w:val="22"/>
        </w:rPr>
        <w:t xml:space="preserve">– </w:t>
      </w:r>
      <w:r w:rsidR="006E0B3C" w:rsidRPr="00A64175">
        <w:rPr>
          <w:rFonts w:ascii="Arial" w:eastAsia="Times New Roman" w:hAnsi="Arial" w:cs="Arial"/>
          <w:color w:val="000000"/>
          <w:sz w:val="22"/>
          <w:szCs w:val="22"/>
          <w:lang w:eastAsia="fr-FR"/>
        </w:rPr>
        <w:t>Toute personne physique ou morale sollicitant un agrément auprès de la COSUMAF et tout émetteur sollicitant un visa en vue d’une opération d’appel public à l’épargne</w:t>
      </w:r>
      <w:r w:rsidR="00B206E7" w:rsidRPr="00A64175">
        <w:rPr>
          <w:rFonts w:ascii="Arial" w:eastAsia="Times New Roman" w:hAnsi="Arial" w:cs="Arial"/>
          <w:color w:val="000000"/>
          <w:sz w:val="22"/>
          <w:szCs w:val="22"/>
          <w:lang w:eastAsia="fr-FR"/>
        </w:rPr>
        <w:t xml:space="preserve"> sur le marché financier régional,</w:t>
      </w:r>
      <w:r w:rsidR="006E0B3C" w:rsidRPr="00A64175">
        <w:rPr>
          <w:rFonts w:ascii="Arial" w:eastAsia="Times New Roman" w:hAnsi="Arial" w:cs="Arial"/>
          <w:color w:val="000000"/>
          <w:sz w:val="22"/>
          <w:szCs w:val="22"/>
          <w:lang w:eastAsia="fr-FR"/>
        </w:rPr>
        <w:t xml:space="preserve"> doi</w:t>
      </w:r>
      <w:r w:rsidR="00B206E7" w:rsidRPr="00A64175">
        <w:rPr>
          <w:rFonts w:ascii="Arial" w:eastAsia="Times New Roman" w:hAnsi="Arial" w:cs="Arial"/>
          <w:color w:val="000000"/>
          <w:sz w:val="22"/>
          <w:szCs w:val="22"/>
          <w:lang w:eastAsia="fr-FR"/>
        </w:rPr>
        <w:t>ven</w:t>
      </w:r>
      <w:r w:rsidR="006E0B3C" w:rsidRPr="00A64175">
        <w:rPr>
          <w:rFonts w:ascii="Arial" w:eastAsia="Times New Roman" w:hAnsi="Arial" w:cs="Arial"/>
          <w:color w:val="000000"/>
          <w:sz w:val="22"/>
          <w:szCs w:val="22"/>
          <w:lang w:eastAsia="fr-FR"/>
        </w:rPr>
        <w:t>t fourni</w:t>
      </w:r>
      <w:r w:rsidR="00B206E7" w:rsidRPr="00A64175">
        <w:rPr>
          <w:rFonts w:ascii="Arial" w:eastAsia="Times New Roman" w:hAnsi="Arial" w:cs="Arial"/>
          <w:color w:val="000000"/>
          <w:sz w:val="22"/>
          <w:szCs w:val="22"/>
          <w:lang w:eastAsia="fr-FR"/>
        </w:rPr>
        <w:t>r un engagement écrit et signé de</w:t>
      </w:r>
      <w:r w:rsidR="006E0B3C" w:rsidRPr="00A64175">
        <w:rPr>
          <w:rFonts w:ascii="Arial" w:eastAsia="Times New Roman" w:hAnsi="Arial" w:cs="Arial"/>
          <w:color w:val="000000"/>
          <w:sz w:val="22"/>
          <w:szCs w:val="22"/>
          <w:lang w:eastAsia="fr-FR"/>
        </w:rPr>
        <w:t xml:space="preserve"> respecter les dispositions législatives et réglementaires en matière de lutte contre le blanchiment de capitaux et le financement du terrorisme.</w:t>
      </w:r>
    </w:p>
    <w:p w14:paraId="083149C1" w14:textId="77777777" w:rsidR="0091143E" w:rsidRPr="00A64175" w:rsidRDefault="0091143E" w:rsidP="00A64175">
      <w:pPr>
        <w:jc w:val="both"/>
        <w:rPr>
          <w:rFonts w:ascii="Arial" w:hAnsi="Arial" w:cs="Arial"/>
          <w:b/>
          <w:sz w:val="22"/>
          <w:szCs w:val="22"/>
        </w:rPr>
      </w:pPr>
    </w:p>
    <w:p w14:paraId="085FA4F2" w14:textId="77777777" w:rsidR="006E0B3C" w:rsidRPr="00A64175" w:rsidRDefault="006E0B3C" w:rsidP="00A64175">
      <w:pPr>
        <w:jc w:val="both"/>
        <w:rPr>
          <w:rFonts w:ascii="Arial" w:hAnsi="Arial" w:cs="Arial"/>
          <w:b/>
          <w:sz w:val="22"/>
          <w:szCs w:val="22"/>
        </w:rPr>
      </w:pPr>
    </w:p>
    <w:p w14:paraId="58479E45" w14:textId="77777777" w:rsidR="006E0B3C" w:rsidRPr="00A64175" w:rsidRDefault="006E0B3C" w:rsidP="00A64175">
      <w:pPr>
        <w:jc w:val="both"/>
        <w:rPr>
          <w:rFonts w:ascii="Arial" w:hAnsi="Arial" w:cs="Arial"/>
          <w:b/>
          <w:sz w:val="22"/>
          <w:szCs w:val="22"/>
        </w:rPr>
      </w:pPr>
    </w:p>
    <w:p w14:paraId="4E8FAC69" w14:textId="77777777" w:rsidR="006E0B3C" w:rsidRPr="00A64175" w:rsidRDefault="006E0B3C" w:rsidP="00A64175">
      <w:pPr>
        <w:jc w:val="both"/>
        <w:rPr>
          <w:rFonts w:ascii="Arial" w:hAnsi="Arial" w:cs="Arial"/>
          <w:b/>
          <w:sz w:val="22"/>
          <w:szCs w:val="22"/>
        </w:rPr>
      </w:pPr>
    </w:p>
    <w:p w14:paraId="737AE430" w14:textId="4B7A6039" w:rsidR="00DA18F3" w:rsidRPr="00A64175" w:rsidRDefault="00DA18F3"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 – OBLIGATIONS DE VIGILANCE</w:t>
      </w:r>
    </w:p>
    <w:p w14:paraId="68AF7100" w14:textId="77777777" w:rsidR="00DA18F3" w:rsidRPr="00A64175" w:rsidRDefault="00DA18F3" w:rsidP="00A64175">
      <w:pPr>
        <w:jc w:val="both"/>
        <w:rPr>
          <w:rFonts w:ascii="Arial" w:hAnsi="Arial" w:cs="Arial"/>
          <w:b/>
          <w:sz w:val="22"/>
          <w:szCs w:val="22"/>
        </w:rPr>
      </w:pPr>
    </w:p>
    <w:p w14:paraId="2D8F06C3" w14:textId="77777777" w:rsidR="00DA18F3" w:rsidRPr="00A64175" w:rsidRDefault="00DA18F3" w:rsidP="00A64175">
      <w:pPr>
        <w:jc w:val="both"/>
        <w:rPr>
          <w:rFonts w:ascii="Arial" w:hAnsi="Arial" w:cs="Arial"/>
          <w:b/>
          <w:sz w:val="22"/>
          <w:szCs w:val="22"/>
        </w:rPr>
      </w:pPr>
    </w:p>
    <w:p w14:paraId="51B6576A" w14:textId="0BB77AF8" w:rsidR="00E3787C" w:rsidRPr="00A64175" w:rsidRDefault="00541886"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8</w:t>
      </w:r>
      <w:r w:rsidR="00BB1AFC">
        <w:rPr>
          <w:rFonts w:ascii="Arial" w:hAnsi="Arial" w:cs="Arial"/>
          <w:b/>
          <w:bCs/>
          <w:color w:val="000000"/>
          <w:sz w:val="22"/>
          <w:szCs w:val="22"/>
        </w:rPr>
        <w:t>2</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E3787C" w:rsidRPr="00A64175">
        <w:rPr>
          <w:rFonts w:ascii="Arial" w:eastAsia="Times New Roman" w:hAnsi="Arial" w:cs="Arial"/>
          <w:color w:val="000000"/>
          <w:sz w:val="22"/>
          <w:szCs w:val="22"/>
          <w:lang w:eastAsia="fr-FR"/>
        </w:rPr>
        <w:t>Les</w:t>
      </w:r>
      <w:r w:rsidR="00220A4E" w:rsidRPr="00A64175">
        <w:rPr>
          <w:rFonts w:ascii="Arial" w:hAnsi="Arial" w:cs="Arial"/>
          <w:sz w:val="22"/>
          <w:szCs w:val="22"/>
        </w:rPr>
        <w:t xml:space="preserve"> acteurs et intervenants du marché</w:t>
      </w:r>
      <w:r w:rsidR="00E3787C" w:rsidRPr="00A64175">
        <w:rPr>
          <w:rFonts w:ascii="Arial" w:eastAsia="Times New Roman" w:hAnsi="Arial" w:cs="Arial"/>
          <w:color w:val="000000"/>
          <w:sz w:val="22"/>
          <w:szCs w:val="22"/>
          <w:lang w:eastAsia="fr-FR"/>
        </w:rPr>
        <w:t xml:space="preserve"> sont tenus d’appliquer des mesures de vigilance en matière de lutte contre le blanchiment de capitaux et le financement du terrorisme, en tenant </w:t>
      </w:r>
      <w:r w:rsidR="00365779" w:rsidRPr="00A64175">
        <w:rPr>
          <w:rFonts w:ascii="Arial" w:eastAsia="Times New Roman" w:hAnsi="Arial" w:cs="Arial"/>
          <w:color w:val="000000"/>
          <w:sz w:val="22"/>
          <w:szCs w:val="22"/>
          <w:lang w:eastAsia="fr-FR"/>
        </w:rPr>
        <w:t>compte de l’évaluation</w:t>
      </w:r>
      <w:r w:rsidR="00E3787C" w:rsidRPr="00A64175">
        <w:rPr>
          <w:rFonts w:ascii="Arial" w:eastAsia="Times New Roman" w:hAnsi="Arial" w:cs="Arial"/>
          <w:color w:val="000000"/>
          <w:sz w:val="22"/>
          <w:szCs w:val="22"/>
          <w:lang w:eastAsia="fr-FR"/>
        </w:rPr>
        <w:t xml:space="preserve"> des risques inhérents à leurs activités.</w:t>
      </w:r>
    </w:p>
    <w:p w14:paraId="339E28E9" w14:textId="2EBC1069" w:rsidR="0083098C" w:rsidRPr="00322DD3" w:rsidRDefault="00C42E94" w:rsidP="00322DD3">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Pr="00A64175">
        <w:rPr>
          <w:rFonts w:ascii="Arial" w:eastAsia="Times New Roman" w:hAnsi="Arial" w:cs="Arial"/>
          <w:color w:val="000000"/>
          <w:sz w:val="22"/>
          <w:szCs w:val="22"/>
          <w:lang w:eastAsia="fr-FR"/>
        </w:rPr>
        <w:t xml:space="preserve"> </w:t>
      </w:r>
      <w:r w:rsidR="00E3787C" w:rsidRPr="00A64175">
        <w:rPr>
          <w:rFonts w:ascii="Arial" w:eastAsia="Times New Roman" w:hAnsi="Arial" w:cs="Arial"/>
          <w:color w:val="000000"/>
          <w:sz w:val="22"/>
          <w:szCs w:val="22"/>
          <w:lang w:eastAsia="fr-FR"/>
        </w:rPr>
        <w:t xml:space="preserve">définissent et </w:t>
      </w:r>
      <w:r w:rsidRPr="00A64175">
        <w:rPr>
          <w:rFonts w:ascii="Arial" w:eastAsia="Times New Roman" w:hAnsi="Arial" w:cs="Arial"/>
          <w:color w:val="000000"/>
          <w:sz w:val="22"/>
          <w:szCs w:val="22"/>
          <w:lang w:eastAsia="fr-FR"/>
        </w:rPr>
        <w:t>mettent en place des procédures</w:t>
      </w:r>
      <w:r w:rsidR="00E3787C" w:rsidRPr="00A64175">
        <w:rPr>
          <w:rFonts w:ascii="Arial" w:eastAsia="Times New Roman" w:hAnsi="Arial" w:cs="Arial"/>
          <w:color w:val="000000"/>
          <w:sz w:val="22"/>
          <w:szCs w:val="22"/>
          <w:lang w:eastAsia="fr-FR"/>
        </w:rPr>
        <w:t xml:space="preserve"> d'identification et d'évaluatio</w:t>
      </w:r>
      <w:r w:rsidR="00541886" w:rsidRPr="00A64175">
        <w:rPr>
          <w:rFonts w:ascii="Arial" w:eastAsia="Times New Roman" w:hAnsi="Arial" w:cs="Arial"/>
          <w:color w:val="000000"/>
          <w:sz w:val="22"/>
          <w:szCs w:val="22"/>
          <w:lang w:eastAsia="fr-FR"/>
        </w:rPr>
        <w:t>n des risques de blanchiment de</w:t>
      </w:r>
      <w:r w:rsidR="00E3787C" w:rsidRPr="00A64175">
        <w:rPr>
          <w:rFonts w:ascii="Arial" w:eastAsia="Times New Roman" w:hAnsi="Arial" w:cs="Arial"/>
          <w:color w:val="000000"/>
          <w:sz w:val="22"/>
          <w:szCs w:val="22"/>
          <w:lang w:eastAsia="fr-FR"/>
        </w:rPr>
        <w:t xml:space="preserve"> capitaux et de finance</w:t>
      </w:r>
      <w:r w:rsidR="00541886" w:rsidRPr="00A64175">
        <w:rPr>
          <w:rFonts w:ascii="Arial" w:eastAsia="Times New Roman" w:hAnsi="Arial" w:cs="Arial"/>
          <w:color w:val="000000"/>
          <w:sz w:val="22"/>
          <w:szCs w:val="22"/>
          <w:lang w:eastAsia="fr-FR"/>
        </w:rPr>
        <w:t>ment du terrorisme auxquels ils sont exposé</w:t>
      </w:r>
      <w:r w:rsidR="00E3787C" w:rsidRPr="00A64175">
        <w:rPr>
          <w:rFonts w:ascii="Arial" w:eastAsia="Times New Roman" w:hAnsi="Arial" w:cs="Arial"/>
          <w:color w:val="000000"/>
          <w:sz w:val="22"/>
          <w:szCs w:val="22"/>
          <w:lang w:eastAsia="fr-FR"/>
        </w:rPr>
        <w:t>s ainsi qu'une polit</w:t>
      </w:r>
      <w:r w:rsidR="00541886" w:rsidRPr="00A64175">
        <w:rPr>
          <w:rFonts w:ascii="Arial" w:eastAsia="Times New Roman" w:hAnsi="Arial" w:cs="Arial"/>
          <w:color w:val="000000"/>
          <w:sz w:val="22"/>
          <w:szCs w:val="22"/>
          <w:lang w:eastAsia="fr-FR"/>
        </w:rPr>
        <w:t>ique adaptée à ces risques. Il</w:t>
      </w:r>
      <w:r w:rsidR="00E3787C" w:rsidRPr="00A64175">
        <w:rPr>
          <w:rFonts w:ascii="Arial" w:eastAsia="Times New Roman" w:hAnsi="Arial" w:cs="Arial"/>
          <w:color w:val="000000"/>
          <w:sz w:val="22"/>
          <w:szCs w:val="22"/>
          <w:lang w:eastAsia="fr-FR"/>
        </w:rPr>
        <w:t>s élaborent en particulier une classi</w:t>
      </w:r>
      <w:r w:rsidR="00365779" w:rsidRPr="00A64175">
        <w:rPr>
          <w:rFonts w:ascii="Arial" w:eastAsia="Times New Roman" w:hAnsi="Arial" w:cs="Arial"/>
          <w:color w:val="000000"/>
          <w:sz w:val="22"/>
          <w:szCs w:val="22"/>
          <w:lang w:eastAsia="fr-FR"/>
        </w:rPr>
        <w:t>fication desdits risques</w:t>
      </w:r>
      <w:r w:rsidR="00E3787C" w:rsidRPr="00A64175">
        <w:rPr>
          <w:rFonts w:ascii="Arial" w:eastAsia="Times New Roman" w:hAnsi="Arial" w:cs="Arial"/>
          <w:color w:val="000000"/>
          <w:sz w:val="22"/>
          <w:szCs w:val="22"/>
          <w:lang w:eastAsia="fr-FR"/>
        </w:rPr>
        <w:t xml:space="preserve"> en fonction de la nature des produits ou services offerts, des conditions de transaction proposées, des canaux de distribution utilisés, des caractéristiques des clients, ai</w:t>
      </w:r>
      <w:r w:rsidR="00365779" w:rsidRPr="00A64175">
        <w:rPr>
          <w:rFonts w:ascii="Arial" w:eastAsia="Times New Roman" w:hAnsi="Arial" w:cs="Arial"/>
          <w:color w:val="000000"/>
          <w:sz w:val="22"/>
          <w:szCs w:val="22"/>
          <w:lang w:eastAsia="fr-FR"/>
        </w:rPr>
        <w:t xml:space="preserve">nsi que du lieu </w:t>
      </w:r>
      <w:r w:rsidR="00E3787C" w:rsidRPr="00A64175">
        <w:rPr>
          <w:rFonts w:ascii="Arial" w:eastAsia="Times New Roman" w:hAnsi="Arial" w:cs="Arial"/>
          <w:color w:val="000000"/>
          <w:sz w:val="22"/>
          <w:szCs w:val="22"/>
          <w:lang w:eastAsia="fr-FR"/>
        </w:rPr>
        <w:t xml:space="preserve"> </w:t>
      </w:r>
      <w:r w:rsidR="00365779" w:rsidRPr="00A64175">
        <w:rPr>
          <w:rFonts w:ascii="Arial" w:eastAsia="Times New Roman" w:hAnsi="Arial" w:cs="Arial"/>
          <w:color w:val="000000"/>
          <w:sz w:val="22"/>
          <w:szCs w:val="22"/>
          <w:lang w:eastAsia="fr-FR"/>
        </w:rPr>
        <w:t xml:space="preserve">d'origine ou de </w:t>
      </w:r>
      <w:r w:rsidR="00322DD3">
        <w:rPr>
          <w:rFonts w:ascii="Arial" w:eastAsia="Times New Roman" w:hAnsi="Arial" w:cs="Arial"/>
          <w:color w:val="000000"/>
          <w:sz w:val="22"/>
          <w:szCs w:val="22"/>
          <w:lang w:eastAsia="fr-FR"/>
        </w:rPr>
        <w:t>destination des fonds.</w:t>
      </w:r>
    </w:p>
    <w:p w14:paraId="55944F2E" w14:textId="77777777" w:rsidR="0083098C" w:rsidRPr="00A64175" w:rsidRDefault="0083098C" w:rsidP="00A64175">
      <w:pPr>
        <w:jc w:val="both"/>
        <w:rPr>
          <w:rFonts w:ascii="Arial" w:hAnsi="Arial" w:cs="Arial"/>
          <w:b/>
          <w:sz w:val="22"/>
          <w:szCs w:val="22"/>
        </w:rPr>
      </w:pPr>
    </w:p>
    <w:p w14:paraId="205DAEED" w14:textId="18F54321" w:rsidR="000C6878"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8</w:t>
      </w:r>
      <w:r w:rsidR="00BB1AFC">
        <w:rPr>
          <w:rFonts w:ascii="Arial" w:hAnsi="Arial" w:cs="Arial"/>
          <w:b/>
          <w:bCs/>
          <w:color w:val="000000"/>
          <w:sz w:val="22"/>
          <w:szCs w:val="22"/>
        </w:rPr>
        <w:t>3</w:t>
      </w:r>
      <w:r w:rsidR="00541886" w:rsidRPr="00A64175">
        <w:rPr>
          <w:rFonts w:ascii="Arial" w:hAnsi="Arial" w:cs="Arial"/>
          <w:b/>
          <w:bCs/>
          <w:color w:val="000000"/>
          <w:sz w:val="22"/>
          <w:szCs w:val="22"/>
        </w:rPr>
        <w:t xml:space="preserve">. </w:t>
      </w:r>
      <w:r w:rsidR="00541886" w:rsidRPr="00A64175">
        <w:rPr>
          <w:rFonts w:ascii="Arial" w:hAnsi="Arial" w:cs="Arial"/>
          <w:color w:val="000000"/>
          <w:kern w:val="1"/>
          <w:sz w:val="22"/>
          <w:szCs w:val="22"/>
        </w:rPr>
        <w:t xml:space="preserve">– </w:t>
      </w:r>
      <w:r w:rsidR="0059289C" w:rsidRPr="00A64175">
        <w:rPr>
          <w:rFonts w:ascii="Arial" w:eastAsia="Times New Roman" w:hAnsi="Arial" w:cs="Arial"/>
          <w:color w:val="000000"/>
          <w:sz w:val="22"/>
          <w:szCs w:val="22"/>
          <w:lang w:eastAsia="fr-FR"/>
        </w:rPr>
        <w:t xml:space="preserve">Avant d'entrer en relation d'affaires avec leur client ou de l'assister dans la préparation ou la réalisation d'une transaction, les </w:t>
      </w:r>
      <w:r w:rsidR="001C251C" w:rsidRPr="00A64175">
        <w:rPr>
          <w:rFonts w:ascii="Arial" w:eastAsia="Times New Roman" w:hAnsi="Arial" w:cs="Arial"/>
          <w:color w:val="000000"/>
          <w:sz w:val="22"/>
          <w:szCs w:val="22"/>
          <w:lang w:eastAsia="fr-FR"/>
        </w:rPr>
        <w:t xml:space="preserve">acteurs ou intervenants du marché </w:t>
      </w:r>
      <w:r w:rsidR="0059289C" w:rsidRPr="00A64175">
        <w:rPr>
          <w:rFonts w:ascii="Arial" w:eastAsia="Times New Roman" w:hAnsi="Arial" w:cs="Arial"/>
          <w:color w:val="000000"/>
          <w:sz w:val="22"/>
          <w:szCs w:val="22"/>
          <w:lang w:eastAsia="fr-FR"/>
        </w:rPr>
        <w:t>:</w:t>
      </w:r>
    </w:p>
    <w:p w14:paraId="4C4120FC" w14:textId="70E0E29D" w:rsidR="000C6878" w:rsidRPr="00A64175" w:rsidRDefault="000C6878" w:rsidP="00A64175">
      <w:pPr>
        <w:pStyle w:val="Paragraphedeliste"/>
        <w:numPr>
          <w:ilvl w:val="0"/>
          <w:numId w:val="22"/>
        </w:numPr>
        <w:autoSpaceDE w:val="0"/>
        <w:adjustRightInd w:val="0"/>
        <w:rPr>
          <w:color w:val="000000"/>
          <w:sz w:val="22"/>
          <w:szCs w:val="22"/>
        </w:rPr>
      </w:pPr>
      <w:r w:rsidRPr="00A64175">
        <w:rPr>
          <w:color w:val="000000"/>
          <w:sz w:val="22"/>
          <w:szCs w:val="22"/>
        </w:rPr>
        <w:t>identifient le client et vérifient son identité au moyen de documents, données et informations de sources fiables et indépendantes ;</w:t>
      </w:r>
    </w:p>
    <w:p w14:paraId="4132EC26" w14:textId="5E7759A5" w:rsidR="00664321" w:rsidRPr="00A64175" w:rsidRDefault="000C6878" w:rsidP="00A64175">
      <w:pPr>
        <w:pStyle w:val="Paragraphedeliste"/>
        <w:numPr>
          <w:ilvl w:val="0"/>
          <w:numId w:val="22"/>
        </w:numPr>
        <w:autoSpaceDE w:val="0"/>
        <w:adjustRightInd w:val="0"/>
        <w:rPr>
          <w:color w:val="000000"/>
          <w:sz w:val="22"/>
          <w:szCs w:val="22"/>
        </w:rPr>
      </w:pPr>
      <w:r w:rsidRPr="00A64175">
        <w:rPr>
          <w:color w:val="000000"/>
          <w:sz w:val="22"/>
          <w:szCs w:val="22"/>
        </w:rPr>
        <w:t>identifient le bénéficiaire effectif et prennent des mesures raisonnables pour vérifier son identité de manière à écarter tout doute sur l’identité du bénéficiaire effectif. S’agissant des personnes morales et des constructions juridiques, les acteurs et intervenants du marché doivent, en toute circonstances, comprendre la structure de propriété et de contrôle du client ;</w:t>
      </w:r>
    </w:p>
    <w:p w14:paraId="6B6B8F22" w14:textId="2C40D5F9" w:rsidR="000C6878" w:rsidRPr="00A64175" w:rsidRDefault="00664321" w:rsidP="00A64175">
      <w:pPr>
        <w:pStyle w:val="Paragraphedeliste"/>
        <w:numPr>
          <w:ilvl w:val="0"/>
          <w:numId w:val="22"/>
        </w:numPr>
        <w:autoSpaceDE w:val="0"/>
        <w:adjustRightInd w:val="0"/>
        <w:rPr>
          <w:color w:val="000000"/>
          <w:sz w:val="22"/>
          <w:szCs w:val="22"/>
        </w:rPr>
      </w:pPr>
      <w:r w:rsidRPr="00A64175">
        <w:rPr>
          <w:color w:val="000000"/>
          <w:sz w:val="22"/>
          <w:szCs w:val="22"/>
        </w:rPr>
        <w:t xml:space="preserve">doivent </w:t>
      </w:r>
      <w:r w:rsidR="000C6878" w:rsidRPr="00A64175">
        <w:rPr>
          <w:color w:val="000000"/>
          <w:sz w:val="22"/>
          <w:szCs w:val="22"/>
        </w:rPr>
        <w:t xml:space="preserve">comprendre et, le cas échéant, obtenir des informations sur </w:t>
      </w:r>
      <w:r w:rsidRPr="00A64175">
        <w:rPr>
          <w:color w:val="000000"/>
          <w:sz w:val="22"/>
          <w:szCs w:val="22"/>
        </w:rPr>
        <w:t>l’objet et la nature de la relation d’affaires envisagée ;</w:t>
      </w:r>
    </w:p>
    <w:p w14:paraId="38891479" w14:textId="69288FBA" w:rsidR="003F1F50" w:rsidRPr="00A64175" w:rsidRDefault="00664321" w:rsidP="00A64175">
      <w:pPr>
        <w:pStyle w:val="Paragraphedeliste"/>
        <w:numPr>
          <w:ilvl w:val="0"/>
          <w:numId w:val="22"/>
        </w:numPr>
        <w:autoSpaceDE w:val="0"/>
        <w:adjustRightInd w:val="0"/>
        <w:rPr>
          <w:color w:val="000000"/>
          <w:sz w:val="22"/>
          <w:szCs w:val="22"/>
        </w:rPr>
      </w:pPr>
      <w:r w:rsidRPr="00A64175">
        <w:rPr>
          <w:color w:val="000000"/>
          <w:sz w:val="22"/>
          <w:szCs w:val="22"/>
        </w:rPr>
        <w:t xml:space="preserve">doivent </w:t>
      </w:r>
      <w:r w:rsidR="000C6878" w:rsidRPr="00A64175">
        <w:rPr>
          <w:color w:val="000000"/>
          <w:sz w:val="22"/>
          <w:szCs w:val="22"/>
        </w:rPr>
        <w:t>exercer une vigilance constante</w:t>
      </w:r>
      <w:r w:rsidRPr="00A64175">
        <w:rPr>
          <w:color w:val="000000"/>
          <w:sz w:val="22"/>
          <w:szCs w:val="22"/>
        </w:rPr>
        <w:t xml:space="preserve"> à l’égard de la relation d’affaires et assurer un examen attentif des opérations effectuées pendant toute la durée de cette relation d’affaires, afin de s’assurer qu’elles sont cohérentes</w:t>
      </w:r>
      <w:r w:rsidR="00991F2B" w:rsidRPr="00A64175">
        <w:rPr>
          <w:color w:val="000000"/>
          <w:sz w:val="22"/>
          <w:szCs w:val="22"/>
        </w:rPr>
        <w:t xml:space="preserve"> notamment</w:t>
      </w:r>
      <w:r w:rsidRPr="00A64175">
        <w:rPr>
          <w:color w:val="000000"/>
          <w:sz w:val="22"/>
          <w:szCs w:val="22"/>
        </w:rPr>
        <w:t xml:space="preserve"> avec </w:t>
      </w:r>
      <w:r w:rsidR="00991F2B" w:rsidRPr="00A64175">
        <w:rPr>
          <w:color w:val="000000"/>
          <w:sz w:val="22"/>
          <w:szCs w:val="22"/>
        </w:rPr>
        <w:t>le profil de risque du client</w:t>
      </w:r>
      <w:r w:rsidRPr="00A64175">
        <w:rPr>
          <w:color w:val="000000"/>
          <w:sz w:val="22"/>
          <w:szCs w:val="22"/>
        </w:rPr>
        <w:t>.</w:t>
      </w:r>
    </w:p>
    <w:p w14:paraId="5A79897A" w14:textId="141D03F6" w:rsidR="0059289C" w:rsidRPr="00A64175" w:rsidRDefault="00095C8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8</w:t>
      </w:r>
      <w:r w:rsidR="00BB1AFC">
        <w:rPr>
          <w:rFonts w:ascii="Arial" w:hAnsi="Arial" w:cs="Arial"/>
          <w:b/>
          <w:bCs/>
          <w:color w:val="000000"/>
          <w:sz w:val="22"/>
          <w:szCs w:val="22"/>
        </w:rPr>
        <w:t>4</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653CBC"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00653CBC" w:rsidRPr="00A64175">
        <w:rPr>
          <w:rFonts w:ascii="Arial" w:eastAsia="Times New Roman" w:hAnsi="Arial" w:cs="Arial"/>
          <w:color w:val="000000"/>
          <w:sz w:val="22"/>
          <w:szCs w:val="22"/>
          <w:lang w:eastAsia="fr-FR"/>
        </w:rPr>
        <w:t xml:space="preserve"> </w:t>
      </w:r>
      <w:r w:rsidR="0059289C" w:rsidRPr="00A64175">
        <w:rPr>
          <w:rFonts w:ascii="Arial" w:eastAsia="Times New Roman" w:hAnsi="Arial" w:cs="Arial"/>
          <w:color w:val="000000"/>
          <w:sz w:val="22"/>
          <w:szCs w:val="22"/>
          <w:lang w:eastAsia="fr-FR"/>
        </w:rPr>
        <w:t xml:space="preserve">identifient et vérifient </w:t>
      </w:r>
      <w:r w:rsidR="005B1FCD" w:rsidRPr="00A64175">
        <w:rPr>
          <w:rFonts w:ascii="Arial" w:eastAsia="Times New Roman" w:hAnsi="Arial" w:cs="Arial"/>
          <w:color w:val="000000"/>
          <w:sz w:val="22"/>
          <w:szCs w:val="22"/>
          <w:lang w:eastAsia="fr-FR"/>
        </w:rPr>
        <w:t xml:space="preserve"> </w:t>
      </w:r>
      <w:r w:rsidR="0059289C" w:rsidRPr="00A64175">
        <w:rPr>
          <w:rFonts w:ascii="Arial" w:eastAsia="Times New Roman" w:hAnsi="Arial" w:cs="Arial"/>
          <w:color w:val="000000"/>
          <w:sz w:val="22"/>
          <w:szCs w:val="22"/>
          <w:lang w:eastAsia="fr-FR"/>
        </w:rPr>
        <w:t>l'identité de leurs clients occasionnels et, le cas échéant, de leurs bénéficiaires effectifs, lorsqu'elles soupçonnent qu'une opération pourrait participer au blanchiment des capitaux ou au financement du terrorisme ou lorsque les opérations sont d'une certaine nature ou dépassent un certain montant</w:t>
      </w:r>
      <w:r w:rsidR="005B1FCD" w:rsidRPr="00A64175">
        <w:rPr>
          <w:rFonts w:ascii="Arial" w:eastAsia="Times New Roman" w:hAnsi="Arial" w:cs="Arial"/>
          <w:color w:val="000000"/>
          <w:sz w:val="22"/>
          <w:szCs w:val="22"/>
          <w:lang w:eastAsia="fr-FR"/>
        </w:rPr>
        <w:t>. La nature</w:t>
      </w:r>
      <w:r w:rsidR="00653CBC" w:rsidRPr="00A64175">
        <w:rPr>
          <w:rFonts w:ascii="Arial" w:eastAsia="Times New Roman" w:hAnsi="Arial" w:cs="Arial"/>
          <w:color w:val="000000"/>
          <w:sz w:val="22"/>
          <w:szCs w:val="22"/>
          <w:lang w:eastAsia="fr-FR"/>
        </w:rPr>
        <w:t xml:space="preserve"> d</w:t>
      </w:r>
      <w:r w:rsidR="005B1FCD" w:rsidRPr="00A64175">
        <w:rPr>
          <w:rFonts w:ascii="Arial" w:eastAsia="Times New Roman" w:hAnsi="Arial" w:cs="Arial"/>
          <w:color w:val="000000"/>
          <w:sz w:val="22"/>
          <w:szCs w:val="22"/>
          <w:lang w:eastAsia="fr-FR"/>
        </w:rPr>
        <w:t>es opérations visées au présent paragraphe et leur montant sont précisés dans une instruction de la COSUMAF</w:t>
      </w:r>
      <w:r w:rsidR="0059289C" w:rsidRPr="00A64175">
        <w:rPr>
          <w:rFonts w:ascii="Arial" w:eastAsia="Times New Roman" w:hAnsi="Arial" w:cs="Arial"/>
          <w:color w:val="000000"/>
          <w:sz w:val="22"/>
          <w:szCs w:val="22"/>
          <w:lang w:eastAsia="fr-FR"/>
        </w:rPr>
        <w:t>.</w:t>
      </w:r>
    </w:p>
    <w:p w14:paraId="35AE7E10" w14:textId="382DA5F8" w:rsidR="0083098C" w:rsidRPr="00A64175" w:rsidRDefault="00A0656E" w:rsidP="00A64175">
      <w:pPr>
        <w:jc w:val="both"/>
        <w:rPr>
          <w:rFonts w:ascii="Arial" w:hAnsi="Arial" w:cs="Arial"/>
          <w:sz w:val="22"/>
          <w:szCs w:val="22"/>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8</w:t>
      </w:r>
      <w:r w:rsidR="00BB1AFC">
        <w:rPr>
          <w:rFonts w:ascii="Arial" w:hAnsi="Arial" w:cs="Arial"/>
          <w:b/>
          <w:bCs/>
          <w:color w:val="000000"/>
          <w:sz w:val="22"/>
          <w:szCs w:val="22"/>
        </w:rPr>
        <w:t>5</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CD6B87" w:rsidRPr="00A64175">
        <w:rPr>
          <w:rFonts w:ascii="Arial" w:hAnsi="Arial" w:cs="Arial"/>
          <w:sz w:val="22"/>
          <w:szCs w:val="22"/>
        </w:rPr>
        <w:t>Le client occasionnel s’entend de toute personne physique ou morale ou toute structure, dotée ou non de la personnalité morale, qui réalise une opération ponctuelle</w:t>
      </w:r>
      <w:r w:rsidRPr="00A64175">
        <w:rPr>
          <w:rFonts w:ascii="Arial" w:hAnsi="Arial" w:cs="Arial"/>
          <w:sz w:val="22"/>
          <w:szCs w:val="22"/>
        </w:rPr>
        <w:t xml:space="preserve"> auprès d’un acteur ou intervenant du marché</w:t>
      </w:r>
      <w:r w:rsidR="00CD6B87" w:rsidRPr="00A64175">
        <w:rPr>
          <w:rFonts w:ascii="Arial" w:hAnsi="Arial" w:cs="Arial"/>
          <w:sz w:val="22"/>
          <w:szCs w:val="22"/>
        </w:rPr>
        <w:t xml:space="preserve"> ou qui ne recourt </w:t>
      </w:r>
      <w:r w:rsidRPr="00A64175">
        <w:rPr>
          <w:rFonts w:ascii="Arial" w:hAnsi="Arial" w:cs="Arial"/>
          <w:sz w:val="22"/>
          <w:szCs w:val="22"/>
        </w:rPr>
        <w:t>pas de manière régulière aux services offerts par un acteur ou intervenant du marché.</w:t>
      </w:r>
    </w:p>
    <w:p w14:paraId="012AEA4D" w14:textId="77777777" w:rsidR="00A0656E" w:rsidRPr="00A64175" w:rsidRDefault="00A0656E" w:rsidP="00A64175">
      <w:pPr>
        <w:jc w:val="both"/>
        <w:rPr>
          <w:rFonts w:ascii="Arial" w:hAnsi="Arial" w:cs="Arial"/>
          <w:sz w:val="22"/>
          <w:szCs w:val="22"/>
        </w:rPr>
      </w:pPr>
    </w:p>
    <w:p w14:paraId="17680F77" w14:textId="7FCE5B7D" w:rsidR="00CD6B87" w:rsidRPr="00A64175" w:rsidRDefault="00A0656E" w:rsidP="00A64175">
      <w:pPr>
        <w:jc w:val="both"/>
        <w:rPr>
          <w:rFonts w:ascii="Arial" w:hAnsi="Arial" w:cs="Arial"/>
          <w:sz w:val="22"/>
          <w:szCs w:val="22"/>
        </w:rPr>
      </w:pPr>
      <w:r w:rsidRPr="00A64175">
        <w:rPr>
          <w:rFonts w:ascii="Arial" w:hAnsi="Arial" w:cs="Arial"/>
          <w:sz w:val="22"/>
          <w:szCs w:val="22"/>
        </w:rPr>
        <w:t xml:space="preserve">L’opération ponctuelle </w:t>
      </w:r>
      <w:r w:rsidR="00E80077" w:rsidRPr="00A64175">
        <w:rPr>
          <w:rFonts w:ascii="Arial" w:hAnsi="Arial" w:cs="Arial"/>
          <w:sz w:val="22"/>
          <w:szCs w:val="22"/>
        </w:rPr>
        <w:t>peut se traduire soit par une seule opération soit par plusieurs opérations liées entre elles.</w:t>
      </w:r>
    </w:p>
    <w:p w14:paraId="73B047CB" w14:textId="77777777" w:rsidR="00A0656E" w:rsidRPr="00A64175" w:rsidRDefault="00A0656E" w:rsidP="00A64175">
      <w:pPr>
        <w:jc w:val="both"/>
        <w:rPr>
          <w:rFonts w:ascii="Arial" w:hAnsi="Arial" w:cs="Arial"/>
          <w:sz w:val="22"/>
          <w:szCs w:val="22"/>
        </w:rPr>
      </w:pPr>
    </w:p>
    <w:p w14:paraId="66357262" w14:textId="4A44FE60" w:rsidR="00CD6B87" w:rsidRPr="00A64175" w:rsidRDefault="00E80077" w:rsidP="00A64175">
      <w:pPr>
        <w:jc w:val="both"/>
        <w:rPr>
          <w:rFonts w:ascii="Arial" w:hAnsi="Arial" w:cs="Arial"/>
          <w:sz w:val="22"/>
          <w:szCs w:val="22"/>
        </w:rPr>
      </w:pPr>
      <w:r w:rsidRPr="00A64175">
        <w:rPr>
          <w:rFonts w:ascii="Arial" w:hAnsi="Arial" w:cs="Arial"/>
          <w:b/>
          <w:bCs/>
          <w:color w:val="000000"/>
          <w:sz w:val="22"/>
          <w:szCs w:val="22"/>
        </w:rPr>
        <w:t xml:space="preserve">Article </w:t>
      </w:r>
      <w:r w:rsidR="004034DD" w:rsidRPr="00A64175">
        <w:rPr>
          <w:rFonts w:ascii="Arial" w:hAnsi="Arial" w:cs="Arial"/>
          <w:b/>
          <w:bCs/>
          <w:color w:val="000000"/>
          <w:sz w:val="22"/>
          <w:szCs w:val="22"/>
        </w:rPr>
        <w:t>8</w:t>
      </w:r>
      <w:r w:rsidR="00BB1AFC">
        <w:rPr>
          <w:rFonts w:ascii="Arial" w:hAnsi="Arial" w:cs="Arial"/>
          <w:b/>
          <w:bCs/>
          <w:color w:val="000000"/>
          <w:sz w:val="22"/>
          <w:szCs w:val="22"/>
        </w:rPr>
        <w:t>6</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A0656E" w:rsidRPr="00A64175">
        <w:rPr>
          <w:rFonts w:ascii="Arial" w:hAnsi="Arial" w:cs="Arial"/>
          <w:sz w:val="22"/>
          <w:szCs w:val="22"/>
        </w:rPr>
        <w:t xml:space="preserve">Le bénéficiaire effectif </w:t>
      </w:r>
      <w:r w:rsidRPr="00A64175">
        <w:rPr>
          <w:rFonts w:ascii="Arial" w:hAnsi="Arial" w:cs="Arial"/>
          <w:sz w:val="22"/>
          <w:szCs w:val="22"/>
        </w:rPr>
        <w:t xml:space="preserve">désigne toute personne physique </w:t>
      </w:r>
      <w:r w:rsidR="00BB5A54" w:rsidRPr="00A64175">
        <w:rPr>
          <w:rFonts w:ascii="Arial" w:hAnsi="Arial" w:cs="Arial"/>
          <w:sz w:val="22"/>
          <w:szCs w:val="22"/>
        </w:rPr>
        <w:t>qui détient ou exerce,</w:t>
      </w:r>
      <w:r w:rsidR="00F87EDA" w:rsidRPr="00A64175">
        <w:rPr>
          <w:rFonts w:ascii="Arial" w:hAnsi="Arial" w:cs="Arial"/>
          <w:sz w:val="22"/>
          <w:szCs w:val="22"/>
        </w:rPr>
        <w:t xml:space="preserve"> en dernier ressort</w:t>
      </w:r>
      <w:r w:rsidR="00BB5A54" w:rsidRPr="00A64175">
        <w:rPr>
          <w:rFonts w:ascii="Arial" w:hAnsi="Arial" w:cs="Arial"/>
          <w:sz w:val="22"/>
          <w:szCs w:val="22"/>
        </w:rPr>
        <w:t>,</w:t>
      </w:r>
      <w:r w:rsidR="00F87EDA" w:rsidRPr="00A64175">
        <w:rPr>
          <w:rFonts w:ascii="Arial" w:hAnsi="Arial" w:cs="Arial"/>
          <w:sz w:val="22"/>
          <w:szCs w:val="22"/>
        </w:rPr>
        <w:t xml:space="preserve"> un contrôle sur le client, ou toute personne physique pour le compte de laquelle une opération est </w:t>
      </w:r>
      <w:r w:rsidR="00BB5A54" w:rsidRPr="00A64175">
        <w:rPr>
          <w:rFonts w:ascii="Arial" w:hAnsi="Arial" w:cs="Arial"/>
          <w:sz w:val="22"/>
          <w:szCs w:val="22"/>
        </w:rPr>
        <w:t>réalisée.</w:t>
      </w:r>
    </w:p>
    <w:p w14:paraId="13A782A3" w14:textId="77777777" w:rsidR="00BB5A54" w:rsidRPr="00A64175" w:rsidRDefault="00BB5A54" w:rsidP="00A64175">
      <w:pPr>
        <w:jc w:val="both"/>
        <w:rPr>
          <w:rFonts w:ascii="Arial" w:hAnsi="Arial" w:cs="Arial"/>
          <w:sz w:val="22"/>
          <w:szCs w:val="22"/>
        </w:rPr>
      </w:pPr>
    </w:p>
    <w:p w14:paraId="1C4B6149" w14:textId="5A45180C" w:rsidR="00BB5A54" w:rsidRPr="00A64175" w:rsidRDefault="00BB5A54" w:rsidP="00A64175">
      <w:pPr>
        <w:jc w:val="both"/>
        <w:rPr>
          <w:rFonts w:ascii="Arial" w:hAnsi="Arial" w:cs="Arial"/>
          <w:sz w:val="22"/>
          <w:szCs w:val="22"/>
        </w:rPr>
      </w:pPr>
      <w:r w:rsidRPr="00A64175">
        <w:rPr>
          <w:rFonts w:ascii="Arial" w:hAnsi="Arial" w:cs="Arial"/>
          <w:sz w:val="22"/>
          <w:szCs w:val="22"/>
        </w:rPr>
        <w:t>Lorsque le client est une personne morale constituée sous forme de société, le bénéficiaire effectif désigne la personne physique exerce, par tout moyen, un contrôle effectif sur les organes d’administration, de direction ou de gestion de la société ou sur les assemblées générales.</w:t>
      </w:r>
    </w:p>
    <w:p w14:paraId="473F32FB" w14:textId="77777777" w:rsidR="00A0656E" w:rsidRPr="00A64175" w:rsidRDefault="00A0656E" w:rsidP="00A64175">
      <w:pPr>
        <w:jc w:val="both"/>
        <w:rPr>
          <w:rFonts w:ascii="Arial" w:hAnsi="Arial" w:cs="Arial"/>
          <w:sz w:val="22"/>
          <w:szCs w:val="22"/>
        </w:rPr>
      </w:pPr>
    </w:p>
    <w:p w14:paraId="5E939DB9" w14:textId="53DF7633" w:rsidR="00A0656E" w:rsidRPr="00A64175" w:rsidRDefault="004034DD" w:rsidP="00A64175">
      <w:pPr>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927CA5" w:rsidRPr="00A64175">
        <w:rPr>
          <w:rFonts w:ascii="Arial" w:hAnsi="Arial" w:cs="Arial"/>
          <w:b/>
          <w:bCs/>
          <w:color w:val="000000"/>
          <w:sz w:val="22"/>
          <w:szCs w:val="22"/>
        </w:rPr>
        <w:t>8</w:t>
      </w:r>
      <w:r w:rsidR="00BB1AFC">
        <w:rPr>
          <w:rFonts w:ascii="Arial" w:hAnsi="Arial" w:cs="Arial"/>
          <w:b/>
          <w:bCs/>
          <w:color w:val="000000"/>
          <w:sz w:val="22"/>
          <w:szCs w:val="22"/>
        </w:rPr>
        <w:t>7</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L’identification des personnes physiques par les acteurs ou intervenants du marché donne lieu à la production de documents d’identité officiels et originaux en cours de validité, comportant une photographie, dont il est pri</w:t>
      </w:r>
      <w:r w:rsidR="004B4CEE">
        <w:rPr>
          <w:rFonts w:ascii="Arial" w:eastAsia="Times New Roman" w:hAnsi="Arial" w:cs="Arial"/>
          <w:color w:val="000000"/>
          <w:sz w:val="22"/>
          <w:szCs w:val="22"/>
          <w:lang w:eastAsia="fr-FR"/>
        </w:rPr>
        <w:t>s</w:t>
      </w:r>
      <w:r w:rsidRPr="00A64175">
        <w:rPr>
          <w:rFonts w:ascii="Arial" w:eastAsia="Times New Roman" w:hAnsi="Arial" w:cs="Arial"/>
          <w:color w:val="000000"/>
          <w:sz w:val="22"/>
          <w:szCs w:val="22"/>
          <w:lang w:eastAsia="fr-FR"/>
        </w:rPr>
        <w:t xml:space="preserve"> une photocopie. </w:t>
      </w:r>
    </w:p>
    <w:p w14:paraId="11E0C62A" w14:textId="77777777" w:rsidR="004034DD" w:rsidRPr="00A64175" w:rsidRDefault="004034DD" w:rsidP="00A64175">
      <w:pPr>
        <w:jc w:val="both"/>
        <w:rPr>
          <w:rFonts w:ascii="Arial" w:eastAsia="Times New Roman" w:hAnsi="Arial" w:cs="Arial"/>
          <w:color w:val="000000"/>
          <w:sz w:val="22"/>
          <w:szCs w:val="22"/>
          <w:lang w:eastAsia="fr-FR"/>
        </w:rPr>
      </w:pPr>
    </w:p>
    <w:p w14:paraId="771F0409" w14:textId="0F190582" w:rsidR="004034DD" w:rsidRPr="00A64175" w:rsidRDefault="004034DD" w:rsidP="00A64175">
      <w:pPr>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L’identification des personnes morales donne lieu à la production des statuts ou de tout autre document officiel</w:t>
      </w:r>
      <w:r w:rsidR="00BF4211" w:rsidRPr="00A64175">
        <w:rPr>
          <w:rFonts w:ascii="Arial" w:eastAsia="Times New Roman" w:hAnsi="Arial" w:cs="Arial"/>
          <w:color w:val="000000"/>
          <w:sz w:val="22"/>
          <w:szCs w:val="22"/>
          <w:lang w:eastAsia="fr-FR"/>
        </w:rPr>
        <w:t>, dont il est pris une photocopie,</w:t>
      </w:r>
      <w:r w:rsidRPr="00A64175">
        <w:rPr>
          <w:rFonts w:ascii="Arial" w:eastAsia="Times New Roman" w:hAnsi="Arial" w:cs="Arial"/>
          <w:color w:val="000000"/>
          <w:sz w:val="22"/>
          <w:szCs w:val="22"/>
          <w:lang w:eastAsia="fr-FR"/>
        </w:rPr>
        <w:t xml:space="preserve"> établissant que la structure est légalement constituée</w:t>
      </w:r>
      <w:r w:rsidR="00BF4211" w:rsidRPr="00A64175">
        <w:rPr>
          <w:rFonts w:ascii="Arial" w:eastAsia="Times New Roman" w:hAnsi="Arial" w:cs="Arial"/>
          <w:color w:val="000000"/>
          <w:sz w:val="22"/>
          <w:szCs w:val="22"/>
          <w:lang w:eastAsia="fr-FR"/>
        </w:rPr>
        <w:t xml:space="preserve"> et qu’elle a une existence réelle. </w:t>
      </w:r>
    </w:p>
    <w:p w14:paraId="7BEAB1BF" w14:textId="77777777" w:rsidR="004034DD" w:rsidRPr="00A64175" w:rsidRDefault="004034DD" w:rsidP="00A64175">
      <w:pPr>
        <w:jc w:val="both"/>
        <w:rPr>
          <w:rFonts w:ascii="Arial" w:hAnsi="Arial" w:cs="Arial"/>
          <w:sz w:val="22"/>
          <w:szCs w:val="22"/>
        </w:rPr>
      </w:pPr>
    </w:p>
    <w:p w14:paraId="4C66DE07" w14:textId="24E10E57" w:rsidR="00BF4211" w:rsidRPr="00A64175" w:rsidRDefault="00BF4211" w:rsidP="00A64175">
      <w:pPr>
        <w:jc w:val="both"/>
        <w:rPr>
          <w:rFonts w:ascii="Arial" w:hAnsi="Arial" w:cs="Arial"/>
          <w:sz w:val="22"/>
          <w:szCs w:val="22"/>
        </w:rPr>
      </w:pPr>
      <w:r w:rsidRPr="00A64175">
        <w:rPr>
          <w:rFonts w:ascii="Arial" w:hAnsi="Arial" w:cs="Arial"/>
          <w:sz w:val="22"/>
          <w:szCs w:val="22"/>
        </w:rPr>
        <w:t>Lorsque la vérification de l’identité a lieu en l’absence de la personne physique ou du représentant de la personne morale, l’acteur ou intervenant du marché doit mettre en œuvre des mesures de vigilance complémentaires.</w:t>
      </w:r>
    </w:p>
    <w:p w14:paraId="4DF508FE" w14:textId="77777777" w:rsidR="00BF4211" w:rsidRPr="00A64175" w:rsidRDefault="00BF4211" w:rsidP="00A64175">
      <w:pPr>
        <w:jc w:val="both"/>
        <w:rPr>
          <w:rFonts w:ascii="Arial" w:hAnsi="Arial" w:cs="Arial"/>
          <w:sz w:val="22"/>
          <w:szCs w:val="22"/>
        </w:rPr>
      </w:pPr>
    </w:p>
    <w:p w14:paraId="582F4B62" w14:textId="3EC66DC0" w:rsidR="00FE7DDA" w:rsidRPr="00A64175" w:rsidRDefault="00FE7DDA" w:rsidP="00A64175">
      <w:pPr>
        <w:jc w:val="both"/>
        <w:rPr>
          <w:rFonts w:ascii="Arial" w:hAnsi="Arial" w:cs="Arial"/>
          <w:sz w:val="22"/>
          <w:szCs w:val="22"/>
        </w:rPr>
      </w:pPr>
      <w:r w:rsidRPr="00A64175">
        <w:rPr>
          <w:rFonts w:ascii="Arial" w:hAnsi="Arial" w:cs="Arial"/>
          <w:b/>
          <w:bCs/>
          <w:color w:val="000000"/>
          <w:sz w:val="22"/>
          <w:szCs w:val="22"/>
        </w:rPr>
        <w:t xml:space="preserve">Article </w:t>
      </w:r>
      <w:r w:rsidR="00927CA5" w:rsidRPr="00A64175">
        <w:rPr>
          <w:rFonts w:ascii="Arial" w:hAnsi="Arial" w:cs="Arial"/>
          <w:b/>
          <w:bCs/>
          <w:color w:val="000000"/>
          <w:sz w:val="22"/>
          <w:szCs w:val="22"/>
        </w:rPr>
        <w:t>8</w:t>
      </w:r>
      <w:r w:rsidR="00BB1AFC">
        <w:rPr>
          <w:rFonts w:ascii="Arial" w:hAnsi="Arial" w:cs="Arial"/>
          <w:b/>
          <w:bCs/>
          <w:color w:val="000000"/>
          <w:sz w:val="22"/>
          <w:szCs w:val="22"/>
        </w:rPr>
        <w:t>8</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La bonne identification du client s’impose comme une obligation déontologique qui doit conduire les acteurs ou intervenants du marché à n’intervenir que pour le compte de clients dont l’identité</w:t>
      </w:r>
      <w:r w:rsidR="000F404F" w:rsidRPr="00A64175">
        <w:rPr>
          <w:rFonts w:ascii="Arial" w:eastAsia="Times New Roman" w:hAnsi="Arial" w:cs="Arial"/>
          <w:color w:val="000000"/>
          <w:sz w:val="22"/>
          <w:szCs w:val="22"/>
          <w:lang w:eastAsia="fr-FR"/>
        </w:rPr>
        <w:t xml:space="preserve"> réelle</w:t>
      </w:r>
      <w:r w:rsidRPr="00A64175">
        <w:rPr>
          <w:rFonts w:ascii="Arial" w:eastAsia="Times New Roman" w:hAnsi="Arial" w:cs="Arial"/>
          <w:color w:val="000000"/>
          <w:sz w:val="22"/>
          <w:szCs w:val="22"/>
          <w:lang w:eastAsia="fr-FR"/>
        </w:rPr>
        <w:t xml:space="preserve"> </w:t>
      </w:r>
      <w:r w:rsidR="000F404F" w:rsidRPr="00A64175">
        <w:rPr>
          <w:rFonts w:ascii="Arial" w:eastAsia="Times New Roman" w:hAnsi="Arial" w:cs="Arial"/>
          <w:color w:val="000000"/>
          <w:sz w:val="22"/>
          <w:szCs w:val="22"/>
          <w:lang w:eastAsia="fr-FR"/>
        </w:rPr>
        <w:t>est établie, en excluant ceux dont l’identité est douteuse, en application d’une politique de connaissance du client préalablement définie et de procédures internes d’identification.</w:t>
      </w:r>
    </w:p>
    <w:p w14:paraId="2B721011" w14:textId="77777777" w:rsidR="00CD6B87" w:rsidRPr="00A64175" w:rsidRDefault="00CD6B87" w:rsidP="00A64175">
      <w:pPr>
        <w:jc w:val="both"/>
        <w:rPr>
          <w:rFonts w:ascii="Arial" w:hAnsi="Arial" w:cs="Arial"/>
          <w:sz w:val="22"/>
          <w:szCs w:val="22"/>
        </w:rPr>
      </w:pPr>
    </w:p>
    <w:p w14:paraId="0C238F54" w14:textId="5D6D35D1" w:rsidR="00653CBC" w:rsidRPr="00A64175" w:rsidRDefault="00653CBC"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927CA5" w:rsidRPr="00A64175">
        <w:rPr>
          <w:rFonts w:ascii="Arial" w:hAnsi="Arial" w:cs="Arial"/>
          <w:b/>
          <w:bCs/>
          <w:color w:val="000000"/>
          <w:sz w:val="22"/>
          <w:szCs w:val="22"/>
        </w:rPr>
        <w:t>8</w:t>
      </w:r>
      <w:r w:rsidR="00BB1AFC">
        <w:rPr>
          <w:rFonts w:ascii="Arial" w:hAnsi="Arial" w:cs="Arial"/>
          <w:b/>
          <w:bCs/>
          <w:color w:val="000000"/>
          <w:sz w:val="22"/>
          <w:szCs w:val="22"/>
        </w:rPr>
        <w:t>9</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Pendant toute la durée de la relation d'affaires</w:t>
      </w:r>
      <w:r w:rsidR="00BB038A" w:rsidRPr="00A64175">
        <w:rPr>
          <w:rFonts w:ascii="Arial" w:eastAsia="Times New Roman" w:hAnsi="Arial" w:cs="Arial"/>
          <w:color w:val="000000"/>
          <w:sz w:val="22"/>
          <w:szCs w:val="22"/>
          <w:lang w:eastAsia="fr-FR"/>
        </w:rPr>
        <w:t>,</w:t>
      </w:r>
      <w:r w:rsidRPr="00A64175">
        <w:rPr>
          <w:rFonts w:ascii="Arial" w:eastAsia="Times New Roman" w:hAnsi="Arial" w:cs="Arial"/>
          <w:color w:val="000000"/>
          <w:sz w:val="22"/>
          <w:szCs w:val="22"/>
          <w:lang w:eastAsia="fr-FR"/>
        </w:rPr>
        <w:t xml:space="preserve"> </w:t>
      </w:r>
      <w:r w:rsidR="00BB038A" w:rsidRPr="00A64175">
        <w:rPr>
          <w:rFonts w:ascii="Arial" w:eastAsia="Times New Roman" w:hAnsi="Arial" w:cs="Arial"/>
          <w:color w:val="000000"/>
          <w:sz w:val="22"/>
          <w:szCs w:val="22"/>
          <w:lang w:eastAsia="fr-FR"/>
        </w:rPr>
        <w:t>l</w:t>
      </w:r>
      <w:r w:rsidRPr="00A64175">
        <w:rPr>
          <w:rFonts w:ascii="Arial" w:eastAsia="Times New Roman" w:hAnsi="Arial" w:cs="Arial"/>
          <w:color w:val="000000"/>
          <w:sz w:val="22"/>
          <w:szCs w:val="22"/>
          <w:lang w:eastAsia="fr-FR"/>
        </w:rPr>
        <w:t>es</w:t>
      </w:r>
      <w:r w:rsidR="00434D09" w:rsidRPr="00A64175">
        <w:rPr>
          <w:rFonts w:ascii="Arial" w:hAnsi="Arial" w:cs="Arial"/>
          <w:sz w:val="22"/>
          <w:szCs w:val="22"/>
        </w:rPr>
        <w:t xml:space="preserve"> acteurs et intervenants du marché</w:t>
      </w:r>
      <w:r w:rsidR="00BB038A" w:rsidRPr="00A64175">
        <w:rPr>
          <w:rFonts w:ascii="Arial" w:eastAsia="Times New Roman" w:hAnsi="Arial" w:cs="Arial"/>
          <w:color w:val="000000"/>
          <w:sz w:val="22"/>
          <w:szCs w:val="22"/>
          <w:lang w:eastAsia="fr-FR"/>
        </w:rPr>
        <w:t xml:space="preserve"> exercent</w:t>
      </w:r>
      <w:r w:rsidR="00D40D67" w:rsidRPr="00A64175">
        <w:rPr>
          <w:rFonts w:ascii="Arial" w:eastAsia="Times New Roman" w:hAnsi="Arial" w:cs="Arial"/>
          <w:color w:val="000000"/>
          <w:sz w:val="22"/>
          <w:szCs w:val="22"/>
          <w:lang w:eastAsia="fr-FR"/>
        </w:rPr>
        <w:t xml:space="preserve"> une vigilance constante sur</w:t>
      </w:r>
      <w:r w:rsidR="00BB038A" w:rsidRPr="00A64175">
        <w:rPr>
          <w:rFonts w:ascii="Arial" w:eastAsia="Times New Roman" w:hAnsi="Arial" w:cs="Arial"/>
          <w:color w:val="000000"/>
          <w:sz w:val="22"/>
          <w:szCs w:val="22"/>
          <w:lang w:eastAsia="fr-FR"/>
        </w:rPr>
        <w:t xml:space="preserve"> </w:t>
      </w:r>
      <w:r w:rsidR="00D40D67" w:rsidRPr="00A64175">
        <w:rPr>
          <w:rFonts w:ascii="Arial" w:eastAsia="Times New Roman" w:hAnsi="Arial" w:cs="Arial"/>
          <w:color w:val="000000"/>
          <w:sz w:val="22"/>
          <w:szCs w:val="22"/>
          <w:lang w:eastAsia="fr-FR"/>
        </w:rPr>
        <w:t>l</w:t>
      </w:r>
      <w:r w:rsidRPr="00A64175">
        <w:rPr>
          <w:rFonts w:ascii="Arial" w:eastAsia="Times New Roman" w:hAnsi="Arial" w:cs="Arial"/>
          <w:color w:val="000000"/>
          <w:sz w:val="22"/>
          <w:szCs w:val="22"/>
          <w:lang w:eastAsia="fr-FR"/>
        </w:rPr>
        <w:t>es opérations effectuées en veillant à ce qu'elles soient cohérentes avec la connaissance actualisée qu'elles ont de leur relation d'affaires.</w:t>
      </w:r>
    </w:p>
    <w:p w14:paraId="02270A4D" w14:textId="2972EE6C" w:rsidR="0083098C" w:rsidRPr="00A64175" w:rsidRDefault="00D73F4C" w:rsidP="00A64175">
      <w:pPr>
        <w:jc w:val="both"/>
        <w:rPr>
          <w:rFonts w:ascii="Arial" w:hAnsi="Arial" w:cs="Arial"/>
          <w:b/>
          <w:sz w:val="22"/>
          <w:szCs w:val="22"/>
        </w:rPr>
      </w:pPr>
      <w:r w:rsidRPr="00A64175">
        <w:rPr>
          <w:rFonts w:ascii="Arial" w:eastAsia="Times New Roman" w:hAnsi="Arial" w:cs="Arial"/>
          <w:color w:val="000000"/>
          <w:sz w:val="22"/>
          <w:szCs w:val="22"/>
          <w:lang w:eastAsia="fr-FR"/>
        </w:rPr>
        <w:t>La relation d'affaires s'entend de la relation professionnelle ou commerciale avec le client, et inclut le cas échéant le bénéficiaire effectif.</w:t>
      </w:r>
    </w:p>
    <w:p w14:paraId="054AED39" w14:textId="77777777" w:rsidR="0083098C" w:rsidRPr="00A64175" w:rsidRDefault="0083098C" w:rsidP="00A64175">
      <w:pPr>
        <w:jc w:val="both"/>
        <w:rPr>
          <w:rFonts w:ascii="Arial" w:hAnsi="Arial" w:cs="Arial"/>
          <w:b/>
          <w:sz w:val="22"/>
          <w:szCs w:val="22"/>
        </w:rPr>
      </w:pPr>
    </w:p>
    <w:p w14:paraId="39E67A6E" w14:textId="3BF2B70C" w:rsidR="00226D2D" w:rsidRPr="00A64175" w:rsidRDefault="00226D2D"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B1AFC">
        <w:rPr>
          <w:rFonts w:ascii="Arial" w:hAnsi="Arial" w:cs="Arial"/>
          <w:b/>
          <w:bCs/>
          <w:color w:val="000000"/>
          <w:sz w:val="22"/>
          <w:szCs w:val="22"/>
        </w:rPr>
        <w:t>90</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Pr="00A64175">
        <w:rPr>
          <w:rFonts w:ascii="Arial" w:eastAsia="Times New Roman" w:hAnsi="Arial" w:cs="Arial"/>
          <w:color w:val="000000"/>
          <w:sz w:val="22"/>
          <w:szCs w:val="22"/>
          <w:lang w:eastAsia="fr-FR"/>
        </w:rPr>
        <w:t xml:space="preserve"> appliquent des mesures de vigilance complémentaires à l'égard de leur client, en sus des mesures prévues</w:t>
      </w:r>
      <w:r w:rsidR="00EE2F8F" w:rsidRPr="00A64175">
        <w:rPr>
          <w:rFonts w:ascii="Arial" w:eastAsia="Times New Roman" w:hAnsi="Arial" w:cs="Arial"/>
          <w:color w:val="000000"/>
          <w:sz w:val="22"/>
          <w:szCs w:val="22"/>
          <w:lang w:eastAsia="fr-FR"/>
        </w:rPr>
        <w:t xml:space="preserve"> à </w:t>
      </w:r>
      <w:r w:rsidR="00EE2F8F" w:rsidRPr="00C21CF0">
        <w:rPr>
          <w:rFonts w:ascii="Arial" w:eastAsia="Times New Roman" w:hAnsi="Arial" w:cs="Arial"/>
          <w:color w:val="000000"/>
          <w:sz w:val="22"/>
          <w:szCs w:val="22"/>
          <w:lang w:eastAsia="fr-FR"/>
        </w:rPr>
        <w:t xml:space="preserve">l’article </w:t>
      </w:r>
      <w:r w:rsidR="00C74C2D" w:rsidRPr="00C21CF0">
        <w:rPr>
          <w:rFonts w:ascii="Arial" w:eastAsia="Times New Roman" w:hAnsi="Arial" w:cs="Arial"/>
          <w:color w:val="000000"/>
          <w:sz w:val="22"/>
          <w:szCs w:val="22"/>
          <w:lang w:eastAsia="fr-FR"/>
        </w:rPr>
        <w:t>89</w:t>
      </w:r>
      <w:r w:rsidRPr="00C21CF0">
        <w:rPr>
          <w:rFonts w:ascii="Arial" w:eastAsia="Times New Roman" w:hAnsi="Arial" w:cs="Arial"/>
          <w:color w:val="000000"/>
          <w:sz w:val="22"/>
          <w:szCs w:val="22"/>
          <w:lang w:eastAsia="fr-FR"/>
        </w:rPr>
        <w:t xml:space="preserve"> ci-dessus</w:t>
      </w:r>
      <w:r w:rsidRPr="00A64175">
        <w:rPr>
          <w:rFonts w:ascii="Arial" w:eastAsia="Times New Roman" w:hAnsi="Arial" w:cs="Arial"/>
          <w:color w:val="000000"/>
          <w:sz w:val="22"/>
          <w:szCs w:val="22"/>
          <w:lang w:eastAsia="fr-FR"/>
        </w:rPr>
        <w:t>, lorsque :</w:t>
      </w:r>
    </w:p>
    <w:p w14:paraId="59F39764" w14:textId="515CC49F" w:rsidR="00226D2D" w:rsidRPr="00A64175" w:rsidRDefault="00226D2D"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1° Le client, le cas échéant son bénéficiaire effectif, est une personne qui est exposée à des risques particuliers en raison des fonctions politiques, juridictionnelles ou administratives qu'elle exerce ou a exercées ou de celles qu'exercent ou ont exercées des membres directs de sa famille ou des personnes connues pour lui être étroitement associées ou le devient en cours de relation d'affaires ;</w:t>
      </w:r>
    </w:p>
    <w:p w14:paraId="7103B177" w14:textId="77777777" w:rsidR="00226D2D" w:rsidRPr="00A64175" w:rsidRDefault="00226D2D"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2° Le produit ou l'opération présente, par sa nature, un risque particulier de blanchiment de capitaux ou de financement du terrorisme, notamment lorsqu'ils favorisent l'anonymat ;</w:t>
      </w:r>
    </w:p>
    <w:p w14:paraId="2A1CF1D0" w14:textId="44AFC331" w:rsidR="00591616" w:rsidRPr="00A64175" w:rsidRDefault="00226D2D" w:rsidP="00A64175">
      <w:pPr>
        <w:jc w:val="both"/>
        <w:rPr>
          <w:rFonts w:ascii="Arial" w:hAnsi="Arial" w:cs="Arial"/>
          <w:b/>
          <w:sz w:val="22"/>
          <w:szCs w:val="22"/>
        </w:rPr>
      </w:pPr>
      <w:r w:rsidRPr="00A64175">
        <w:rPr>
          <w:rFonts w:ascii="Arial" w:eastAsia="Times New Roman" w:hAnsi="Arial" w:cs="Arial"/>
          <w:color w:val="000000"/>
          <w:sz w:val="22"/>
          <w:szCs w:val="22"/>
          <w:lang w:eastAsia="fr-FR"/>
        </w:rPr>
        <w:t>3° L'opération est une opération pour compte propre ou pour compte de tiers effectuée avec des personnes physiques ou morales, y compris leurs filiales ou établissements ou toute autre entité, domiciliées, enregistrées ou établies dans un Etat ou un territoire dont la législation ou les pratiques font obstacle à la lutte contre le blanchiment des capitaux et le financement du terrorisme.</w:t>
      </w:r>
    </w:p>
    <w:p w14:paraId="337581D8" w14:textId="69652252" w:rsidR="00591616" w:rsidRPr="00A64175" w:rsidRDefault="00591616" w:rsidP="00A64175">
      <w:pPr>
        <w:jc w:val="both"/>
        <w:rPr>
          <w:rFonts w:ascii="Arial" w:hAnsi="Arial" w:cs="Arial"/>
          <w:b/>
          <w:sz w:val="22"/>
          <w:szCs w:val="22"/>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9</w:t>
      </w:r>
      <w:r w:rsidR="00BB1AFC">
        <w:rPr>
          <w:rFonts w:ascii="Arial" w:hAnsi="Arial" w:cs="Arial"/>
          <w:b/>
          <w:bCs/>
          <w:color w:val="000000"/>
          <w:sz w:val="22"/>
          <w:szCs w:val="22"/>
        </w:rPr>
        <w:t>1</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Lorsque le risque de blanchiment des capitaux et de financement du terrorisme présenté par un client, une relation d’affaires, un produit ou une opération leur paraît faible, les</w:t>
      </w:r>
      <w:r w:rsidRPr="00A64175">
        <w:rPr>
          <w:rFonts w:ascii="Arial" w:hAnsi="Arial" w:cs="Arial"/>
          <w:sz w:val="22"/>
          <w:szCs w:val="22"/>
        </w:rPr>
        <w:t xml:space="preserve"> acteurs et intervenants du marché peuvent réduire l’intensité des mesures de vigilance permanente concernant la relation d’affaires et les opérations effectuées.</w:t>
      </w:r>
    </w:p>
    <w:p w14:paraId="095A053F" w14:textId="77777777" w:rsidR="0083098C" w:rsidRPr="00A64175" w:rsidRDefault="0083098C" w:rsidP="00A64175">
      <w:pPr>
        <w:jc w:val="both"/>
        <w:rPr>
          <w:rFonts w:ascii="Arial" w:hAnsi="Arial" w:cs="Arial"/>
          <w:b/>
          <w:sz w:val="22"/>
          <w:szCs w:val="22"/>
        </w:rPr>
      </w:pPr>
    </w:p>
    <w:p w14:paraId="5C254FD2" w14:textId="59986CA3" w:rsidR="00335F20" w:rsidRPr="00A64175" w:rsidRDefault="00335F20"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9</w:t>
      </w:r>
      <w:r w:rsidR="00BB1AFC">
        <w:rPr>
          <w:rFonts w:ascii="Arial" w:hAnsi="Arial" w:cs="Arial"/>
          <w:b/>
          <w:bCs/>
          <w:color w:val="000000"/>
          <w:sz w:val="22"/>
          <w:szCs w:val="22"/>
        </w:rPr>
        <w:t>2</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Lorsque le risque de blanchiment des capitaux et de financement du terrorisme présenté par une relation d'affaires, un produit ou une opération leur paraît élevé, les</w:t>
      </w:r>
      <w:r w:rsidR="00434D09" w:rsidRPr="00A64175">
        <w:rPr>
          <w:rFonts w:ascii="Arial" w:hAnsi="Arial" w:cs="Arial"/>
          <w:sz w:val="22"/>
          <w:szCs w:val="22"/>
        </w:rPr>
        <w:t xml:space="preserve"> acteurs et intervenants du marché</w:t>
      </w:r>
      <w:r w:rsidRPr="00A64175">
        <w:rPr>
          <w:rFonts w:ascii="Arial" w:eastAsia="Times New Roman" w:hAnsi="Arial" w:cs="Arial"/>
          <w:color w:val="000000"/>
          <w:sz w:val="22"/>
          <w:szCs w:val="22"/>
          <w:lang w:eastAsia="fr-FR"/>
        </w:rPr>
        <w:t xml:space="preserve"> mettent en œuvre les dispositions des </w:t>
      </w:r>
      <w:r w:rsidRPr="00C21CF0">
        <w:rPr>
          <w:rFonts w:ascii="Arial" w:eastAsia="Times New Roman" w:hAnsi="Arial" w:cs="Arial"/>
          <w:color w:val="000000"/>
          <w:sz w:val="22"/>
          <w:szCs w:val="22"/>
          <w:lang w:eastAsia="fr-FR"/>
        </w:rPr>
        <w:t>articles </w:t>
      </w:r>
      <w:r w:rsidR="004209B6" w:rsidRPr="00C21CF0">
        <w:rPr>
          <w:rFonts w:ascii="Arial" w:eastAsia="Times New Roman" w:hAnsi="Arial" w:cs="Arial"/>
          <w:color w:val="000000"/>
          <w:sz w:val="22"/>
          <w:szCs w:val="22"/>
          <w:lang w:eastAsia="fr-FR"/>
        </w:rPr>
        <w:t>89</w:t>
      </w:r>
      <w:r w:rsidR="00A501BC" w:rsidRPr="00C21CF0">
        <w:rPr>
          <w:rFonts w:ascii="Arial" w:eastAsia="Times New Roman" w:hAnsi="Arial" w:cs="Arial"/>
          <w:color w:val="000000"/>
          <w:sz w:val="22"/>
          <w:szCs w:val="22"/>
          <w:lang w:eastAsia="fr-FR"/>
        </w:rPr>
        <w:t xml:space="preserve"> et </w:t>
      </w:r>
      <w:r w:rsidR="004209B6" w:rsidRPr="00C21CF0">
        <w:rPr>
          <w:rFonts w:ascii="Arial" w:eastAsia="Times New Roman" w:hAnsi="Arial" w:cs="Arial"/>
          <w:color w:val="000000"/>
          <w:sz w:val="22"/>
          <w:szCs w:val="22"/>
          <w:lang w:eastAsia="fr-FR"/>
        </w:rPr>
        <w:t>90</w:t>
      </w:r>
      <w:r w:rsidR="00D0134D" w:rsidRPr="00A64175">
        <w:rPr>
          <w:rFonts w:ascii="Arial" w:eastAsia="Times New Roman" w:hAnsi="Arial" w:cs="Arial"/>
          <w:color w:val="000000"/>
          <w:sz w:val="22"/>
          <w:szCs w:val="22"/>
          <w:lang w:eastAsia="fr-FR"/>
        </w:rPr>
        <w:t xml:space="preserve"> </w:t>
      </w:r>
      <w:r w:rsidRPr="00A64175">
        <w:rPr>
          <w:rFonts w:ascii="Arial" w:eastAsia="Times New Roman" w:hAnsi="Arial" w:cs="Arial"/>
          <w:color w:val="000000"/>
          <w:sz w:val="22"/>
          <w:szCs w:val="22"/>
          <w:lang w:eastAsia="fr-FR"/>
        </w:rPr>
        <w:t>sous la forme de mesures de vigilance renforcées.</w:t>
      </w:r>
    </w:p>
    <w:p w14:paraId="0684F036" w14:textId="478C8CF2" w:rsidR="00335F20" w:rsidRPr="00A64175" w:rsidRDefault="00335F20" w:rsidP="00A64175">
      <w:pPr>
        <w:jc w:val="both"/>
        <w:rPr>
          <w:rFonts w:ascii="Arial" w:hAnsi="Arial" w:cs="Arial"/>
          <w:b/>
          <w:sz w:val="22"/>
          <w:szCs w:val="22"/>
        </w:rPr>
      </w:pPr>
      <w:r w:rsidRPr="00A64175">
        <w:rPr>
          <w:rFonts w:ascii="Arial" w:eastAsia="Times New Roman" w:hAnsi="Arial" w:cs="Arial"/>
          <w:color w:val="000000"/>
          <w:sz w:val="22"/>
          <w:szCs w:val="22"/>
          <w:lang w:eastAsia="fr-FR"/>
        </w:rPr>
        <w:t xml:space="preserve">La mise en œuvre des mesures de vigilance complémentaires prévues à </w:t>
      </w:r>
      <w:r w:rsidRPr="00C21CF0">
        <w:rPr>
          <w:rFonts w:ascii="Arial" w:eastAsia="Times New Roman" w:hAnsi="Arial" w:cs="Arial"/>
          <w:color w:val="000000"/>
          <w:sz w:val="22"/>
          <w:szCs w:val="22"/>
          <w:lang w:eastAsia="fr-FR"/>
        </w:rPr>
        <w:t>l'article </w:t>
      </w:r>
      <w:r w:rsidR="004209B6" w:rsidRPr="00C21CF0">
        <w:rPr>
          <w:rFonts w:ascii="Arial" w:eastAsia="Times New Roman" w:hAnsi="Arial" w:cs="Arial"/>
          <w:color w:val="000000"/>
          <w:sz w:val="22"/>
          <w:szCs w:val="22"/>
          <w:lang w:eastAsia="fr-FR"/>
        </w:rPr>
        <w:t>89</w:t>
      </w:r>
      <w:r w:rsidR="00D0134D" w:rsidRPr="00A64175">
        <w:rPr>
          <w:rFonts w:ascii="Arial" w:eastAsia="Times New Roman" w:hAnsi="Arial" w:cs="Arial"/>
          <w:color w:val="000000"/>
          <w:sz w:val="22"/>
          <w:szCs w:val="22"/>
          <w:lang w:eastAsia="fr-FR"/>
        </w:rPr>
        <w:t xml:space="preserve"> ne</w:t>
      </w:r>
      <w:r w:rsidRPr="00A64175">
        <w:rPr>
          <w:rFonts w:ascii="Arial" w:eastAsia="Times New Roman" w:hAnsi="Arial" w:cs="Arial"/>
          <w:color w:val="000000"/>
          <w:sz w:val="22"/>
          <w:szCs w:val="22"/>
          <w:lang w:eastAsia="fr-FR"/>
        </w:rPr>
        <w:t xml:space="preserve"> fait pas o</w:t>
      </w:r>
      <w:r w:rsidR="00D0134D" w:rsidRPr="00A64175">
        <w:rPr>
          <w:rFonts w:ascii="Arial" w:eastAsia="Times New Roman" w:hAnsi="Arial" w:cs="Arial"/>
          <w:color w:val="000000"/>
          <w:sz w:val="22"/>
          <w:szCs w:val="22"/>
          <w:lang w:eastAsia="fr-FR"/>
        </w:rPr>
        <w:t>bstacle à l'application des mesures de vigilance renforcée visées à l’alinéa premier du présent article</w:t>
      </w:r>
      <w:r w:rsidRPr="00A64175">
        <w:rPr>
          <w:rFonts w:ascii="Arial" w:eastAsia="Times New Roman" w:hAnsi="Arial" w:cs="Arial"/>
          <w:color w:val="000000"/>
          <w:sz w:val="22"/>
          <w:szCs w:val="22"/>
          <w:lang w:eastAsia="fr-FR"/>
        </w:rPr>
        <w:t>.</w:t>
      </w:r>
    </w:p>
    <w:p w14:paraId="350000A3" w14:textId="77777777" w:rsidR="00335F20" w:rsidRPr="00A64175" w:rsidRDefault="00335F20" w:rsidP="00A64175">
      <w:pPr>
        <w:jc w:val="both"/>
        <w:rPr>
          <w:rFonts w:ascii="Arial" w:hAnsi="Arial" w:cs="Arial"/>
          <w:b/>
          <w:sz w:val="22"/>
          <w:szCs w:val="22"/>
        </w:rPr>
      </w:pPr>
    </w:p>
    <w:p w14:paraId="5D87FD61" w14:textId="1CF5018E" w:rsidR="0083098C" w:rsidRPr="00322DD3" w:rsidRDefault="00226D2D" w:rsidP="00322DD3">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9</w:t>
      </w:r>
      <w:r w:rsidR="00BB1AFC">
        <w:rPr>
          <w:rFonts w:ascii="Arial" w:hAnsi="Arial" w:cs="Arial"/>
          <w:b/>
          <w:bCs/>
          <w:color w:val="000000"/>
          <w:sz w:val="22"/>
          <w:szCs w:val="22"/>
        </w:rPr>
        <w:t>3</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Pr="00A64175">
        <w:rPr>
          <w:rFonts w:ascii="Arial" w:eastAsia="Times New Roman" w:hAnsi="Arial" w:cs="Arial"/>
          <w:color w:val="000000"/>
          <w:sz w:val="22"/>
          <w:szCs w:val="22"/>
          <w:lang w:eastAsia="fr-FR"/>
        </w:rPr>
        <w:t xml:space="preserve"> effectuent un examen renforcé de toute opération particulièrement complexe ou d'un montant inhabituellement élevé ou ne paraissant pas avoir de justification économique ou d'objet licite. Dans ce cas, ces personnes se renseignent auprès du client sur l'origine des fonds et la destination de ces sommes ainsi que sur l'objet de l'opération et l'identité d</w:t>
      </w:r>
      <w:r w:rsidR="00322DD3">
        <w:rPr>
          <w:rFonts w:ascii="Arial" w:eastAsia="Times New Roman" w:hAnsi="Arial" w:cs="Arial"/>
          <w:color w:val="000000"/>
          <w:sz w:val="22"/>
          <w:szCs w:val="22"/>
          <w:lang w:eastAsia="fr-FR"/>
        </w:rPr>
        <w:t>e la personne qui en bénéficie.</w:t>
      </w:r>
    </w:p>
    <w:p w14:paraId="3B55E87A" w14:textId="0579B1E8" w:rsidR="00A3308F"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9</w:t>
      </w:r>
      <w:r w:rsidR="00BB1AFC">
        <w:rPr>
          <w:rFonts w:ascii="Arial" w:hAnsi="Arial" w:cs="Arial"/>
          <w:b/>
          <w:bCs/>
          <w:color w:val="000000"/>
          <w:sz w:val="22"/>
          <w:szCs w:val="22"/>
        </w:rPr>
        <w:t>4</w:t>
      </w:r>
      <w:r w:rsidR="00487EEC" w:rsidRPr="00A64175">
        <w:rPr>
          <w:rFonts w:ascii="Arial" w:hAnsi="Arial" w:cs="Arial"/>
          <w:b/>
          <w:bCs/>
          <w:color w:val="000000"/>
          <w:sz w:val="22"/>
          <w:szCs w:val="22"/>
        </w:rPr>
        <w:t xml:space="preserve">. </w:t>
      </w:r>
      <w:r w:rsidR="00487EEC" w:rsidRPr="00A64175">
        <w:rPr>
          <w:rFonts w:ascii="Arial" w:hAnsi="Arial" w:cs="Arial"/>
          <w:color w:val="000000"/>
          <w:kern w:val="1"/>
          <w:sz w:val="22"/>
          <w:szCs w:val="22"/>
        </w:rPr>
        <w:t xml:space="preserve">– </w:t>
      </w:r>
      <w:r w:rsidR="00487EEC"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00487EEC" w:rsidRPr="00A64175">
        <w:rPr>
          <w:rFonts w:ascii="Arial" w:eastAsia="Times New Roman" w:hAnsi="Arial" w:cs="Arial"/>
          <w:color w:val="000000"/>
          <w:sz w:val="22"/>
          <w:szCs w:val="22"/>
          <w:lang w:eastAsia="fr-FR"/>
        </w:rPr>
        <w:t xml:space="preserve"> sont tenus de conserver avec eux, pendant </w:t>
      </w:r>
      <w:r w:rsidR="00AE4D60">
        <w:rPr>
          <w:rFonts w:ascii="Arial" w:eastAsia="Times New Roman" w:hAnsi="Arial" w:cs="Arial"/>
          <w:color w:val="000000"/>
          <w:sz w:val="22"/>
          <w:szCs w:val="22"/>
          <w:lang w:eastAsia="fr-FR"/>
        </w:rPr>
        <w:t xml:space="preserve">une durée minimale de </w:t>
      </w:r>
      <w:r w:rsidR="00D23959">
        <w:rPr>
          <w:rFonts w:ascii="Arial" w:eastAsia="Times New Roman" w:hAnsi="Arial" w:cs="Arial"/>
          <w:color w:val="000000"/>
          <w:sz w:val="22"/>
          <w:szCs w:val="22"/>
          <w:lang w:eastAsia="fr-FR"/>
        </w:rPr>
        <w:t xml:space="preserve">cinq </w:t>
      </w:r>
      <w:r w:rsidR="000035F3">
        <w:rPr>
          <w:rFonts w:ascii="Arial" w:eastAsia="Times New Roman" w:hAnsi="Arial" w:cs="Arial"/>
          <w:color w:val="000000"/>
          <w:sz w:val="22"/>
          <w:szCs w:val="22"/>
          <w:lang w:eastAsia="fr-FR"/>
        </w:rPr>
        <w:t xml:space="preserve"> (</w:t>
      </w:r>
      <w:r w:rsidR="00D23959">
        <w:rPr>
          <w:rFonts w:ascii="Arial" w:eastAsia="Times New Roman" w:hAnsi="Arial" w:cs="Arial"/>
          <w:color w:val="000000"/>
          <w:sz w:val="22"/>
          <w:szCs w:val="22"/>
          <w:lang w:eastAsia="fr-FR"/>
        </w:rPr>
        <w:t>5</w:t>
      </w:r>
      <w:r w:rsidR="000035F3">
        <w:rPr>
          <w:rFonts w:ascii="Arial" w:eastAsia="Times New Roman" w:hAnsi="Arial" w:cs="Arial"/>
          <w:color w:val="000000"/>
          <w:sz w:val="22"/>
          <w:szCs w:val="22"/>
          <w:lang w:eastAsia="fr-FR"/>
        </w:rPr>
        <w:t xml:space="preserve">) </w:t>
      </w:r>
      <w:r w:rsidR="00487EEC" w:rsidRPr="00A64175">
        <w:rPr>
          <w:rFonts w:ascii="Arial" w:eastAsia="Times New Roman" w:hAnsi="Arial" w:cs="Arial"/>
          <w:color w:val="000000"/>
          <w:sz w:val="22"/>
          <w:szCs w:val="22"/>
          <w:lang w:eastAsia="fr-FR"/>
        </w:rPr>
        <w:t>ans à compter de la clôture de leurs comptes ou de la cessation de leurs relations, les documents et informations, quel qu'en soit le support, relatifs à leurs relations d'affaires ou clients occasionnels, ainsi qu'aux mesures de vigilance mises en œuvre.</w:t>
      </w:r>
      <w:r w:rsidR="00A3308F" w:rsidRPr="00A64175">
        <w:rPr>
          <w:rFonts w:ascii="Arial" w:eastAsia="Times New Roman" w:hAnsi="Arial" w:cs="Arial"/>
          <w:color w:val="000000"/>
          <w:sz w:val="22"/>
          <w:szCs w:val="22"/>
          <w:lang w:eastAsia="fr-FR"/>
        </w:rPr>
        <w:t xml:space="preserve"> Doivent être également conservés pendant </w:t>
      </w:r>
      <w:r w:rsidR="00AE4D60">
        <w:rPr>
          <w:rFonts w:ascii="Arial" w:eastAsia="Times New Roman" w:hAnsi="Arial" w:cs="Arial"/>
          <w:color w:val="000000"/>
          <w:sz w:val="22"/>
          <w:szCs w:val="22"/>
          <w:lang w:eastAsia="fr-FR"/>
        </w:rPr>
        <w:t xml:space="preserve">une durée minimale de </w:t>
      </w:r>
      <w:r w:rsidR="00D23959">
        <w:rPr>
          <w:rFonts w:ascii="Arial" w:eastAsia="Times New Roman" w:hAnsi="Arial" w:cs="Arial"/>
          <w:color w:val="000000"/>
          <w:sz w:val="22"/>
          <w:szCs w:val="22"/>
          <w:lang w:eastAsia="fr-FR"/>
        </w:rPr>
        <w:t xml:space="preserve">cinq </w:t>
      </w:r>
      <w:r w:rsidR="000035F3">
        <w:rPr>
          <w:rFonts w:ascii="Arial" w:eastAsia="Times New Roman" w:hAnsi="Arial" w:cs="Arial"/>
          <w:color w:val="000000"/>
          <w:sz w:val="22"/>
          <w:szCs w:val="22"/>
          <w:lang w:eastAsia="fr-FR"/>
        </w:rPr>
        <w:t xml:space="preserve"> (</w:t>
      </w:r>
      <w:r w:rsidR="00322DD3">
        <w:rPr>
          <w:rFonts w:ascii="Arial" w:eastAsia="Times New Roman" w:hAnsi="Arial" w:cs="Arial"/>
          <w:color w:val="000000"/>
          <w:sz w:val="22"/>
          <w:szCs w:val="22"/>
          <w:lang w:eastAsia="fr-FR"/>
        </w:rPr>
        <w:t>5)</w:t>
      </w:r>
      <w:r w:rsidR="000035F3">
        <w:rPr>
          <w:rFonts w:ascii="Arial" w:eastAsia="Times New Roman" w:hAnsi="Arial" w:cs="Arial"/>
          <w:color w:val="000000"/>
          <w:sz w:val="22"/>
          <w:szCs w:val="22"/>
          <w:lang w:eastAsia="fr-FR"/>
        </w:rPr>
        <w:t xml:space="preserve"> </w:t>
      </w:r>
      <w:r w:rsidR="00A3308F" w:rsidRPr="00A64175">
        <w:rPr>
          <w:rFonts w:ascii="Arial" w:eastAsia="Times New Roman" w:hAnsi="Arial" w:cs="Arial"/>
          <w:color w:val="000000"/>
          <w:sz w:val="22"/>
          <w:szCs w:val="22"/>
          <w:lang w:eastAsia="fr-FR"/>
        </w:rPr>
        <w:t xml:space="preserve"> ans à compter de leur exécution, quel qu'en soit le support, les documents et informations relatifs aux opérations réalisées, ainsi que les  correspondances et tous documents précisant les caractéristiques de ces opérations.</w:t>
      </w:r>
    </w:p>
    <w:p w14:paraId="3956EC3A" w14:textId="77777777" w:rsidR="004F5537" w:rsidRPr="00A64175" w:rsidRDefault="004F5537" w:rsidP="00A64175">
      <w:pPr>
        <w:jc w:val="both"/>
        <w:rPr>
          <w:rFonts w:ascii="Arial" w:hAnsi="Arial" w:cs="Arial"/>
          <w:b/>
          <w:sz w:val="22"/>
          <w:szCs w:val="22"/>
        </w:rPr>
      </w:pPr>
    </w:p>
    <w:p w14:paraId="0D798F85" w14:textId="63AC56F8" w:rsidR="00A3308F" w:rsidRDefault="00365779" w:rsidP="00322DD3">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II – OBLIGATIONS DE DEC</w:t>
      </w:r>
      <w:r w:rsidR="00322DD3">
        <w:rPr>
          <w:rFonts w:ascii="Arial" w:hAnsi="Arial" w:cs="Arial"/>
          <w:b/>
          <w:bCs/>
          <w:color w:val="000000"/>
          <w:sz w:val="22"/>
          <w:szCs w:val="22"/>
        </w:rPr>
        <w:t>LARATION</w:t>
      </w:r>
    </w:p>
    <w:p w14:paraId="659143BB" w14:textId="77777777" w:rsidR="00322DD3" w:rsidRPr="00322DD3" w:rsidRDefault="00322DD3" w:rsidP="00322DD3">
      <w:pPr>
        <w:widowControl w:val="0"/>
        <w:autoSpaceDE w:val="0"/>
        <w:autoSpaceDN w:val="0"/>
        <w:adjustRightInd w:val="0"/>
        <w:jc w:val="both"/>
        <w:rPr>
          <w:rFonts w:ascii="Arial" w:hAnsi="Arial" w:cs="Arial"/>
          <w:b/>
          <w:bCs/>
          <w:color w:val="000000"/>
          <w:sz w:val="22"/>
          <w:szCs w:val="22"/>
        </w:rPr>
      </w:pPr>
    </w:p>
    <w:p w14:paraId="532CD21F" w14:textId="623215B6" w:rsidR="00706FC1"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9</w:t>
      </w:r>
      <w:r w:rsidR="00BB1AFC">
        <w:rPr>
          <w:rFonts w:ascii="Arial" w:hAnsi="Arial" w:cs="Arial"/>
          <w:b/>
          <w:bCs/>
          <w:color w:val="000000"/>
          <w:sz w:val="22"/>
          <w:szCs w:val="22"/>
        </w:rPr>
        <w:t>5</w:t>
      </w:r>
      <w:r w:rsidR="00706FC1" w:rsidRPr="00A64175">
        <w:rPr>
          <w:rFonts w:ascii="Arial" w:hAnsi="Arial" w:cs="Arial"/>
          <w:b/>
          <w:bCs/>
          <w:color w:val="000000"/>
          <w:sz w:val="22"/>
          <w:szCs w:val="22"/>
        </w:rPr>
        <w:t xml:space="preserve">. </w:t>
      </w:r>
      <w:r w:rsidR="00706FC1" w:rsidRPr="00A64175">
        <w:rPr>
          <w:rFonts w:ascii="Arial" w:hAnsi="Arial" w:cs="Arial"/>
          <w:color w:val="000000"/>
          <w:kern w:val="1"/>
          <w:sz w:val="22"/>
          <w:szCs w:val="22"/>
        </w:rPr>
        <w:t xml:space="preserve">– </w:t>
      </w:r>
      <w:r w:rsidR="009A04AD"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009A04AD" w:rsidRPr="00A64175">
        <w:rPr>
          <w:rFonts w:ascii="Arial" w:eastAsia="Times New Roman" w:hAnsi="Arial" w:cs="Arial"/>
          <w:color w:val="000000"/>
          <w:sz w:val="22"/>
          <w:szCs w:val="22"/>
          <w:lang w:eastAsia="fr-FR"/>
        </w:rPr>
        <w:t xml:space="preserve"> sont tenus</w:t>
      </w:r>
      <w:r w:rsidR="00706FC1" w:rsidRPr="00A64175">
        <w:rPr>
          <w:rFonts w:ascii="Arial" w:eastAsia="Times New Roman" w:hAnsi="Arial" w:cs="Arial"/>
          <w:color w:val="000000"/>
          <w:sz w:val="22"/>
          <w:szCs w:val="22"/>
          <w:lang w:eastAsia="fr-FR"/>
        </w:rPr>
        <w:t xml:space="preserve"> d</w:t>
      </w:r>
      <w:r w:rsidR="00FD7A1C" w:rsidRPr="00A64175">
        <w:rPr>
          <w:rFonts w:ascii="Arial" w:eastAsia="Times New Roman" w:hAnsi="Arial" w:cs="Arial"/>
          <w:color w:val="000000"/>
          <w:sz w:val="22"/>
          <w:szCs w:val="22"/>
          <w:lang w:eastAsia="fr-FR"/>
        </w:rPr>
        <w:t>’adresser immédiatement</w:t>
      </w:r>
      <w:r w:rsidR="00706FC1" w:rsidRPr="00A64175">
        <w:rPr>
          <w:rFonts w:ascii="Arial" w:eastAsia="Times New Roman" w:hAnsi="Arial" w:cs="Arial"/>
          <w:color w:val="000000"/>
          <w:sz w:val="22"/>
          <w:szCs w:val="22"/>
          <w:lang w:eastAsia="fr-FR"/>
        </w:rPr>
        <w:t xml:space="preserve"> </w:t>
      </w:r>
      <w:r w:rsidR="009A04AD" w:rsidRPr="00A64175">
        <w:rPr>
          <w:rFonts w:ascii="Arial" w:eastAsia="Times New Roman" w:hAnsi="Arial" w:cs="Arial"/>
          <w:color w:val="000000"/>
          <w:sz w:val="22"/>
          <w:szCs w:val="22"/>
          <w:lang w:eastAsia="fr-FR"/>
        </w:rPr>
        <w:t xml:space="preserve">à l’ANIF </w:t>
      </w:r>
      <w:r w:rsidR="00FD7A1C" w:rsidRPr="00A64175">
        <w:rPr>
          <w:rFonts w:ascii="Arial" w:eastAsia="Times New Roman" w:hAnsi="Arial" w:cs="Arial"/>
          <w:color w:val="000000"/>
          <w:sz w:val="22"/>
          <w:szCs w:val="22"/>
          <w:lang w:eastAsia="fr-FR"/>
        </w:rPr>
        <w:t xml:space="preserve">une déclaration d’opération suspecte lorsqu’elles savent, soupçonnent ou ont de bonnes raisons de soupçonner que </w:t>
      </w:r>
      <w:r w:rsidR="00706FC1" w:rsidRPr="00A64175">
        <w:rPr>
          <w:rFonts w:ascii="Arial" w:eastAsia="Times New Roman" w:hAnsi="Arial" w:cs="Arial"/>
          <w:color w:val="000000"/>
          <w:sz w:val="22"/>
          <w:szCs w:val="22"/>
          <w:lang w:eastAsia="fr-FR"/>
        </w:rPr>
        <w:t>les sommes inscrites dans leurs livres ou les opérations portant sur de</w:t>
      </w:r>
      <w:r w:rsidR="00FD7A1C" w:rsidRPr="00A64175">
        <w:rPr>
          <w:rFonts w:ascii="Arial" w:eastAsia="Times New Roman" w:hAnsi="Arial" w:cs="Arial"/>
          <w:color w:val="000000"/>
          <w:sz w:val="22"/>
          <w:szCs w:val="22"/>
          <w:lang w:eastAsia="fr-FR"/>
        </w:rPr>
        <w:t xml:space="preserve"> telles</w:t>
      </w:r>
      <w:r w:rsidR="00706FC1" w:rsidRPr="00A64175">
        <w:rPr>
          <w:rFonts w:ascii="Arial" w:eastAsia="Times New Roman" w:hAnsi="Arial" w:cs="Arial"/>
          <w:color w:val="000000"/>
          <w:sz w:val="22"/>
          <w:szCs w:val="22"/>
          <w:lang w:eastAsia="fr-FR"/>
        </w:rPr>
        <w:t xml:space="preserve"> sommes</w:t>
      </w:r>
      <w:r w:rsidR="00514062" w:rsidRPr="00A64175">
        <w:rPr>
          <w:rFonts w:ascii="Arial" w:eastAsia="Times New Roman" w:hAnsi="Arial" w:cs="Arial"/>
          <w:color w:val="000000"/>
          <w:sz w:val="22"/>
          <w:szCs w:val="22"/>
          <w:lang w:eastAsia="fr-FR"/>
        </w:rPr>
        <w:t xml:space="preserve"> sont liées à un crime, à un délit</w:t>
      </w:r>
      <w:r w:rsidR="00B95D13" w:rsidRPr="00A64175">
        <w:rPr>
          <w:rFonts w:ascii="Arial" w:eastAsia="Times New Roman" w:hAnsi="Arial" w:cs="Arial"/>
          <w:color w:val="000000"/>
          <w:sz w:val="22"/>
          <w:szCs w:val="22"/>
          <w:lang w:eastAsia="fr-FR"/>
        </w:rPr>
        <w:t>, à des activités illicites</w:t>
      </w:r>
      <w:r w:rsidR="00514062" w:rsidRPr="00A64175">
        <w:rPr>
          <w:rFonts w:ascii="Arial" w:eastAsia="Times New Roman" w:hAnsi="Arial" w:cs="Arial"/>
          <w:color w:val="000000"/>
          <w:sz w:val="22"/>
          <w:szCs w:val="22"/>
          <w:lang w:eastAsia="fr-FR"/>
        </w:rPr>
        <w:t xml:space="preserve"> ou qu’elles s’inscrivent dans un processus de blanchiment de capitaux ou de</w:t>
      </w:r>
      <w:r w:rsidR="009A04AD" w:rsidRPr="00A64175">
        <w:rPr>
          <w:rFonts w:ascii="Arial" w:eastAsia="Times New Roman" w:hAnsi="Arial" w:cs="Arial"/>
          <w:color w:val="000000"/>
          <w:sz w:val="22"/>
          <w:szCs w:val="22"/>
          <w:lang w:eastAsia="fr-FR"/>
        </w:rPr>
        <w:t xml:space="preserve"> </w:t>
      </w:r>
      <w:r w:rsidR="00706FC1" w:rsidRPr="00A64175">
        <w:rPr>
          <w:rFonts w:ascii="Arial" w:eastAsia="Times New Roman" w:hAnsi="Arial" w:cs="Arial"/>
          <w:color w:val="000000"/>
          <w:sz w:val="22"/>
          <w:szCs w:val="22"/>
          <w:lang w:eastAsia="fr-FR"/>
        </w:rPr>
        <w:t>financement du terrorisme.</w:t>
      </w:r>
      <w:r w:rsidR="00514062" w:rsidRPr="00A64175">
        <w:rPr>
          <w:rFonts w:ascii="Arial" w:eastAsia="Times New Roman" w:hAnsi="Arial" w:cs="Arial"/>
          <w:color w:val="000000"/>
          <w:sz w:val="22"/>
          <w:szCs w:val="22"/>
          <w:lang w:eastAsia="fr-FR"/>
        </w:rPr>
        <w:t xml:space="preserve"> </w:t>
      </w:r>
      <w:r w:rsidR="00390435" w:rsidRPr="00A64175">
        <w:rPr>
          <w:rFonts w:ascii="Arial" w:eastAsia="Times New Roman" w:hAnsi="Arial" w:cs="Arial"/>
          <w:color w:val="000000"/>
          <w:sz w:val="22"/>
          <w:szCs w:val="22"/>
          <w:lang w:eastAsia="fr-FR"/>
        </w:rPr>
        <w:t>Doivent notamment être déclarées :</w:t>
      </w:r>
    </w:p>
    <w:p w14:paraId="7BD1BC76" w14:textId="1E164916" w:rsidR="00B33934" w:rsidRPr="00A64175" w:rsidRDefault="00B33934" w:rsidP="00A64175">
      <w:pPr>
        <w:pStyle w:val="Paragraphedeliste"/>
        <w:numPr>
          <w:ilvl w:val="0"/>
          <w:numId w:val="22"/>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les sommes ou opérations</w:t>
      </w:r>
      <w:r w:rsidR="007B2D65" w:rsidRPr="00A64175">
        <w:rPr>
          <w:rFonts w:eastAsia="Times New Roman"/>
          <w:color w:val="000000"/>
          <w:sz w:val="22"/>
          <w:szCs w:val="22"/>
          <w:lang w:eastAsia="fr-FR"/>
        </w:rPr>
        <w:t xml:space="preserve"> de toute nature</w:t>
      </w:r>
      <w:r w:rsidRPr="00A64175">
        <w:rPr>
          <w:rFonts w:eastAsia="Times New Roman"/>
          <w:color w:val="000000"/>
          <w:sz w:val="22"/>
          <w:szCs w:val="22"/>
          <w:lang w:eastAsia="fr-FR"/>
        </w:rPr>
        <w:t xml:space="preserve"> qui</w:t>
      </w:r>
      <w:r w:rsidR="007B2D65" w:rsidRPr="00A64175">
        <w:rPr>
          <w:rFonts w:eastAsia="Times New Roman"/>
          <w:color w:val="000000"/>
          <w:sz w:val="22"/>
          <w:szCs w:val="22"/>
          <w:lang w:eastAsia="fr-FR"/>
        </w:rPr>
        <w:t xml:space="preserve"> pourraient être liées à des</w:t>
      </w:r>
      <w:r w:rsidRPr="00A64175">
        <w:rPr>
          <w:rFonts w:eastAsia="Times New Roman"/>
          <w:color w:val="000000"/>
          <w:sz w:val="22"/>
          <w:szCs w:val="22"/>
          <w:lang w:eastAsia="fr-FR"/>
        </w:rPr>
        <w:t xml:space="preserve"> trafics illicites ou</w:t>
      </w:r>
      <w:r w:rsidR="007B2D65" w:rsidRPr="00A64175">
        <w:rPr>
          <w:rFonts w:eastAsia="Times New Roman"/>
          <w:color w:val="000000"/>
          <w:sz w:val="22"/>
          <w:szCs w:val="22"/>
          <w:lang w:eastAsia="fr-FR"/>
        </w:rPr>
        <w:t xml:space="preserve"> des</w:t>
      </w:r>
      <w:r w:rsidRPr="00A64175">
        <w:rPr>
          <w:rFonts w:eastAsia="Times New Roman"/>
          <w:color w:val="000000"/>
          <w:sz w:val="22"/>
          <w:szCs w:val="22"/>
          <w:lang w:eastAsia="fr-FR"/>
        </w:rPr>
        <w:t xml:space="preserve"> activités illégales ;</w:t>
      </w:r>
    </w:p>
    <w:p w14:paraId="1C6B09CA" w14:textId="4F86A76C" w:rsidR="00F7309C" w:rsidRPr="00A64175" w:rsidRDefault="00F7309C" w:rsidP="00A64175">
      <w:pPr>
        <w:pStyle w:val="Paragraphedeliste"/>
        <w:numPr>
          <w:ilvl w:val="0"/>
          <w:numId w:val="22"/>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les opérations pour lesquelles l’identité du donneur d’ordre ou du bénéficiaire effectif est inconnue ou douteuse ;</w:t>
      </w:r>
    </w:p>
    <w:p w14:paraId="73D9DD85" w14:textId="696680E0" w:rsidR="00390435" w:rsidRPr="00A64175" w:rsidRDefault="00390435" w:rsidP="00A64175">
      <w:pPr>
        <w:pStyle w:val="Paragraphedeliste"/>
        <w:numPr>
          <w:ilvl w:val="0"/>
          <w:numId w:val="22"/>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La tentative des opérations visées au premier alinéa du présent article ;</w:t>
      </w:r>
    </w:p>
    <w:p w14:paraId="027D7A9E" w14:textId="1127BB02" w:rsidR="00514062" w:rsidRPr="00A64175" w:rsidRDefault="00390435" w:rsidP="00A64175">
      <w:pPr>
        <w:pStyle w:val="Paragraphedeliste"/>
        <w:numPr>
          <w:ilvl w:val="0"/>
          <w:numId w:val="22"/>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 xml:space="preserve"> Les</w:t>
      </w:r>
      <w:r w:rsidR="00B33934" w:rsidRPr="00A64175">
        <w:rPr>
          <w:rFonts w:eastAsia="Times New Roman"/>
          <w:color w:val="000000"/>
          <w:sz w:val="22"/>
          <w:szCs w:val="22"/>
          <w:lang w:eastAsia="fr-FR"/>
        </w:rPr>
        <w:t xml:space="preserve"> sommes ou</w:t>
      </w:r>
      <w:r w:rsidRPr="00A64175">
        <w:rPr>
          <w:rFonts w:eastAsia="Times New Roman"/>
          <w:color w:val="000000"/>
          <w:sz w:val="22"/>
          <w:szCs w:val="22"/>
          <w:lang w:eastAsia="fr-FR"/>
        </w:rPr>
        <w:t xml:space="preserve"> opérations qui pourraient provenir d’une fraude fiscale</w:t>
      </w:r>
      <w:r w:rsidR="00662344" w:rsidRPr="00A64175">
        <w:rPr>
          <w:rFonts w:eastAsia="Times New Roman"/>
          <w:color w:val="000000"/>
          <w:sz w:val="22"/>
          <w:szCs w:val="22"/>
          <w:lang w:eastAsia="fr-FR"/>
        </w:rPr>
        <w:t>.</w:t>
      </w:r>
    </w:p>
    <w:p w14:paraId="2877FF6A" w14:textId="6CC627A2" w:rsidR="007857FC" w:rsidRPr="00A64175" w:rsidRDefault="00662344"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La déclaration mentionnée au présent article est établie par écrit. Elle peut toutefois être recueillie verbalement, dans des conditions précisées dans une instruction de la COSUMAF.</w:t>
      </w:r>
    </w:p>
    <w:p w14:paraId="171F64D3" w14:textId="7DE8F56C" w:rsidR="00662344" w:rsidRPr="00A64175" w:rsidRDefault="00706FC1"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Toute information de nature à infirmer, conforter ou modifier les éléments contenus dans la déclaration</w:t>
      </w:r>
      <w:r w:rsidR="00653BA0" w:rsidRPr="00A64175">
        <w:rPr>
          <w:rFonts w:ascii="Arial" w:eastAsia="Times New Roman" w:hAnsi="Arial" w:cs="Arial"/>
          <w:color w:val="000000"/>
          <w:sz w:val="22"/>
          <w:szCs w:val="22"/>
          <w:lang w:eastAsia="fr-FR"/>
        </w:rPr>
        <w:t xml:space="preserve"> visée au présent article</w:t>
      </w:r>
      <w:r w:rsidRPr="00A64175">
        <w:rPr>
          <w:rFonts w:ascii="Arial" w:eastAsia="Times New Roman" w:hAnsi="Arial" w:cs="Arial"/>
          <w:color w:val="000000"/>
          <w:sz w:val="22"/>
          <w:szCs w:val="22"/>
          <w:lang w:eastAsia="fr-FR"/>
        </w:rPr>
        <w:t xml:space="preserve"> est portée, sans délai, à la connaissance</w:t>
      </w:r>
      <w:r w:rsidR="00653BA0" w:rsidRPr="00A64175">
        <w:rPr>
          <w:rFonts w:ascii="Arial" w:eastAsia="Times New Roman" w:hAnsi="Arial" w:cs="Arial"/>
          <w:color w:val="000000"/>
          <w:sz w:val="22"/>
          <w:szCs w:val="22"/>
          <w:lang w:eastAsia="fr-FR"/>
        </w:rPr>
        <w:t xml:space="preserve"> de l’ANIF</w:t>
      </w:r>
      <w:r w:rsidRPr="00A64175">
        <w:rPr>
          <w:rFonts w:ascii="Arial" w:eastAsia="Times New Roman" w:hAnsi="Arial" w:cs="Arial"/>
          <w:color w:val="000000"/>
          <w:sz w:val="22"/>
          <w:szCs w:val="22"/>
          <w:lang w:eastAsia="fr-FR"/>
        </w:rPr>
        <w:t>.</w:t>
      </w:r>
    </w:p>
    <w:p w14:paraId="747E6B66" w14:textId="3677DBB5" w:rsidR="00252028"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9</w:t>
      </w:r>
      <w:r w:rsidR="00BB1AFC">
        <w:rPr>
          <w:rFonts w:ascii="Arial" w:hAnsi="Arial" w:cs="Arial"/>
          <w:b/>
          <w:bCs/>
          <w:color w:val="000000"/>
          <w:sz w:val="22"/>
          <w:szCs w:val="22"/>
        </w:rPr>
        <w:t>6</w:t>
      </w:r>
      <w:r w:rsidR="00252028" w:rsidRPr="00A64175">
        <w:rPr>
          <w:rFonts w:ascii="Arial" w:hAnsi="Arial" w:cs="Arial"/>
          <w:b/>
          <w:bCs/>
          <w:color w:val="000000"/>
          <w:sz w:val="22"/>
          <w:szCs w:val="22"/>
        </w:rPr>
        <w:t xml:space="preserve">. </w:t>
      </w:r>
      <w:r w:rsidR="00252028" w:rsidRPr="00A64175">
        <w:rPr>
          <w:rFonts w:ascii="Arial" w:hAnsi="Arial" w:cs="Arial"/>
          <w:color w:val="000000"/>
          <w:kern w:val="1"/>
          <w:sz w:val="22"/>
          <w:szCs w:val="22"/>
        </w:rPr>
        <w:t xml:space="preserve">– </w:t>
      </w:r>
      <w:r w:rsidR="00252028"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00252028" w:rsidRPr="00A64175">
        <w:rPr>
          <w:rFonts w:ascii="Arial" w:eastAsia="Times New Roman" w:hAnsi="Arial" w:cs="Arial"/>
          <w:color w:val="000000"/>
          <w:sz w:val="22"/>
          <w:szCs w:val="22"/>
          <w:lang w:eastAsia="fr-FR"/>
        </w:rPr>
        <w:t xml:space="preserve"> adressent à l’ANIF les éléments d'information relatifs à certaines opérations présentant un risque élevé de blanchiment</w:t>
      </w:r>
      <w:r w:rsidR="00AC022F" w:rsidRPr="00A64175">
        <w:rPr>
          <w:rFonts w:ascii="Arial" w:eastAsia="Times New Roman" w:hAnsi="Arial" w:cs="Arial"/>
          <w:color w:val="000000"/>
          <w:sz w:val="22"/>
          <w:szCs w:val="22"/>
          <w:lang w:eastAsia="fr-FR"/>
        </w:rPr>
        <w:t xml:space="preserve"> de capitaux </w:t>
      </w:r>
      <w:r w:rsidR="00252028" w:rsidRPr="00A64175">
        <w:rPr>
          <w:rFonts w:ascii="Arial" w:eastAsia="Times New Roman" w:hAnsi="Arial" w:cs="Arial"/>
          <w:color w:val="000000"/>
          <w:sz w:val="22"/>
          <w:szCs w:val="22"/>
          <w:lang w:eastAsia="fr-FR"/>
        </w:rPr>
        <w:t xml:space="preserve"> ou de financement du terrorisme en raison du pays ou du territoire d'origine ou de destination des fonds, de la nature des opérations en cause ou des structures juridiques impliquées dans ces opérations.</w:t>
      </w:r>
    </w:p>
    <w:p w14:paraId="08C7A13B" w14:textId="1B6C7F78" w:rsidR="00187BD0" w:rsidRPr="00A64175" w:rsidRDefault="00AC02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Une instruction de la COSUMAF précise les opérations concernées ainsi que les modalités de transmission de l'information visée au présent article.</w:t>
      </w:r>
    </w:p>
    <w:p w14:paraId="274EFFBB" w14:textId="2F347A82" w:rsidR="00706FC1"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9</w:t>
      </w:r>
      <w:r w:rsidR="00BB1AFC">
        <w:rPr>
          <w:rFonts w:ascii="Arial" w:hAnsi="Arial" w:cs="Arial"/>
          <w:b/>
          <w:bCs/>
          <w:color w:val="000000"/>
          <w:sz w:val="22"/>
          <w:szCs w:val="22"/>
        </w:rPr>
        <w:t>7</w:t>
      </w:r>
      <w:r w:rsidR="00187BD0" w:rsidRPr="00A64175">
        <w:rPr>
          <w:rFonts w:ascii="Arial" w:hAnsi="Arial" w:cs="Arial"/>
          <w:b/>
          <w:bCs/>
          <w:color w:val="000000"/>
          <w:sz w:val="22"/>
          <w:szCs w:val="22"/>
        </w:rPr>
        <w:t xml:space="preserve">. </w:t>
      </w:r>
      <w:r w:rsidR="00187BD0" w:rsidRPr="00A64175">
        <w:rPr>
          <w:rFonts w:ascii="Arial" w:hAnsi="Arial" w:cs="Arial"/>
          <w:color w:val="000000"/>
          <w:kern w:val="1"/>
          <w:sz w:val="22"/>
          <w:szCs w:val="22"/>
        </w:rPr>
        <w:t xml:space="preserve">– </w:t>
      </w:r>
      <w:r w:rsidR="00706FC1" w:rsidRPr="00A64175">
        <w:rPr>
          <w:rFonts w:ascii="Arial" w:eastAsia="Times New Roman" w:hAnsi="Arial" w:cs="Arial"/>
          <w:color w:val="000000"/>
          <w:sz w:val="22"/>
          <w:szCs w:val="22"/>
          <w:lang w:eastAsia="fr-FR"/>
        </w:rPr>
        <w:t>Les</w:t>
      </w:r>
      <w:r w:rsidR="00434D09" w:rsidRPr="00A64175">
        <w:rPr>
          <w:rFonts w:ascii="Arial" w:hAnsi="Arial" w:cs="Arial"/>
          <w:sz w:val="22"/>
          <w:szCs w:val="22"/>
        </w:rPr>
        <w:t xml:space="preserve"> acteurs et intervenants du marché</w:t>
      </w:r>
      <w:r w:rsidR="00706FC1" w:rsidRPr="00A64175">
        <w:rPr>
          <w:rFonts w:ascii="Arial" w:eastAsia="Times New Roman" w:hAnsi="Arial" w:cs="Arial"/>
          <w:color w:val="000000"/>
          <w:sz w:val="22"/>
          <w:szCs w:val="22"/>
          <w:lang w:eastAsia="fr-FR"/>
        </w:rPr>
        <w:t xml:space="preserve"> </w:t>
      </w:r>
      <w:r w:rsidR="00187BD0" w:rsidRPr="00A64175">
        <w:rPr>
          <w:rFonts w:ascii="Arial" w:eastAsia="Times New Roman" w:hAnsi="Arial" w:cs="Arial"/>
          <w:color w:val="000000"/>
          <w:sz w:val="22"/>
          <w:szCs w:val="22"/>
          <w:lang w:eastAsia="fr-FR"/>
        </w:rPr>
        <w:t>s’</w:t>
      </w:r>
      <w:r w:rsidR="00706FC1" w:rsidRPr="00A64175">
        <w:rPr>
          <w:rFonts w:ascii="Arial" w:eastAsia="Times New Roman" w:hAnsi="Arial" w:cs="Arial"/>
          <w:color w:val="000000"/>
          <w:sz w:val="22"/>
          <w:szCs w:val="22"/>
          <w:lang w:eastAsia="fr-FR"/>
        </w:rPr>
        <w:t xml:space="preserve">abstiennent d'effectuer toute opération portant sur des sommes dont elles savent, soupçonnent ou ont de bonnes raisons de soupçonner qu'elles </w:t>
      </w:r>
      <w:r w:rsidR="00187BD0" w:rsidRPr="00A64175">
        <w:rPr>
          <w:rFonts w:ascii="Arial" w:eastAsia="Times New Roman" w:hAnsi="Arial" w:cs="Arial"/>
          <w:color w:val="000000"/>
          <w:sz w:val="22"/>
          <w:szCs w:val="22"/>
          <w:lang w:eastAsia="fr-FR"/>
        </w:rPr>
        <w:t>proviennent d’activités criminelles organisées</w:t>
      </w:r>
      <w:r w:rsidR="00706FC1" w:rsidRPr="00A64175">
        <w:rPr>
          <w:rFonts w:ascii="Arial" w:eastAsia="Times New Roman" w:hAnsi="Arial" w:cs="Arial"/>
          <w:color w:val="000000"/>
          <w:sz w:val="22"/>
          <w:szCs w:val="22"/>
          <w:lang w:eastAsia="fr-FR"/>
        </w:rPr>
        <w:t xml:space="preserve"> ou</w:t>
      </w:r>
      <w:r w:rsidR="00187BD0" w:rsidRPr="00A64175">
        <w:rPr>
          <w:rFonts w:ascii="Arial" w:eastAsia="Times New Roman" w:hAnsi="Arial" w:cs="Arial"/>
          <w:color w:val="000000"/>
          <w:sz w:val="22"/>
          <w:szCs w:val="22"/>
          <w:lang w:eastAsia="fr-FR"/>
        </w:rPr>
        <w:t xml:space="preserve"> qu’elles  s’inscrivent dans un processus de blanchiment de capitaux ou de</w:t>
      </w:r>
      <w:r w:rsidR="00706FC1" w:rsidRPr="00A64175">
        <w:rPr>
          <w:rFonts w:ascii="Arial" w:eastAsia="Times New Roman" w:hAnsi="Arial" w:cs="Arial"/>
          <w:color w:val="000000"/>
          <w:sz w:val="22"/>
          <w:szCs w:val="22"/>
          <w:lang w:eastAsia="fr-FR"/>
        </w:rPr>
        <w:t xml:space="preserve">  financement du terrorisme.</w:t>
      </w:r>
    </w:p>
    <w:p w14:paraId="56B132FA" w14:textId="77777777" w:rsidR="004F5537" w:rsidRPr="00A64175" w:rsidRDefault="004F5537" w:rsidP="00A64175">
      <w:pPr>
        <w:jc w:val="both"/>
        <w:rPr>
          <w:rFonts w:ascii="Arial" w:hAnsi="Arial" w:cs="Arial"/>
          <w:b/>
          <w:sz w:val="22"/>
          <w:szCs w:val="22"/>
        </w:rPr>
      </w:pPr>
    </w:p>
    <w:p w14:paraId="70F8BE81" w14:textId="77777777" w:rsidR="00CD49D4" w:rsidRPr="00A64175" w:rsidRDefault="00CD49D4" w:rsidP="00A64175">
      <w:pPr>
        <w:jc w:val="both"/>
        <w:rPr>
          <w:rFonts w:ascii="Arial" w:hAnsi="Arial" w:cs="Arial"/>
          <w:sz w:val="22"/>
          <w:szCs w:val="22"/>
        </w:rPr>
      </w:pPr>
    </w:p>
    <w:p w14:paraId="18D1147B" w14:textId="134C9857" w:rsidR="005E403B" w:rsidRPr="00A64175" w:rsidRDefault="005E403B"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III – OBLIGATIONS RELATIVES AUX PERSONNES POLITIQUEMENT EXPOSEES</w:t>
      </w:r>
    </w:p>
    <w:p w14:paraId="143CF530" w14:textId="77777777" w:rsidR="00CD49D4" w:rsidRPr="00A64175" w:rsidRDefault="00CD49D4" w:rsidP="00A64175">
      <w:pPr>
        <w:jc w:val="both"/>
        <w:rPr>
          <w:rFonts w:ascii="Arial" w:hAnsi="Arial" w:cs="Arial"/>
          <w:sz w:val="22"/>
          <w:szCs w:val="22"/>
        </w:rPr>
      </w:pPr>
    </w:p>
    <w:p w14:paraId="76DC20CE" w14:textId="0B4C9935" w:rsidR="00AB1FAA" w:rsidRDefault="00927CA5" w:rsidP="00A64175">
      <w:pPr>
        <w:jc w:val="both"/>
        <w:rPr>
          <w:rFonts w:ascii="Arial" w:hAnsi="Arial" w:cs="Arial"/>
          <w:sz w:val="22"/>
          <w:szCs w:val="22"/>
        </w:rPr>
      </w:pPr>
      <w:r w:rsidRPr="00A64175">
        <w:rPr>
          <w:rFonts w:ascii="Arial" w:hAnsi="Arial" w:cs="Arial"/>
          <w:b/>
          <w:bCs/>
          <w:color w:val="000000"/>
          <w:sz w:val="22"/>
          <w:szCs w:val="22"/>
        </w:rPr>
        <w:t>Article 9</w:t>
      </w:r>
      <w:r w:rsidR="00BB1AFC">
        <w:rPr>
          <w:rFonts w:ascii="Arial" w:hAnsi="Arial" w:cs="Arial"/>
          <w:b/>
          <w:bCs/>
          <w:color w:val="000000"/>
          <w:sz w:val="22"/>
          <w:szCs w:val="22"/>
        </w:rPr>
        <w:t>8</w:t>
      </w:r>
      <w:r w:rsidR="00631EB1" w:rsidRPr="00A64175">
        <w:rPr>
          <w:rFonts w:ascii="Arial" w:hAnsi="Arial" w:cs="Arial"/>
          <w:b/>
          <w:bCs/>
          <w:color w:val="000000"/>
          <w:sz w:val="22"/>
          <w:szCs w:val="22"/>
        </w:rPr>
        <w:t xml:space="preserve">. </w:t>
      </w:r>
      <w:r w:rsidR="00631EB1" w:rsidRPr="00A64175">
        <w:rPr>
          <w:rFonts w:ascii="Arial" w:hAnsi="Arial" w:cs="Arial"/>
          <w:color w:val="000000"/>
          <w:kern w:val="1"/>
          <w:sz w:val="22"/>
          <w:szCs w:val="22"/>
        </w:rPr>
        <w:t xml:space="preserve">– </w:t>
      </w:r>
      <w:r w:rsidR="00CD49D4" w:rsidRPr="00A64175">
        <w:rPr>
          <w:rFonts w:ascii="Arial" w:hAnsi="Arial" w:cs="Arial"/>
          <w:sz w:val="22"/>
          <w:szCs w:val="22"/>
        </w:rPr>
        <w:t xml:space="preserve">Les personnes, structures ou organismes soumis au contrôle de la COSUMAF sont tenus d’adopter  des mesures et procédures permettant de déterminer si le bénéficiaire effectif d’une transaction ou opération est une personne politiquement engagée. </w:t>
      </w:r>
    </w:p>
    <w:p w14:paraId="60F27F94" w14:textId="77777777" w:rsidR="00374C7D" w:rsidRDefault="00374C7D" w:rsidP="00A64175">
      <w:pPr>
        <w:jc w:val="both"/>
        <w:rPr>
          <w:rFonts w:ascii="Arial" w:hAnsi="Arial" w:cs="Arial"/>
          <w:sz w:val="22"/>
          <w:szCs w:val="22"/>
        </w:rPr>
      </w:pPr>
    </w:p>
    <w:p w14:paraId="1AA6A20C" w14:textId="37B75EE1" w:rsidR="00AB1FAA" w:rsidRDefault="00AB1FAA" w:rsidP="00A64175">
      <w:pPr>
        <w:jc w:val="both"/>
        <w:rPr>
          <w:rFonts w:ascii="Arial" w:hAnsi="Arial" w:cs="Arial"/>
          <w:sz w:val="22"/>
          <w:szCs w:val="22"/>
        </w:rPr>
      </w:pPr>
      <w:r>
        <w:rPr>
          <w:rFonts w:ascii="Arial" w:hAnsi="Arial" w:cs="Arial"/>
          <w:sz w:val="22"/>
          <w:szCs w:val="22"/>
        </w:rPr>
        <w:t xml:space="preserve">Au sens du </w:t>
      </w:r>
      <w:r w:rsidR="00D251E3" w:rsidRPr="00A64175">
        <w:rPr>
          <w:rFonts w:ascii="Arial" w:hAnsi="Arial" w:cs="Arial"/>
          <w:sz w:val="22"/>
          <w:szCs w:val="22"/>
        </w:rPr>
        <w:t>Règlement n°01-16/CEMAC/UMAC/CM du 11 avril 2016 précité</w:t>
      </w:r>
      <w:r>
        <w:rPr>
          <w:rFonts w:ascii="Arial" w:hAnsi="Arial" w:cs="Arial"/>
          <w:sz w:val="22"/>
          <w:szCs w:val="22"/>
        </w:rPr>
        <w:t>,</w:t>
      </w:r>
      <w:r w:rsidR="00374C7D">
        <w:rPr>
          <w:rFonts w:ascii="Arial" w:hAnsi="Arial" w:cs="Arial"/>
          <w:sz w:val="22"/>
          <w:szCs w:val="22"/>
        </w:rPr>
        <w:t xml:space="preserve"> </w:t>
      </w:r>
      <w:r>
        <w:rPr>
          <w:rFonts w:ascii="Arial" w:hAnsi="Arial" w:cs="Arial"/>
          <w:sz w:val="22"/>
          <w:szCs w:val="22"/>
        </w:rPr>
        <w:t xml:space="preserve">une </w:t>
      </w:r>
      <w:r w:rsidRPr="00A64175">
        <w:rPr>
          <w:rFonts w:ascii="Arial" w:hAnsi="Arial" w:cs="Arial"/>
          <w:sz w:val="22"/>
          <w:szCs w:val="22"/>
        </w:rPr>
        <w:t xml:space="preserve">personne politiquement </w:t>
      </w:r>
      <w:r w:rsidR="00D251E3">
        <w:rPr>
          <w:rFonts w:ascii="Arial" w:hAnsi="Arial" w:cs="Arial"/>
          <w:sz w:val="22"/>
          <w:szCs w:val="22"/>
        </w:rPr>
        <w:t>exposée</w:t>
      </w:r>
      <w:r w:rsidR="00374C7D">
        <w:rPr>
          <w:rFonts w:ascii="Arial" w:hAnsi="Arial" w:cs="Arial"/>
          <w:sz w:val="22"/>
          <w:szCs w:val="22"/>
        </w:rPr>
        <w:t xml:space="preserve"> s’ente</w:t>
      </w:r>
      <w:r w:rsidR="00053032">
        <w:rPr>
          <w:rFonts w:ascii="Arial" w:hAnsi="Arial" w:cs="Arial"/>
          <w:sz w:val="22"/>
          <w:szCs w:val="22"/>
        </w:rPr>
        <w:t>nd de celle</w:t>
      </w:r>
      <w:r w:rsidR="00D251E3">
        <w:rPr>
          <w:rFonts w:ascii="Arial" w:hAnsi="Arial" w:cs="Arial"/>
          <w:sz w:val="22"/>
          <w:szCs w:val="22"/>
        </w:rPr>
        <w:t xml:space="preserve"> qui exerce ou a exercé d’importantes fonctions publiques au sein d’un Etat membre de la CEMAC</w:t>
      </w:r>
      <w:r w:rsidR="00374C7D">
        <w:rPr>
          <w:rFonts w:ascii="Arial" w:hAnsi="Arial" w:cs="Arial"/>
          <w:sz w:val="22"/>
          <w:szCs w:val="22"/>
        </w:rPr>
        <w:t>,</w:t>
      </w:r>
      <w:r w:rsidR="00D251E3">
        <w:rPr>
          <w:rFonts w:ascii="Arial" w:hAnsi="Arial" w:cs="Arial"/>
          <w:sz w:val="22"/>
          <w:szCs w:val="22"/>
        </w:rPr>
        <w:t xml:space="preserve"> d’un Etat tiers</w:t>
      </w:r>
      <w:r w:rsidR="00374C7D">
        <w:rPr>
          <w:rFonts w:ascii="Arial" w:hAnsi="Arial" w:cs="Arial"/>
          <w:sz w:val="22"/>
          <w:szCs w:val="22"/>
        </w:rPr>
        <w:t xml:space="preserve"> ou d’une organisation internationale ainsi que les proches de l’intéressé</w:t>
      </w:r>
      <w:r w:rsidR="00D251E3">
        <w:rPr>
          <w:rFonts w:ascii="Arial" w:hAnsi="Arial" w:cs="Arial"/>
          <w:sz w:val="22"/>
          <w:szCs w:val="22"/>
        </w:rPr>
        <w:t>.</w:t>
      </w:r>
    </w:p>
    <w:p w14:paraId="76F4E805" w14:textId="77777777" w:rsidR="00AB1FAA" w:rsidRDefault="00AB1FAA" w:rsidP="00A64175">
      <w:pPr>
        <w:jc w:val="both"/>
        <w:rPr>
          <w:rFonts w:ascii="Arial" w:hAnsi="Arial" w:cs="Arial"/>
          <w:sz w:val="22"/>
          <w:szCs w:val="22"/>
        </w:rPr>
      </w:pPr>
    </w:p>
    <w:p w14:paraId="15FC084D" w14:textId="565430AC" w:rsidR="00CD49D4" w:rsidRPr="00A64175" w:rsidRDefault="00CD49D4" w:rsidP="00A64175">
      <w:pPr>
        <w:jc w:val="both"/>
        <w:rPr>
          <w:rFonts w:ascii="Arial" w:hAnsi="Arial" w:cs="Arial"/>
          <w:sz w:val="22"/>
          <w:szCs w:val="22"/>
        </w:rPr>
      </w:pPr>
      <w:r w:rsidRPr="00A64175">
        <w:rPr>
          <w:rFonts w:ascii="Arial" w:hAnsi="Arial" w:cs="Arial"/>
          <w:sz w:val="22"/>
          <w:szCs w:val="22"/>
        </w:rPr>
        <w:t>Lorsque des risques plus élevés sont identifiés, les personnes structures ou organismes concernés doivent notamment, en plus des mesures de vigilance normale, réaliser un examen renforcé de l’ensemble de la relation d’affaires et envisager de faire une déclaration d’opération suspecte.</w:t>
      </w:r>
    </w:p>
    <w:p w14:paraId="00D739FC" w14:textId="77777777" w:rsidR="00CD49D4" w:rsidRPr="00A64175" w:rsidRDefault="00CD49D4" w:rsidP="00A64175">
      <w:pPr>
        <w:jc w:val="both"/>
        <w:rPr>
          <w:rFonts w:ascii="Arial" w:hAnsi="Arial" w:cs="Arial"/>
          <w:sz w:val="22"/>
          <w:szCs w:val="22"/>
        </w:rPr>
      </w:pPr>
    </w:p>
    <w:p w14:paraId="0E4A6D5D" w14:textId="149E40C7" w:rsidR="00CD49D4" w:rsidRPr="00A64175" w:rsidRDefault="00927CA5" w:rsidP="00A64175">
      <w:pPr>
        <w:jc w:val="both"/>
        <w:rPr>
          <w:rFonts w:ascii="Arial" w:hAnsi="Arial" w:cs="Arial"/>
          <w:sz w:val="22"/>
          <w:szCs w:val="22"/>
        </w:rPr>
      </w:pPr>
      <w:r w:rsidRPr="00A64175">
        <w:rPr>
          <w:rFonts w:ascii="Arial" w:hAnsi="Arial" w:cs="Arial"/>
          <w:b/>
          <w:bCs/>
          <w:color w:val="000000"/>
          <w:sz w:val="22"/>
          <w:szCs w:val="22"/>
        </w:rPr>
        <w:t>Article 9</w:t>
      </w:r>
      <w:r w:rsidR="00BB1AFC">
        <w:rPr>
          <w:rFonts w:ascii="Arial" w:hAnsi="Arial" w:cs="Arial"/>
          <w:b/>
          <w:bCs/>
          <w:color w:val="000000"/>
          <w:sz w:val="22"/>
          <w:szCs w:val="22"/>
        </w:rPr>
        <w:t>9</w:t>
      </w:r>
      <w:r w:rsidR="00631EB1" w:rsidRPr="00A64175">
        <w:rPr>
          <w:rFonts w:ascii="Arial" w:hAnsi="Arial" w:cs="Arial"/>
          <w:b/>
          <w:bCs/>
          <w:color w:val="000000"/>
          <w:sz w:val="22"/>
          <w:szCs w:val="22"/>
        </w:rPr>
        <w:t xml:space="preserve">. </w:t>
      </w:r>
      <w:r w:rsidR="00631EB1" w:rsidRPr="00A64175">
        <w:rPr>
          <w:rFonts w:ascii="Arial" w:hAnsi="Arial" w:cs="Arial"/>
          <w:color w:val="000000"/>
          <w:kern w:val="1"/>
          <w:sz w:val="22"/>
          <w:szCs w:val="22"/>
        </w:rPr>
        <w:t xml:space="preserve">– </w:t>
      </w:r>
      <w:r w:rsidR="00631EB1" w:rsidRPr="00A64175">
        <w:rPr>
          <w:rFonts w:ascii="Arial" w:hAnsi="Arial" w:cs="Arial"/>
          <w:sz w:val="22"/>
          <w:szCs w:val="22"/>
        </w:rPr>
        <w:t>A l’égard des personnes politiquement exposées</w:t>
      </w:r>
      <w:r w:rsidR="00CD49D4" w:rsidRPr="00A64175">
        <w:rPr>
          <w:rFonts w:ascii="Arial" w:hAnsi="Arial" w:cs="Arial"/>
          <w:sz w:val="22"/>
          <w:szCs w:val="22"/>
        </w:rPr>
        <w:t xml:space="preserve">, les </w:t>
      </w:r>
      <w:r w:rsidR="00631EB1" w:rsidRPr="00A64175">
        <w:rPr>
          <w:rFonts w:ascii="Arial" w:hAnsi="Arial" w:cs="Arial"/>
          <w:sz w:val="22"/>
          <w:szCs w:val="22"/>
        </w:rPr>
        <w:t xml:space="preserve">acteurs ou intervenants du marché </w:t>
      </w:r>
      <w:r w:rsidR="00CD49D4" w:rsidRPr="00A64175">
        <w:rPr>
          <w:rFonts w:ascii="Arial" w:hAnsi="Arial" w:cs="Arial"/>
          <w:sz w:val="22"/>
          <w:szCs w:val="22"/>
        </w:rPr>
        <w:t xml:space="preserve">doivent : </w:t>
      </w:r>
    </w:p>
    <w:p w14:paraId="155E65DD" w14:textId="77777777" w:rsidR="00B62CC8" w:rsidRPr="00A64175" w:rsidRDefault="00B62CC8" w:rsidP="00A64175">
      <w:pPr>
        <w:jc w:val="both"/>
        <w:rPr>
          <w:rFonts w:ascii="Arial" w:hAnsi="Arial" w:cs="Arial"/>
          <w:sz w:val="22"/>
          <w:szCs w:val="22"/>
        </w:rPr>
      </w:pPr>
    </w:p>
    <w:p w14:paraId="5852301F" w14:textId="0FCBB7FF" w:rsidR="00CD49D4" w:rsidRPr="00A64175" w:rsidRDefault="00CD49D4"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 xml:space="preserve">disposer de systèmes appropriés de gestion des risques permettant de déterminer si le client ou le bénéficiaire effectif est une </w:t>
      </w:r>
      <w:r w:rsidR="00B62CC8" w:rsidRPr="00A64175">
        <w:rPr>
          <w:sz w:val="22"/>
          <w:szCs w:val="22"/>
        </w:rPr>
        <w:t>personne politiquement exposée</w:t>
      </w:r>
      <w:r w:rsidRPr="00A64175">
        <w:rPr>
          <w:sz w:val="22"/>
          <w:szCs w:val="22"/>
        </w:rPr>
        <w:t> ;</w:t>
      </w:r>
    </w:p>
    <w:p w14:paraId="640CFCF6" w14:textId="5DFF2D04" w:rsidR="00CD49D4" w:rsidRPr="00A64175" w:rsidRDefault="00B62CC8"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soumettre à</w:t>
      </w:r>
      <w:r w:rsidR="00CD49D4" w:rsidRPr="00A64175">
        <w:rPr>
          <w:sz w:val="22"/>
          <w:szCs w:val="22"/>
        </w:rPr>
        <w:t xml:space="preserve"> l’autorisation de la haute direction</w:t>
      </w:r>
      <w:r w:rsidRPr="00A64175">
        <w:rPr>
          <w:sz w:val="22"/>
          <w:szCs w:val="22"/>
        </w:rPr>
        <w:t xml:space="preserve"> l’établissement</w:t>
      </w:r>
      <w:r w:rsidR="00CD49D4" w:rsidRPr="00A64175">
        <w:rPr>
          <w:sz w:val="22"/>
          <w:szCs w:val="22"/>
        </w:rPr>
        <w:t xml:space="preserve"> de telles relations d’affaires ;</w:t>
      </w:r>
    </w:p>
    <w:p w14:paraId="61515231" w14:textId="77777777" w:rsidR="00CD49D4" w:rsidRPr="00A64175" w:rsidRDefault="00CD49D4"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prendre des mesures visant à établir l’origine du patrimoine et l’origine des fonds ;</w:t>
      </w:r>
    </w:p>
    <w:p w14:paraId="07CB0010" w14:textId="77777777" w:rsidR="00CD49D4" w:rsidRPr="00A64175" w:rsidRDefault="00CD49D4"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assurer une surveillance renforcée et constante à l’égard de la relation d’affaires.</w:t>
      </w:r>
    </w:p>
    <w:p w14:paraId="11CE2C9F" w14:textId="77777777" w:rsidR="00CD49D4" w:rsidRPr="00A64175" w:rsidRDefault="00CD49D4" w:rsidP="00A64175">
      <w:pPr>
        <w:jc w:val="both"/>
        <w:rPr>
          <w:rFonts w:ascii="Arial" w:hAnsi="Arial" w:cs="Arial"/>
          <w:sz w:val="22"/>
          <w:szCs w:val="22"/>
        </w:rPr>
      </w:pPr>
    </w:p>
    <w:p w14:paraId="2D929C31" w14:textId="77777777" w:rsidR="00CD49D4" w:rsidRPr="00A64175" w:rsidRDefault="00CD49D4" w:rsidP="00A64175">
      <w:pPr>
        <w:jc w:val="both"/>
        <w:rPr>
          <w:rFonts w:ascii="Arial" w:hAnsi="Arial" w:cs="Arial"/>
          <w:sz w:val="22"/>
          <w:szCs w:val="22"/>
        </w:rPr>
      </w:pPr>
    </w:p>
    <w:p w14:paraId="280C37E7" w14:textId="77777777" w:rsidR="004F5537" w:rsidRPr="00A64175" w:rsidRDefault="004F5537" w:rsidP="00A64175">
      <w:pPr>
        <w:jc w:val="both"/>
        <w:rPr>
          <w:rFonts w:ascii="Arial" w:hAnsi="Arial" w:cs="Arial"/>
          <w:b/>
          <w:sz w:val="22"/>
          <w:szCs w:val="22"/>
        </w:rPr>
      </w:pPr>
    </w:p>
    <w:p w14:paraId="1391B66E" w14:textId="2AA486AA" w:rsidR="00187BD0" w:rsidRPr="00A64175" w:rsidRDefault="00187BD0"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CHAPITRE III – </w:t>
      </w:r>
      <w:r w:rsidR="00765E7A" w:rsidRPr="00A64175">
        <w:rPr>
          <w:rFonts w:ascii="Arial" w:hAnsi="Arial" w:cs="Arial"/>
          <w:b/>
          <w:bCs/>
          <w:color w:val="000000"/>
          <w:sz w:val="22"/>
          <w:szCs w:val="22"/>
        </w:rPr>
        <w:t>REGLES D’ORGANISATION ET PROCEDURE</w:t>
      </w:r>
      <w:r w:rsidR="000E61E1" w:rsidRPr="00A64175">
        <w:rPr>
          <w:rFonts w:ascii="Arial" w:hAnsi="Arial" w:cs="Arial"/>
          <w:b/>
          <w:bCs/>
          <w:color w:val="000000"/>
          <w:sz w:val="22"/>
          <w:szCs w:val="22"/>
        </w:rPr>
        <w:t>S DE CONTROLE</w:t>
      </w:r>
      <w:r w:rsidR="00076E40" w:rsidRPr="00A64175">
        <w:rPr>
          <w:rFonts w:ascii="Arial" w:hAnsi="Arial" w:cs="Arial"/>
          <w:b/>
          <w:bCs/>
          <w:color w:val="000000"/>
          <w:sz w:val="22"/>
          <w:szCs w:val="22"/>
        </w:rPr>
        <w:t xml:space="preserve"> </w:t>
      </w:r>
      <w:r w:rsidR="00D15EB4" w:rsidRPr="00A64175">
        <w:rPr>
          <w:rFonts w:ascii="Arial" w:hAnsi="Arial" w:cs="Arial"/>
          <w:b/>
          <w:bCs/>
          <w:color w:val="000000"/>
          <w:sz w:val="22"/>
          <w:szCs w:val="22"/>
        </w:rPr>
        <w:t xml:space="preserve"> </w:t>
      </w:r>
      <w:r w:rsidR="00765E7A" w:rsidRPr="00A64175">
        <w:rPr>
          <w:rFonts w:ascii="Arial" w:hAnsi="Arial" w:cs="Arial"/>
          <w:b/>
          <w:bCs/>
          <w:color w:val="000000"/>
          <w:sz w:val="22"/>
          <w:szCs w:val="22"/>
        </w:rPr>
        <w:t xml:space="preserve"> </w:t>
      </w:r>
    </w:p>
    <w:p w14:paraId="70AA31AC" w14:textId="77777777" w:rsidR="004F5537" w:rsidRPr="00A64175" w:rsidRDefault="004F5537" w:rsidP="00A64175">
      <w:pPr>
        <w:jc w:val="both"/>
        <w:rPr>
          <w:rFonts w:ascii="Arial" w:hAnsi="Arial" w:cs="Arial"/>
          <w:b/>
          <w:sz w:val="22"/>
          <w:szCs w:val="22"/>
        </w:rPr>
      </w:pPr>
    </w:p>
    <w:p w14:paraId="4D33335B" w14:textId="0E0ED16C" w:rsidR="00652E2F"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B1AFC">
        <w:rPr>
          <w:rFonts w:ascii="Arial" w:hAnsi="Arial" w:cs="Arial"/>
          <w:b/>
          <w:bCs/>
          <w:color w:val="000000"/>
          <w:sz w:val="22"/>
          <w:szCs w:val="22"/>
        </w:rPr>
        <w:t>100</w:t>
      </w:r>
      <w:r w:rsidR="00652E2F" w:rsidRPr="00A64175">
        <w:rPr>
          <w:rFonts w:ascii="Arial" w:hAnsi="Arial" w:cs="Arial"/>
          <w:b/>
          <w:bCs/>
          <w:color w:val="000000"/>
          <w:sz w:val="22"/>
          <w:szCs w:val="22"/>
        </w:rPr>
        <w:t xml:space="preserve">. </w:t>
      </w:r>
      <w:r w:rsidR="00652E2F" w:rsidRPr="00A64175">
        <w:rPr>
          <w:rFonts w:ascii="Arial" w:hAnsi="Arial" w:cs="Arial"/>
          <w:color w:val="000000"/>
          <w:kern w:val="1"/>
          <w:sz w:val="22"/>
          <w:szCs w:val="22"/>
        </w:rPr>
        <w:t xml:space="preserve">– </w:t>
      </w:r>
      <w:r w:rsidR="00652E2F" w:rsidRPr="00A64175">
        <w:rPr>
          <w:rFonts w:ascii="Arial" w:eastAsia="Times New Roman" w:hAnsi="Arial" w:cs="Arial"/>
          <w:color w:val="000000"/>
          <w:sz w:val="22"/>
          <w:szCs w:val="22"/>
          <w:lang w:eastAsia="fr-FR"/>
        </w:rPr>
        <w:t>L</w:t>
      </w:r>
      <w:r w:rsidR="00D26692" w:rsidRPr="00A64175">
        <w:rPr>
          <w:rFonts w:ascii="Arial" w:eastAsia="Times New Roman" w:hAnsi="Arial" w:cs="Arial"/>
          <w:color w:val="000000"/>
          <w:sz w:val="22"/>
          <w:szCs w:val="22"/>
          <w:lang w:eastAsia="fr-FR"/>
        </w:rPr>
        <w:t>es acteurs et intervenants du marché</w:t>
      </w:r>
      <w:r w:rsidR="00652E2F" w:rsidRPr="00A64175">
        <w:rPr>
          <w:rFonts w:ascii="Arial" w:eastAsia="Times New Roman" w:hAnsi="Arial" w:cs="Arial"/>
          <w:color w:val="000000"/>
          <w:sz w:val="22"/>
          <w:szCs w:val="22"/>
          <w:lang w:eastAsia="fr-FR"/>
        </w:rPr>
        <w:t xml:space="preserve"> se dote</w:t>
      </w:r>
      <w:r w:rsidR="00D26692" w:rsidRPr="00A64175">
        <w:rPr>
          <w:rFonts w:ascii="Arial" w:eastAsia="Times New Roman" w:hAnsi="Arial" w:cs="Arial"/>
          <w:color w:val="000000"/>
          <w:sz w:val="22"/>
          <w:szCs w:val="22"/>
          <w:lang w:eastAsia="fr-FR"/>
        </w:rPr>
        <w:t>nt</w:t>
      </w:r>
      <w:r w:rsidR="000920C8" w:rsidRPr="00A64175">
        <w:rPr>
          <w:rFonts w:ascii="Arial" w:eastAsia="Times New Roman" w:hAnsi="Arial" w:cs="Arial"/>
          <w:color w:val="000000"/>
          <w:sz w:val="22"/>
          <w:szCs w:val="22"/>
          <w:lang w:eastAsia="fr-FR"/>
        </w:rPr>
        <w:t xml:space="preserve"> d’un dispositif interne qui vise à </w:t>
      </w:r>
      <w:r w:rsidR="00652E2F" w:rsidRPr="00A64175">
        <w:rPr>
          <w:rFonts w:ascii="Arial" w:eastAsia="Times New Roman" w:hAnsi="Arial" w:cs="Arial"/>
          <w:color w:val="000000"/>
          <w:sz w:val="22"/>
          <w:szCs w:val="22"/>
          <w:lang w:eastAsia="fr-FR"/>
        </w:rPr>
        <w:t xml:space="preserve"> </w:t>
      </w:r>
      <w:r w:rsidR="001813CD" w:rsidRPr="00A64175">
        <w:rPr>
          <w:rFonts w:ascii="Arial" w:eastAsia="Times New Roman" w:hAnsi="Arial" w:cs="Arial"/>
          <w:color w:val="000000"/>
          <w:sz w:val="22"/>
          <w:szCs w:val="22"/>
          <w:lang w:eastAsia="fr-FR"/>
        </w:rPr>
        <w:t>assurer le respect de</w:t>
      </w:r>
      <w:r w:rsidR="00226211" w:rsidRPr="00A64175">
        <w:rPr>
          <w:rFonts w:ascii="Arial" w:eastAsia="Times New Roman" w:hAnsi="Arial" w:cs="Arial"/>
          <w:color w:val="000000"/>
          <w:sz w:val="22"/>
          <w:szCs w:val="22"/>
          <w:lang w:eastAsia="fr-FR"/>
        </w:rPr>
        <w:t xml:space="preserve"> leurs</w:t>
      </w:r>
      <w:r w:rsidR="001813CD" w:rsidRPr="00A64175">
        <w:rPr>
          <w:rFonts w:ascii="Arial" w:eastAsia="Times New Roman" w:hAnsi="Arial" w:cs="Arial"/>
          <w:color w:val="000000"/>
          <w:sz w:val="22"/>
          <w:szCs w:val="22"/>
          <w:lang w:eastAsia="fr-FR"/>
        </w:rPr>
        <w:t xml:space="preserve"> obligations</w:t>
      </w:r>
      <w:r w:rsidR="000920C8" w:rsidRPr="00A64175">
        <w:rPr>
          <w:rFonts w:ascii="Arial" w:eastAsia="Times New Roman" w:hAnsi="Arial" w:cs="Arial"/>
          <w:color w:val="000000"/>
          <w:sz w:val="22"/>
          <w:szCs w:val="22"/>
          <w:lang w:eastAsia="fr-FR"/>
        </w:rPr>
        <w:t xml:space="preserve"> professionnelles</w:t>
      </w:r>
      <w:r w:rsidR="00226211" w:rsidRPr="00A64175">
        <w:rPr>
          <w:rFonts w:ascii="Arial" w:eastAsia="Times New Roman" w:hAnsi="Arial" w:cs="Arial"/>
          <w:color w:val="000000"/>
          <w:sz w:val="22"/>
          <w:szCs w:val="22"/>
          <w:lang w:eastAsia="fr-FR"/>
        </w:rPr>
        <w:t xml:space="preserve"> en matière de </w:t>
      </w:r>
      <w:r w:rsidR="001813CD" w:rsidRPr="00A64175">
        <w:rPr>
          <w:rFonts w:ascii="Arial" w:eastAsia="Times New Roman" w:hAnsi="Arial" w:cs="Arial"/>
          <w:color w:val="000000"/>
          <w:sz w:val="22"/>
          <w:szCs w:val="22"/>
          <w:lang w:eastAsia="fr-FR"/>
        </w:rPr>
        <w:t>lutte contre le blanchiment de capitaux et le financement du terrorisme.</w:t>
      </w:r>
      <w:r w:rsidR="00652E2F" w:rsidRPr="00A64175">
        <w:rPr>
          <w:rFonts w:ascii="Arial" w:eastAsia="Times New Roman" w:hAnsi="Arial" w:cs="Arial"/>
          <w:color w:val="000000"/>
          <w:sz w:val="22"/>
          <w:szCs w:val="22"/>
          <w:lang w:eastAsia="fr-FR"/>
        </w:rPr>
        <w:t xml:space="preserve"> </w:t>
      </w:r>
    </w:p>
    <w:p w14:paraId="183A8F62" w14:textId="6DD9D404" w:rsidR="00652E2F" w:rsidRPr="00A64175" w:rsidRDefault="00E25121"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L’organisati</w:t>
      </w:r>
      <w:r w:rsidR="001813CD" w:rsidRPr="00A64175">
        <w:rPr>
          <w:rFonts w:ascii="Arial" w:eastAsia="Times New Roman" w:hAnsi="Arial" w:cs="Arial"/>
          <w:color w:val="000000"/>
          <w:sz w:val="22"/>
          <w:szCs w:val="22"/>
          <w:lang w:eastAsia="fr-FR"/>
        </w:rPr>
        <w:t>on mise en place comprend</w:t>
      </w:r>
      <w:r w:rsidRPr="00A64175">
        <w:rPr>
          <w:rFonts w:ascii="Arial" w:eastAsia="Times New Roman" w:hAnsi="Arial" w:cs="Arial"/>
          <w:color w:val="000000"/>
          <w:sz w:val="22"/>
          <w:szCs w:val="22"/>
          <w:lang w:eastAsia="fr-FR"/>
        </w:rPr>
        <w:t xml:space="preserve"> </w:t>
      </w:r>
      <w:r w:rsidR="00652E2F" w:rsidRPr="00A64175">
        <w:rPr>
          <w:rFonts w:ascii="Arial" w:eastAsia="Times New Roman" w:hAnsi="Arial" w:cs="Arial"/>
          <w:color w:val="000000"/>
          <w:sz w:val="22"/>
          <w:szCs w:val="22"/>
          <w:lang w:eastAsia="fr-FR"/>
        </w:rPr>
        <w:t>un dispositif de contrôle</w:t>
      </w:r>
      <w:r w:rsidRPr="00A64175">
        <w:rPr>
          <w:rFonts w:ascii="Arial" w:eastAsia="Times New Roman" w:hAnsi="Arial" w:cs="Arial"/>
          <w:color w:val="000000"/>
          <w:sz w:val="22"/>
          <w:szCs w:val="22"/>
          <w:lang w:eastAsia="fr-FR"/>
        </w:rPr>
        <w:t xml:space="preserve"> et des procédures</w:t>
      </w:r>
      <w:r w:rsidR="000920C8" w:rsidRPr="00A64175">
        <w:rPr>
          <w:rFonts w:ascii="Arial" w:eastAsia="Times New Roman" w:hAnsi="Arial" w:cs="Arial"/>
          <w:color w:val="000000"/>
          <w:sz w:val="22"/>
          <w:szCs w:val="22"/>
          <w:lang w:eastAsia="fr-FR"/>
        </w:rPr>
        <w:t xml:space="preserve"> adaptés afin d'assurer</w:t>
      </w:r>
      <w:r w:rsidR="00226211" w:rsidRPr="00A64175">
        <w:rPr>
          <w:rFonts w:ascii="Arial" w:eastAsia="Times New Roman" w:hAnsi="Arial" w:cs="Arial"/>
          <w:color w:val="000000"/>
          <w:sz w:val="22"/>
          <w:szCs w:val="22"/>
          <w:lang w:eastAsia="fr-FR"/>
        </w:rPr>
        <w:t xml:space="preserve"> </w:t>
      </w:r>
      <w:r w:rsidR="00652E2F" w:rsidRPr="00A64175">
        <w:rPr>
          <w:rFonts w:ascii="Arial" w:eastAsia="Times New Roman" w:hAnsi="Arial" w:cs="Arial"/>
          <w:color w:val="000000"/>
          <w:sz w:val="22"/>
          <w:szCs w:val="22"/>
          <w:lang w:eastAsia="fr-FR"/>
        </w:rPr>
        <w:t>le respect des</w:t>
      </w:r>
      <w:r w:rsidR="00226211" w:rsidRPr="00A64175">
        <w:rPr>
          <w:rFonts w:ascii="Arial" w:eastAsia="Times New Roman" w:hAnsi="Arial" w:cs="Arial"/>
          <w:color w:val="000000"/>
          <w:sz w:val="22"/>
          <w:szCs w:val="22"/>
          <w:lang w:eastAsia="fr-FR"/>
        </w:rPr>
        <w:t xml:space="preserve"> prescriptions</w:t>
      </w:r>
      <w:r w:rsidR="005724E8" w:rsidRPr="00A64175">
        <w:rPr>
          <w:rFonts w:ascii="Arial" w:eastAsia="Times New Roman" w:hAnsi="Arial" w:cs="Arial"/>
          <w:color w:val="000000"/>
          <w:sz w:val="22"/>
          <w:szCs w:val="22"/>
          <w:lang w:eastAsia="fr-FR"/>
        </w:rPr>
        <w:t xml:space="preserve"> législatives et réglementaires</w:t>
      </w:r>
      <w:r w:rsidR="00226211" w:rsidRPr="00A64175">
        <w:rPr>
          <w:rFonts w:ascii="Arial" w:eastAsia="Times New Roman" w:hAnsi="Arial" w:cs="Arial"/>
          <w:color w:val="000000"/>
          <w:sz w:val="22"/>
          <w:szCs w:val="22"/>
          <w:lang w:eastAsia="fr-FR"/>
        </w:rPr>
        <w:t xml:space="preserve"> de vigilance et d’information.</w:t>
      </w:r>
      <w:r w:rsidR="00652E2F" w:rsidRPr="00A64175">
        <w:rPr>
          <w:rFonts w:ascii="Arial" w:eastAsia="Times New Roman" w:hAnsi="Arial" w:cs="Arial"/>
          <w:color w:val="000000"/>
          <w:sz w:val="22"/>
          <w:szCs w:val="22"/>
          <w:lang w:eastAsia="fr-FR"/>
        </w:rPr>
        <w:t xml:space="preserve"> </w:t>
      </w:r>
    </w:p>
    <w:p w14:paraId="70D7520A" w14:textId="55914606" w:rsidR="000E4BA2" w:rsidRPr="00A64175" w:rsidRDefault="000E4BA2"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w:t>
      </w:r>
      <w:r w:rsidR="001C242E" w:rsidRPr="00A64175">
        <w:rPr>
          <w:rFonts w:ascii="Arial" w:eastAsia="Times New Roman" w:hAnsi="Arial" w:cs="Arial"/>
          <w:color w:val="000000"/>
          <w:sz w:val="22"/>
          <w:szCs w:val="22"/>
          <w:lang w:eastAsia="fr-FR"/>
        </w:rPr>
        <w:t>es</w:t>
      </w:r>
      <w:r w:rsidRPr="00A64175">
        <w:rPr>
          <w:rFonts w:ascii="Arial" w:eastAsia="Times New Roman" w:hAnsi="Arial" w:cs="Arial"/>
          <w:color w:val="000000"/>
          <w:sz w:val="22"/>
          <w:szCs w:val="22"/>
          <w:lang w:eastAsia="fr-FR"/>
        </w:rPr>
        <w:t xml:space="preserve"> procédures</w:t>
      </w:r>
      <w:r w:rsidR="001C242E" w:rsidRPr="00A64175">
        <w:rPr>
          <w:rFonts w:ascii="Arial" w:eastAsia="Times New Roman" w:hAnsi="Arial" w:cs="Arial"/>
          <w:color w:val="000000"/>
          <w:sz w:val="22"/>
          <w:szCs w:val="22"/>
          <w:lang w:eastAsia="fr-FR"/>
        </w:rPr>
        <w:t xml:space="preserve"> adoptées précisent les modalités</w:t>
      </w:r>
      <w:r w:rsidRPr="00A64175">
        <w:rPr>
          <w:rFonts w:ascii="Arial" w:eastAsia="Times New Roman" w:hAnsi="Arial" w:cs="Arial"/>
          <w:color w:val="000000"/>
          <w:sz w:val="22"/>
          <w:szCs w:val="22"/>
          <w:lang w:eastAsia="fr-FR"/>
        </w:rPr>
        <w:t xml:space="preserve"> d'identification et d'évaluation des risques de blanchiment de capitaux</w:t>
      </w:r>
      <w:r w:rsidR="001C242E" w:rsidRPr="00A64175">
        <w:rPr>
          <w:rFonts w:ascii="Arial" w:eastAsia="Times New Roman" w:hAnsi="Arial" w:cs="Arial"/>
          <w:color w:val="000000"/>
          <w:sz w:val="22"/>
          <w:szCs w:val="22"/>
          <w:lang w:eastAsia="fr-FR"/>
        </w:rPr>
        <w:t xml:space="preserve"> auxquels les acteurs</w:t>
      </w:r>
      <w:r w:rsidR="009D57DB" w:rsidRPr="00A64175">
        <w:rPr>
          <w:rFonts w:ascii="Arial" w:eastAsia="Times New Roman" w:hAnsi="Arial" w:cs="Arial"/>
          <w:color w:val="000000"/>
          <w:sz w:val="22"/>
          <w:szCs w:val="22"/>
          <w:lang w:eastAsia="fr-FR"/>
        </w:rPr>
        <w:t xml:space="preserve"> et </w:t>
      </w:r>
      <w:r w:rsidR="001C242E" w:rsidRPr="00A64175">
        <w:rPr>
          <w:rFonts w:ascii="Arial" w:eastAsia="Times New Roman" w:hAnsi="Arial" w:cs="Arial"/>
          <w:color w:val="000000"/>
          <w:sz w:val="22"/>
          <w:szCs w:val="22"/>
          <w:lang w:eastAsia="fr-FR"/>
        </w:rPr>
        <w:t xml:space="preserve"> intervenants du marché</w:t>
      </w:r>
      <w:r w:rsidRPr="00A64175">
        <w:rPr>
          <w:rFonts w:ascii="Arial" w:eastAsia="Times New Roman" w:hAnsi="Arial" w:cs="Arial"/>
          <w:color w:val="000000"/>
          <w:sz w:val="22"/>
          <w:szCs w:val="22"/>
          <w:lang w:eastAsia="fr-FR"/>
        </w:rPr>
        <w:t xml:space="preserve"> sont confrontés ainsi qu'une politique adaptée à ces risques.</w:t>
      </w:r>
    </w:p>
    <w:p w14:paraId="39BAACC0" w14:textId="6984E74F" w:rsidR="001C242E" w:rsidRPr="00A64175" w:rsidRDefault="001C242E" w:rsidP="00A64175">
      <w:pPr>
        <w:jc w:val="both"/>
        <w:rPr>
          <w:rFonts w:ascii="Arial" w:hAnsi="Arial" w:cs="Arial"/>
          <w:sz w:val="22"/>
          <w:szCs w:val="22"/>
          <w:lang w:eastAsia="fr-FR"/>
        </w:rPr>
      </w:pPr>
      <w:r w:rsidRPr="00A64175">
        <w:rPr>
          <w:rFonts w:ascii="Arial" w:hAnsi="Arial" w:cs="Arial"/>
          <w:sz w:val="22"/>
          <w:szCs w:val="22"/>
          <w:lang w:eastAsia="fr-FR"/>
        </w:rPr>
        <w:t xml:space="preserve">Le dispositif interne de lutte contre </w:t>
      </w:r>
      <w:r w:rsidRPr="00A64175">
        <w:rPr>
          <w:rFonts w:ascii="Arial" w:eastAsia="Times New Roman" w:hAnsi="Arial" w:cs="Arial"/>
          <w:color w:val="000000"/>
          <w:sz w:val="22"/>
          <w:szCs w:val="22"/>
          <w:lang w:eastAsia="fr-FR"/>
        </w:rPr>
        <w:t xml:space="preserve">le blanchiment de capitaux et le financement du terrorisme fait l’objet d’une évaluation au moins une fois par an. Les résultats de cette évaluation sont </w:t>
      </w:r>
      <w:r w:rsidR="000E61E1" w:rsidRPr="00A64175">
        <w:rPr>
          <w:rFonts w:ascii="Arial" w:eastAsia="Times New Roman" w:hAnsi="Arial" w:cs="Arial"/>
          <w:color w:val="000000"/>
          <w:sz w:val="22"/>
          <w:szCs w:val="22"/>
          <w:lang w:eastAsia="fr-FR"/>
        </w:rPr>
        <w:t>consignés dans le rapport</w:t>
      </w:r>
      <w:r w:rsidRPr="00A64175">
        <w:rPr>
          <w:rFonts w:ascii="Arial" w:eastAsia="Times New Roman" w:hAnsi="Arial" w:cs="Arial"/>
          <w:color w:val="000000"/>
          <w:sz w:val="22"/>
          <w:szCs w:val="22"/>
          <w:lang w:eastAsia="fr-FR"/>
        </w:rPr>
        <w:t xml:space="preserve"> de contrôle</w:t>
      </w:r>
      <w:r w:rsidR="00AB2924" w:rsidRPr="00A64175">
        <w:rPr>
          <w:rFonts w:ascii="Arial" w:eastAsia="Times New Roman" w:hAnsi="Arial" w:cs="Arial"/>
          <w:color w:val="000000"/>
          <w:sz w:val="22"/>
          <w:szCs w:val="22"/>
          <w:lang w:eastAsia="fr-FR"/>
        </w:rPr>
        <w:t xml:space="preserve"> p</w:t>
      </w:r>
      <w:r w:rsidR="00927CA5" w:rsidRPr="00A64175">
        <w:rPr>
          <w:rFonts w:ascii="Arial" w:eastAsia="Times New Roman" w:hAnsi="Arial" w:cs="Arial"/>
          <w:color w:val="000000"/>
          <w:sz w:val="22"/>
          <w:szCs w:val="22"/>
          <w:lang w:eastAsia="fr-FR"/>
        </w:rPr>
        <w:t xml:space="preserve">révu à </w:t>
      </w:r>
      <w:r w:rsidR="00927CA5" w:rsidRPr="00C21CF0">
        <w:rPr>
          <w:rFonts w:ascii="Arial" w:eastAsia="Times New Roman" w:hAnsi="Arial" w:cs="Arial"/>
          <w:color w:val="000000"/>
          <w:sz w:val="22"/>
          <w:szCs w:val="22"/>
          <w:lang w:eastAsia="fr-FR"/>
        </w:rPr>
        <w:t xml:space="preserve">l’article </w:t>
      </w:r>
      <w:r w:rsidR="00BF2054" w:rsidRPr="00C21CF0">
        <w:rPr>
          <w:rFonts w:ascii="Arial" w:eastAsia="Times New Roman" w:hAnsi="Arial" w:cs="Arial"/>
          <w:color w:val="000000"/>
          <w:sz w:val="22"/>
          <w:szCs w:val="22"/>
          <w:lang w:eastAsia="fr-FR"/>
        </w:rPr>
        <w:t>104</w:t>
      </w:r>
      <w:r w:rsidR="00AB2924" w:rsidRPr="00C21CF0">
        <w:rPr>
          <w:rFonts w:ascii="Arial" w:eastAsia="Times New Roman" w:hAnsi="Arial" w:cs="Arial"/>
          <w:color w:val="000000"/>
          <w:sz w:val="22"/>
          <w:szCs w:val="22"/>
          <w:lang w:eastAsia="fr-FR"/>
        </w:rPr>
        <w:t xml:space="preserve"> du présent Règlement Général.</w:t>
      </w:r>
      <w:r w:rsidR="000E61E1" w:rsidRPr="00A64175">
        <w:rPr>
          <w:rFonts w:ascii="Arial" w:eastAsia="Times New Roman" w:hAnsi="Arial" w:cs="Arial"/>
          <w:color w:val="000000"/>
          <w:sz w:val="22"/>
          <w:szCs w:val="22"/>
          <w:lang w:eastAsia="fr-FR"/>
        </w:rPr>
        <w:t xml:space="preserve"> </w:t>
      </w:r>
    </w:p>
    <w:p w14:paraId="172C1D2F" w14:textId="77777777" w:rsidR="001C242E" w:rsidRPr="00A64175" w:rsidRDefault="001C242E" w:rsidP="00A64175">
      <w:pPr>
        <w:jc w:val="both"/>
        <w:rPr>
          <w:rFonts w:ascii="Arial" w:hAnsi="Arial" w:cs="Arial"/>
          <w:sz w:val="22"/>
          <w:szCs w:val="22"/>
          <w:lang w:eastAsia="fr-FR"/>
        </w:rPr>
      </w:pPr>
    </w:p>
    <w:p w14:paraId="56337837" w14:textId="2AAAC20E" w:rsidR="000848D3"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10</w:t>
      </w:r>
      <w:r w:rsidR="00BB1AFC">
        <w:rPr>
          <w:rFonts w:ascii="Arial" w:hAnsi="Arial" w:cs="Arial"/>
          <w:b/>
          <w:bCs/>
          <w:color w:val="000000"/>
          <w:sz w:val="22"/>
          <w:szCs w:val="22"/>
        </w:rPr>
        <w:t>1</w:t>
      </w:r>
      <w:r w:rsidR="009D6946" w:rsidRPr="00A64175">
        <w:rPr>
          <w:rFonts w:ascii="Arial" w:hAnsi="Arial" w:cs="Arial"/>
          <w:b/>
          <w:bCs/>
          <w:color w:val="000000"/>
          <w:sz w:val="22"/>
          <w:szCs w:val="22"/>
        </w:rPr>
        <w:t xml:space="preserve">. </w:t>
      </w:r>
      <w:r w:rsidR="009D6946" w:rsidRPr="00A64175">
        <w:rPr>
          <w:rFonts w:ascii="Arial" w:hAnsi="Arial" w:cs="Arial"/>
          <w:color w:val="000000"/>
          <w:kern w:val="1"/>
          <w:sz w:val="22"/>
          <w:szCs w:val="22"/>
        </w:rPr>
        <w:t xml:space="preserve">– </w:t>
      </w:r>
      <w:r w:rsidR="00226211" w:rsidRPr="00A64175">
        <w:rPr>
          <w:rFonts w:ascii="Arial" w:eastAsia="Times New Roman" w:hAnsi="Arial" w:cs="Arial"/>
          <w:color w:val="000000"/>
          <w:sz w:val="22"/>
          <w:szCs w:val="22"/>
          <w:lang w:eastAsia="fr-FR"/>
        </w:rPr>
        <w:t xml:space="preserve">Les acteurs et intervenants du marché </w:t>
      </w:r>
      <w:r w:rsidR="00652E2F" w:rsidRPr="00A64175">
        <w:rPr>
          <w:rFonts w:ascii="Arial" w:eastAsia="Times New Roman" w:hAnsi="Arial" w:cs="Arial"/>
          <w:color w:val="000000"/>
          <w:sz w:val="22"/>
          <w:szCs w:val="22"/>
          <w:lang w:eastAsia="fr-FR"/>
        </w:rPr>
        <w:t>désigne</w:t>
      </w:r>
      <w:r w:rsidR="00226211" w:rsidRPr="00A64175">
        <w:rPr>
          <w:rFonts w:ascii="Arial" w:eastAsia="Times New Roman" w:hAnsi="Arial" w:cs="Arial"/>
          <w:color w:val="000000"/>
          <w:sz w:val="22"/>
          <w:szCs w:val="22"/>
          <w:lang w:eastAsia="fr-FR"/>
        </w:rPr>
        <w:t>nt</w:t>
      </w:r>
      <w:r w:rsidR="0050523F" w:rsidRPr="00A64175">
        <w:rPr>
          <w:rFonts w:ascii="Arial" w:eastAsia="Times New Roman" w:hAnsi="Arial" w:cs="Arial"/>
          <w:color w:val="000000"/>
          <w:sz w:val="22"/>
          <w:szCs w:val="22"/>
          <w:lang w:eastAsia="fr-FR"/>
        </w:rPr>
        <w:t>, en leur sein,</w:t>
      </w:r>
      <w:r w:rsidR="00652E2F" w:rsidRPr="00A64175">
        <w:rPr>
          <w:rFonts w:ascii="Arial" w:eastAsia="Times New Roman" w:hAnsi="Arial" w:cs="Arial"/>
          <w:color w:val="000000"/>
          <w:sz w:val="22"/>
          <w:szCs w:val="22"/>
          <w:lang w:eastAsia="fr-FR"/>
        </w:rPr>
        <w:t xml:space="preserve"> un responsable</w:t>
      </w:r>
      <w:r w:rsidR="00BD176F" w:rsidRPr="00A64175">
        <w:rPr>
          <w:rFonts w:ascii="Arial" w:eastAsia="Times New Roman" w:hAnsi="Arial" w:cs="Arial"/>
          <w:color w:val="000000"/>
          <w:sz w:val="22"/>
          <w:szCs w:val="22"/>
          <w:lang w:eastAsia="fr-FR"/>
        </w:rPr>
        <w:t xml:space="preserve"> qualifié chargé</w:t>
      </w:r>
      <w:r w:rsidR="00652E2F" w:rsidRPr="00A64175">
        <w:rPr>
          <w:rFonts w:ascii="Arial" w:eastAsia="Times New Roman" w:hAnsi="Arial" w:cs="Arial"/>
          <w:color w:val="000000"/>
          <w:sz w:val="22"/>
          <w:szCs w:val="22"/>
          <w:lang w:eastAsia="fr-FR"/>
        </w:rPr>
        <w:t xml:space="preserve"> de la mise en œuvre</w:t>
      </w:r>
      <w:r w:rsidR="00BD176F" w:rsidRPr="00A64175">
        <w:rPr>
          <w:rFonts w:ascii="Arial" w:eastAsia="Times New Roman" w:hAnsi="Arial" w:cs="Arial"/>
          <w:color w:val="000000"/>
          <w:sz w:val="22"/>
          <w:szCs w:val="22"/>
          <w:lang w:eastAsia="fr-FR"/>
        </w:rPr>
        <w:t>, de la gestion</w:t>
      </w:r>
      <w:r w:rsidR="0050523F" w:rsidRPr="00A64175">
        <w:rPr>
          <w:rFonts w:ascii="Arial" w:eastAsia="Times New Roman" w:hAnsi="Arial" w:cs="Arial"/>
          <w:color w:val="000000"/>
          <w:sz w:val="22"/>
          <w:szCs w:val="22"/>
          <w:lang w:eastAsia="fr-FR"/>
        </w:rPr>
        <w:t xml:space="preserve"> et du suivi</w:t>
      </w:r>
      <w:r w:rsidR="000848D3" w:rsidRPr="00A64175">
        <w:rPr>
          <w:rFonts w:ascii="Arial" w:eastAsia="Times New Roman" w:hAnsi="Arial" w:cs="Arial"/>
          <w:color w:val="000000"/>
          <w:sz w:val="22"/>
          <w:szCs w:val="22"/>
          <w:lang w:eastAsia="fr-FR"/>
        </w:rPr>
        <w:t xml:space="preserve"> du </w:t>
      </w:r>
      <w:r w:rsidR="00652E2F" w:rsidRPr="00A64175">
        <w:rPr>
          <w:rFonts w:ascii="Arial" w:eastAsia="Times New Roman" w:hAnsi="Arial" w:cs="Arial"/>
          <w:color w:val="000000"/>
          <w:sz w:val="22"/>
          <w:szCs w:val="22"/>
          <w:lang w:eastAsia="fr-FR"/>
        </w:rPr>
        <w:t>dispositif de lutte contre le blanchiment de capitaux et le financement du terrorisme.</w:t>
      </w:r>
      <w:r w:rsidR="00BD176F" w:rsidRPr="00A64175">
        <w:rPr>
          <w:rFonts w:ascii="Arial" w:eastAsia="Times New Roman" w:hAnsi="Arial" w:cs="Arial"/>
          <w:color w:val="000000"/>
          <w:sz w:val="22"/>
          <w:szCs w:val="22"/>
          <w:lang w:eastAsia="fr-FR"/>
        </w:rPr>
        <w:t xml:space="preserve"> </w:t>
      </w:r>
      <w:r w:rsidR="000848D3" w:rsidRPr="00A64175">
        <w:rPr>
          <w:rFonts w:ascii="Arial" w:eastAsia="Times New Roman" w:hAnsi="Arial" w:cs="Arial"/>
          <w:color w:val="000000"/>
          <w:sz w:val="22"/>
          <w:szCs w:val="22"/>
          <w:lang w:eastAsia="fr-FR"/>
        </w:rPr>
        <w:t>Le service en charge de la gestion des risques</w:t>
      </w:r>
      <w:r w:rsidR="00AE1C56" w:rsidRPr="00A64175">
        <w:rPr>
          <w:rFonts w:ascii="Arial" w:eastAsia="Times New Roman" w:hAnsi="Arial" w:cs="Arial"/>
          <w:color w:val="000000"/>
          <w:sz w:val="22"/>
          <w:szCs w:val="22"/>
          <w:lang w:eastAsia="fr-FR"/>
        </w:rPr>
        <w:t xml:space="preserve"> ou celui en charge du contrôle interne et de la conformité peut prendre en charge la responsabilité du dispositif de lutte contre le blanchiment de capitaux et le financement du terrorisme, sous réserve que ce cumul de fonctions soit justifié par la taille de la structure.</w:t>
      </w:r>
    </w:p>
    <w:p w14:paraId="55FE4E5C" w14:textId="0E490546" w:rsidR="00957FD8" w:rsidRPr="00A64175" w:rsidRDefault="00AE1C56"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w:t>
      </w:r>
      <w:r w:rsidR="00BD176F" w:rsidRPr="00A64175">
        <w:rPr>
          <w:rFonts w:ascii="Arial" w:eastAsia="Times New Roman" w:hAnsi="Arial" w:cs="Arial"/>
          <w:color w:val="000000"/>
          <w:sz w:val="22"/>
          <w:szCs w:val="22"/>
          <w:lang w:eastAsia="fr-FR"/>
        </w:rPr>
        <w:t>e responsable</w:t>
      </w:r>
      <w:r w:rsidRPr="00A64175">
        <w:rPr>
          <w:rFonts w:ascii="Arial" w:eastAsia="Times New Roman" w:hAnsi="Arial" w:cs="Arial"/>
          <w:color w:val="000000"/>
          <w:sz w:val="22"/>
          <w:szCs w:val="22"/>
          <w:lang w:eastAsia="fr-FR"/>
        </w:rPr>
        <w:t xml:space="preserve"> visé au présent article</w:t>
      </w:r>
      <w:r w:rsidR="00BD176F" w:rsidRPr="00A64175">
        <w:rPr>
          <w:rFonts w:ascii="Arial" w:eastAsia="Times New Roman" w:hAnsi="Arial" w:cs="Arial"/>
          <w:color w:val="000000"/>
          <w:sz w:val="22"/>
          <w:szCs w:val="22"/>
          <w:lang w:eastAsia="fr-FR"/>
        </w:rPr>
        <w:t xml:space="preserve"> a notamment pour missions :</w:t>
      </w:r>
    </w:p>
    <w:p w14:paraId="359CD10E" w14:textId="608A86DD" w:rsidR="00BD176F" w:rsidRPr="00A64175" w:rsidRDefault="00BD176F"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de veiller</w:t>
      </w:r>
      <w:r w:rsidR="000546EC" w:rsidRPr="00A64175">
        <w:rPr>
          <w:rFonts w:eastAsia="Times New Roman"/>
          <w:color w:val="000000"/>
          <w:sz w:val="22"/>
          <w:szCs w:val="22"/>
          <w:lang w:eastAsia="fr-FR"/>
        </w:rPr>
        <w:t xml:space="preserve"> en permanence</w:t>
      </w:r>
      <w:r w:rsidRPr="00A64175">
        <w:rPr>
          <w:rFonts w:eastAsia="Times New Roman"/>
          <w:color w:val="000000"/>
          <w:sz w:val="22"/>
          <w:szCs w:val="22"/>
          <w:lang w:eastAsia="fr-FR"/>
        </w:rPr>
        <w:t xml:space="preserve"> </w:t>
      </w:r>
      <w:r w:rsidR="000546EC" w:rsidRPr="00A64175">
        <w:rPr>
          <w:rFonts w:eastAsia="Times New Roman"/>
          <w:color w:val="000000"/>
          <w:sz w:val="22"/>
          <w:szCs w:val="22"/>
          <w:lang w:eastAsia="fr-FR"/>
        </w:rPr>
        <w:t>au respect des mesures de vigilance ;</w:t>
      </w:r>
    </w:p>
    <w:p w14:paraId="225BFA91" w14:textId="517E2B97" w:rsidR="00AE1C56" w:rsidRPr="00A64175" w:rsidRDefault="00AE1C56"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 xml:space="preserve">d’enregistrer </w:t>
      </w:r>
      <w:r w:rsidR="00B776B8" w:rsidRPr="00A64175">
        <w:rPr>
          <w:rFonts w:eastAsia="Times New Roman"/>
          <w:color w:val="000000"/>
          <w:sz w:val="22"/>
          <w:szCs w:val="22"/>
          <w:lang w:eastAsia="fr-FR"/>
        </w:rPr>
        <w:t xml:space="preserve">et centraliser </w:t>
      </w:r>
      <w:r w:rsidRPr="00A64175">
        <w:rPr>
          <w:rFonts w:eastAsia="Times New Roman"/>
          <w:color w:val="000000"/>
          <w:sz w:val="22"/>
          <w:szCs w:val="22"/>
          <w:lang w:eastAsia="fr-FR"/>
        </w:rPr>
        <w:t xml:space="preserve">les </w:t>
      </w:r>
      <w:r w:rsidR="00B776B8" w:rsidRPr="00A64175">
        <w:rPr>
          <w:rFonts w:eastAsia="Times New Roman"/>
          <w:color w:val="000000"/>
          <w:sz w:val="22"/>
          <w:szCs w:val="22"/>
          <w:lang w:eastAsia="fr-FR"/>
        </w:rPr>
        <w:t>opérations suspectes ;</w:t>
      </w:r>
    </w:p>
    <w:p w14:paraId="5E272D76" w14:textId="24D987B8" w:rsidR="00BD176F" w:rsidRPr="00A64175" w:rsidRDefault="00BD176F"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de contrôler et analyser les opérations à caractère inhabituel ou complexe ;</w:t>
      </w:r>
    </w:p>
    <w:p w14:paraId="48385EE2" w14:textId="45FF7621" w:rsidR="00BD176F" w:rsidRPr="00A64175" w:rsidRDefault="000546EC"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de mettre en œuvre des mesures de vigilance renforcée</w:t>
      </w:r>
      <w:r w:rsidR="0019518E" w:rsidRPr="00A64175">
        <w:rPr>
          <w:rFonts w:eastAsia="Times New Roman"/>
          <w:color w:val="000000"/>
          <w:sz w:val="22"/>
          <w:szCs w:val="22"/>
          <w:lang w:eastAsia="fr-FR"/>
        </w:rPr>
        <w:t xml:space="preserve">, notamment en cas </w:t>
      </w:r>
      <w:r w:rsidRPr="00A64175">
        <w:rPr>
          <w:rFonts w:eastAsia="Times New Roman"/>
          <w:color w:val="000000"/>
          <w:sz w:val="22"/>
          <w:szCs w:val="22"/>
          <w:lang w:eastAsia="fr-FR"/>
        </w:rPr>
        <w:t xml:space="preserve"> d’</w:t>
      </w:r>
      <w:r w:rsidR="00AE1C56" w:rsidRPr="00A64175">
        <w:rPr>
          <w:rFonts w:eastAsia="Times New Roman"/>
          <w:color w:val="000000"/>
          <w:sz w:val="22"/>
          <w:szCs w:val="22"/>
          <w:lang w:eastAsia="fr-FR"/>
        </w:rPr>
        <w:t>opérations</w:t>
      </w:r>
      <w:r w:rsidRPr="00A64175">
        <w:rPr>
          <w:rFonts w:eastAsia="Times New Roman"/>
          <w:color w:val="000000"/>
          <w:sz w:val="22"/>
          <w:szCs w:val="22"/>
          <w:lang w:eastAsia="fr-FR"/>
        </w:rPr>
        <w:t xml:space="preserve"> à caractère inhabit</w:t>
      </w:r>
      <w:r w:rsidR="00AE1C56" w:rsidRPr="00A64175">
        <w:rPr>
          <w:rFonts w:eastAsia="Times New Roman"/>
          <w:color w:val="000000"/>
          <w:sz w:val="22"/>
          <w:szCs w:val="22"/>
          <w:lang w:eastAsia="fr-FR"/>
        </w:rPr>
        <w:t>uel et</w:t>
      </w:r>
      <w:r w:rsidRPr="00A64175">
        <w:rPr>
          <w:rFonts w:eastAsia="Times New Roman"/>
          <w:color w:val="000000"/>
          <w:sz w:val="22"/>
          <w:szCs w:val="22"/>
          <w:lang w:eastAsia="fr-FR"/>
        </w:rPr>
        <w:t xml:space="preserve"> de relations d’affaires à haut</w:t>
      </w:r>
      <w:r w:rsidR="0019518E" w:rsidRPr="00A64175">
        <w:rPr>
          <w:rFonts w:eastAsia="Times New Roman"/>
          <w:color w:val="000000"/>
          <w:sz w:val="22"/>
          <w:szCs w:val="22"/>
          <w:lang w:eastAsia="fr-FR"/>
        </w:rPr>
        <w:t xml:space="preserve"> risque</w:t>
      </w:r>
      <w:r w:rsidRPr="00A64175">
        <w:rPr>
          <w:rFonts w:eastAsia="Times New Roman"/>
          <w:color w:val="000000"/>
          <w:sz w:val="22"/>
          <w:szCs w:val="22"/>
          <w:lang w:eastAsia="fr-FR"/>
        </w:rPr>
        <w:t> ;</w:t>
      </w:r>
    </w:p>
    <w:p w14:paraId="0F529325" w14:textId="3B5831E0" w:rsidR="000546EC" w:rsidRPr="00A64175" w:rsidRDefault="000848D3"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 xml:space="preserve">de </w:t>
      </w:r>
      <w:r w:rsidR="0019518E" w:rsidRPr="00A64175">
        <w:rPr>
          <w:rFonts w:eastAsia="Times New Roman"/>
          <w:color w:val="000000"/>
          <w:sz w:val="22"/>
          <w:szCs w:val="22"/>
          <w:lang w:eastAsia="fr-FR"/>
        </w:rPr>
        <w:t>tenir un registre des opérations effectuées par les personnes à haut risque</w:t>
      </w:r>
      <w:r w:rsidRPr="00A64175">
        <w:rPr>
          <w:rFonts w:eastAsia="Times New Roman"/>
          <w:color w:val="000000"/>
          <w:sz w:val="22"/>
          <w:szCs w:val="22"/>
          <w:lang w:eastAsia="fr-FR"/>
        </w:rPr>
        <w:t> ;</w:t>
      </w:r>
    </w:p>
    <w:p w14:paraId="61AA9FE3" w14:textId="486861E5" w:rsidR="000848D3" w:rsidRPr="00A64175" w:rsidRDefault="000848D3"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d’informer régulièrement les organes d’administration et de direction sur les opérations des personnes à haut risque</w:t>
      </w:r>
      <w:r w:rsidR="004B692F" w:rsidRPr="00A64175">
        <w:rPr>
          <w:rFonts w:eastAsia="Times New Roman"/>
          <w:color w:val="000000"/>
          <w:sz w:val="22"/>
          <w:szCs w:val="22"/>
          <w:lang w:eastAsia="fr-FR"/>
        </w:rPr>
        <w:t> ;</w:t>
      </w:r>
    </w:p>
    <w:p w14:paraId="4F741EEB" w14:textId="5B7A0340" w:rsidR="004B692F" w:rsidRPr="00A64175" w:rsidRDefault="004B692F"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d’organiser des actions de sensibilisation et de formation du personnel en matière de lutte contre le blanchiment des capitaux et le financement du terrorisme ;</w:t>
      </w:r>
    </w:p>
    <w:p w14:paraId="678075D1" w14:textId="3B127DE2" w:rsidR="004B692F" w:rsidRPr="00A64175" w:rsidRDefault="004B692F" w:rsidP="00A64175">
      <w:pPr>
        <w:pStyle w:val="Paragraphedeliste"/>
        <w:numPr>
          <w:ilvl w:val="0"/>
          <w:numId w:val="89"/>
        </w:numPr>
        <w:shd w:val="clear" w:color="auto" w:fill="FFFFFF"/>
        <w:spacing w:after="240"/>
        <w:rPr>
          <w:rFonts w:eastAsia="Times New Roman"/>
          <w:color w:val="000000"/>
          <w:sz w:val="22"/>
          <w:szCs w:val="22"/>
          <w:lang w:eastAsia="fr-FR"/>
        </w:rPr>
      </w:pPr>
      <w:r w:rsidRPr="00A64175">
        <w:rPr>
          <w:rFonts w:eastAsia="Times New Roman"/>
          <w:color w:val="000000"/>
          <w:sz w:val="22"/>
          <w:szCs w:val="22"/>
          <w:lang w:eastAsia="fr-FR"/>
        </w:rPr>
        <w:t>de transmettre les déclarations d’opérations suspectes à l’ANIF.</w:t>
      </w:r>
    </w:p>
    <w:p w14:paraId="51C8B566" w14:textId="16D5FAF1" w:rsidR="00120662" w:rsidRPr="00A64175" w:rsidRDefault="00120662"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L’identité du responsable </w:t>
      </w:r>
      <w:r w:rsidR="0089480A" w:rsidRPr="00A64175">
        <w:rPr>
          <w:rFonts w:ascii="Arial" w:eastAsia="Times New Roman" w:hAnsi="Arial" w:cs="Arial"/>
          <w:color w:val="000000"/>
          <w:sz w:val="22"/>
          <w:szCs w:val="22"/>
          <w:lang w:eastAsia="fr-FR"/>
        </w:rPr>
        <w:t xml:space="preserve">visé au présent article est, sans délai,  communiquée à la COSUMAF et à l’ANIF lors de sa désignation initiale et en cas de changement. </w:t>
      </w:r>
    </w:p>
    <w:p w14:paraId="1A08EC74" w14:textId="7E4CCE54" w:rsidR="00652E2F" w:rsidRPr="00A64175" w:rsidRDefault="00652E2F" w:rsidP="00A64175">
      <w:pPr>
        <w:shd w:val="clear" w:color="auto" w:fill="FFFFFF"/>
        <w:spacing w:after="75"/>
        <w:jc w:val="both"/>
        <w:rPr>
          <w:rFonts w:ascii="Arial" w:eastAsia="Times New Roman" w:hAnsi="Arial" w:cs="Arial"/>
          <w:b/>
          <w:bCs/>
          <w:color w:val="000000"/>
          <w:sz w:val="22"/>
          <w:szCs w:val="22"/>
          <w:lang w:eastAsia="fr-FR"/>
        </w:rPr>
      </w:pPr>
    </w:p>
    <w:p w14:paraId="07C2DF98" w14:textId="27838495" w:rsidR="00957FD8" w:rsidRPr="00DF47A8"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10</w:t>
      </w:r>
      <w:r w:rsidR="00BB1AFC">
        <w:rPr>
          <w:rFonts w:ascii="Arial" w:hAnsi="Arial" w:cs="Arial"/>
          <w:b/>
          <w:bCs/>
          <w:color w:val="000000"/>
          <w:sz w:val="22"/>
          <w:szCs w:val="22"/>
        </w:rPr>
        <w:t>2</w:t>
      </w:r>
      <w:r w:rsidR="00957FD8" w:rsidRPr="00A64175">
        <w:rPr>
          <w:rFonts w:ascii="Arial" w:hAnsi="Arial" w:cs="Arial"/>
          <w:b/>
          <w:bCs/>
          <w:color w:val="000000"/>
          <w:sz w:val="22"/>
          <w:szCs w:val="22"/>
        </w:rPr>
        <w:t xml:space="preserve">. </w:t>
      </w:r>
      <w:r w:rsidR="00957FD8" w:rsidRPr="00A64175">
        <w:rPr>
          <w:rFonts w:ascii="Arial" w:hAnsi="Arial" w:cs="Arial"/>
          <w:color w:val="000000"/>
          <w:kern w:val="1"/>
          <w:sz w:val="22"/>
          <w:szCs w:val="22"/>
        </w:rPr>
        <w:t xml:space="preserve">– </w:t>
      </w:r>
      <w:r w:rsidR="003E1622" w:rsidRPr="00A64175">
        <w:rPr>
          <w:rFonts w:ascii="Arial" w:eastAsia="Times New Roman" w:hAnsi="Arial" w:cs="Arial"/>
          <w:color w:val="000000"/>
          <w:sz w:val="22"/>
          <w:szCs w:val="22"/>
          <w:lang w:eastAsia="fr-FR"/>
        </w:rPr>
        <w:t>Les acteurs et intervenants du marché établissent une cartographie des risques de blanchiment de capitaux et de financement du terrorisme auxquels ils sont  exposés dans l'exercice de leurs activités. Cette cartographie des risques est régulièrement mise à jour. Elle permet d’établir le niveau d’exposition des acteurs et intervenants du marché aux risques de blanchiment de capitaux et de financement du terrorisme.</w:t>
      </w:r>
      <w:r w:rsidR="00395733" w:rsidRPr="00A64175">
        <w:rPr>
          <w:rFonts w:ascii="Arial" w:eastAsia="Times New Roman" w:hAnsi="Arial" w:cs="Arial"/>
          <w:color w:val="000000"/>
          <w:sz w:val="22"/>
          <w:szCs w:val="22"/>
          <w:lang w:eastAsia="fr-FR"/>
        </w:rPr>
        <w:t xml:space="preserve"> Pour déterminer le</w:t>
      </w:r>
      <w:r w:rsidR="003E1622" w:rsidRPr="00A64175">
        <w:rPr>
          <w:rFonts w:ascii="Arial" w:eastAsia="Times New Roman" w:hAnsi="Arial" w:cs="Arial"/>
          <w:color w:val="000000"/>
          <w:sz w:val="22"/>
          <w:szCs w:val="22"/>
          <w:lang w:eastAsia="fr-FR"/>
        </w:rPr>
        <w:t xml:space="preserve"> niveau d’exposition à ces risques</w:t>
      </w:r>
      <w:r w:rsidR="00395733" w:rsidRPr="00A64175">
        <w:rPr>
          <w:rFonts w:ascii="Arial" w:eastAsia="Times New Roman" w:hAnsi="Arial" w:cs="Arial"/>
          <w:color w:val="000000"/>
          <w:sz w:val="22"/>
          <w:szCs w:val="22"/>
          <w:lang w:eastAsia="fr-FR"/>
        </w:rPr>
        <w:t>, il est tenu compte notamment de la nature des services fournis, du profil des clients, des caractéristiques des produits offerts, du territoire d’origi</w:t>
      </w:r>
      <w:r w:rsidR="00DF47A8">
        <w:rPr>
          <w:rFonts w:ascii="Arial" w:eastAsia="Times New Roman" w:hAnsi="Arial" w:cs="Arial"/>
          <w:color w:val="000000"/>
          <w:sz w:val="22"/>
          <w:szCs w:val="22"/>
          <w:lang w:eastAsia="fr-FR"/>
        </w:rPr>
        <w:t>ne ou de destination des fonds.</w:t>
      </w:r>
    </w:p>
    <w:p w14:paraId="12A985E1" w14:textId="71F42A06" w:rsidR="00652E2F"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10</w:t>
      </w:r>
      <w:r w:rsidR="00BB1AFC">
        <w:rPr>
          <w:rFonts w:ascii="Arial" w:hAnsi="Arial" w:cs="Arial"/>
          <w:b/>
          <w:bCs/>
          <w:color w:val="000000"/>
          <w:sz w:val="22"/>
          <w:szCs w:val="22"/>
        </w:rPr>
        <w:t>3</w:t>
      </w:r>
      <w:r w:rsidR="00065FF4" w:rsidRPr="00A64175">
        <w:rPr>
          <w:rFonts w:ascii="Arial" w:hAnsi="Arial" w:cs="Arial"/>
          <w:b/>
          <w:bCs/>
          <w:color w:val="000000"/>
          <w:sz w:val="22"/>
          <w:szCs w:val="22"/>
        </w:rPr>
        <w:t xml:space="preserve">. </w:t>
      </w:r>
      <w:r w:rsidR="00065FF4" w:rsidRPr="00A64175">
        <w:rPr>
          <w:rFonts w:ascii="Arial" w:hAnsi="Arial" w:cs="Arial"/>
          <w:color w:val="000000"/>
          <w:kern w:val="1"/>
          <w:sz w:val="22"/>
          <w:szCs w:val="22"/>
        </w:rPr>
        <w:t xml:space="preserve">– </w:t>
      </w:r>
      <w:r w:rsidR="00395733" w:rsidRPr="00A64175">
        <w:rPr>
          <w:rFonts w:ascii="Arial" w:eastAsia="Times New Roman" w:hAnsi="Arial" w:cs="Arial"/>
          <w:color w:val="000000"/>
          <w:sz w:val="22"/>
          <w:szCs w:val="22"/>
          <w:lang w:eastAsia="fr-FR"/>
        </w:rPr>
        <w:t xml:space="preserve">Les </w:t>
      </w:r>
      <w:r w:rsidR="00652E2F" w:rsidRPr="00A64175">
        <w:rPr>
          <w:rFonts w:ascii="Arial" w:eastAsia="Times New Roman" w:hAnsi="Arial" w:cs="Arial"/>
          <w:color w:val="000000"/>
          <w:sz w:val="22"/>
          <w:szCs w:val="22"/>
          <w:lang w:eastAsia="fr-FR"/>
        </w:rPr>
        <w:t>procédures internes</w:t>
      </w:r>
      <w:r w:rsidR="005724E8" w:rsidRPr="00A64175">
        <w:rPr>
          <w:rFonts w:ascii="Arial" w:eastAsia="Times New Roman" w:hAnsi="Arial" w:cs="Arial"/>
          <w:color w:val="000000"/>
          <w:sz w:val="22"/>
          <w:szCs w:val="22"/>
          <w:lang w:eastAsia="fr-FR"/>
        </w:rPr>
        <w:t xml:space="preserve"> visées à </w:t>
      </w:r>
      <w:r w:rsidR="005724E8" w:rsidRPr="00C21CF0">
        <w:rPr>
          <w:rFonts w:ascii="Arial" w:eastAsia="Times New Roman" w:hAnsi="Arial" w:cs="Arial"/>
          <w:color w:val="000000"/>
          <w:sz w:val="22"/>
          <w:szCs w:val="22"/>
          <w:lang w:eastAsia="fr-FR"/>
        </w:rPr>
        <w:t xml:space="preserve">l’article </w:t>
      </w:r>
      <w:r w:rsidR="00422DD2" w:rsidRPr="00C21CF0">
        <w:rPr>
          <w:rFonts w:ascii="Arial" w:eastAsia="Times New Roman" w:hAnsi="Arial" w:cs="Arial"/>
          <w:color w:val="000000"/>
          <w:sz w:val="22"/>
          <w:szCs w:val="22"/>
          <w:lang w:eastAsia="fr-FR"/>
        </w:rPr>
        <w:t>100</w:t>
      </w:r>
      <w:r w:rsidR="005724E8" w:rsidRPr="00C21CF0">
        <w:rPr>
          <w:rFonts w:ascii="Arial" w:eastAsia="Times New Roman" w:hAnsi="Arial" w:cs="Arial"/>
          <w:color w:val="000000"/>
          <w:sz w:val="22"/>
          <w:szCs w:val="22"/>
          <w:lang w:eastAsia="fr-FR"/>
        </w:rPr>
        <w:t xml:space="preserve"> du présent règlement général</w:t>
      </w:r>
      <w:r w:rsidR="005724E8" w:rsidRPr="00A64175">
        <w:rPr>
          <w:rFonts w:ascii="Arial" w:eastAsia="Times New Roman" w:hAnsi="Arial" w:cs="Arial"/>
          <w:color w:val="000000"/>
          <w:sz w:val="22"/>
          <w:szCs w:val="22"/>
          <w:lang w:eastAsia="fr-FR"/>
        </w:rPr>
        <w:t xml:space="preserve"> sont écrites. Elles</w:t>
      </w:r>
      <w:r w:rsidR="00652E2F" w:rsidRPr="00A64175">
        <w:rPr>
          <w:rFonts w:ascii="Arial" w:eastAsia="Times New Roman" w:hAnsi="Arial" w:cs="Arial"/>
          <w:color w:val="000000"/>
          <w:sz w:val="22"/>
          <w:szCs w:val="22"/>
          <w:lang w:eastAsia="fr-FR"/>
        </w:rPr>
        <w:t xml:space="preserve"> portent notamment sur :</w:t>
      </w:r>
    </w:p>
    <w:p w14:paraId="0C81D458" w14:textId="1F026478"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1° l</w:t>
      </w:r>
      <w:r w:rsidR="00F0561E" w:rsidRPr="00A64175">
        <w:rPr>
          <w:rFonts w:ascii="Arial" w:eastAsia="Times New Roman" w:hAnsi="Arial" w:cs="Arial"/>
          <w:color w:val="000000"/>
          <w:sz w:val="22"/>
          <w:szCs w:val="22"/>
          <w:lang w:eastAsia="fr-FR"/>
        </w:rPr>
        <w:t>’identification, l</w:t>
      </w:r>
      <w:r w:rsidRPr="00A64175">
        <w:rPr>
          <w:rFonts w:ascii="Arial" w:eastAsia="Times New Roman" w:hAnsi="Arial" w:cs="Arial"/>
          <w:color w:val="000000"/>
          <w:sz w:val="22"/>
          <w:szCs w:val="22"/>
          <w:lang w:eastAsia="fr-FR"/>
        </w:rPr>
        <w:t>'évaluation, la surveillance et le contrôle des risques de blanchiment de capitaux et de financement du terrorisme ;</w:t>
      </w:r>
    </w:p>
    <w:p w14:paraId="6BBBF202" w14:textId="77777777"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2° la mise en œuvre des mesures de vigilance, en particulier :</w:t>
      </w:r>
    </w:p>
    <w:p w14:paraId="24401FDA" w14:textId="1D92B765" w:rsidR="00652E2F" w:rsidRPr="00A64175" w:rsidRDefault="00AB7038"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a) les mesures de vigilance concernant les nouveaux clients et l</w:t>
      </w:r>
      <w:r w:rsidR="00652E2F" w:rsidRPr="00A64175">
        <w:rPr>
          <w:rFonts w:ascii="Arial" w:eastAsia="Times New Roman" w:hAnsi="Arial" w:cs="Arial"/>
          <w:color w:val="000000"/>
          <w:sz w:val="22"/>
          <w:szCs w:val="22"/>
          <w:lang w:eastAsia="fr-FR"/>
        </w:rPr>
        <w:t>es clients occasionnels ;</w:t>
      </w:r>
    </w:p>
    <w:p w14:paraId="4B12C20A" w14:textId="58A1187C" w:rsidR="00652E2F" w:rsidRPr="00A64175" w:rsidRDefault="00AB7038"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b) les mesures de vigilance visant l'identification et la</w:t>
      </w:r>
      <w:r w:rsidR="00652E2F" w:rsidRPr="00A64175">
        <w:rPr>
          <w:rFonts w:ascii="Arial" w:eastAsia="Times New Roman" w:hAnsi="Arial" w:cs="Arial"/>
          <w:color w:val="000000"/>
          <w:sz w:val="22"/>
          <w:szCs w:val="22"/>
          <w:lang w:eastAsia="fr-FR"/>
        </w:rPr>
        <w:t xml:space="preserve"> connaissance du clie</w:t>
      </w:r>
      <w:r w:rsidRPr="00A64175">
        <w:rPr>
          <w:rFonts w:ascii="Arial" w:eastAsia="Times New Roman" w:hAnsi="Arial" w:cs="Arial"/>
          <w:color w:val="000000"/>
          <w:sz w:val="22"/>
          <w:szCs w:val="22"/>
          <w:lang w:eastAsia="fr-FR"/>
        </w:rPr>
        <w:t>nt, du bénéficiaire effectif,</w:t>
      </w:r>
      <w:r w:rsidR="00652E2F" w:rsidRPr="00A64175">
        <w:rPr>
          <w:rFonts w:ascii="Arial" w:eastAsia="Times New Roman" w:hAnsi="Arial" w:cs="Arial"/>
          <w:color w:val="000000"/>
          <w:sz w:val="22"/>
          <w:szCs w:val="22"/>
          <w:lang w:eastAsia="fr-FR"/>
        </w:rPr>
        <w:t xml:space="preserve"> de l'objet et de la na</w:t>
      </w:r>
      <w:r w:rsidR="005724E8" w:rsidRPr="00A64175">
        <w:rPr>
          <w:rFonts w:ascii="Arial" w:eastAsia="Times New Roman" w:hAnsi="Arial" w:cs="Arial"/>
          <w:color w:val="000000"/>
          <w:sz w:val="22"/>
          <w:szCs w:val="22"/>
          <w:lang w:eastAsia="fr-FR"/>
        </w:rPr>
        <w:t xml:space="preserve">ture de la relation d'affaires </w:t>
      </w:r>
      <w:r w:rsidR="00652E2F" w:rsidRPr="00A64175">
        <w:rPr>
          <w:rFonts w:ascii="Arial" w:eastAsia="Times New Roman" w:hAnsi="Arial" w:cs="Arial"/>
          <w:color w:val="000000"/>
          <w:sz w:val="22"/>
          <w:szCs w:val="22"/>
          <w:lang w:eastAsia="fr-FR"/>
        </w:rPr>
        <w:t>;</w:t>
      </w:r>
    </w:p>
    <w:p w14:paraId="29AADD4A" w14:textId="092DE7C0"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c) les mesures de vigilance complémentaires ainsi que les conditions et modalités de leur mise en œuvre ;</w:t>
      </w:r>
    </w:p>
    <w:p w14:paraId="3B1A92ED" w14:textId="1CB8B98D" w:rsidR="00120662" w:rsidRPr="00A64175" w:rsidRDefault="00120662"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d) les mesures de vigilance concernant les opérations sur les actifs numériques ;</w:t>
      </w:r>
    </w:p>
    <w:p w14:paraId="3D641B8E" w14:textId="74A3FA5D" w:rsidR="00652E2F" w:rsidRPr="00A64175" w:rsidRDefault="00120662"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e</w:t>
      </w:r>
      <w:r w:rsidR="00652E2F" w:rsidRPr="00A64175">
        <w:rPr>
          <w:rFonts w:ascii="Arial" w:eastAsia="Times New Roman" w:hAnsi="Arial" w:cs="Arial"/>
          <w:color w:val="000000"/>
          <w:sz w:val="22"/>
          <w:szCs w:val="22"/>
          <w:lang w:eastAsia="fr-FR"/>
        </w:rPr>
        <w:t>) les mesures de vigilance à mettre en œuvre au regard de</w:t>
      </w:r>
      <w:r w:rsidR="00AB7038" w:rsidRPr="00A64175">
        <w:rPr>
          <w:rFonts w:ascii="Arial" w:eastAsia="Times New Roman" w:hAnsi="Arial" w:cs="Arial"/>
          <w:color w:val="000000"/>
          <w:sz w:val="22"/>
          <w:szCs w:val="22"/>
          <w:lang w:eastAsia="fr-FR"/>
        </w:rPr>
        <w:t xml:space="preserve"> tout autre risque identifié dans la cartographie</w:t>
      </w:r>
      <w:r w:rsidR="00652E2F" w:rsidRPr="00A64175">
        <w:rPr>
          <w:rFonts w:ascii="Arial" w:eastAsia="Times New Roman" w:hAnsi="Arial" w:cs="Arial"/>
          <w:color w:val="000000"/>
          <w:sz w:val="22"/>
          <w:szCs w:val="22"/>
          <w:lang w:eastAsia="fr-FR"/>
        </w:rPr>
        <w:t xml:space="preserve"> des risques;</w:t>
      </w:r>
    </w:p>
    <w:p w14:paraId="4ECF534C" w14:textId="5FFE4CBB" w:rsidR="00652E2F" w:rsidRPr="00A64175" w:rsidRDefault="00AB7038"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3</w:t>
      </w:r>
      <w:r w:rsidR="00652E2F" w:rsidRPr="00A64175">
        <w:rPr>
          <w:rFonts w:ascii="Arial" w:eastAsia="Times New Roman" w:hAnsi="Arial" w:cs="Arial"/>
          <w:color w:val="000000"/>
          <w:sz w:val="22"/>
          <w:szCs w:val="22"/>
          <w:lang w:eastAsia="fr-FR"/>
        </w:rPr>
        <w:t>° la détection et le traitement des opérations et des transactions inhabituelles ou suspectes ;</w:t>
      </w:r>
    </w:p>
    <w:p w14:paraId="02BB5A43" w14:textId="00BF472C"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5° la mise en œuvre des obligations de déclaration et de transmission d'informations à</w:t>
      </w:r>
      <w:r w:rsidR="00DF50A1" w:rsidRPr="00A64175">
        <w:rPr>
          <w:rFonts w:ascii="Arial" w:eastAsia="Times New Roman" w:hAnsi="Arial" w:cs="Arial"/>
          <w:color w:val="000000"/>
          <w:sz w:val="22"/>
          <w:szCs w:val="22"/>
          <w:lang w:eastAsia="fr-FR"/>
        </w:rPr>
        <w:t xml:space="preserve"> l’ANIF </w:t>
      </w:r>
      <w:r w:rsidRPr="00A64175">
        <w:rPr>
          <w:rFonts w:ascii="Arial" w:eastAsia="Times New Roman" w:hAnsi="Arial" w:cs="Arial"/>
          <w:color w:val="000000"/>
          <w:sz w:val="22"/>
          <w:szCs w:val="22"/>
          <w:lang w:eastAsia="fr-FR"/>
        </w:rPr>
        <w:t>;</w:t>
      </w:r>
    </w:p>
    <w:p w14:paraId="72DB9785" w14:textId="2CD470DC" w:rsidR="004B692F" w:rsidRPr="00A64175" w:rsidRDefault="004B69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6° </w:t>
      </w:r>
      <w:r w:rsidR="00F041D1" w:rsidRPr="00A64175">
        <w:rPr>
          <w:rFonts w:ascii="Arial" w:eastAsia="Times New Roman" w:hAnsi="Arial" w:cs="Arial"/>
          <w:color w:val="000000"/>
          <w:sz w:val="22"/>
          <w:szCs w:val="22"/>
          <w:lang w:eastAsia="fr-FR"/>
        </w:rPr>
        <w:t>les modalités de mise en œuvre des mesures de gel des avoirs ;</w:t>
      </w:r>
    </w:p>
    <w:p w14:paraId="6CFA80EF" w14:textId="5502BAC3" w:rsidR="00F041D1" w:rsidRPr="00A64175" w:rsidRDefault="00F041D1"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7° l’identification des personnes politiquement exposées et le suivi de leurs opérations ;</w:t>
      </w:r>
    </w:p>
    <w:p w14:paraId="64C3B9F5" w14:textId="39951470" w:rsidR="00F041D1" w:rsidRPr="00A64175" w:rsidRDefault="00F041D1"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8° les modalités de conservation des documents d’identité et autres informations sur la clientèle ;</w:t>
      </w:r>
    </w:p>
    <w:p w14:paraId="2C5CE00B" w14:textId="3554F557" w:rsidR="005E002F" w:rsidRPr="00A64175" w:rsidRDefault="00F041D1"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9</w:t>
      </w:r>
      <w:r w:rsidR="00652E2F" w:rsidRPr="00A64175">
        <w:rPr>
          <w:rFonts w:ascii="Arial" w:eastAsia="Times New Roman" w:hAnsi="Arial" w:cs="Arial"/>
          <w:color w:val="000000"/>
          <w:sz w:val="22"/>
          <w:szCs w:val="22"/>
          <w:lang w:eastAsia="fr-FR"/>
        </w:rPr>
        <w:t>° L'organisation du dispositif de contrôle interne</w:t>
      </w:r>
      <w:r w:rsidR="00A06B89" w:rsidRPr="00A64175">
        <w:rPr>
          <w:rFonts w:ascii="Arial" w:eastAsia="Times New Roman" w:hAnsi="Arial" w:cs="Arial"/>
          <w:color w:val="000000"/>
          <w:sz w:val="22"/>
          <w:szCs w:val="22"/>
          <w:lang w:eastAsia="fr-FR"/>
        </w:rPr>
        <w:t xml:space="preserve"> et les modalités d’exécution des diligences </w:t>
      </w:r>
      <w:r w:rsidR="00652E2F" w:rsidRPr="00A64175">
        <w:rPr>
          <w:rFonts w:ascii="Arial" w:eastAsia="Times New Roman" w:hAnsi="Arial" w:cs="Arial"/>
          <w:color w:val="000000"/>
          <w:sz w:val="22"/>
          <w:szCs w:val="22"/>
          <w:lang w:eastAsia="fr-FR"/>
        </w:rPr>
        <w:t>de contrôle interne</w:t>
      </w:r>
      <w:r w:rsidR="008B5832" w:rsidRPr="00A64175">
        <w:rPr>
          <w:rFonts w:ascii="Arial" w:eastAsia="Times New Roman" w:hAnsi="Arial" w:cs="Arial"/>
          <w:color w:val="000000"/>
          <w:sz w:val="22"/>
          <w:szCs w:val="22"/>
          <w:lang w:eastAsia="fr-FR"/>
        </w:rPr>
        <w:t>.</w:t>
      </w:r>
    </w:p>
    <w:p w14:paraId="020BBF9F" w14:textId="2803B497" w:rsidR="005E002F" w:rsidRPr="00A64175" w:rsidRDefault="005E00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Lorsque l’acteur ou intervenant de marché fait partie d’un groupe ou d’un conglomérat financier, les procé</w:t>
      </w:r>
      <w:r w:rsidR="008B5832" w:rsidRPr="00A64175">
        <w:rPr>
          <w:rFonts w:ascii="Arial" w:eastAsia="Times New Roman" w:hAnsi="Arial" w:cs="Arial"/>
          <w:color w:val="000000"/>
          <w:sz w:val="22"/>
          <w:szCs w:val="22"/>
          <w:lang w:eastAsia="fr-FR"/>
        </w:rPr>
        <w:t>dures visées au présent article</w:t>
      </w:r>
      <w:r w:rsidRPr="00A64175">
        <w:rPr>
          <w:rFonts w:ascii="Arial" w:eastAsia="Times New Roman" w:hAnsi="Arial" w:cs="Arial"/>
          <w:color w:val="000000"/>
          <w:sz w:val="22"/>
          <w:szCs w:val="22"/>
          <w:lang w:eastAsia="fr-FR"/>
        </w:rPr>
        <w:t xml:space="preserve"> doivent préciser les modalités de circulation au sein du groupe des informations nécessaires à l’organisation de la lutte contr</w:t>
      </w:r>
      <w:r w:rsidR="008B5832" w:rsidRPr="00A64175">
        <w:rPr>
          <w:rFonts w:ascii="Arial" w:eastAsia="Times New Roman" w:hAnsi="Arial" w:cs="Arial"/>
          <w:color w:val="000000"/>
          <w:sz w:val="22"/>
          <w:szCs w:val="22"/>
          <w:lang w:eastAsia="fr-FR"/>
        </w:rPr>
        <w:t>e le blanchiment de</w:t>
      </w:r>
      <w:r w:rsidRPr="00A64175">
        <w:rPr>
          <w:rFonts w:ascii="Arial" w:eastAsia="Times New Roman" w:hAnsi="Arial" w:cs="Arial"/>
          <w:color w:val="000000"/>
          <w:sz w:val="22"/>
          <w:szCs w:val="22"/>
          <w:lang w:eastAsia="fr-FR"/>
        </w:rPr>
        <w:t xml:space="preserve"> capitaux</w:t>
      </w:r>
      <w:r w:rsidR="008B5832" w:rsidRPr="00A64175">
        <w:rPr>
          <w:rFonts w:ascii="Arial" w:eastAsia="Times New Roman" w:hAnsi="Arial" w:cs="Arial"/>
          <w:color w:val="000000"/>
          <w:sz w:val="22"/>
          <w:szCs w:val="22"/>
          <w:lang w:eastAsia="fr-FR"/>
        </w:rPr>
        <w:t xml:space="preserve"> et le financement terrorisme, en veillant à ce que ces informations ne soient pas détournées de cet objectif et ne soient pas utilisées à d’autres fins.</w:t>
      </w:r>
    </w:p>
    <w:p w14:paraId="17C2DE07" w14:textId="3133C871" w:rsidR="005E002F" w:rsidRPr="00A64175" w:rsidRDefault="008B5832"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Lorsque les acteurs et intervenants du marché font partie d’un groupe ou interviennent pour un même client et dans une même transaction, les procédures visées au présent article doivent également préciser les modalités d’échange d’informations relatives à l’existence  et au contenu des déclarations transmises à l’ANIF.</w:t>
      </w:r>
    </w:p>
    <w:p w14:paraId="00D5E017" w14:textId="77777777" w:rsidR="00C7044C" w:rsidRPr="00A64175" w:rsidRDefault="00C7044C" w:rsidP="00A64175">
      <w:pPr>
        <w:shd w:val="clear" w:color="auto" w:fill="FFFFFF"/>
        <w:spacing w:after="240"/>
        <w:jc w:val="both"/>
        <w:rPr>
          <w:rFonts w:ascii="Arial" w:eastAsia="Times New Roman" w:hAnsi="Arial" w:cs="Arial"/>
          <w:color w:val="000000"/>
          <w:sz w:val="22"/>
          <w:szCs w:val="22"/>
          <w:lang w:eastAsia="fr-FR"/>
        </w:rPr>
      </w:pPr>
    </w:p>
    <w:p w14:paraId="0389F7E5" w14:textId="3EFD1D98" w:rsidR="00652E2F" w:rsidRPr="00A64175" w:rsidRDefault="00927CA5"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 xml:space="preserve">Article </w:t>
      </w:r>
      <w:r w:rsidR="00B45259">
        <w:rPr>
          <w:rFonts w:ascii="Arial" w:hAnsi="Arial" w:cs="Arial"/>
          <w:b/>
          <w:bCs/>
          <w:color w:val="000000"/>
          <w:sz w:val="22"/>
          <w:szCs w:val="22"/>
        </w:rPr>
        <w:t>10</w:t>
      </w:r>
      <w:r w:rsidR="00BB1AFC">
        <w:rPr>
          <w:rFonts w:ascii="Arial" w:hAnsi="Arial" w:cs="Arial"/>
          <w:b/>
          <w:bCs/>
          <w:color w:val="000000"/>
          <w:sz w:val="22"/>
          <w:szCs w:val="22"/>
        </w:rPr>
        <w:t>4</w:t>
      </w:r>
      <w:r w:rsidR="00A06B89" w:rsidRPr="00A64175">
        <w:rPr>
          <w:rFonts w:ascii="Arial" w:hAnsi="Arial" w:cs="Arial"/>
          <w:b/>
          <w:bCs/>
          <w:color w:val="000000"/>
          <w:sz w:val="22"/>
          <w:szCs w:val="22"/>
        </w:rPr>
        <w:t xml:space="preserve">. </w:t>
      </w:r>
      <w:r w:rsidR="00A06B89" w:rsidRPr="00A64175">
        <w:rPr>
          <w:rFonts w:ascii="Arial" w:hAnsi="Arial" w:cs="Arial"/>
          <w:color w:val="000000"/>
          <w:kern w:val="1"/>
          <w:sz w:val="22"/>
          <w:szCs w:val="22"/>
        </w:rPr>
        <w:t xml:space="preserve">– </w:t>
      </w:r>
      <w:r w:rsidR="00A06B89" w:rsidRPr="00A64175">
        <w:rPr>
          <w:rFonts w:ascii="Arial" w:eastAsia="Times New Roman" w:hAnsi="Arial" w:cs="Arial"/>
          <w:color w:val="000000"/>
          <w:sz w:val="22"/>
          <w:szCs w:val="22"/>
          <w:lang w:eastAsia="fr-FR"/>
        </w:rPr>
        <w:t>Les acteurs et intervenants du marché sont tenus d’établir un rapport annuel de contrô</w:t>
      </w:r>
      <w:r w:rsidR="0089480A" w:rsidRPr="00A64175">
        <w:rPr>
          <w:rFonts w:ascii="Arial" w:eastAsia="Times New Roman" w:hAnsi="Arial" w:cs="Arial"/>
          <w:color w:val="000000"/>
          <w:sz w:val="22"/>
          <w:szCs w:val="22"/>
          <w:lang w:eastAsia="fr-FR"/>
        </w:rPr>
        <w:t>le du respect des dispositions législatives et réglementaires en vigueur en matière de lutte contre le blanchiment des capitaux et le financement du terrorisme.</w:t>
      </w:r>
    </w:p>
    <w:p w14:paraId="5EF7BA7F" w14:textId="6AA6C75D"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Ce rapport décrit</w:t>
      </w:r>
      <w:r w:rsidR="001C242E" w:rsidRPr="00A64175">
        <w:rPr>
          <w:rFonts w:ascii="Arial" w:eastAsia="Times New Roman" w:hAnsi="Arial" w:cs="Arial"/>
          <w:color w:val="000000"/>
          <w:sz w:val="22"/>
          <w:szCs w:val="22"/>
          <w:lang w:eastAsia="fr-FR"/>
        </w:rPr>
        <w:t xml:space="preserve"> notamment</w:t>
      </w:r>
      <w:r w:rsidRPr="00A64175">
        <w:rPr>
          <w:rFonts w:ascii="Arial" w:eastAsia="Times New Roman" w:hAnsi="Arial" w:cs="Arial"/>
          <w:color w:val="000000"/>
          <w:sz w:val="22"/>
          <w:szCs w:val="22"/>
          <w:lang w:eastAsia="fr-FR"/>
        </w:rPr>
        <w:t xml:space="preserve"> :</w:t>
      </w:r>
    </w:p>
    <w:p w14:paraId="60BA7DB7" w14:textId="77777777"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a) Les procédures de contrôle interne mises en place en fonction de l'évaluation du risque de blanchiment de capitaux et de financement du terrorisme ;</w:t>
      </w:r>
    </w:p>
    <w:p w14:paraId="6D75BEAD" w14:textId="77777777" w:rsidR="00652E2F"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b) Les moyens mis en œuvre pour l'exercice et le contrôle de l'activité de contrôle ;</w:t>
      </w:r>
    </w:p>
    <w:p w14:paraId="6B6B4465" w14:textId="7ACCBD8D" w:rsidR="00957FD8" w:rsidRPr="00A64175" w:rsidRDefault="00652E2F"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c) Les incidents et les insuffisances constatés ainsi que les </w:t>
      </w:r>
      <w:r w:rsidR="00AB2924" w:rsidRPr="00A64175">
        <w:rPr>
          <w:rFonts w:ascii="Arial" w:eastAsia="Times New Roman" w:hAnsi="Arial" w:cs="Arial"/>
          <w:color w:val="000000"/>
          <w:sz w:val="22"/>
          <w:szCs w:val="22"/>
          <w:lang w:eastAsia="fr-FR"/>
        </w:rPr>
        <w:t>mesures correctrices apportées ;</w:t>
      </w:r>
    </w:p>
    <w:p w14:paraId="784C356C" w14:textId="286644F8" w:rsidR="00ED016F" w:rsidRPr="00A64175" w:rsidRDefault="00AB2924"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d) </w:t>
      </w:r>
      <w:r w:rsidR="00ED016F" w:rsidRPr="00A64175">
        <w:rPr>
          <w:rFonts w:ascii="Arial" w:eastAsia="Times New Roman" w:hAnsi="Arial" w:cs="Arial"/>
          <w:color w:val="000000"/>
          <w:sz w:val="22"/>
          <w:szCs w:val="22"/>
          <w:lang w:eastAsia="fr-FR"/>
        </w:rPr>
        <w:t xml:space="preserve">La forme et le contenu de l’évaluation visée à </w:t>
      </w:r>
      <w:r w:rsidR="00ED016F" w:rsidRPr="00C21CF0">
        <w:rPr>
          <w:rFonts w:ascii="Arial" w:eastAsia="Times New Roman" w:hAnsi="Arial" w:cs="Arial"/>
          <w:color w:val="000000"/>
          <w:sz w:val="22"/>
          <w:szCs w:val="22"/>
          <w:lang w:eastAsia="fr-FR"/>
        </w:rPr>
        <w:t xml:space="preserve">l’article </w:t>
      </w:r>
      <w:r w:rsidR="0010258C" w:rsidRPr="00C21CF0">
        <w:rPr>
          <w:rFonts w:ascii="Arial" w:eastAsia="Times New Roman" w:hAnsi="Arial" w:cs="Arial"/>
          <w:color w:val="000000"/>
          <w:sz w:val="22"/>
          <w:szCs w:val="22"/>
          <w:lang w:eastAsia="fr-FR"/>
        </w:rPr>
        <w:t>100</w:t>
      </w:r>
      <w:r w:rsidR="00ED016F" w:rsidRPr="00C21CF0">
        <w:rPr>
          <w:rFonts w:ascii="Arial" w:eastAsia="Times New Roman" w:hAnsi="Arial" w:cs="Arial"/>
          <w:color w:val="000000"/>
          <w:sz w:val="22"/>
          <w:szCs w:val="22"/>
          <w:lang w:eastAsia="fr-FR"/>
        </w:rPr>
        <w:t xml:space="preserve"> du présent Règlement Général,</w:t>
      </w:r>
      <w:r w:rsidR="00ED016F" w:rsidRPr="008800A4">
        <w:rPr>
          <w:rFonts w:ascii="Arial" w:eastAsia="Times New Roman" w:hAnsi="Arial" w:cs="Arial"/>
          <w:color w:val="000000"/>
          <w:sz w:val="22"/>
          <w:szCs w:val="22"/>
          <w:lang w:eastAsia="fr-FR"/>
        </w:rPr>
        <w:t xml:space="preserve"> qui</w:t>
      </w:r>
      <w:r w:rsidR="00ED016F" w:rsidRPr="00A64175">
        <w:rPr>
          <w:rFonts w:ascii="Arial" w:eastAsia="Times New Roman" w:hAnsi="Arial" w:cs="Arial"/>
          <w:color w:val="000000"/>
          <w:sz w:val="22"/>
          <w:szCs w:val="22"/>
          <w:lang w:eastAsia="fr-FR"/>
        </w:rPr>
        <w:t xml:space="preserve"> porte sur le dispositif interne de lutte contre le blanchiment de capitaux et le financement du terrorisme</w:t>
      </w:r>
      <w:r w:rsidR="00F425B6" w:rsidRPr="00A64175">
        <w:rPr>
          <w:rFonts w:ascii="Arial" w:eastAsia="Times New Roman" w:hAnsi="Arial" w:cs="Arial"/>
          <w:color w:val="000000"/>
          <w:sz w:val="22"/>
          <w:szCs w:val="22"/>
          <w:lang w:eastAsia="fr-FR"/>
        </w:rPr>
        <w:t xml:space="preserve"> ainsi que</w:t>
      </w:r>
      <w:r w:rsidR="00ED016F" w:rsidRPr="00A64175">
        <w:rPr>
          <w:rFonts w:ascii="Arial" w:eastAsia="Times New Roman" w:hAnsi="Arial" w:cs="Arial"/>
          <w:color w:val="000000"/>
          <w:sz w:val="22"/>
          <w:szCs w:val="22"/>
          <w:lang w:eastAsia="fr-FR"/>
        </w:rPr>
        <w:t xml:space="preserve"> les résultats y afférents. </w:t>
      </w:r>
    </w:p>
    <w:p w14:paraId="388D3CF2" w14:textId="0C9097E2" w:rsidR="00F425B6" w:rsidRPr="00A64175" w:rsidRDefault="00F425B6"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Le rapport visé au présent article doit être adressé </w:t>
      </w:r>
      <w:r w:rsidR="00A24695" w:rsidRPr="00A64175">
        <w:rPr>
          <w:rFonts w:ascii="Arial" w:eastAsia="Times New Roman" w:hAnsi="Arial" w:cs="Arial"/>
          <w:color w:val="000000"/>
          <w:sz w:val="22"/>
          <w:szCs w:val="22"/>
          <w:lang w:eastAsia="fr-FR"/>
        </w:rPr>
        <w:t>à la COSUMAF au plus tard le 31 mars de chaque année. Il</w:t>
      </w:r>
      <w:r w:rsidRPr="00A64175">
        <w:rPr>
          <w:rFonts w:ascii="Arial" w:eastAsia="Times New Roman" w:hAnsi="Arial" w:cs="Arial"/>
          <w:color w:val="000000"/>
          <w:sz w:val="22"/>
          <w:szCs w:val="22"/>
          <w:lang w:eastAsia="fr-FR"/>
        </w:rPr>
        <w:t xml:space="preserve"> peut être </w:t>
      </w:r>
      <w:r w:rsidR="00A24695" w:rsidRPr="00A64175">
        <w:rPr>
          <w:rFonts w:ascii="Arial" w:eastAsia="Times New Roman" w:hAnsi="Arial" w:cs="Arial"/>
          <w:color w:val="000000"/>
          <w:sz w:val="22"/>
          <w:szCs w:val="22"/>
          <w:lang w:eastAsia="fr-FR"/>
        </w:rPr>
        <w:t xml:space="preserve">intégré au rapport annuel de  </w:t>
      </w:r>
      <w:r w:rsidRPr="00A64175">
        <w:rPr>
          <w:rFonts w:ascii="Arial" w:eastAsia="Times New Roman" w:hAnsi="Arial" w:cs="Arial"/>
          <w:color w:val="000000"/>
          <w:sz w:val="22"/>
          <w:szCs w:val="22"/>
          <w:lang w:eastAsia="fr-FR"/>
        </w:rPr>
        <w:t xml:space="preserve"> contrôle interne</w:t>
      </w:r>
      <w:r w:rsidR="00A24695" w:rsidRPr="00A64175">
        <w:rPr>
          <w:rFonts w:ascii="Arial" w:eastAsia="Times New Roman" w:hAnsi="Arial" w:cs="Arial"/>
          <w:color w:val="000000"/>
          <w:sz w:val="22"/>
          <w:szCs w:val="22"/>
          <w:lang w:eastAsia="fr-FR"/>
        </w:rPr>
        <w:t>.</w:t>
      </w:r>
      <w:r w:rsidR="001B69F3">
        <w:rPr>
          <w:rFonts w:ascii="Arial" w:eastAsia="Times New Roman" w:hAnsi="Arial" w:cs="Arial"/>
          <w:color w:val="000000"/>
          <w:sz w:val="22"/>
          <w:szCs w:val="22"/>
          <w:lang w:eastAsia="fr-FR"/>
        </w:rPr>
        <w:t xml:space="preserve"> </w:t>
      </w:r>
    </w:p>
    <w:p w14:paraId="19EC1CE2" w14:textId="0F651BF9" w:rsidR="00384A14" w:rsidRPr="00A64175" w:rsidRDefault="007E45E4"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10</w:t>
      </w:r>
      <w:r w:rsidR="00BB1AFC">
        <w:rPr>
          <w:rFonts w:ascii="Arial" w:hAnsi="Arial" w:cs="Arial"/>
          <w:b/>
          <w:bCs/>
          <w:color w:val="000000"/>
          <w:sz w:val="22"/>
          <w:szCs w:val="22"/>
        </w:rPr>
        <w:t>5</w:t>
      </w:r>
      <w:r w:rsidR="00957FD8" w:rsidRPr="00A64175">
        <w:rPr>
          <w:rFonts w:ascii="Arial" w:hAnsi="Arial" w:cs="Arial"/>
          <w:b/>
          <w:bCs/>
          <w:color w:val="000000"/>
          <w:sz w:val="22"/>
          <w:szCs w:val="22"/>
        </w:rPr>
        <w:t xml:space="preserve">. </w:t>
      </w:r>
      <w:r w:rsidR="00957FD8" w:rsidRPr="00A64175">
        <w:rPr>
          <w:rFonts w:ascii="Arial" w:hAnsi="Arial" w:cs="Arial"/>
          <w:color w:val="000000"/>
          <w:kern w:val="1"/>
          <w:sz w:val="22"/>
          <w:szCs w:val="22"/>
        </w:rPr>
        <w:t xml:space="preserve">– </w:t>
      </w:r>
      <w:r w:rsidR="00EB587C" w:rsidRPr="00A64175">
        <w:rPr>
          <w:rFonts w:ascii="Arial" w:eastAsia="Times New Roman" w:hAnsi="Arial" w:cs="Arial"/>
          <w:color w:val="000000"/>
          <w:sz w:val="22"/>
          <w:szCs w:val="22"/>
          <w:lang w:eastAsia="fr-FR"/>
        </w:rPr>
        <w:t>Lors de la mise en œuvre de leur</w:t>
      </w:r>
      <w:r w:rsidR="00652E2F" w:rsidRPr="00A64175">
        <w:rPr>
          <w:rFonts w:ascii="Arial" w:eastAsia="Times New Roman" w:hAnsi="Arial" w:cs="Arial"/>
          <w:color w:val="000000"/>
          <w:sz w:val="22"/>
          <w:szCs w:val="22"/>
          <w:lang w:eastAsia="fr-FR"/>
        </w:rPr>
        <w:t xml:space="preserve"> politique d'investissement pour compte propre ou pour compte de tiers, </w:t>
      </w:r>
      <w:r w:rsidR="00EB587C" w:rsidRPr="00A64175">
        <w:rPr>
          <w:rFonts w:ascii="Arial" w:eastAsia="Times New Roman" w:hAnsi="Arial" w:cs="Arial"/>
          <w:color w:val="000000"/>
          <w:sz w:val="22"/>
          <w:szCs w:val="22"/>
          <w:lang w:eastAsia="fr-FR"/>
        </w:rPr>
        <w:t xml:space="preserve">les intermédiaires de marché concernés </w:t>
      </w:r>
      <w:r w:rsidR="00652E2F" w:rsidRPr="00A64175">
        <w:rPr>
          <w:rFonts w:ascii="Arial" w:eastAsia="Times New Roman" w:hAnsi="Arial" w:cs="Arial"/>
          <w:color w:val="000000"/>
          <w:sz w:val="22"/>
          <w:szCs w:val="22"/>
          <w:lang w:eastAsia="fr-FR"/>
        </w:rPr>
        <w:t>veille</w:t>
      </w:r>
      <w:r w:rsidR="00EB587C" w:rsidRPr="00A64175">
        <w:rPr>
          <w:rFonts w:ascii="Arial" w:eastAsia="Times New Roman" w:hAnsi="Arial" w:cs="Arial"/>
          <w:color w:val="000000"/>
          <w:sz w:val="22"/>
          <w:szCs w:val="22"/>
          <w:lang w:eastAsia="fr-FR"/>
        </w:rPr>
        <w:t>nt</w:t>
      </w:r>
      <w:r w:rsidR="00652E2F" w:rsidRPr="00A64175">
        <w:rPr>
          <w:rFonts w:ascii="Arial" w:eastAsia="Times New Roman" w:hAnsi="Arial" w:cs="Arial"/>
          <w:color w:val="000000"/>
          <w:sz w:val="22"/>
          <w:szCs w:val="22"/>
          <w:lang w:eastAsia="fr-FR"/>
        </w:rPr>
        <w:t xml:space="preserve"> à évaluer le risque de blanchiment de capitaux et de fi</w:t>
      </w:r>
      <w:r w:rsidR="00EB587C" w:rsidRPr="00A64175">
        <w:rPr>
          <w:rFonts w:ascii="Arial" w:eastAsia="Times New Roman" w:hAnsi="Arial" w:cs="Arial"/>
          <w:color w:val="000000"/>
          <w:sz w:val="22"/>
          <w:szCs w:val="22"/>
          <w:lang w:eastAsia="fr-FR"/>
        </w:rPr>
        <w:t>nancement du terrorisme et établ</w:t>
      </w:r>
      <w:r w:rsidR="00652E2F" w:rsidRPr="00A64175">
        <w:rPr>
          <w:rFonts w:ascii="Arial" w:eastAsia="Times New Roman" w:hAnsi="Arial" w:cs="Arial"/>
          <w:color w:val="000000"/>
          <w:sz w:val="22"/>
          <w:szCs w:val="22"/>
          <w:lang w:eastAsia="fr-FR"/>
        </w:rPr>
        <w:t>i</w:t>
      </w:r>
      <w:r w:rsidR="00EB587C" w:rsidRPr="00A64175">
        <w:rPr>
          <w:rFonts w:ascii="Arial" w:eastAsia="Times New Roman" w:hAnsi="Arial" w:cs="Arial"/>
          <w:color w:val="000000"/>
          <w:sz w:val="22"/>
          <w:szCs w:val="22"/>
          <w:lang w:eastAsia="fr-FR"/>
        </w:rPr>
        <w:t>ssent des procédures</w:t>
      </w:r>
      <w:r w:rsidR="00652E2F" w:rsidRPr="00A64175">
        <w:rPr>
          <w:rFonts w:ascii="Arial" w:eastAsia="Times New Roman" w:hAnsi="Arial" w:cs="Arial"/>
          <w:color w:val="000000"/>
          <w:sz w:val="22"/>
          <w:szCs w:val="22"/>
          <w:lang w:eastAsia="fr-FR"/>
        </w:rPr>
        <w:t xml:space="preserve"> permettant de contrôler les choix</w:t>
      </w:r>
      <w:r w:rsidR="00EB587C" w:rsidRPr="00A64175">
        <w:rPr>
          <w:rFonts w:ascii="Arial" w:eastAsia="Times New Roman" w:hAnsi="Arial" w:cs="Arial"/>
          <w:color w:val="000000"/>
          <w:sz w:val="22"/>
          <w:szCs w:val="22"/>
          <w:lang w:eastAsia="fr-FR"/>
        </w:rPr>
        <w:t xml:space="preserve"> d'investissements opérés par leurs préposés.</w:t>
      </w:r>
    </w:p>
    <w:p w14:paraId="5E30CF02" w14:textId="34EEEB6F" w:rsidR="00652E2F" w:rsidRPr="00A64175" w:rsidRDefault="007E45E4"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10</w:t>
      </w:r>
      <w:r w:rsidR="00BB1AFC">
        <w:rPr>
          <w:rFonts w:ascii="Arial" w:hAnsi="Arial" w:cs="Arial"/>
          <w:b/>
          <w:bCs/>
          <w:color w:val="000000"/>
          <w:sz w:val="22"/>
          <w:szCs w:val="22"/>
        </w:rPr>
        <w:t>6</w:t>
      </w:r>
      <w:r w:rsidR="00384A14" w:rsidRPr="00A64175">
        <w:rPr>
          <w:rFonts w:ascii="Arial" w:hAnsi="Arial" w:cs="Arial"/>
          <w:b/>
          <w:bCs/>
          <w:color w:val="000000"/>
          <w:sz w:val="22"/>
          <w:szCs w:val="22"/>
        </w:rPr>
        <w:t xml:space="preserve">. </w:t>
      </w:r>
      <w:r w:rsidR="00384A14" w:rsidRPr="00A64175">
        <w:rPr>
          <w:rFonts w:ascii="Arial" w:hAnsi="Arial" w:cs="Arial"/>
          <w:color w:val="000000"/>
          <w:kern w:val="1"/>
          <w:sz w:val="22"/>
          <w:szCs w:val="22"/>
        </w:rPr>
        <w:t xml:space="preserve">– </w:t>
      </w:r>
      <w:r w:rsidR="00EB587C" w:rsidRPr="00A64175">
        <w:rPr>
          <w:rFonts w:ascii="Arial" w:eastAsia="Times New Roman" w:hAnsi="Arial" w:cs="Arial"/>
          <w:color w:val="000000"/>
          <w:sz w:val="22"/>
          <w:szCs w:val="22"/>
          <w:lang w:eastAsia="fr-FR"/>
        </w:rPr>
        <w:t xml:space="preserve">Lors du recrutement de leur personnel, les acteurs et intervenants du marché </w:t>
      </w:r>
      <w:r w:rsidR="00652E2F" w:rsidRPr="00A64175">
        <w:rPr>
          <w:rFonts w:ascii="Arial" w:eastAsia="Times New Roman" w:hAnsi="Arial" w:cs="Arial"/>
          <w:color w:val="000000"/>
          <w:sz w:val="22"/>
          <w:szCs w:val="22"/>
          <w:lang w:eastAsia="fr-FR"/>
        </w:rPr>
        <w:t>pren</w:t>
      </w:r>
      <w:r w:rsidR="00EB587C" w:rsidRPr="00A64175">
        <w:rPr>
          <w:rFonts w:ascii="Arial" w:eastAsia="Times New Roman" w:hAnsi="Arial" w:cs="Arial"/>
          <w:color w:val="000000"/>
          <w:sz w:val="22"/>
          <w:szCs w:val="22"/>
          <w:lang w:eastAsia="fr-FR"/>
        </w:rPr>
        <w:t>nent en compte</w:t>
      </w:r>
      <w:r w:rsidR="00652E2F" w:rsidRPr="00A64175">
        <w:rPr>
          <w:rFonts w:ascii="Arial" w:eastAsia="Times New Roman" w:hAnsi="Arial" w:cs="Arial"/>
          <w:color w:val="000000"/>
          <w:sz w:val="22"/>
          <w:szCs w:val="22"/>
          <w:lang w:eastAsia="fr-FR"/>
        </w:rPr>
        <w:t xml:space="preserve">, selon le niveau des responsabilités exercées, les risques </w:t>
      </w:r>
      <w:r w:rsidR="00EB587C" w:rsidRPr="00A64175">
        <w:rPr>
          <w:rFonts w:ascii="Arial" w:eastAsia="Times New Roman" w:hAnsi="Arial" w:cs="Arial"/>
          <w:color w:val="000000"/>
          <w:sz w:val="22"/>
          <w:szCs w:val="22"/>
          <w:lang w:eastAsia="fr-FR"/>
        </w:rPr>
        <w:t>liés au blanchiment de capitaux et au</w:t>
      </w:r>
      <w:r w:rsidR="00652E2F" w:rsidRPr="00A64175">
        <w:rPr>
          <w:rFonts w:ascii="Arial" w:eastAsia="Times New Roman" w:hAnsi="Arial" w:cs="Arial"/>
          <w:color w:val="000000"/>
          <w:sz w:val="22"/>
          <w:szCs w:val="22"/>
          <w:lang w:eastAsia="fr-FR"/>
        </w:rPr>
        <w:t xml:space="preserve"> financement du terrorisme.</w:t>
      </w:r>
    </w:p>
    <w:p w14:paraId="11827345" w14:textId="005A6FA6" w:rsidR="00652E2F" w:rsidRPr="00A64175" w:rsidRDefault="00D87209"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Les acteurs et intervenants du marché</w:t>
      </w:r>
      <w:r w:rsidR="00652E2F" w:rsidRPr="00A64175">
        <w:rPr>
          <w:rFonts w:ascii="Arial" w:eastAsia="Times New Roman" w:hAnsi="Arial" w:cs="Arial"/>
          <w:color w:val="000000"/>
          <w:sz w:val="22"/>
          <w:szCs w:val="22"/>
          <w:lang w:eastAsia="fr-FR"/>
        </w:rPr>
        <w:t xml:space="preserve"> assure</w:t>
      </w:r>
      <w:r w:rsidRPr="00A64175">
        <w:rPr>
          <w:rFonts w:ascii="Arial" w:eastAsia="Times New Roman" w:hAnsi="Arial" w:cs="Arial"/>
          <w:color w:val="000000"/>
          <w:sz w:val="22"/>
          <w:szCs w:val="22"/>
          <w:lang w:eastAsia="fr-FR"/>
        </w:rPr>
        <w:t>nt à leur personnel, lors des recrutements</w:t>
      </w:r>
      <w:r w:rsidR="00652E2F" w:rsidRPr="00A64175">
        <w:rPr>
          <w:rFonts w:ascii="Arial" w:eastAsia="Times New Roman" w:hAnsi="Arial" w:cs="Arial"/>
          <w:color w:val="000000"/>
          <w:sz w:val="22"/>
          <w:szCs w:val="22"/>
          <w:lang w:eastAsia="fr-FR"/>
        </w:rPr>
        <w:t>, et de manière régulière ensuite, une information et une formation portant notamment sur la réglementation applicable et ses modifications, sur les techniques de blanchiment utilisées, sur les mesures de prévention et de détection ainsi que sur les procédures et modalités de</w:t>
      </w:r>
      <w:r w:rsidRPr="00A64175">
        <w:rPr>
          <w:rFonts w:ascii="Arial" w:eastAsia="Times New Roman" w:hAnsi="Arial" w:cs="Arial"/>
          <w:color w:val="000000"/>
          <w:sz w:val="22"/>
          <w:szCs w:val="22"/>
          <w:lang w:eastAsia="fr-FR"/>
        </w:rPr>
        <w:t xml:space="preserve"> leur </w:t>
      </w:r>
      <w:r w:rsidR="00652E2F" w:rsidRPr="00A64175">
        <w:rPr>
          <w:rFonts w:ascii="Arial" w:eastAsia="Times New Roman" w:hAnsi="Arial" w:cs="Arial"/>
          <w:color w:val="000000"/>
          <w:sz w:val="22"/>
          <w:szCs w:val="22"/>
          <w:lang w:eastAsia="fr-FR"/>
        </w:rPr>
        <w:t xml:space="preserve"> mise en œuvre</w:t>
      </w:r>
      <w:r w:rsidRPr="00A64175">
        <w:rPr>
          <w:rFonts w:ascii="Arial" w:eastAsia="Times New Roman" w:hAnsi="Arial" w:cs="Arial"/>
          <w:color w:val="000000"/>
          <w:sz w:val="22"/>
          <w:szCs w:val="22"/>
          <w:lang w:eastAsia="fr-FR"/>
        </w:rPr>
        <w:t>. L’information et la formation assurées</w:t>
      </w:r>
      <w:r w:rsidR="00652E2F" w:rsidRPr="00A64175">
        <w:rPr>
          <w:rFonts w:ascii="Arial" w:eastAsia="Times New Roman" w:hAnsi="Arial" w:cs="Arial"/>
          <w:color w:val="000000"/>
          <w:sz w:val="22"/>
          <w:szCs w:val="22"/>
          <w:lang w:eastAsia="fr-FR"/>
        </w:rPr>
        <w:t xml:space="preserve"> sont</w:t>
      </w:r>
      <w:r w:rsidRPr="00A64175">
        <w:rPr>
          <w:rFonts w:ascii="Arial" w:eastAsia="Times New Roman" w:hAnsi="Arial" w:cs="Arial"/>
          <w:color w:val="000000"/>
          <w:sz w:val="22"/>
          <w:szCs w:val="22"/>
          <w:lang w:eastAsia="fr-FR"/>
        </w:rPr>
        <w:t xml:space="preserve"> notamment </w:t>
      </w:r>
      <w:r w:rsidR="00652E2F" w:rsidRPr="00A64175">
        <w:rPr>
          <w:rFonts w:ascii="Arial" w:eastAsia="Times New Roman" w:hAnsi="Arial" w:cs="Arial"/>
          <w:color w:val="000000"/>
          <w:sz w:val="22"/>
          <w:szCs w:val="22"/>
          <w:lang w:eastAsia="fr-FR"/>
        </w:rPr>
        <w:t xml:space="preserve"> adap</w:t>
      </w:r>
      <w:r w:rsidRPr="00A64175">
        <w:rPr>
          <w:rFonts w:ascii="Arial" w:eastAsia="Times New Roman" w:hAnsi="Arial" w:cs="Arial"/>
          <w:color w:val="000000"/>
          <w:sz w:val="22"/>
          <w:szCs w:val="22"/>
          <w:lang w:eastAsia="fr-FR"/>
        </w:rPr>
        <w:t>tées aux fonctions exercées, au profil des clients</w:t>
      </w:r>
      <w:r w:rsidR="00652E2F" w:rsidRPr="00A64175">
        <w:rPr>
          <w:rFonts w:ascii="Arial" w:eastAsia="Times New Roman" w:hAnsi="Arial" w:cs="Arial"/>
          <w:color w:val="000000"/>
          <w:sz w:val="22"/>
          <w:szCs w:val="22"/>
          <w:lang w:eastAsia="fr-FR"/>
        </w:rPr>
        <w:t xml:space="preserve"> </w:t>
      </w:r>
      <w:r w:rsidRPr="00A64175">
        <w:rPr>
          <w:rFonts w:ascii="Arial" w:eastAsia="Times New Roman" w:hAnsi="Arial" w:cs="Arial"/>
          <w:color w:val="000000"/>
          <w:sz w:val="22"/>
          <w:szCs w:val="22"/>
          <w:lang w:eastAsia="fr-FR"/>
        </w:rPr>
        <w:t>et à l</w:t>
      </w:r>
      <w:r w:rsidR="00652E2F" w:rsidRPr="00A64175">
        <w:rPr>
          <w:rFonts w:ascii="Arial" w:eastAsia="Times New Roman" w:hAnsi="Arial" w:cs="Arial"/>
          <w:color w:val="000000"/>
          <w:sz w:val="22"/>
          <w:szCs w:val="22"/>
          <w:lang w:eastAsia="fr-FR"/>
        </w:rPr>
        <w:t>a classification des risques.</w:t>
      </w:r>
    </w:p>
    <w:p w14:paraId="548CD4FD" w14:textId="12A72A68" w:rsidR="00652E2F" w:rsidRPr="00A64175" w:rsidRDefault="00D87209" w:rsidP="00A64175">
      <w:pPr>
        <w:shd w:val="clear" w:color="auto" w:fill="FFFFFF"/>
        <w:spacing w:after="240"/>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Les acteurs et intervenants du marché veillent en permanence à </w:t>
      </w:r>
      <w:r w:rsidR="00652E2F" w:rsidRPr="00A64175">
        <w:rPr>
          <w:rFonts w:ascii="Arial" w:eastAsia="Times New Roman" w:hAnsi="Arial" w:cs="Arial"/>
          <w:color w:val="000000"/>
          <w:sz w:val="22"/>
          <w:szCs w:val="22"/>
          <w:lang w:eastAsia="fr-FR"/>
        </w:rPr>
        <w:t>sensibilise</w:t>
      </w:r>
      <w:r w:rsidRPr="00A64175">
        <w:rPr>
          <w:rFonts w:ascii="Arial" w:eastAsia="Times New Roman" w:hAnsi="Arial" w:cs="Arial"/>
          <w:color w:val="000000"/>
          <w:sz w:val="22"/>
          <w:szCs w:val="22"/>
          <w:lang w:eastAsia="fr-FR"/>
        </w:rPr>
        <w:t>r leur personnel</w:t>
      </w:r>
      <w:r w:rsidR="00652E2F" w:rsidRPr="00A64175">
        <w:rPr>
          <w:rFonts w:ascii="Arial" w:eastAsia="Times New Roman" w:hAnsi="Arial" w:cs="Arial"/>
          <w:color w:val="000000"/>
          <w:sz w:val="22"/>
          <w:szCs w:val="22"/>
          <w:lang w:eastAsia="fr-FR"/>
        </w:rPr>
        <w:t xml:space="preserve"> </w:t>
      </w:r>
      <w:r w:rsidRPr="00A64175">
        <w:rPr>
          <w:rFonts w:ascii="Arial" w:eastAsia="Times New Roman" w:hAnsi="Arial" w:cs="Arial"/>
          <w:color w:val="000000"/>
          <w:sz w:val="22"/>
          <w:szCs w:val="22"/>
          <w:lang w:eastAsia="fr-FR"/>
        </w:rPr>
        <w:t xml:space="preserve">sur les </w:t>
      </w:r>
      <w:r w:rsidR="00652E2F" w:rsidRPr="00A64175">
        <w:rPr>
          <w:rFonts w:ascii="Arial" w:eastAsia="Times New Roman" w:hAnsi="Arial" w:cs="Arial"/>
          <w:color w:val="000000"/>
          <w:sz w:val="22"/>
          <w:szCs w:val="22"/>
          <w:lang w:eastAsia="fr-FR"/>
        </w:rPr>
        <w:t>mesures à mettre en œuvre pour assurer le respect</w:t>
      </w:r>
      <w:r w:rsidR="004B5C4E" w:rsidRPr="00A64175">
        <w:rPr>
          <w:rFonts w:ascii="Arial" w:eastAsia="Times New Roman" w:hAnsi="Arial" w:cs="Arial"/>
          <w:color w:val="000000"/>
          <w:sz w:val="22"/>
          <w:szCs w:val="22"/>
          <w:lang w:eastAsia="fr-FR"/>
        </w:rPr>
        <w:t xml:space="preserve"> de la réglementation et</w:t>
      </w:r>
      <w:r w:rsidRPr="00A64175">
        <w:rPr>
          <w:rFonts w:ascii="Arial" w:eastAsia="Times New Roman" w:hAnsi="Arial" w:cs="Arial"/>
          <w:color w:val="000000"/>
          <w:sz w:val="22"/>
          <w:szCs w:val="22"/>
          <w:lang w:eastAsia="fr-FR"/>
        </w:rPr>
        <w:t xml:space="preserve"> du </w:t>
      </w:r>
      <w:r w:rsidR="00652E2F" w:rsidRPr="00A64175">
        <w:rPr>
          <w:rFonts w:ascii="Arial" w:eastAsia="Times New Roman" w:hAnsi="Arial" w:cs="Arial"/>
          <w:color w:val="000000"/>
          <w:sz w:val="22"/>
          <w:szCs w:val="22"/>
          <w:lang w:eastAsia="fr-FR"/>
        </w:rPr>
        <w:t xml:space="preserve"> </w:t>
      </w:r>
      <w:r w:rsidRPr="00A64175">
        <w:rPr>
          <w:rFonts w:ascii="Arial" w:eastAsia="Times New Roman" w:hAnsi="Arial" w:cs="Arial"/>
          <w:color w:val="000000"/>
          <w:sz w:val="22"/>
          <w:szCs w:val="22"/>
          <w:lang w:eastAsia="fr-FR"/>
        </w:rPr>
        <w:t xml:space="preserve">dispositif de </w:t>
      </w:r>
      <w:r w:rsidR="00652E2F" w:rsidRPr="00A64175">
        <w:rPr>
          <w:rFonts w:ascii="Arial" w:eastAsia="Times New Roman" w:hAnsi="Arial" w:cs="Arial"/>
          <w:color w:val="000000"/>
          <w:sz w:val="22"/>
          <w:szCs w:val="22"/>
          <w:lang w:eastAsia="fr-FR"/>
        </w:rPr>
        <w:t>lutte contre le blanchiment de capitaux et le financement du terrorisme.</w:t>
      </w:r>
    </w:p>
    <w:p w14:paraId="30D7B32A" w14:textId="4B531642" w:rsidR="004F5537" w:rsidRDefault="004B5C4E" w:rsidP="00A64175">
      <w:pPr>
        <w:jc w:val="both"/>
        <w:rPr>
          <w:rFonts w:ascii="Arial" w:hAnsi="Arial" w:cs="Arial"/>
          <w:sz w:val="22"/>
          <w:szCs w:val="22"/>
        </w:rPr>
      </w:pPr>
      <w:r w:rsidRPr="00A64175">
        <w:rPr>
          <w:rFonts w:ascii="Arial" w:hAnsi="Arial" w:cs="Arial"/>
          <w:sz w:val="22"/>
          <w:szCs w:val="22"/>
        </w:rPr>
        <w:t xml:space="preserve">L’information et la formation prévues au présent article au profit du personnel font l’objet d’un programme établi </w:t>
      </w:r>
      <w:r w:rsidR="00631EB1" w:rsidRPr="00A64175">
        <w:rPr>
          <w:rFonts w:ascii="Arial" w:hAnsi="Arial" w:cs="Arial"/>
          <w:sz w:val="22"/>
          <w:szCs w:val="22"/>
        </w:rPr>
        <w:t>par l’acteur ou intervenant du marché et validé par la haute direction</w:t>
      </w:r>
      <w:r w:rsidRPr="00A64175">
        <w:rPr>
          <w:rFonts w:ascii="Arial" w:hAnsi="Arial" w:cs="Arial"/>
          <w:sz w:val="22"/>
          <w:szCs w:val="22"/>
        </w:rPr>
        <w:t xml:space="preserve">. La mise en œuvre de ce programme est </w:t>
      </w:r>
      <w:r w:rsidR="00631EB1" w:rsidRPr="00A64175">
        <w:rPr>
          <w:rFonts w:ascii="Arial" w:hAnsi="Arial" w:cs="Arial"/>
          <w:sz w:val="22"/>
          <w:szCs w:val="22"/>
        </w:rPr>
        <w:t>documentée.</w:t>
      </w:r>
    </w:p>
    <w:p w14:paraId="7B8204AB" w14:textId="77777777" w:rsidR="00DF47A8" w:rsidRPr="00A64175" w:rsidRDefault="00DF47A8" w:rsidP="00A64175">
      <w:pPr>
        <w:jc w:val="both"/>
        <w:rPr>
          <w:rFonts w:ascii="Arial" w:hAnsi="Arial" w:cs="Arial"/>
          <w:sz w:val="22"/>
          <w:szCs w:val="22"/>
        </w:rPr>
      </w:pPr>
    </w:p>
    <w:p w14:paraId="5E0110AC" w14:textId="77777777" w:rsidR="004F5537" w:rsidRPr="00A64175" w:rsidRDefault="004F5537" w:rsidP="00A64175">
      <w:pPr>
        <w:jc w:val="both"/>
        <w:rPr>
          <w:rFonts w:ascii="Arial" w:hAnsi="Arial" w:cs="Arial"/>
          <w:b/>
          <w:sz w:val="22"/>
          <w:szCs w:val="22"/>
        </w:rPr>
      </w:pPr>
    </w:p>
    <w:p w14:paraId="69E97C16" w14:textId="3F8704B0" w:rsidR="004F5537" w:rsidRPr="00A64175" w:rsidRDefault="00621773" w:rsidP="00A64175">
      <w:pPr>
        <w:jc w:val="both"/>
        <w:rPr>
          <w:rFonts w:ascii="Arial" w:hAnsi="Arial" w:cs="Arial"/>
          <w:b/>
          <w:sz w:val="22"/>
          <w:szCs w:val="22"/>
        </w:rPr>
      </w:pPr>
      <w:r w:rsidRPr="00A64175">
        <w:rPr>
          <w:rFonts w:ascii="Arial" w:hAnsi="Arial" w:cs="Arial"/>
          <w:b/>
          <w:sz w:val="22"/>
          <w:szCs w:val="22"/>
        </w:rPr>
        <w:t>CHAP</w:t>
      </w:r>
      <w:r w:rsidR="004F5537" w:rsidRPr="00A64175">
        <w:rPr>
          <w:rFonts w:ascii="Arial" w:hAnsi="Arial" w:cs="Arial"/>
          <w:b/>
          <w:sz w:val="22"/>
          <w:szCs w:val="22"/>
        </w:rPr>
        <w:t>ITRE I</w:t>
      </w:r>
      <w:r w:rsidR="00EE3883" w:rsidRPr="00A64175">
        <w:rPr>
          <w:rFonts w:ascii="Arial" w:hAnsi="Arial" w:cs="Arial"/>
          <w:b/>
          <w:sz w:val="22"/>
          <w:szCs w:val="22"/>
        </w:rPr>
        <w:t>V – REPRESSION DU BLANCHIMENT DE CAPITAUX ET D</w:t>
      </w:r>
      <w:r w:rsidRPr="00A64175">
        <w:rPr>
          <w:rFonts w:ascii="Arial" w:hAnsi="Arial" w:cs="Arial"/>
          <w:b/>
          <w:sz w:val="22"/>
          <w:szCs w:val="22"/>
        </w:rPr>
        <w:t>U FINANCEMENT DU TERRORISME</w:t>
      </w:r>
    </w:p>
    <w:p w14:paraId="786BC50F" w14:textId="77777777" w:rsidR="0059570F" w:rsidRPr="00A64175" w:rsidRDefault="0059570F" w:rsidP="00A64175">
      <w:pPr>
        <w:jc w:val="both"/>
        <w:rPr>
          <w:rFonts w:ascii="Arial" w:hAnsi="Arial" w:cs="Arial"/>
          <w:b/>
          <w:sz w:val="22"/>
          <w:szCs w:val="22"/>
        </w:rPr>
      </w:pPr>
    </w:p>
    <w:p w14:paraId="5973CA82" w14:textId="77777777" w:rsidR="0059570F" w:rsidRPr="00A64175" w:rsidRDefault="0059570F" w:rsidP="00A64175">
      <w:pPr>
        <w:jc w:val="both"/>
        <w:rPr>
          <w:rFonts w:ascii="Arial" w:hAnsi="Arial" w:cs="Arial"/>
          <w:b/>
          <w:sz w:val="22"/>
          <w:szCs w:val="22"/>
        </w:rPr>
      </w:pPr>
    </w:p>
    <w:p w14:paraId="16F5E048" w14:textId="45FA0B55" w:rsidR="00621773" w:rsidRPr="00DF47A8" w:rsidRDefault="0059570F" w:rsidP="00DF47A8">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SECTION I – MESURES CONSERVATOIRES</w:t>
      </w:r>
    </w:p>
    <w:p w14:paraId="71A9EC64" w14:textId="284AF6F4" w:rsidR="00621773" w:rsidRPr="00A64175" w:rsidRDefault="00621773"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I</w:t>
      </w:r>
      <w:r w:rsidR="0059570F" w:rsidRPr="00A64175">
        <w:rPr>
          <w:rFonts w:ascii="Arial" w:hAnsi="Arial" w:cs="Arial"/>
          <w:b/>
          <w:bCs/>
          <w:color w:val="000000"/>
          <w:sz w:val="22"/>
          <w:szCs w:val="22"/>
        </w:rPr>
        <w:t>°</w:t>
      </w:r>
      <w:r w:rsidRPr="00A64175">
        <w:rPr>
          <w:rFonts w:ascii="Arial" w:hAnsi="Arial" w:cs="Arial"/>
          <w:b/>
          <w:bCs/>
          <w:color w:val="000000"/>
          <w:sz w:val="22"/>
          <w:szCs w:val="22"/>
        </w:rPr>
        <w:t> –</w:t>
      </w:r>
      <w:r w:rsidR="0059570F" w:rsidRPr="00A64175">
        <w:rPr>
          <w:rFonts w:ascii="Arial" w:hAnsi="Arial" w:cs="Arial"/>
          <w:b/>
          <w:bCs/>
          <w:color w:val="000000"/>
          <w:sz w:val="22"/>
          <w:szCs w:val="22"/>
        </w:rPr>
        <w:t xml:space="preserve"> </w:t>
      </w:r>
      <w:r w:rsidRPr="00A64175">
        <w:rPr>
          <w:rFonts w:ascii="Arial" w:hAnsi="Arial" w:cs="Arial"/>
          <w:b/>
          <w:bCs/>
          <w:color w:val="000000"/>
          <w:sz w:val="22"/>
          <w:szCs w:val="22"/>
        </w:rPr>
        <w:t>GEL DES AVOIRS</w:t>
      </w:r>
    </w:p>
    <w:p w14:paraId="017A938B" w14:textId="77777777" w:rsidR="00621773" w:rsidRPr="00A64175" w:rsidRDefault="00621773" w:rsidP="00A64175">
      <w:pPr>
        <w:jc w:val="both"/>
        <w:rPr>
          <w:rFonts w:ascii="Arial" w:hAnsi="Arial" w:cs="Arial"/>
          <w:sz w:val="22"/>
          <w:szCs w:val="22"/>
        </w:rPr>
      </w:pPr>
    </w:p>
    <w:p w14:paraId="30BC3FA2" w14:textId="77777777" w:rsidR="0059570F" w:rsidRPr="00A64175" w:rsidRDefault="0059570F" w:rsidP="00A64175">
      <w:pPr>
        <w:jc w:val="both"/>
        <w:rPr>
          <w:rFonts w:ascii="Arial" w:hAnsi="Arial" w:cs="Arial"/>
          <w:sz w:val="22"/>
          <w:szCs w:val="22"/>
        </w:rPr>
      </w:pPr>
    </w:p>
    <w:p w14:paraId="567AE8C0" w14:textId="4CCAE235" w:rsidR="00621773" w:rsidRPr="00A64175" w:rsidRDefault="00EE3883" w:rsidP="00A64175">
      <w:pPr>
        <w:jc w:val="both"/>
        <w:rPr>
          <w:rFonts w:ascii="Arial" w:hAnsi="Arial" w:cs="Arial"/>
          <w:sz w:val="22"/>
          <w:szCs w:val="22"/>
        </w:rPr>
      </w:pPr>
      <w:r w:rsidRPr="00A64175">
        <w:rPr>
          <w:rFonts w:ascii="Arial" w:hAnsi="Arial" w:cs="Arial"/>
          <w:b/>
          <w:bCs/>
          <w:color w:val="000000"/>
          <w:sz w:val="22"/>
          <w:szCs w:val="22"/>
        </w:rPr>
        <w:t>Article 1</w:t>
      </w:r>
      <w:r w:rsidR="007E45E4" w:rsidRPr="00A64175">
        <w:rPr>
          <w:rFonts w:ascii="Arial" w:hAnsi="Arial" w:cs="Arial"/>
          <w:b/>
          <w:bCs/>
          <w:color w:val="000000"/>
          <w:sz w:val="22"/>
          <w:szCs w:val="22"/>
        </w:rPr>
        <w:t>0</w:t>
      </w:r>
      <w:r w:rsidR="00BB1AFC">
        <w:rPr>
          <w:rFonts w:ascii="Arial" w:hAnsi="Arial" w:cs="Arial"/>
          <w:b/>
          <w:bCs/>
          <w:color w:val="000000"/>
          <w:sz w:val="22"/>
          <w:szCs w:val="22"/>
        </w:rPr>
        <w:t>7</w:t>
      </w:r>
      <w:r w:rsidRPr="00A64175">
        <w:rPr>
          <w:rFonts w:ascii="Arial" w:hAnsi="Arial" w:cs="Arial"/>
          <w:b/>
          <w:bCs/>
          <w:color w:val="000000"/>
          <w:sz w:val="22"/>
          <w:szCs w:val="22"/>
        </w:rPr>
        <w:t xml:space="preserve">. </w:t>
      </w:r>
      <w:r w:rsidRPr="00A64175">
        <w:rPr>
          <w:rFonts w:ascii="Arial" w:hAnsi="Arial" w:cs="Arial"/>
          <w:color w:val="000000"/>
          <w:kern w:val="1"/>
          <w:sz w:val="22"/>
          <w:szCs w:val="22"/>
        </w:rPr>
        <w:t xml:space="preserve">– </w:t>
      </w:r>
      <w:r w:rsidR="00CF3EFE" w:rsidRPr="00A64175">
        <w:rPr>
          <w:rFonts w:ascii="Arial" w:hAnsi="Arial" w:cs="Arial"/>
          <w:sz w:val="22"/>
          <w:szCs w:val="22"/>
        </w:rPr>
        <w:t>Les acteurs ou intervenants du marché peuvent faire l’objet de mesures conservatoires, prévues par le</w:t>
      </w:r>
      <w:r w:rsidR="00CF3EFE" w:rsidRPr="00A64175">
        <w:rPr>
          <w:rFonts w:ascii="Arial" w:eastAsia="Times New Roman" w:hAnsi="Arial" w:cs="Arial"/>
          <w:color w:val="000000"/>
          <w:sz w:val="22"/>
          <w:szCs w:val="22"/>
          <w:lang w:eastAsia="fr-FR"/>
        </w:rPr>
        <w:t xml:space="preserve"> Règlement</w:t>
      </w:r>
      <w:r w:rsidR="00CF3EFE" w:rsidRPr="00A64175">
        <w:rPr>
          <w:rFonts w:ascii="Arial" w:hAnsi="Arial" w:cs="Arial"/>
          <w:sz w:val="22"/>
          <w:szCs w:val="22"/>
        </w:rPr>
        <w:t xml:space="preserve"> n°01-16/CEMAC/UMAC/CM du 11 avril 2016, consistant dans </w:t>
      </w:r>
      <w:r w:rsidRPr="00A64175">
        <w:rPr>
          <w:rFonts w:ascii="Arial" w:hAnsi="Arial" w:cs="Arial"/>
          <w:sz w:val="22"/>
          <w:szCs w:val="22"/>
        </w:rPr>
        <w:t>le gel, la saisie ou la confiscation :</w:t>
      </w:r>
    </w:p>
    <w:p w14:paraId="444002DD" w14:textId="77777777" w:rsidR="00621773" w:rsidRPr="00A64175" w:rsidRDefault="00621773" w:rsidP="00A64175">
      <w:pPr>
        <w:jc w:val="both"/>
        <w:rPr>
          <w:rFonts w:ascii="Arial" w:hAnsi="Arial" w:cs="Arial"/>
          <w:sz w:val="22"/>
          <w:szCs w:val="22"/>
        </w:rPr>
      </w:pPr>
    </w:p>
    <w:p w14:paraId="66BAB9EA" w14:textId="2B088FFD" w:rsidR="00621773" w:rsidRPr="00A64175" w:rsidRDefault="00EE388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w:t>
      </w:r>
      <w:r w:rsidR="00621773" w:rsidRPr="00A64175">
        <w:rPr>
          <w:sz w:val="22"/>
          <w:szCs w:val="22"/>
        </w:rPr>
        <w:t>es biens blanchis ;</w:t>
      </w:r>
    </w:p>
    <w:p w14:paraId="247B39D9" w14:textId="4CA4D14D" w:rsidR="00621773" w:rsidRPr="00A64175" w:rsidRDefault="00EE388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du</w:t>
      </w:r>
      <w:r w:rsidR="00621773" w:rsidRPr="00A64175">
        <w:rPr>
          <w:sz w:val="22"/>
          <w:szCs w:val="22"/>
        </w:rPr>
        <w:t xml:space="preserve"> produit du blanchiment de capitaux ou d’infractions sous-jacentes ;</w:t>
      </w:r>
    </w:p>
    <w:p w14:paraId="26670CA1" w14:textId="2490892F" w:rsidR="00621773" w:rsidRPr="00A64175" w:rsidRDefault="0009166B"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des</w:t>
      </w:r>
      <w:r w:rsidR="00621773" w:rsidRPr="00A64175">
        <w:rPr>
          <w:sz w:val="22"/>
          <w:szCs w:val="22"/>
        </w:rPr>
        <w:t xml:space="preserve"> instruments utilisés ou destinés à être utilisés en vue du blanchiment de capitaux ou d’infractions sous-jacentes ;</w:t>
      </w:r>
    </w:p>
    <w:p w14:paraId="5A5C4B50" w14:textId="01F74054" w:rsidR="00621773" w:rsidRPr="00A64175" w:rsidRDefault="0009166B"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w:t>
      </w:r>
      <w:r w:rsidR="00621773" w:rsidRPr="00A64175">
        <w:rPr>
          <w:sz w:val="22"/>
          <w:szCs w:val="22"/>
        </w:rPr>
        <w:t>es biens qui constituent le produit du financement du terrorisme, des actes terroristes ou des organisations terroristes ;</w:t>
      </w:r>
    </w:p>
    <w:p w14:paraId="2E4D8AE7" w14:textId="7DB58BE3" w:rsidR="00621773" w:rsidRPr="00DF47A8" w:rsidRDefault="0009166B"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w:t>
      </w:r>
      <w:r w:rsidR="00621773" w:rsidRPr="00A64175">
        <w:rPr>
          <w:sz w:val="22"/>
          <w:szCs w:val="22"/>
        </w:rPr>
        <w:t>es biens qui sont utilisés ou destinés à être utilisés en vue du financement du terrorisme, des actes terroristes ou des organisations terroristes.</w:t>
      </w:r>
    </w:p>
    <w:p w14:paraId="1296EA09" w14:textId="77777777" w:rsidR="00621773" w:rsidRPr="00A64175" w:rsidRDefault="00621773" w:rsidP="00A64175">
      <w:pPr>
        <w:jc w:val="both"/>
        <w:rPr>
          <w:rFonts w:ascii="Arial" w:hAnsi="Arial" w:cs="Arial"/>
          <w:sz w:val="22"/>
          <w:szCs w:val="22"/>
        </w:rPr>
      </w:pPr>
    </w:p>
    <w:p w14:paraId="429D2586" w14:textId="1E54DFC7" w:rsidR="00621773" w:rsidRPr="00A64175" w:rsidRDefault="007E45E4" w:rsidP="00A64175">
      <w:pPr>
        <w:jc w:val="both"/>
        <w:rPr>
          <w:rFonts w:ascii="Arial" w:hAnsi="Arial" w:cs="Arial"/>
          <w:sz w:val="22"/>
          <w:szCs w:val="22"/>
        </w:rPr>
      </w:pPr>
      <w:r w:rsidRPr="00A64175">
        <w:rPr>
          <w:rFonts w:ascii="Arial" w:hAnsi="Arial" w:cs="Arial"/>
          <w:b/>
          <w:bCs/>
          <w:color w:val="000000"/>
          <w:sz w:val="22"/>
          <w:szCs w:val="22"/>
        </w:rPr>
        <w:t>Article 10</w:t>
      </w:r>
      <w:r w:rsidR="00BB1AFC">
        <w:rPr>
          <w:rFonts w:ascii="Arial" w:hAnsi="Arial" w:cs="Arial"/>
          <w:b/>
          <w:bCs/>
          <w:color w:val="000000"/>
          <w:sz w:val="22"/>
          <w:szCs w:val="22"/>
        </w:rPr>
        <w:t>8</w:t>
      </w:r>
      <w:r w:rsidR="0009166B" w:rsidRPr="00A64175">
        <w:rPr>
          <w:rFonts w:ascii="Arial" w:hAnsi="Arial" w:cs="Arial"/>
          <w:b/>
          <w:bCs/>
          <w:color w:val="000000"/>
          <w:sz w:val="22"/>
          <w:szCs w:val="22"/>
        </w:rPr>
        <w:t xml:space="preserve">. </w:t>
      </w:r>
      <w:r w:rsidR="0009166B" w:rsidRPr="00A64175">
        <w:rPr>
          <w:rFonts w:ascii="Arial" w:hAnsi="Arial" w:cs="Arial"/>
          <w:color w:val="000000"/>
          <w:kern w:val="1"/>
          <w:sz w:val="22"/>
          <w:szCs w:val="22"/>
        </w:rPr>
        <w:t xml:space="preserve">– </w:t>
      </w:r>
      <w:r w:rsidR="003331F0" w:rsidRPr="00A64175">
        <w:rPr>
          <w:rFonts w:ascii="Arial" w:hAnsi="Arial" w:cs="Arial"/>
          <w:color w:val="000000"/>
          <w:kern w:val="1"/>
          <w:sz w:val="22"/>
          <w:szCs w:val="22"/>
        </w:rPr>
        <w:t>En tant que de besoin, l</w:t>
      </w:r>
      <w:r w:rsidR="003331F0" w:rsidRPr="00A64175">
        <w:rPr>
          <w:rFonts w:ascii="Arial" w:hAnsi="Arial" w:cs="Arial"/>
          <w:sz w:val="22"/>
          <w:szCs w:val="22"/>
        </w:rPr>
        <w:t>a COSUMAF prête assistance aux autorités compétentes chargées, sur le territoire des Etats membres de la CEMAC</w:t>
      </w:r>
      <w:r w:rsidR="00621773" w:rsidRPr="00A64175">
        <w:rPr>
          <w:rFonts w:ascii="Arial" w:hAnsi="Arial" w:cs="Arial"/>
          <w:sz w:val="22"/>
          <w:szCs w:val="22"/>
        </w:rPr>
        <w:t> :</w:t>
      </w:r>
    </w:p>
    <w:p w14:paraId="21B55FBF" w14:textId="77777777" w:rsidR="00621773" w:rsidRPr="00A64175" w:rsidRDefault="00621773" w:rsidP="00A64175">
      <w:pPr>
        <w:jc w:val="both"/>
        <w:rPr>
          <w:rFonts w:ascii="Arial" w:hAnsi="Arial" w:cs="Arial"/>
          <w:sz w:val="22"/>
          <w:szCs w:val="22"/>
        </w:rPr>
      </w:pPr>
    </w:p>
    <w:p w14:paraId="4626E29A" w14:textId="77777777" w:rsidR="00621773" w:rsidRPr="00A64175" w:rsidRDefault="0062177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d’identifier, de dépister et d’estimer les biens faisant l’objet d’une mesure de confiscation ;</w:t>
      </w:r>
    </w:p>
    <w:p w14:paraId="5CCFFAF8" w14:textId="77777777" w:rsidR="00621773" w:rsidRPr="00A64175" w:rsidRDefault="0062177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de mettre en œuvre des mesures provisoires, telles que le gel et la saisie, afin de faire obstacle à toute opération sur ces biens ou à leur transfert ;</w:t>
      </w:r>
    </w:p>
    <w:p w14:paraId="31DBF1CF" w14:textId="77777777" w:rsidR="00621773" w:rsidRPr="00A64175" w:rsidRDefault="0062177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de prendre des mesures visant à empêcher ou annuler les actions qui compromettent le gel, la saisie ou le recouvrement des biens faisant l’objet d’une mesure de confiscation ;</w:t>
      </w:r>
    </w:p>
    <w:p w14:paraId="5DD85363" w14:textId="7055C35B" w:rsidR="00621773" w:rsidRPr="00A64175" w:rsidRDefault="00621773" w:rsidP="00A64175">
      <w:pPr>
        <w:pStyle w:val="Paragraphedeliste"/>
        <w:numPr>
          <w:ilvl w:val="0"/>
          <w:numId w:val="89"/>
        </w:numPr>
        <w:suppressAutoHyphens w:val="0"/>
        <w:autoSpaceDN/>
        <w:spacing w:before="0" w:beforeAutospacing="0" w:after="160" w:afterAutospacing="0" w:line="259" w:lineRule="auto"/>
        <w:contextualSpacing/>
        <w:textAlignment w:val="auto"/>
        <w:rPr>
          <w:sz w:val="22"/>
          <w:szCs w:val="22"/>
        </w:rPr>
      </w:pPr>
      <w:r w:rsidRPr="00A64175">
        <w:rPr>
          <w:sz w:val="22"/>
          <w:szCs w:val="22"/>
        </w:rPr>
        <w:t>de procé</w:t>
      </w:r>
      <w:r w:rsidR="003331F0" w:rsidRPr="00A64175">
        <w:rPr>
          <w:sz w:val="22"/>
          <w:szCs w:val="22"/>
        </w:rPr>
        <w:t>der à toute enquête jugée</w:t>
      </w:r>
      <w:r w:rsidRPr="00A64175">
        <w:rPr>
          <w:sz w:val="22"/>
          <w:szCs w:val="22"/>
        </w:rPr>
        <w:t xml:space="preserve"> appropriée.</w:t>
      </w:r>
    </w:p>
    <w:p w14:paraId="4F03D7DA" w14:textId="77777777" w:rsidR="00621773" w:rsidRPr="00A64175" w:rsidRDefault="00621773" w:rsidP="00A64175">
      <w:pPr>
        <w:jc w:val="both"/>
        <w:rPr>
          <w:rFonts w:ascii="Arial" w:hAnsi="Arial" w:cs="Arial"/>
          <w:sz w:val="22"/>
          <w:szCs w:val="22"/>
        </w:rPr>
      </w:pPr>
    </w:p>
    <w:p w14:paraId="37D53F6D" w14:textId="3015FCAC" w:rsidR="00076E40" w:rsidRPr="00DF47A8" w:rsidRDefault="007E45E4" w:rsidP="00DF47A8">
      <w:pPr>
        <w:shd w:val="clear" w:color="auto" w:fill="FFFFFF"/>
        <w:spacing w:after="240"/>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10</w:t>
      </w:r>
      <w:r w:rsidR="00BB1AFC">
        <w:rPr>
          <w:rFonts w:ascii="Arial" w:hAnsi="Arial" w:cs="Arial"/>
          <w:b/>
          <w:bCs/>
          <w:color w:val="000000"/>
          <w:sz w:val="22"/>
          <w:szCs w:val="22"/>
        </w:rPr>
        <w:t>9</w:t>
      </w:r>
      <w:r w:rsidR="00076E40" w:rsidRPr="00A64175">
        <w:rPr>
          <w:rFonts w:ascii="Arial" w:hAnsi="Arial" w:cs="Arial"/>
          <w:b/>
          <w:bCs/>
          <w:color w:val="000000"/>
          <w:sz w:val="22"/>
          <w:szCs w:val="22"/>
        </w:rPr>
        <w:t xml:space="preserve">. </w:t>
      </w:r>
      <w:r w:rsidR="00076E40" w:rsidRPr="00A64175">
        <w:rPr>
          <w:rFonts w:ascii="Arial" w:hAnsi="Arial" w:cs="Arial"/>
          <w:color w:val="000000"/>
          <w:kern w:val="1"/>
          <w:sz w:val="22"/>
          <w:szCs w:val="22"/>
        </w:rPr>
        <w:t>– Les acteurs ou intervenants du marché s</w:t>
      </w:r>
      <w:r w:rsidR="00076E40" w:rsidRPr="00A64175">
        <w:rPr>
          <w:rFonts w:ascii="Arial" w:eastAsia="Times New Roman" w:hAnsi="Arial" w:cs="Arial"/>
          <w:color w:val="000000"/>
          <w:sz w:val="22"/>
          <w:szCs w:val="22"/>
          <w:lang w:eastAsia="fr-FR"/>
        </w:rPr>
        <w:t>ont tenus d'appliquer sans délai les mesures de gel et les interdictions de mise à disposition ou d'utilisation des fonds ou ressources économiques</w:t>
      </w:r>
      <w:r w:rsidR="00CF3EFE" w:rsidRPr="00A64175">
        <w:rPr>
          <w:rFonts w:ascii="Arial" w:eastAsia="Times New Roman" w:hAnsi="Arial" w:cs="Arial"/>
          <w:color w:val="000000"/>
          <w:sz w:val="22"/>
          <w:szCs w:val="22"/>
          <w:lang w:eastAsia="fr-FR"/>
        </w:rPr>
        <w:t xml:space="preserve"> dont ils font l’objet.</w:t>
      </w:r>
      <w:r w:rsidR="00DF47A8">
        <w:rPr>
          <w:rFonts w:ascii="Arial" w:eastAsia="Times New Roman" w:hAnsi="Arial" w:cs="Arial"/>
          <w:color w:val="000000"/>
          <w:sz w:val="22"/>
          <w:szCs w:val="22"/>
          <w:lang w:eastAsia="fr-FR"/>
        </w:rPr>
        <w:t xml:space="preserve"> </w:t>
      </w:r>
    </w:p>
    <w:p w14:paraId="584F1BC4" w14:textId="568B158B" w:rsidR="00BA4D48" w:rsidRPr="00DF47A8" w:rsidRDefault="007E45E4" w:rsidP="00A64175">
      <w:pPr>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1</w:t>
      </w:r>
      <w:r w:rsidR="00BB1AFC">
        <w:rPr>
          <w:rFonts w:ascii="Arial" w:hAnsi="Arial" w:cs="Arial"/>
          <w:b/>
          <w:bCs/>
          <w:color w:val="000000"/>
          <w:sz w:val="22"/>
          <w:szCs w:val="22"/>
        </w:rPr>
        <w:t>10</w:t>
      </w:r>
      <w:r w:rsidR="00BA4D48" w:rsidRPr="00A64175">
        <w:rPr>
          <w:rFonts w:ascii="Arial" w:hAnsi="Arial" w:cs="Arial"/>
          <w:b/>
          <w:bCs/>
          <w:color w:val="000000"/>
          <w:sz w:val="22"/>
          <w:szCs w:val="22"/>
        </w:rPr>
        <w:t xml:space="preserve">. </w:t>
      </w:r>
      <w:r w:rsidR="00BA4D48" w:rsidRPr="00A64175">
        <w:rPr>
          <w:rFonts w:ascii="Arial" w:hAnsi="Arial" w:cs="Arial"/>
          <w:color w:val="000000"/>
          <w:kern w:val="1"/>
          <w:sz w:val="22"/>
          <w:szCs w:val="22"/>
        </w:rPr>
        <w:t xml:space="preserve">– </w:t>
      </w:r>
      <w:r w:rsidR="00BA4D48" w:rsidRPr="00A64175">
        <w:rPr>
          <w:rFonts w:ascii="Arial" w:eastAsia="Times New Roman" w:hAnsi="Arial" w:cs="Arial"/>
          <w:color w:val="000000"/>
          <w:sz w:val="22"/>
          <w:szCs w:val="22"/>
          <w:lang w:eastAsia="fr-FR"/>
        </w:rPr>
        <w:t>Les acteurs et intervenants du marché mettent en place une organisation et des procédures internes pour la mise en œuvre des mesures de gel des avoirs et d'interdiction de mise à disposition ou d'utilisation des fonds ou ressources économiques prévues par</w:t>
      </w:r>
      <w:r w:rsidR="00076E40" w:rsidRPr="00A64175">
        <w:rPr>
          <w:rFonts w:ascii="Arial" w:eastAsia="Times New Roman" w:hAnsi="Arial" w:cs="Arial"/>
          <w:color w:val="000000"/>
          <w:sz w:val="22"/>
          <w:szCs w:val="22"/>
          <w:lang w:eastAsia="fr-FR"/>
        </w:rPr>
        <w:t xml:space="preserve"> les dispositions législatives et réglementaires</w:t>
      </w:r>
      <w:r w:rsidR="00BA4D48" w:rsidRPr="00A64175">
        <w:rPr>
          <w:rFonts w:ascii="Arial" w:eastAsia="Times New Roman" w:hAnsi="Arial" w:cs="Arial"/>
          <w:color w:val="000000"/>
          <w:sz w:val="22"/>
          <w:szCs w:val="22"/>
          <w:lang w:eastAsia="fr-FR"/>
        </w:rPr>
        <w:t xml:space="preserve">. </w:t>
      </w:r>
    </w:p>
    <w:p w14:paraId="7371AEB2" w14:textId="77777777" w:rsidR="004F5537" w:rsidRPr="00A64175" w:rsidRDefault="004F5537" w:rsidP="00A64175">
      <w:pPr>
        <w:jc w:val="both"/>
        <w:rPr>
          <w:rFonts w:ascii="Arial" w:hAnsi="Arial" w:cs="Arial"/>
          <w:b/>
          <w:sz w:val="22"/>
          <w:szCs w:val="22"/>
        </w:rPr>
      </w:pPr>
    </w:p>
    <w:p w14:paraId="7DE2E486" w14:textId="007FDBFA" w:rsidR="00621773" w:rsidRPr="00A64175" w:rsidRDefault="00621773"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SECTION II – SANCTIONS</w:t>
      </w:r>
    </w:p>
    <w:p w14:paraId="6B47D18E" w14:textId="77777777" w:rsidR="004F5537" w:rsidRPr="00A64175" w:rsidRDefault="004F5537" w:rsidP="00A64175">
      <w:pPr>
        <w:jc w:val="both"/>
        <w:rPr>
          <w:rFonts w:ascii="Arial" w:hAnsi="Arial" w:cs="Arial"/>
          <w:b/>
          <w:sz w:val="22"/>
          <w:szCs w:val="22"/>
        </w:rPr>
      </w:pPr>
    </w:p>
    <w:p w14:paraId="3BDC0683" w14:textId="30C66524" w:rsidR="004F5537" w:rsidRPr="00A64175" w:rsidRDefault="007E45E4" w:rsidP="00A64175">
      <w:pPr>
        <w:jc w:val="both"/>
        <w:rPr>
          <w:rFonts w:ascii="Arial" w:hAnsi="Arial" w:cs="Arial"/>
          <w:b/>
          <w:sz w:val="22"/>
          <w:szCs w:val="22"/>
        </w:rPr>
      </w:pPr>
      <w:r w:rsidRPr="00A64175">
        <w:rPr>
          <w:rFonts w:ascii="Arial" w:hAnsi="Arial" w:cs="Arial"/>
          <w:b/>
          <w:bCs/>
          <w:color w:val="000000"/>
          <w:sz w:val="22"/>
          <w:szCs w:val="22"/>
        </w:rPr>
        <w:t>Article 1</w:t>
      </w:r>
      <w:r w:rsidR="00B45259">
        <w:rPr>
          <w:rFonts w:ascii="Arial" w:hAnsi="Arial" w:cs="Arial"/>
          <w:b/>
          <w:bCs/>
          <w:color w:val="000000"/>
          <w:sz w:val="22"/>
          <w:szCs w:val="22"/>
        </w:rPr>
        <w:t>1</w:t>
      </w:r>
      <w:r w:rsidR="00BB1AFC">
        <w:rPr>
          <w:rFonts w:ascii="Arial" w:hAnsi="Arial" w:cs="Arial"/>
          <w:b/>
          <w:bCs/>
          <w:color w:val="000000"/>
          <w:sz w:val="22"/>
          <w:szCs w:val="22"/>
        </w:rPr>
        <w:t>1</w:t>
      </w:r>
      <w:r w:rsidR="00A11A2A" w:rsidRPr="00A64175">
        <w:rPr>
          <w:rFonts w:ascii="Arial" w:hAnsi="Arial" w:cs="Arial"/>
          <w:b/>
          <w:bCs/>
          <w:color w:val="000000"/>
          <w:sz w:val="22"/>
          <w:szCs w:val="22"/>
        </w:rPr>
        <w:t xml:space="preserve">. </w:t>
      </w:r>
      <w:r w:rsidR="00A11A2A" w:rsidRPr="00A64175">
        <w:rPr>
          <w:rFonts w:ascii="Arial" w:hAnsi="Arial" w:cs="Arial"/>
          <w:color w:val="000000"/>
          <w:kern w:val="1"/>
          <w:sz w:val="22"/>
          <w:szCs w:val="22"/>
        </w:rPr>
        <w:t xml:space="preserve">– </w:t>
      </w:r>
      <w:r w:rsidR="00A11A2A" w:rsidRPr="00A64175">
        <w:rPr>
          <w:rFonts w:ascii="Arial" w:eastAsia="Times New Roman" w:hAnsi="Arial" w:cs="Arial"/>
          <w:color w:val="000000"/>
          <w:sz w:val="22"/>
          <w:szCs w:val="22"/>
          <w:lang w:eastAsia="fr-FR"/>
        </w:rPr>
        <w:t xml:space="preserve">Conformément aux dispositions de l’article 14 du </w:t>
      </w:r>
      <w:r w:rsidR="00A11A2A" w:rsidRPr="00A64175">
        <w:rPr>
          <w:rFonts w:ascii="Arial" w:hAnsi="Arial" w:cs="Arial"/>
          <w:color w:val="000000"/>
          <w:sz w:val="22"/>
          <w:szCs w:val="22"/>
        </w:rPr>
        <w:t>Règlement n°01/22/CEMAC/UMAC/CM/COSUMAF du 21 juillet 2022  portant organisation et fonctionnement du marché financier de l’Afrique Centrale</w:t>
      </w:r>
      <w:r w:rsidR="00B5605C" w:rsidRPr="00A64175">
        <w:rPr>
          <w:rFonts w:ascii="Arial" w:hAnsi="Arial" w:cs="Arial"/>
          <w:color w:val="000000"/>
          <w:sz w:val="22"/>
          <w:szCs w:val="22"/>
        </w:rPr>
        <w:t xml:space="preserve">, la COSUMAF est habilitée à prendre, dans son règlement général, les dispositions nécessaires permettant de réprimer le blanchiment de capitaux, le financement du terrorisme et de la prolifération à l’encontre des personnes, structures ou organismes soumis à son contrôle. </w:t>
      </w:r>
    </w:p>
    <w:p w14:paraId="02F29AF9" w14:textId="77777777" w:rsidR="004F5537" w:rsidRPr="00A64175" w:rsidRDefault="004F5537" w:rsidP="00A64175">
      <w:pPr>
        <w:jc w:val="both"/>
        <w:rPr>
          <w:rFonts w:ascii="Arial" w:hAnsi="Arial" w:cs="Arial"/>
          <w:b/>
          <w:sz w:val="22"/>
          <w:szCs w:val="22"/>
        </w:rPr>
      </w:pPr>
    </w:p>
    <w:p w14:paraId="302FEB98" w14:textId="04251DDF" w:rsidR="004F5537" w:rsidRPr="00A64175" w:rsidRDefault="007E45E4" w:rsidP="00A64175">
      <w:pPr>
        <w:jc w:val="both"/>
        <w:rPr>
          <w:rFonts w:ascii="Arial" w:hAnsi="Arial" w:cs="Arial"/>
          <w:b/>
          <w:sz w:val="22"/>
          <w:szCs w:val="22"/>
        </w:rPr>
      </w:pPr>
      <w:r w:rsidRPr="00A64175">
        <w:rPr>
          <w:rFonts w:ascii="Arial" w:hAnsi="Arial" w:cs="Arial"/>
          <w:b/>
          <w:bCs/>
          <w:color w:val="000000"/>
          <w:sz w:val="22"/>
          <w:szCs w:val="22"/>
        </w:rPr>
        <w:t>Article 1</w:t>
      </w:r>
      <w:r w:rsidR="00B45259">
        <w:rPr>
          <w:rFonts w:ascii="Arial" w:hAnsi="Arial" w:cs="Arial"/>
          <w:b/>
          <w:bCs/>
          <w:color w:val="000000"/>
          <w:sz w:val="22"/>
          <w:szCs w:val="22"/>
        </w:rPr>
        <w:t>1</w:t>
      </w:r>
      <w:r w:rsidR="00BB1AFC">
        <w:rPr>
          <w:rFonts w:ascii="Arial" w:hAnsi="Arial" w:cs="Arial"/>
          <w:b/>
          <w:bCs/>
          <w:color w:val="000000"/>
          <w:sz w:val="22"/>
          <w:szCs w:val="22"/>
        </w:rPr>
        <w:t>2</w:t>
      </w:r>
      <w:r w:rsidR="0059570F" w:rsidRPr="00A64175">
        <w:rPr>
          <w:rFonts w:ascii="Arial" w:hAnsi="Arial" w:cs="Arial"/>
          <w:b/>
          <w:bCs/>
          <w:color w:val="000000"/>
          <w:sz w:val="22"/>
          <w:szCs w:val="22"/>
        </w:rPr>
        <w:t xml:space="preserve">. </w:t>
      </w:r>
      <w:r w:rsidR="0059570F" w:rsidRPr="00A64175">
        <w:rPr>
          <w:rFonts w:ascii="Arial" w:hAnsi="Arial" w:cs="Arial"/>
          <w:color w:val="000000"/>
          <w:kern w:val="1"/>
          <w:sz w:val="22"/>
          <w:szCs w:val="22"/>
        </w:rPr>
        <w:t xml:space="preserve">– </w:t>
      </w:r>
      <w:r w:rsidR="0059570F" w:rsidRPr="00A64175">
        <w:rPr>
          <w:rFonts w:ascii="Arial" w:eastAsia="Times New Roman" w:hAnsi="Arial" w:cs="Arial"/>
          <w:color w:val="000000"/>
          <w:sz w:val="22"/>
          <w:szCs w:val="22"/>
          <w:lang w:eastAsia="fr-FR"/>
        </w:rPr>
        <w:t xml:space="preserve">La violation des dispositions prévues au présent titre est sanctionnée par la </w:t>
      </w:r>
      <w:r w:rsidR="00912B7A" w:rsidRPr="00A64175">
        <w:rPr>
          <w:rFonts w:ascii="Arial" w:eastAsia="Times New Roman" w:hAnsi="Arial" w:cs="Arial"/>
          <w:color w:val="000000"/>
          <w:sz w:val="22"/>
          <w:szCs w:val="22"/>
          <w:lang w:eastAsia="fr-FR"/>
        </w:rPr>
        <w:t>COSUMAF</w:t>
      </w:r>
      <w:r w:rsidR="002473B1" w:rsidRPr="00A64175">
        <w:rPr>
          <w:rFonts w:ascii="Arial" w:eastAsia="Times New Roman" w:hAnsi="Arial" w:cs="Arial"/>
          <w:color w:val="000000"/>
          <w:sz w:val="22"/>
          <w:szCs w:val="22"/>
          <w:lang w:eastAsia="fr-FR"/>
        </w:rPr>
        <w:t xml:space="preserve"> en application des dispositions du Règlement</w:t>
      </w:r>
      <w:r w:rsidR="00996791" w:rsidRPr="00A64175">
        <w:rPr>
          <w:rFonts w:ascii="Arial" w:eastAsia="Times New Roman" w:hAnsi="Arial" w:cs="Arial"/>
          <w:color w:val="000000"/>
          <w:sz w:val="22"/>
          <w:szCs w:val="22"/>
          <w:lang w:eastAsia="fr-FR"/>
        </w:rPr>
        <w:t xml:space="preserve"> n°0</w:t>
      </w:r>
      <w:r w:rsidR="002473B1" w:rsidRPr="00A64175">
        <w:rPr>
          <w:rFonts w:ascii="Arial" w:eastAsia="Times New Roman" w:hAnsi="Arial" w:cs="Arial"/>
          <w:color w:val="000000"/>
          <w:sz w:val="22"/>
          <w:szCs w:val="22"/>
          <w:lang w:eastAsia="fr-FR"/>
        </w:rPr>
        <w:t>1-16/CEMAC/UMAC/CM du 16 avril 2016 portant prévention et répression du blanchiment de capitaux, du financement du terrorisme et de la prolifération en Afrique Centrale</w:t>
      </w:r>
      <w:r w:rsidR="00996791" w:rsidRPr="00A64175">
        <w:rPr>
          <w:rFonts w:ascii="Arial" w:eastAsia="Times New Roman" w:hAnsi="Arial" w:cs="Arial"/>
          <w:color w:val="000000"/>
          <w:sz w:val="22"/>
          <w:szCs w:val="22"/>
          <w:lang w:eastAsia="fr-FR"/>
        </w:rPr>
        <w:t xml:space="preserve">, du Règlement </w:t>
      </w:r>
      <w:r w:rsidR="00996791" w:rsidRPr="00A64175">
        <w:rPr>
          <w:rFonts w:ascii="Arial" w:hAnsi="Arial" w:cs="Arial"/>
          <w:color w:val="000000"/>
          <w:sz w:val="22"/>
          <w:szCs w:val="22"/>
        </w:rPr>
        <w:t>n°01/22/CEMAC/UMAC/CM/COSUMAF du 21 juillet 2022 portant organisation et fonctionnement du marché financier de l’Afrique Centrale et du présent Règlement Général.</w:t>
      </w:r>
    </w:p>
    <w:p w14:paraId="396DF559" w14:textId="77777777" w:rsidR="004F5537" w:rsidRPr="00A64175" w:rsidRDefault="004F5537" w:rsidP="00A64175">
      <w:pPr>
        <w:jc w:val="both"/>
        <w:rPr>
          <w:rFonts w:ascii="Arial" w:hAnsi="Arial" w:cs="Arial"/>
          <w:sz w:val="22"/>
          <w:szCs w:val="22"/>
        </w:rPr>
      </w:pPr>
    </w:p>
    <w:p w14:paraId="4A6A1A9E" w14:textId="1329EE30" w:rsidR="004F5537" w:rsidRPr="00A64175" w:rsidRDefault="002473B1" w:rsidP="00A64175">
      <w:pPr>
        <w:jc w:val="both"/>
        <w:rPr>
          <w:rFonts w:ascii="Arial" w:hAnsi="Arial" w:cs="Arial"/>
          <w:sz w:val="22"/>
          <w:szCs w:val="22"/>
        </w:rPr>
      </w:pPr>
      <w:r w:rsidRPr="00A64175">
        <w:rPr>
          <w:rFonts w:ascii="Arial" w:hAnsi="Arial" w:cs="Arial"/>
          <w:sz w:val="22"/>
          <w:szCs w:val="22"/>
        </w:rPr>
        <w:t>Les sanctions sont applicables aux structures ou personnes morales agréées et à leurs dirigeants.</w:t>
      </w:r>
    </w:p>
    <w:p w14:paraId="0C8C2356" w14:textId="77777777" w:rsidR="004F5537" w:rsidRPr="00A64175" w:rsidRDefault="004F5537" w:rsidP="00A64175">
      <w:pPr>
        <w:jc w:val="both"/>
        <w:rPr>
          <w:rFonts w:ascii="Arial" w:hAnsi="Arial" w:cs="Arial"/>
          <w:sz w:val="22"/>
          <w:szCs w:val="22"/>
        </w:rPr>
      </w:pPr>
    </w:p>
    <w:p w14:paraId="2417A7B0" w14:textId="63A92348" w:rsidR="004E0B86" w:rsidRPr="00A64175" w:rsidRDefault="007E45E4" w:rsidP="00A64175">
      <w:pPr>
        <w:jc w:val="both"/>
        <w:rPr>
          <w:rFonts w:ascii="Arial" w:eastAsia="Times New Roman" w:hAnsi="Arial" w:cs="Arial"/>
          <w:color w:val="000000"/>
          <w:sz w:val="22"/>
          <w:szCs w:val="22"/>
          <w:lang w:eastAsia="fr-FR"/>
        </w:rPr>
      </w:pPr>
      <w:r w:rsidRPr="00A64175">
        <w:rPr>
          <w:rFonts w:ascii="Arial" w:hAnsi="Arial" w:cs="Arial"/>
          <w:b/>
          <w:bCs/>
          <w:color w:val="000000"/>
          <w:sz w:val="22"/>
          <w:szCs w:val="22"/>
        </w:rPr>
        <w:t>Article 1</w:t>
      </w:r>
      <w:r w:rsidR="00B45259">
        <w:rPr>
          <w:rFonts w:ascii="Arial" w:hAnsi="Arial" w:cs="Arial"/>
          <w:b/>
          <w:bCs/>
          <w:color w:val="000000"/>
          <w:sz w:val="22"/>
          <w:szCs w:val="22"/>
        </w:rPr>
        <w:t>1</w:t>
      </w:r>
      <w:r w:rsidR="00BB1AFC">
        <w:rPr>
          <w:rFonts w:ascii="Arial" w:hAnsi="Arial" w:cs="Arial"/>
          <w:b/>
          <w:bCs/>
          <w:color w:val="000000"/>
          <w:sz w:val="22"/>
          <w:szCs w:val="22"/>
        </w:rPr>
        <w:t>3</w:t>
      </w:r>
      <w:r w:rsidR="00463F3F" w:rsidRPr="00A64175">
        <w:rPr>
          <w:rFonts w:ascii="Arial" w:hAnsi="Arial" w:cs="Arial"/>
          <w:b/>
          <w:bCs/>
          <w:color w:val="000000"/>
          <w:sz w:val="22"/>
          <w:szCs w:val="22"/>
        </w:rPr>
        <w:t xml:space="preserve">. </w:t>
      </w:r>
      <w:r w:rsidR="00463F3F" w:rsidRPr="00A64175">
        <w:rPr>
          <w:rFonts w:ascii="Arial" w:hAnsi="Arial" w:cs="Arial"/>
          <w:color w:val="000000"/>
          <w:kern w:val="1"/>
          <w:sz w:val="22"/>
          <w:szCs w:val="22"/>
        </w:rPr>
        <w:t xml:space="preserve">– </w:t>
      </w:r>
      <w:r w:rsidR="00463F3F" w:rsidRPr="00A64175">
        <w:rPr>
          <w:rFonts w:ascii="Arial" w:eastAsia="Times New Roman" w:hAnsi="Arial" w:cs="Arial"/>
          <w:color w:val="000000"/>
          <w:sz w:val="22"/>
          <w:szCs w:val="22"/>
          <w:lang w:eastAsia="fr-FR"/>
        </w:rPr>
        <w:t xml:space="preserve">Sans préjudice des sanctions pénales applicables, sont passibles d’une sanction disciplinaire </w:t>
      </w:r>
      <w:r w:rsidR="00516B42" w:rsidRPr="00A64175">
        <w:rPr>
          <w:rFonts w:ascii="Arial" w:eastAsia="Times New Roman" w:hAnsi="Arial" w:cs="Arial"/>
          <w:color w:val="000000"/>
          <w:sz w:val="22"/>
          <w:szCs w:val="22"/>
          <w:lang w:eastAsia="fr-FR"/>
        </w:rPr>
        <w:t xml:space="preserve">et/ou pécuniaire d’un montant supérieur ou égal à dix millions (10 000 000) de francs CFA, les </w:t>
      </w:r>
      <w:r w:rsidR="00463F3F" w:rsidRPr="00A64175">
        <w:rPr>
          <w:rFonts w:ascii="Arial" w:eastAsia="Times New Roman" w:hAnsi="Arial" w:cs="Arial"/>
          <w:color w:val="000000"/>
          <w:sz w:val="22"/>
          <w:szCs w:val="22"/>
          <w:lang w:eastAsia="fr-FR"/>
        </w:rPr>
        <w:t>structures ou organismes</w:t>
      </w:r>
      <w:r w:rsidR="00516B42" w:rsidRPr="00A64175">
        <w:rPr>
          <w:rFonts w:ascii="Arial" w:eastAsia="Times New Roman" w:hAnsi="Arial" w:cs="Arial"/>
          <w:color w:val="000000"/>
          <w:sz w:val="22"/>
          <w:szCs w:val="22"/>
          <w:lang w:eastAsia="fr-FR"/>
        </w:rPr>
        <w:t xml:space="preserve"> soumis au contrôle de la COSUMAF</w:t>
      </w:r>
      <w:r w:rsidR="004E0B86" w:rsidRPr="00A64175">
        <w:rPr>
          <w:rFonts w:ascii="Arial" w:eastAsia="Times New Roman" w:hAnsi="Arial" w:cs="Arial"/>
          <w:color w:val="000000"/>
          <w:sz w:val="22"/>
          <w:szCs w:val="22"/>
          <w:lang w:eastAsia="fr-FR"/>
        </w:rPr>
        <w:t> :</w:t>
      </w:r>
      <w:r w:rsidR="00516B42" w:rsidRPr="00A64175">
        <w:rPr>
          <w:rFonts w:ascii="Arial" w:eastAsia="Times New Roman" w:hAnsi="Arial" w:cs="Arial"/>
          <w:color w:val="000000"/>
          <w:sz w:val="22"/>
          <w:szCs w:val="22"/>
          <w:lang w:eastAsia="fr-FR"/>
        </w:rPr>
        <w:t xml:space="preserve"> </w:t>
      </w:r>
    </w:p>
    <w:p w14:paraId="206AAD55" w14:textId="0DBFC762" w:rsidR="004E0B86" w:rsidRPr="00A64175" w:rsidRDefault="004E0B86" w:rsidP="00A64175">
      <w:pPr>
        <w:pStyle w:val="Paragraphedeliste"/>
        <w:numPr>
          <w:ilvl w:val="0"/>
          <w:numId w:val="89"/>
        </w:numPr>
        <w:rPr>
          <w:sz w:val="22"/>
          <w:szCs w:val="22"/>
        </w:rPr>
      </w:pPr>
      <w:r w:rsidRPr="00A64175">
        <w:rPr>
          <w:rFonts w:eastAsia="Times New Roman"/>
          <w:color w:val="000000"/>
          <w:sz w:val="22"/>
          <w:szCs w:val="22"/>
          <w:lang w:eastAsia="fr-FR"/>
        </w:rPr>
        <w:t>qui n’auront pas respecté les prescriptions législatives et réglementaires en matière de</w:t>
      </w:r>
      <w:r w:rsidR="00F45752" w:rsidRPr="00A64175">
        <w:rPr>
          <w:rFonts w:eastAsia="Times New Roman"/>
          <w:color w:val="000000"/>
          <w:sz w:val="22"/>
          <w:szCs w:val="22"/>
          <w:lang w:eastAsia="fr-FR"/>
        </w:rPr>
        <w:t xml:space="preserve"> vigilance et de</w:t>
      </w:r>
      <w:r w:rsidRPr="00A64175">
        <w:rPr>
          <w:rFonts w:eastAsia="Times New Roman"/>
          <w:color w:val="000000"/>
          <w:sz w:val="22"/>
          <w:szCs w:val="22"/>
          <w:lang w:eastAsia="fr-FR"/>
        </w:rPr>
        <w:t xml:space="preserve"> prévention du blanchiment des capitaux et du financement du terrorisme, visées dans le Règlement</w:t>
      </w:r>
      <w:r w:rsidRPr="00A64175">
        <w:rPr>
          <w:sz w:val="22"/>
          <w:szCs w:val="22"/>
        </w:rPr>
        <w:t xml:space="preserve"> n°01-16/CEMAC/UMAC/CM du 11 avril 2016 précité</w:t>
      </w:r>
      <w:r w:rsidR="00F45752" w:rsidRPr="00A64175">
        <w:rPr>
          <w:sz w:val="22"/>
          <w:szCs w:val="22"/>
        </w:rPr>
        <w:t xml:space="preserve"> et dans le présent Règlement Général</w:t>
      </w:r>
      <w:r w:rsidRPr="00A64175">
        <w:rPr>
          <w:rFonts w:eastAsia="Times New Roman"/>
          <w:color w:val="000000"/>
          <w:sz w:val="22"/>
          <w:szCs w:val="22"/>
          <w:lang w:eastAsia="fr-FR"/>
        </w:rPr>
        <w:t> ;</w:t>
      </w:r>
    </w:p>
    <w:p w14:paraId="5BBB715A" w14:textId="77777777" w:rsidR="00DF1322" w:rsidRPr="00A64175" w:rsidRDefault="00516B42" w:rsidP="00A64175">
      <w:pPr>
        <w:pStyle w:val="Paragraphedeliste"/>
        <w:numPr>
          <w:ilvl w:val="0"/>
          <w:numId w:val="89"/>
        </w:numPr>
        <w:rPr>
          <w:sz w:val="22"/>
          <w:szCs w:val="22"/>
        </w:rPr>
      </w:pPr>
      <w:r w:rsidRPr="00A64175">
        <w:rPr>
          <w:rFonts w:eastAsia="Times New Roman"/>
          <w:color w:val="000000"/>
          <w:sz w:val="22"/>
          <w:szCs w:val="22"/>
          <w:lang w:eastAsia="fr-FR"/>
        </w:rPr>
        <w:t>qui n’auront pas</w:t>
      </w:r>
      <w:r w:rsidR="00DF1322" w:rsidRPr="00A64175">
        <w:rPr>
          <w:rFonts w:eastAsia="Times New Roman"/>
          <w:color w:val="000000"/>
          <w:sz w:val="22"/>
          <w:szCs w:val="22"/>
          <w:lang w:eastAsia="fr-FR"/>
        </w:rPr>
        <w:t xml:space="preserve"> respecté les obligations de déclaration et d’information prescrites en matière de lutte contre le blanchiment de capitaux et le financement du terrorisme ;</w:t>
      </w:r>
      <w:r w:rsidRPr="00A64175">
        <w:rPr>
          <w:rFonts w:eastAsia="Times New Roman"/>
          <w:color w:val="000000"/>
          <w:sz w:val="22"/>
          <w:szCs w:val="22"/>
          <w:lang w:eastAsia="fr-FR"/>
        </w:rPr>
        <w:t xml:space="preserve"> </w:t>
      </w:r>
    </w:p>
    <w:p w14:paraId="109D208B" w14:textId="1867E10D" w:rsidR="00DF1322" w:rsidRPr="00A64175" w:rsidRDefault="00DF1322" w:rsidP="00A64175">
      <w:pPr>
        <w:pStyle w:val="Paragraphedeliste"/>
        <w:numPr>
          <w:ilvl w:val="0"/>
          <w:numId w:val="89"/>
        </w:numPr>
        <w:rPr>
          <w:sz w:val="22"/>
          <w:szCs w:val="22"/>
        </w:rPr>
      </w:pPr>
      <w:r w:rsidRPr="00A64175">
        <w:rPr>
          <w:rFonts w:eastAsia="Times New Roman"/>
          <w:color w:val="000000"/>
          <w:sz w:val="22"/>
          <w:szCs w:val="22"/>
          <w:lang w:eastAsia="fr-FR"/>
        </w:rPr>
        <w:t>qui auront omis de procéder à l’évaluation de leur dispositif interne de lutte contre le blanchiment de capitaux et le financement du terrorisme ;</w:t>
      </w:r>
    </w:p>
    <w:p w14:paraId="643175C7" w14:textId="5E1AF3A8" w:rsidR="00DF1322" w:rsidRPr="00A64175" w:rsidRDefault="00DF1322" w:rsidP="00A64175">
      <w:pPr>
        <w:pStyle w:val="Paragraphedeliste"/>
        <w:numPr>
          <w:ilvl w:val="0"/>
          <w:numId w:val="89"/>
        </w:numPr>
        <w:rPr>
          <w:sz w:val="22"/>
          <w:szCs w:val="22"/>
        </w:rPr>
      </w:pPr>
      <w:r w:rsidRPr="00A64175">
        <w:rPr>
          <w:rFonts w:eastAsia="Times New Roman"/>
          <w:color w:val="000000"/>
          <w:sz w:val="22"/>
          <w:szCs w:val="22"/>
          <w:lang w:eastAsia="fr-FR"/>
        </w:rPr>
        <w:t>qui auront omis d’établir</w:t>
      </w:r>
      <w:r w:rsidR="00C244BB" w:rsidRPr="00A64175">
        <w:rPr>
          <w:rFonts w:eastAsia="Times New Roman"/>
          <w:color w:val="000000"/>
          <w:sz w:val="22"/>
          <w:szCs w:val="22"/>
          <w:lang w:eastAsia="fr-FR"/>
        </w:rPr>
        <w:t xml:space="preserve"> ou de communiquer à la COSUMAF</w:t>
      </w:r>
      <w:r w:rsidRPr="00A64175">
        <w:rPr>
          <w:rFonts w:eastAsia="Times New Roman"/>
          <w:color w:val="000000"/>
          <w:sz w:val="22"/>
          <w:szCs w:val="22"/>
          <w:lang w:eastAsia="fr-FR"/>
        </w:rPr>
        <w:t xml:space="preserve"> </w:t>
      </w:r>
      <w:r w:rsidR="00C244BB" w:rsidRPr="00A64175">
        <w:rPr>
          <w:rFonts w:eastAsia="Times New Roman"/>
          <w:color w:val="000000"/>
          <w:sz w:val="22"/>
          <w:szCs w:val="22"/>
          <w:lang w:eastAsia="fr-FR"/>
        </w:rPr>
        <w:t>leur  rapport annuel de contrôle relatif aux diligences accomplies en matière de lutte contre le blanchiment de capitaux et le financement du terrorisme.</w:t>
      </w:r>
    </w:p>
    <w:p w14:paraId="584162A4" w14:textId="77777777" w:rsidR="004F5537" w:rsidRPr="00A64175" w:rsidRDefault="004F5537" w:rsidP="00A64175">
      <w:pPr>
        <w:jc w:val="both"/>
        <w:rPr>
          <w:rFonts w:ascii="Arial" w:hAnsi="Arial" w:cs="Arial"/>
          <w:b/>
          <w:sz w:val="22"/>
          <w:szCs w:val="22"/>
        </w:rPr>
      </w:pPr>
    </w:p>
    <w:p w14:paraId="5385D691" w14:textId="34F9F312" w:rsidR="003B423F" w:rsidRPr="00A64175" w:rsidRDefault="003B423F" w:rsidP="00A64175">
      <w:pPr>
        <w:jc w:val="both"/>
        <w:rPr>
          <w:rFonts w:ascii="Arial" w:hAnsi="Arial" w:cs="Arial"/>
          <w:b/>
          <w:sz w:val="22"/>
          <w:szCs w:val="22"/>
        </w:rPr>
      </w:pPr>
      <w:r w:rsidRPr="00A64175">
        <w:rPr>
          <w:rFonts w:ascii="Arial" w:hAnsi="Arial" w:cs="Arial"/>
          <w:b/>
          <w:sz w:val="22"/>
          <w:szCs w:val="22"/>
        </w:rPr>
        <w:t>TITRE I</w:t>
      </w:r>
      <w:r w:rsidR="003F311B" w:rsidRPr="00A64175">
        <w:rPr>
          <w:rFonts w:ascii="Arial" w:hAnsi="Arial" w:cs="Arial"/>
          <w:b/>
          <w:sz w:val="22"/>
          <w:szCs w:val="22"/>
        </w:rPr>
        <w:t>V</w:t>
      </w:r>
      <w:r w:rsidRPr="00A64175">
        <w:rPr>
          <w:rFonts w:ascii="Arial" w:hAnsi="Arial" w:cs="Arial"/>
          <w:b/>
          <w:sz w:val="22"/>
          <w:szCs w:val="22"/>
        </w:rPr>
        <w:t xml:space="preserve"> – OPERATIONS SUR LE MARCHE FINANCIER REGIONAL</w:t>
      </w:r>
    </w:p>
    <w:p w14:paraId="508558F5" w14:textId="77777777" w:rsidR="00287F4A" w:rsidRPr="00A64175" w:rsidRDefault="00287F4A" w:rsidP="00A64175">
      <w:pPr>
        <w:widowControl w:val="0"/>
        <w:autoSpaceDE w:val="0"/>
        <w:autoSpaceDN w:val="0"/>
        <w:adjustRightInd w:val="0"/>
        <w:jc w:val="both"/>
        <w:rPr>
          <w:rFonts w:ascii="Arial" w:hAnsi="Arial" w:cs="Arial"/>
          <w:kern w:val="1"/>
          <w:sz w:val="22"/>
          <w:szCs w:val="22"/>
        </w:rPr>
      </w:pPr>
    </w:p>
    <w:p w14:paraId="26B29881" w14:textId="77777777" w:rsidR="003B423F" w:rsidRPr="00A64175" w:rsidRDefault="003B423F" w:rsidP="00A64175">
      <w:pPr>
        <w:widowControl w:val="0"/>
        <w:autoSpaceDE w:val="0"/>
        <w:autoSpaceDN w:val="0"/>
        <w:adjustRightInd w:val="0"/>
        <w:jc w:val="both"/>
        <w:rPr>
          <w:rFonts w:ascii="Arial" w:hAnsi="Arial" w:cs="Arial"/>
          <w:kern w:val="1"/>
          <w:sz w:val="22"/>
          <w:szCs w:val="22"/>
        </w:rPr>
      </w:pPr>
    </w:p>
    <w:p w14:paraId="2C915D1D" w14:textId="77777777" w:rsidR="004F0F96" w:rsidRPr="00A64175" w:rsidRDefault="00DB361F" w:rsidP="00A64175">
      <w:pPr>
        <w:widowControl w:val="0"/>
        <w:autoSpaceDE w:val="0"/>
        <w:autoSpaceDN w:val="0"/>
        <w:adjustRightInd w:val="0"/>
        <w:jc w:val="both"/>
        <w:rPr>
          <w:rFonts w:ascii="Arial" w:hAnsi="Arial" w:cs="Arial"/>
          <w:b/>
          <w:bCs/>
          <w:sz w:val="22"/>
          <w:szCs w:val="22"/>
        </w:rPr>
      </w:pPr>
      <w:r w:rsidRPr="00A64175">
        <w:rPr>
          <w:rFonts w:ascii="Arial" w:hAnsi="Arial" w:cs="Arial"/>
          <w:b/>
          <w:bCs/>
          <w:sz w:val="22"/>
          <w:szCs w:val="22"/>
        </w:rPr>
        <w:t>CHAPITRE I –</w:t>
      </w:r>
      <w:r w:rsidR="006C4EAB" w:rsidRPr="00A64175">
        <w:rPr>
          <w:rFonts w:ascii="Arial" w:hAnsi="Arial" w:cs="Arial"/>
          <w:b/>
          <w:bCs/>
          <w:sz w:val="22"/>
          <w:szCs w:val="22"/>
        </w:rPr>
        <w:t xml:space="preserve"> APPEL PUBLIC A L’EPARGNE</w:t>
      </w:r>
    </w:p>
    <w:p w14:paraId="2DE82233" w14:textId="77777777" w:rsidR="00DB361F" w:rsidRPr="00A64175" w:rsidRDefault="00DB361F" w:rsidP="00A64175">
      <w:pPr>
        <w:widowControl w:val="0"/>
        <w:autoSpaceDE w:val="0"/>
        <w:autoSpaceDN w:val="0"/>
        <w:adjustRightInd w:val="0"/>
        <w:jc w:val="both"/>
        <w:rPr>
          <w:rFonts w:ascii="Arial" w:hAnsi="Arial" w:cs="Arial"/>
          <w:color w:val="0000FF"/>
          <w:kern w:val="1"/>
          <w:sz w:val="22"/>
          <w:szCs w:val="22"/>
        </w:rPr>
      </w:pPr>
    </w:p>
    <w:p w14:paraId="436FE46B" w14:textId="221F7A5E" w:rsidR="004F0F96" w:rsidRPr="00A64175" w:rsidRDefault="00DB361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Section I</w:t>
      </w:r>
      <w:r w:rsidR="00287F4A" w:rsidRPr="00A64175">
        <w:rPr>
          <w:rFonts w:ascii="Arial" w:hAnsi="Arial" w:cs="Arial"/>
          <w:b/>
          <w:bCs/>
          <w:color w:val="000000"/>
          <w:sz w:val="22"/>
          <w:szCs w:val="22"/>
        </w:rPr>
        <w:t xml:space="preserve"> : </w:t>
      </w:r>
      <w:r w:rsidR="003B423F" w:rsidRPr="00A64175">
        <w:rPr>
          <w:rFonts w:ascii="Arial" w:hAnsi="Arial" w:cs="Arial"/>
          <w:b/>
          <w:bCs/>
          <w:color w:val="000000"/>
          <w:sz w:val="22"/>
          <w:szCs w:val="22"/>
        </w:rPr>
        <w:t xml:space="preserve">Dispositions générales </w:t>
      </w:r>
    </w:p>
    <w:p w14:paraId="369AC59F" w14:textId="77777777" w:rsidR="00DB361F" w:rsidRPr="00A64175" w:rsidRDefault="00DB361F" w:rsidP="00A64175">
      <w:pPr>
        <w:widowControl w:val="0"/>
        <w:autoSpaceDE w:val="0"/>
        <w:autoSpaceDN w:val="0"/>
        <w:adjustRightInd w:val="0"/>
        <w:jc w:val="both"/>
        <w:rPr>
          <w:rFonts w:ascii="Arial" w:hAnsi="Arial" w:cs="Arial"/>
          <w:color w:val="000000"/>
          <w:kern w:val="1"/>
          <w:sz w:val="22"/>
          <w:szCs w:val="22"/>
        </w:rPr>
      </w:pPr>
    </w:p>
    <w:p w14:paraId="2B4BB1C9" w14:textId="1C406AD6" w:rsidR="00051790" w:rsidRPr="00A64175" w:rsidRDefault="007E45E4"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1</w:t>
      </w:r>
      <w:r w:rsidR="008F56E4">
        <w:rPr>
          <w:rFonts w:ascii="Arial" w:hAnsi="Arial" w:cs="Arial"/>
          <w:b/>
          <w:bCs/>
          <w:color w:val="000000"/>
          <w:sz w:val="22"/>
          <w:szCs w:val="22"/>
        </w:rPr>
        <w:t>1</w:t>
      </w:r>
      <w:r w:rsidR="00BB1AFC">
        <w:rPr>
          <w:rFonts w:ascii="Arial" w:hAnsi="Arial" w:cs="Arial"/>
          <w:b/>
          <w:bCs/>
          <w:color w:val="000000"/>
          <w:sz w:val="22"/>
          <w:szCs w:val="22"/>
        </w:rPr>
        <w:t>4</w:t>
      </w:r>
      <w:r w:rsidR="00E120BC" w:rsidRPr="00A64175">
        <w:rPr>
          <w:rFonts w:ascii="Arial" w:hAnsi="Arial" w:cs="Arial"/>
          <w:b/>
          <w:bCs/>
          <w:color w:val="000000"/>
          <w:sz w:val="22"/>
          <w:szCs w:val="22"/>
        </w:rPr>
        <w:t xml:space="preserve">. – </w:t>
      </w:r>
      <w:r w:rsidR="004F0F96" w:rsidRPr="00A64175">
        <w:rPr>
          <w:rFonts w:ascii="Arial" w:hAnsi="Arial" w:cs="Arial"/>
          <w:color w:val="000000"/>
          <w:sz w:val="22"/>
          <w:szCs w:val="22"/>
        </w:rPr>
        <w:t>Les émetteurs faisant appel public à l’épargne sont soumis aux dispos</w:t>
      </w:r>
      <w:r w:rsidR="009E5B12" w:rsidRPr="00A64175">
        <w:rPr>
          <w:rFonts w:ascii="Arial" w:hAnsi="Arial" w:cs="Arial"/>
          <w:color w:val="000000"/>
          <w:sz w:val="22"/>
          <w:szCs w:val="22"/>
        </w:rPr>
        <w:t xml:space="preserve">itions </w:t>
      </w:r>
      <w:r w:rsidR="007B7085" w:rsidRPr="00A64175">
        <w:rPr>
          <w:rFonts w:ascii="Arial" w:hAnsi="Arial" w:cs="Arial"/>
          <w:color w:val="000000"/>
          <w:sz w:val="22"/>
          <w:szCs w:val="22"/>
        </w:rPr>
        <w:t>du</w:t>
      </w:r>
      <w:r w:rsidR="007D221E" w:rsidRPr="00A64175">
        <w:rPr>
          <w:rFonts w:ascii="Arial" w:hAnsi="Arial" w:cs="Arial"/>
          <w:color w:val="000000"/>
          <w:sz w:val="22"/>
          <w:szCs w:val="22"/>
        </w:rPr>
        <w:t xml:space="preserve"> Règlement n°01/22/CEMAC/UMAC/CM/COSUMAF du 21 juillet </w:t>
      </w:r>
      <w:r w:rsidR="005A0372" w:rsidRPr="00A64175">
        <w:rPr>
          <w:rFonts w:ascii="Arial" w:hAnsi="Arial" w:cs="Arial"/>
          <w:color w:val="000000"/>
          <w:sz w:val="22"/>
          <w:szCs w:val="22"/>
        </w:rPr>
        <w:t>2022,</w:t>
      </w:r>
      <w:r w:rsidR="00A77A03" w:rsidRPr="00A64175">
        <w:rPr>
          <w:rFonts w:ascii="Arial" w:hAnsi="Arial" w:cs="Arial"/>
          <w:color w:val="000000"/>
          <w:sz w:val="22"/>
          <w:szCs w:val="22"/>
        </w:rPr>
        <w:t xml:space="preserve"> à celles du présent Règlement</w:t>
      </w:r>
      <w:r w:rsidR="007D221E" w:rsidRPr="00A64175">
        <w:rPr>
          <w:rFonts w:ascii="Arial" w:hAnsi="Arial" w:cs="Arial"/>
          <w:color w:val="000000"/>
          <w:sz w:val="22"/>
          <w:szCs w:val="22"/>
        </w:rPr>
        <w:t xml:space="preserve"> général</w:t>
      </w:r>
      <w:r w:rsidR="00A77A03" w:rsidRPr="00A64175">
        <w:rPr>
          <w:rFonts w:ascii="Arial" w:hAnsi="Arial" w:cs="Arial"/>
          <w:color w:val="000000"/>
          <w:sz w:val="22"/>
          <w:szCs w:val="22"/>
        </w:rPr>
        <w:t xml:space="preserve"> et</w:t>
      </w:r>
      <w:r w:rsidR="007D221E" w:rsidRPr="00A64175">
        <w:rPr>
          <w:rFonts w:ascii="Arial" w:hAnsi="Arial" w:cs="Arial"/>
          <w:color w:val="000000"/>
          <w:sz w:val="22"/>
          <w:szCs w:val="22"/>
        </w:rPr>
        <w:t xml:space="preserve"> à celles</w:t>
      </w:r>
      <w:r w:rsidR="00A77A03" w:rsidRPr="00A64175">
        <w:rPr>
          <w:rFonts w:ascii="Arial" w:hAnsi="Arial" w:cs="Arial"/>
          <w:color w:val="000000"/>
          <w:sz w:val="22"/>
          <w:szCs w:val="22"/>
        </w:rPr>
        <w:t xml:space="preserve"> de l’Acte Uniforme OHADA relatif au droit des sociétés commerciales et du groupement d’intérêt économique.</w:t>
      </w:r>
    </w:p>
    <w:p w14:paraId="4664F7BF" w14:textId="77777777" w:rsidR="00364187" w:rsidRPr="00A64175" w:rsidRDefault="00364187" w:rsidP="00A64175">
      <w:pPr>
        <w:widowControl w:val="0"/>
        <w:autoSpaceDE w:val="0"/>
        <w:autoSpaceDN w:val="0"/>
        <w:adjustRightInd w:val="0"/>
        <w:jc w:val="both"/>
        <w:rPr>
          <w:rFonts w:ascii="Arial" w:hAnsi="Arial" w:cs="Arial"/>
          <w:kern w:val="1"/>
          <w:sz w:val="22"/>
          <w:szCs w:val="22"/>
        </w:rPr>
      </w:pPr>
    </w:p>
    <w:p w14:paraId="2A814529" w14:textId="6E4F5CDF" w:rsidR="00E60131" w:rsidRPr="00A64175" w:rsidRDefault="007E45E4" w:rsidP="00A64175">
      <w:pPr>
        <w:jc w:val="both"/>
        <w:rPr>
          <w:rFonts w:ascii="Arial" w:hAnsi="Arial" w:cs="Arial"/>
          <w:b/>
          <w:sz w:val="22"/>
          <w:szCs w:val="22"/>
        </w:rPr>
      </w:pPr>
      <w:r w:rsidRPr="00A64175">
        <w:rPr>
          <w:rFonts w:ascii="Arial" w:hAnsi="Arial" w:cs="Arial"/>
          <w:b/>
          <w:sz w:val="22"/>
          <w:szCs w:val="22"/>
        </w:rPr>
        <w:t>Article 11</w:t>
      </w:r>
      <w:r w:rsidR="00BB1AFC">
        <w:rPr>
          <w:rFonts w:ascii="Arial" w:hAnsi="Arial" w:cs="Arial"/>
          <w:b/>
          <w:sz w:val="22"/>
          <w:szCs w:val="22"/>
        </w:rPr>
        <w:t>5</w:t>
      </w:r>
      <w:r w:rsidR="00E60131" w:rsidRPr="00A64175">
        <w:rPr>
          <w:rFonts w:ascii="Arial" w:hAnsi="Arial" w:cs="Arial"/>
          <w:b/>
          <w:sz w:val="22"/>
          <w:szCs w:val="22"/>
        </w:rPr>
        <w:t xml:space="preserve">. – </w:t>
      </w:r>
      <w:r w:rsidR="00147650" w:rsidRPr="00A64175">
        <w:rPr>
          <w:rFonts w:ascii="Arial" w:hAnsi="Arial" w:cs="Arial"/>
          <w:sz w:val="22"/>
          <w:szCs w:val="22"/>
        </w:rPr>
        <w:t>L</w:t>
      </w:r>
      <w:r w:rsidR="00E60131" w:rsidRPr="00A64175">
        <w:rPr>
          <w:rFonts w:ascii="Arial" w:hAnsi="Arial" w:cs="Arial"/>
          <w:sz w:val="22"/>
          <w:szCs w:val="22"/>
        </w:rPr>
        <w:t>es</w:t>
      </w:r>
      <w:r w:rsidR="00147650" w:rsidRPr="00A64175">
        <w:rPr>
          <w:rFonts w:ascii="Arial" w:hAnsi="Arial" w:cs="Arial"/>
          <w:sz w:val="22"/>
          <w:szCs w:val="22"/>
        </w:rPr>
        <w:t xml:space="preserve"> émetteurs visés au présent </w:t>
      </w:r>
      <w:r w:rsidR="005A0372">
        <w:rPr>
          <w:rFonts w:ascii="Arial" w:hAnsi="Arial" w:cs="Arial"/>
          <w:sz w:val="22"/>
          <w:szCs w:val="22"/>
        </w:rPr>
        <w:t>chapitre</w:t>
      </w:r>
      <w:r w:rsidR="005A0372" w:rsidRPr="00A64175">
        <w:rPr>
          <w:rFonts w:ascii="Arial" w:hAnsi="Arial" w:cs="Arial"/>
          <w:sz w:val="22"/>
          <w:szCs w:val="22"/>
        </w:rPr>
        <w:t xml:space="preserve"> </w:t>
      </w:r>
      <w:r w:rsidR="00E60131" w:rsidRPr="00A64175">
        <w:rPr>
          <w:rFonts w:ascii="Arial" w:hAnsi="Arial" w:cs="Arial"/>
          <w:sz w:val="22"/>
          <w:szCs w:val="22"/>
        </w:rPr>
        <w:t xml:space="preserve">sont soumis aux obligations inhérentes au statut d’émetteur faisant appel public à l’épargne. A ce titre, ils sont soumis, d’une part, aux obligations d’information périodiques et permanentes et, d’autre part, à l’obligation d’établir un document d’information lorsqu’ils envisagent de réaliser une opération par appel public à l’épargne. </w:t>
      </w:r>
    </w:p>
    <w:p w14:paraId="35896DF0" w14:textId="77777777" w:rsidR="00DF3F1B" w:rsidRPr="00A64175" w:rsidRDefault="00DF3F1B" w:rsidP="00A64175">
      <w:pPr>
        <w:widowControl w:val="0"/>
        <w:autoSpaceDE w:val="0"/>
        <w:autoSpaceDN w:val="0"/>
        <w:adjustRightInd w:val="0"/>
        <w:jc w:val="both"/>
        <w:rPr>
          <w:rFonts w:ascii="Arial" w:hAnsi="Arial" w:cs="Arial"/>
          <w:kern w:val="1"/>
          <w:sz w:val="22"/>
          <w:szCs w:val="22"/>
        </w:rPr>
      </w:pPr>
    </w:p>
    <w:p w14:paraId="783A656F" w14:textId="75AABBA3" w:rsidR="005D6E20" w:rsidRPr="00A64175" w:rsidRDefault="007E45E4" w:rsidP="00A64175">
      <w:pPr>
        <w:autoSpaceDE w:val="0"/>
        <w:autoSpaceDN w:val="0"/>
        <w:adjustRightInd w:val="0"/>
        <w:jc w:val="both"/>
        <w:rPr>
          <w:rFonts w:ascii="Arial" w:hAnsi="Arial" w:cs="Arial"/>
          <w:sz w:val="22"/>
          <w:szCs w:val="22"/>
        </w:rPr>
      </w:pPr>
      <w:r w:rsidRPr="00A64175">
        <w:rPr>
          <w:rFonts w:ascii="Arial" w:hAnsi="Arial" w:cs="Arial"/>
          <w:b/>
          <w:sz w:val="22"/>
          <w:szCs w:val="22"/>
        </w:rPr>
        <w:t>Article 11</w:t>
      </w:r>
      <w:r w:rsidR="00BB1AFC">
        <w:rPr>
          <w:rFonts w:ascii="Arial" w:hAnsi="Arial" w:cs="Arial"/>
          <w:b/>
          <w:sz w:val="22"/>
          <w:szCs w:val="22"/>
        </w:rPr>
        <w:t>6</w:t>
      </w:r>
      <w:r w:rsidR="005D6E20" w:rsidRPr="00A64175">
        <w:rPr>
          <w:rFonts w:ascii="Arial" w:hAnsi="Arial" w:cs="Arial"/>
          <w:b/>
          <w:sz w:val="22"/>
          <w:szCs w:val="22"/>
        </w:rPr>
        <w:t xml:space="preserve">. – </w:t>
      </w:r>
      <w:r w:rsidR="005D6E20" w:rsidRPr="00A64175">
        <w:rPr>
          <w:rFonts w:ascii="Arial" w:hAnsi="Arial" w:cs="Arial"/>
          <w:sz w:val="22"/>
          <w:szCs w:val="22"/>
        </w:rPr>
        <w:t>L’information diffusée dans le public par les personnes ou entités faisant appel public à l’épargne doit être exacte, précise et sincère.</w:t>
      </w:r>
    </w:p>
    <w:p w14:paraId="7D4E3EEE" w14:textId="77777777" w:rsidR="005D6E20" w:rsidRPr="00A64175" w:rsidRDefault="005D6E20" w:rsidP="00A64175">
      <w:pPr>
        <w:autoSpaceDE w:val="0"/>
        <w:autoSpaceDN w:val="0"/>
        <w:adjustRightInd w:val="0"/>
        <w:jc w:val="both"/>
        <w:rPr>
          <w:rFonts w:ascii="Arial" w:hAnsi="Arial" w:cs="Arial"/>
          <w:sz w:val="22"/>
          <w:szCs w:val="22"/>
        </w:rPr>
      </w:pPr>
    </w:p>
    <w:p w14:paraId="0CBD2F65" w14:textId="5CCAD2D4" w:rsidR="00DF3F1B" w:rsidRPr="00A64175" w:rsidRDefault="005D6E20" w:rsidP="00A64175">
      <w:pPr>
        <w:autoSpaceDE w:val="0"/>
        <w:autoSpaceDN w:val="0"/>
        <w:adjustRightInd w:val="0"/>
        <w:jc w:val="both"/>
        <w:rPr>
          <w:rFonts w:ascii="Arial" w:hAnsi="Arial" w:cs="Arial"/>
          <w:sz w:val="22"/>
          <w:szCs w:val="22"/>
        </w:rPr>
      </w:pPr>
      <w:r w:rsidRPr="00A64175">
        <w:rPr>
          <w:rFonts w:ascii="Arial" w:hAnsi="Arial" w:cs="Arial"/>
          <w:sz w:val="22"/>
          <w:szCs w:val="22"/>
        </w:rPr>
        <w:t>Constitue une atteinte à la bonne information du public la communication d’une information qui ne respecte pas les exigences prévues au présent article.</w:t>
      </w:r>
    </w:p>
    <w:p w14:paraId="2200AFF3" w14:textId="77777777" w:rsidR="00A0295A" w:rsidRPr="00A64175" w:rsidRDefault="00A0295A" w:rsidP="00A64175">
      <w:pPr>
        <w:autoSpaceDE w:val="0"/>
        <w:autoSpaceDN w:val="0"/>
        <w:adjustRightInd w:val="0"/>
        <w:jc w:val="both"/>
        <w:rPr>
          <w:rFonts w:ascii="Arial" w:hAnsi="Arial" w:cs="Arial"/>
          <w:sz w:val="22"/>
          <w:szCs w:val="22"/>
        </w:rPr>
      </w:pPr>
    </w:p>
    <w:p w14:paraId="0F6ABBFF" w14:textId="31ED5A52" w:rsidR="00A0295A" w:rsidRPr="00A64175" w:rsidRDefault="007E45E4" w:rsidP="00A64175">
      <w:pPr>
        <w:autoSpaceDE w:val="0"/>
        <w:autoSpaceDN w:val="0"/>
        <w:adjustRightInd w:val="0"/>
        <w:jc w:val="both"/>
        <w:rPr>
          <w:rFonts w:ascii="Arial" w:hAnsi="Arial" w:cs="Arial"/>
          <w:sz w:val="22"/>
          <w:szCs w:val="22"/>
        </w:rPr>
      </w:pPr>
      <w:r w:rsidRPr="00A64175">
        <w:rPr>
          <w:rFonts w:ascii="Arial" w:hAnsi="Arial" w:cs="Arial"/>
          <w:b/>
          <w:sz w:val="22"/>
          <w:szCs w:val="22"/>
        </w:rPr>
        <w:t>Article 11</w:t>
      </w:r>
      <w:r w:rsidR="00BB1AFC">
        <w:rPr>
          <w:rFonts w:ascii="Arial" w:hAnsi="Arial" w:cs="Arial"/>
          <w:b/>
          <w:sz w:val="22"/>
          <w:szCs w:val="22"/>
        </w:rPr>
        <w:t>7</w:t>
      </w:r>
      <w:r w:rsidR="00A0295A" w:rsidRPr="00A64175">
        <w:rPr>
          <w:rFonts w:ascii="Arial" w:hAnsi="Arial" w:cs="Arial"/>
          <w:b/>
          <w:sz w:val="22"/>
          <w:szCs w:val="22"/>
        </w:rPr>
        <w:t xml:space="preserve">. – </w:t>
      </w:r>
      <w:r w:rsidR="00A0295A" w:rsidRPr="00A64175">
        <w:rPr>
          <w:rFonts w:ascii="Arial" w:hAnsi="Arial" w:cs="Arial"/>
          <w:sz w:val="22"/>
          <w:szCs w:val="22"/>
        </w:rPr>
        <w:t>L’émission d’actions ou d’obligations par appel public à l’épargne est interdite aux sociétés dont le capital n’est pas intégralement libéré.</w:t>
      </w:r>
    </w:p>
    <w:p w14:paraId="50CFF6E1" w14:textId="77777777" w:rsidR="00DF3F1B" w:rsidRPr="00A64175" w:rsidRDefault="00DF3F1B" w:rsidP="00A64175">
      <w:pPr>
        <w:widowControl w:val="0"/>
        <w:autoSpaceDE w:val="0"/>
        <w:autoSpaceDN w:val="0"/>
        <w:adjustRightInd w:val="0"/>
        <w:jc w:val="both"/>
        <w:rPr>
          <w:rFonts w:ascii="Arial" w:hAnsi="Arial" w:cs="Arial"/>
          <w:kern w:val="1"/>
          <w:sz w:val="22"/>
          <w:szCs w:val="22"/>
        </w:rPr>
      </w:pPr>
    </w:p>
    <w:p w14:paraId="6B7BC523" w14:textId="79AECA3C" w:rsidR="000C256D" w:rsidRPr="00A64175" w:rsidRDefault="007E45E4" w:rsidP="00A64175">
      <w:pPr>
        <w:widowControl w:val="0"/>
        <w:autoSpaceDE w:val="0"/>
        <w:autoSpaceDN w:val="0"/>
        <w:adjustRightInd w:val="0"/>
        <w:jc w:val="both"/>
        <w:rPr>
          <w:rFonts w:ascii="Arial" w:hAnsi="Arial" w:cs="Arial"/>
          <w:kern w:val="1"/>
          <w:sz w:val="22"/>
          <w:szCs w:val="22"/>
        </w:rPr>
      </w:pPr>
      <w:r w:rsidRPr="00A64175">
        <w:rPr>
          <w:rFonts w:ascii="Arial" w:hAnsi="Arial" w:cs="Arial"/>
          <w:b/>
          <w:sz w:val="22"/>
          <w:szCs w:val="22"/>
        </w:rPr>
        <w:t>Article 11</w:t>
      </w:r>
      <w:r w:rsidR="00BB1AFC">
        <w:rPr>
          <w:rFonts w:ascii="Arial" w:hAnsi="Arial" w:cs="Arial"/>
          <w:b/>
          <w:sz w:val="22"/>
          <w:szCs w:val="22"/>
        </w:rPr>
        <w:t>8</w:t>
      </w:r>
      <w:r w:rsidR="009E2B59" w:rsidRPr="00A64175">
        <w:rPr>
          <w:rFonts w:ascii="Arial" w:hAnsi="Arial" w:cs="Arial"/>
          <w:b/>
          <w:sz w:val="22"/>
          <w:szCs w:val="22"/>
        </w:rPr>
        <w:t xml:space="preserve">. – </w:t>
      </w:r>
      <w:r w:rsidR="00B72BCD" w:rsidRPr="00A64175">
        <w:rPr>
          <w:rFonts w:ascii="Arial" w:hAnsi="Arial" w:cs="Arial"/>
          <w:sz w:val="22"/>
          <w:szCs w:val="22"/>
        </w:rPr>
        <w:t xml:space="preserve">L’émission d’actions ou d’obligations par appel public à l’épargne par une société anonyme n’ayant pas deux (2) années d’existence et n’ayant pas établi deux (2) bilans régulièrement approuvés par les actionnaires doit, à peine de nullité </w:t>
      </w:r>
      <w:r w:rsidR="00042A7C" w:rsidRPr="00A64175">
        <w:rPr>
          <w:rFonts w:ascii="Arial" w:hAnsi="Arial" w:cs="Arial"/>
          <w:sz w:val="22"/>
          <w:szCs w:val="22"/>
        </w:rPr>
        <w:t>des contrats conclus ou des titres émis, être précédée d’une vérification de l’actif et du passif.</w:t>
      </w:r>
    </w:p>
    <w:p w14:paraId="1EAD7CFC" w14:textId="77777777" w:rsidR="009E2B59" w:rsidRPr="00A64175" w:rsidRDefault="009E2B59" w:rsidP="00A64175">
      <w:pPr>
        <w:widowControl w:val="0"/>
        <w:autoSpaceDE w:val="0"/>
        <w:autoSpaceDN w:val="0"/>
        <w:adjustRightInd w:val="0"/>
        <w:jc w:val="both"/>
        <w:rPr>
          <w:rFonts w:ascii="Arial" w:hAnsi="Arial" w:cs="Arial"/>
          <w:kern w:val="1"/>
          <w:sz w:val="22"/>
          <w:szCs w:val="22"/>
        </w:rPr>
      </w:pPr>
    </w:p>
    <w:p w14:paraId="00A09A7B" w14:textId="47D95147" w:rsidR="009E2B59" w:rsidRPr="00A64175" w:rsidRDefault="00042A7C" w:rsidP="00A64175">
      <w:pPr>
        <w:widowControl w:val="0"/>
        <w:autoSpaceDE w:val="0"/>
        <w:autoSpaceDN w:val="0"/>
        <w:adjustRightInd w:val="0"/>
        <w:jc w:val="both"/>
        <w:rPr>
          <w:rFonts w:ascii="Arial" w:hAnsi="Arial" w:cs="Arial"/>
          <w:kern w:val="1"/>
          <w:sz w:val="22"/>
          <w:szCs w:val="22"/>
        </w:rPr>
      </w:pPr>
      <w:r w:rsidRPr="00A64175">
        <w:rPr>
          <w:rFonts w:ascii="Arial" w:hAnsi="Arial" w:cs="Arial"/>
          <w:kern w:val="1"/>
          <w:sz w:val="22"/>
          <w:szCs w:val="22"/>
        </w:rPr>
        <w:t>La vérification visée au présent article est assurée par un ou plusieurs commissaires aux comptes désignés par l’organe de la société ayant qualité pour décider ou autoriser une opération par appel public à l’épargne. Les commissaires aux comptes chargés d’effectuer la vérification sont choisis sur la liste des commissaires aux comptes agréés par la COSUMAF.</w:t>
      </w:r>
    </w:p>
    <w:p w14:paraId="6D053FB1" w14:textId="77777777" w:rsidR="00042A7C" w:rsidRPr="00A64175" w:rsidRDefault="00042A7C" w:rsidP="00A64175">
      <w:pPr>
        <w:widowControl w:val="0"/>
        <w:autoSpaceDE w:val="0"/>
        <w:autoSpaceDN w:val="0"/>
        <w:adjustRightInd w:val="0"/>
        <w:jc w:val="both"/>
        <w:rPr>
          <w:rFonts w:ascii="Arial" w:hAnsi="Arial" w:cs="Arial"/>
          <w:kern w:val="1"/>
          <w:sz w:val="22"/>
          <w:szCs w:val="22"/>
        </w:rPr>
      </w:pPr>
    </w:p>
    <w:p w14:paraId="7D69599D" w14:textId="65EFBF45" w:rsidR="00042A7C" w:rsidRPr="00A64175" w:rsidRDefault="00042A7C" w:rsidP="00A64175">
      <w:pPr>
        <w:widowControl w:val="0"/>
        <w:autoSpaceDE w:val="0"/>
        <w:autoSpaceDN w:val="0"/>
        <w:adjustRightInd w:val="0"/>
        <w:jc w:val="both"/>
        <w:rPr>
          <w:rFonts w:ascii="Arial" w:hAnsi="Arial" w:cs="Arial"/>
          <w:kern w:val="1"/>
          <w:sz w:val="22"/>
          <w:szCs w:val="22"/>
        </w:rPr>
      </w:pPr>
      <w:r w:rsidRPr="00A64175">
        <w:rPr>
          <w:rFonts w:ascii="Arial" w:hAnsi="Arial" w:cs="Arial"/>
          <w:kern w:val="1"/>
          <w:sz w:val="22"/>
          <w:szCs w:val="22"/>
        </w:rPr>
        <w:t>Le ou les commissaires aux comptes visés au présent article établissent, sous leur responsabilité, un rapport sur la valeur des actifs et du passif de la société</w:t>
      </w:r>
      <w:r w:rsidR="00E8102B" w:rsidRPr="00A64175">
        <w:rPr>
          <w:rFonts w:ascii="Arial" w:hAnsi="Arial" w:cs="Arial"/>
          <w:kern w:val="1"/>
          <w:sz w:val="22"/>
          <w:szCs w:val="22"/>
        </w:rPr>
        <w:t xml:space="preserve"> qui est soumis à l’organe de la société ayant qualité pour décider ou autoriser une opération par appel public à l’épargne, préalablement à sa décision ou à son autorisation.</w:t>
      </w:r>
    </w:p>
    <w:p w14:paraId="4D9FE707" w14:textId="77777777" w:rsidR="00042A7C" w:rsidRPr="00A64175" w:rsidRDefault="00042A7C" w:rsidP="00A64175">
      <w:pPr>
        <w:widowControl w:val="0"/>
        <w:autoSpaceDE w:val="0"/>
        <w:autoSpaceDN w:val="0"/>
        <w:adjustRightInd w:val="0"/>
        <w:jc w:val="both"/>
        <w:rPr>
          <w:rFonts w:ascii="Arial" w:hAnsi="Arial" w:cs="Arial"/>
          <w:kern w:val="1"/>
          <w:sz w:val="22"/>
          <w:szCs w:val="22"/>
        </w:rPr>
      </w:pPr>
    </w:p>
    <w:p w14:paraId="5C8EB6BB" w14:textId="2EBF4855" w:rsidR="001228D5" w:rsidRPr="00A64175" w:rsidRDefault="001228D5" w:rsidP="00A64175">
      <w:pPr>
        <w:widowControl w:val="0"/>
        <w:autoSpaceDE w:val="0"/>
        <w:autoSpaceDN w:val="0"/>
        <w:adjustRightInd w:val="0"/>
        <w:jc w:val="both"/>
        <w:rPr>
          <w:rFonts w:ascii="Arial" w:hAnsi="Arial" w:cs="Arial"/>
          <w:kern w:val="1"/>
          <w:sz w:val="22"/>
          <w:szCs w:val="22"/>
        </w:rPr>
      </w:pPr>
      <w:r w:rsidRPr="00A64175">
        <w:rPr>
          <w:rFonts w:ascii="Arial" w:hAnsi="Arial" w:cs="Arial"/>
          <w:kern w:val="1"/>
          <w:sz w:val="22"/>
          <w:szCs w:val="22"/>
        </w:rPr>
        <w:t>Le rapport visé au présent article doit préciser la situation financière réelle de la société émettrice dans l’intérêt des éventuels souscripteurs.</w:t>
      </w:r>
    </w:p>
    <w:p w14:paraId="6A051B71" w14:textId="77777777" w:rsidR="001228D5" w:rsidRPr="00A64175" w:rsidRDefault="001228D5" w:rsidP="00A64175">
      <w:pPr>
        <w:widowControl w:val="0"/>
        <w:autoSpaceDE w:val="0"/>
        <w:autoSpaceDN w:val="0"/>
        <w:adjustRightInd w:val="0"/>
        <w:jc w:val="both"/>
        <w:rPr>
          <w:rFonts w:ascii="Arial" w:hAnsi="Arial" w:cs="Arial"/>
          <w:kern w:val="1"/>
          <w:sz w:val="22"/>
          <w:szCs w:val="22"/>
        </w:rPr>
      </w:pPr>
    </w:p>
    <w:p w14:paraId="60FAB363" w14:textId="77777777" w:rsidR="001228D5" w:rsidRPr="00A64175" w:rsidRDefault="001228D5" w:rsidP="00A64175">
      <w:pPr>
        <w:widowControl w:val="0"/>
        <w:autoSpaceDE w:val="0"/>
        <w:autoSpaceDN w:val="0"/>
        <w:adjustRightInd w:val="0"/>
        <w:jc w:val="both"/>
        <w:rPr>
          <w:rFonts w:ascii="Arial" w:hAnsi="Arial" w:cs="Arial"/>
          <w:kern w:val="1"/>
          <w:sz w:val="22"/>
          <w:szCs w:val="22"/>
        </w:rPr>
      </w:pPr>
    </w:p>
    <w:p w14:paraId="0C44DBB5" w14:textId="2BDC8114" w:rsidR="004F0F96" w:rsidRPr="00A64175" w:rsidRDefault="00AC0D80" w:rsidP="00A64175">
      <w:pPr>
        <w:widowControl w:val="0"/>
        <w:autoSpaceDE w:val="0"/>
        <w:autoSpaceDN w:val="0"/>
        <w:adjustRightInd w:val="0"/>
        <w:jc w:val="both"/>
        <w:rPr>
          <w:rFonts w:ascii="Arial" w:hAnsi="Arial" w:cs="Arial"/>
          <w:kern w:val="1"/>
          <w:sz w:val="22"/>
          <w:szCs w:val="22"/>
        </w:rPr>
      </w:pPr>
      <w:r w:rsidRPr="00A64175">
        <w:rPr>
          <w:rFonts w:ascii="Arial" w:hAnsi="Arial" w:cs="Arial"/>
          <w:b/>
          <w:bCs/>
          <w:sz w:val="22"/>
          <w:szCs w:val="22"/>
        </w:rPr>
        <w:t xml:space="preserve">Section </w:t>
      </w:r>
      <w:r w:rsidR="00DB361F" w:rsidRPr="00A64175">
        <w:rPr>
          <w:rFonts w:ascii="Arial" w:hAnsi="Arial" w:cs="Arial"/>
          <w:b/>
          <w:bCs/>
          <w:sz w:val="22"/>
          <w:szCs w:val="22"/>
        </w:rPr>
        <w:t>II :</w:t>
      </w:r>
      <w:r w:rsidR="000435FE" w:rsidRPr="00A64175">
        <w:rPr>
          <w:rFonts w:ascii="Arial" w:hAnsi="Arial" w:cs="Arial"/>
          <w:b/>
          <w:bCs/>
          <w:sz w:val="22"/>
          <w:szCs w:val="22"/>
        </w:rPr>
        <w:t xml:space="preserve"> </w:t>
      </w:r>
      <w:r w:rsidR="00A84D5A" w:rsidRPr="00A64175">
        <w:rPr>
          <w:rFonts w:ascii="Arial" w:hAnsi="Arial" w:cs="Arial"/>
          <w:b/>
          <w:bCs/>
          <w:sz w:val="22"/>
          <w:szCs w:val="22"/>
        </w:rPr>
        <w:t>D</w:t>
      </w:r>
      <w:r w:rsidRPr="00A64175">
        <w:rPr>
          <w:rFonts w:ascii="Arial" w:hAnsi="Arial" w:cs="Arial"/>
          <w:b/>
          <w:bCs/>
          <w:sz w:val="22"/>
          <w:szCs w:val="22"/>
        </w:rPr>
        <w:t>ocument d’information</w:t>
      </w:r>
    </w:p>
    <w:p w14:paraId="48AD5E8F" w14:textId="77777777" w:rsidR="004F0F96" w:rsidRPr="00A64175" w:rsidRDefault="004F0F96" w:rsidP="00A64175">
      <w:pPr>
        <w:widowControl w:val="0"/>
        <w:autoSpaceDE w:val="0"/>
        <w:autoSpaceDN w:val="0"/>
        <w:adjustRightInd w:val="0"/>
        <w:jc w:val="both"/>
        <w:rPr>
          <w:rFonts w:ascii="Arial" w:hAnsi="Arial" w:cs="Arial"/>
          <w:color w:val="000000"/>
          <w:kern w:val="1"/>
          <w:sz w:val="22"/>
          <w:szCs w:val="22"/>
        </w:rPr>
      </w:pPr>
    </w:p>
    <w:p w14:paraId="2B4F73E6" w14:textId="2858ECC0" w:rsidR="00A84D5A" w:rsidRPr="00A64175" w:rsidRDefault="00A84D5A" w:rsidP="00A64175">
      <w:pPr>
        <w:ind w:right="1024"/>
        <w:contextualSpacing/>
        <w:jc w:val="both"/>
        <w:rPr>
          <w:rFonts w:ascii="Arial" w:hAnsi="Arial" w:cs="Arial"/>
          <w:b/>
          <w:i/>
          <w:iCs/>
          <w:color w:val="000000" w:themeColor="text1"/>
          <w:sz w:val="22"/>
          <w:szCs w:val="22"/>
        </w:rPr>
      </w:pPr>
      <w:r w:rsidRPr="00A64175">
        <w:rPr>
          <w:rFonts w:ascii="Arial" w:hAnsi="Arial" w:cs="Arial"/>
          <w:b/>
          <w:i/>
          <w:iCs/>
          <w:color w:val="000000" w:themeColor="text1"/>
          <w:sz w:val="22"/>
          <w:szCs w:val="22"/>
        </w:rPr>
        <w:t>Sous-section I – Contenu du document d’information</w:t>
      </w:r>
    </w:p>
    <w:p w14:paraId="4550A505" w14:textId="77777777" w:rsidR="00A84D5A" w:rsidRPr="00A64175" w:rsidRDefault="00A84D5A" w:rsidP="00A64175">
      <w:pPr>
        <w:widowControl w:val="0"/>
        <w:autoSpaceDE w:val="0"/>
        <w:autoSpaceDN w:val="0"/>
        <w:adjustRightInd w:val="0"/>
        <w:jc w:val="both"/>
        <w:rPr>
          <w:rFonts w:ascii="Arial" w:hAnsi="Arial" w:cs="Arial"/>
          <w:color w:val="000000"/>
          <w:kern w:val="1"/>
          <w:sz w:val="22"/>
          <w:szCs w:val="22"/>
        </w:rPr>
      </w:pPr>
    </w:p>
    <w:p w14:paraId="41D798F8" w14:textId="77777777" w:rsidR="00A84D5A" w:rsidRPr="00A64175" w:rsidRDefault="00A84D5A" w:rsidP="00A64175">
      <w:pPr>
        <w:widowControl w:val="0"/>
        <w:autoSpaceDE w:val="0"/>
        <w:autoSpaceDN w:val="0"/>
        <w:adjustRightInd w:val="0"/>
        <w:jc w:val="both"/>
        <w:rPr>
          <w:rFonts w:ascii="Arial" w:hAnsi="Arial" w:cs="Arial"/>
          <w:color w:val="000000"/>
          <w:kern w:val="1"/>
          <w:sz w:val="22"/>
          <w:szCs w:val="22"/>
        </w:rPr>
      </w:pPr>
    </w:p>
    <w:p w14:paraId="242E3DC7" w14:textId="419166D1" w:rsidR="005C51B4" w:rsidRPr="00A64175" w:rsidRDefault="007E45E4"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sz w:val="22"/>
          <w:szCs w:val="22"/>
        </w:rPr>
        <w:t>Article 11</w:t>
      </w:r>
      <w:r w:rsidR="00BB1AFC">
        <w:rPr>
          <w:rFonts w:ascii="Arial" w:hAnsi="Arial" w:cs="Arial"/>
          <w:b/>
          <w:sz w:val="22"/>
          <w:szCs w:val="22"/>
        </w:rPr>
        <w:t>9</w:t>
      </w:r>
      <w:r w:rsidR="00433F33" w:rsidRPr="00A64175">
        <w:rPr>
          <w:rFonts w:ascii="Arial" w:hAnsi="Arial" w:cs="Arial"/>
          <w:b/>
          <w:sz w:val="22"/>
          <w:szCs w:val="22"/>
        </w:rPr>
        <w:t>. –</w:t>
      </w:r>
      <w:r w:rsidR="00433F33" w:rsidRPr="00A64175">
        <w:rPr>
          <w:rFonts w:ascii="Arial" w:hAnsi="Arial" w:cs="Arial"/>
          <w:sz w:val="22"/>
          <w:szCs w:val="22"/>
        </w:rPr>
        <w:t xml:space="preserve"> Le document d’information doit contenir toutes les informations qui sont nécessaires pour permettre aux investisseurs d’évaluer en connaissance de cause le patrimoine, la situation financière, les résultats et les perspectives de l’émetteur et des garants éventuels.</w:t>
      </w:r>
    </w:p>
    <w:p w14:paraId="1538929E" w14:textId="77777777" w:rsidR="00F1470A" w:rsidRPr="00A64175" w:rsidRDefault="00F1470A" w:rsidP="00A64175">
      <w:pPr>
        <w:widowControl w:val="0"/>
        <w:autoSpaceDE w:val="0"/>
        <w:autoSpaceDN w:val="0"/>
        <w:adjustRightInd w:val="0"/>
        <w:jc w:val="both"/>
        <w:rPr>
          <w:rFonts w:ascii="Arial" w:hAnsi="Arial" w:cs="Arial"/>
          <w:color w:val="000000"/>
          <w:kern w:val="1"/>
          <w:sz w:val="22"/>
          <w:szCs w:val="22"/>
        </w:rPr>
      </w:pPr>
    </w:p>
    <w:p w14:paraId="3BE77F6D" w14:textId="35E89D66" w:rsidR="00F1470A" w:rsidRPr="00A64175" w:rsidRDefault="007E45E4" w:rsidP="00A64175">
      <w:pPr>
        <w:widowControl w:val="0"/>
        <w:autoSpaceDE w:val="0"/>
        <w:autoSpaceDN w:val="0"/>
        <w:adjustRightInd w:val="0"/>
        <w:jc w:val="both"/>
        <w:rPr>
          <w:rFonts w:ascii="Arial" w:hAnsi="Arial" w:cs="Arial"/>
          <w:sz w:val="22"/>
          <w:szCs w:val="22"/>
        </w:rPr>
      </w:pPr>
      <w:r w:rsidRPr="00A64175">
        <w:rPr>
          <w:rFonts w:ascii="Arial" w:hAnsi="Arial" w:cs="Arial"/>
          <w:b/>
          <w:sz w:val="22"/>
          <w:szCs w:val="22"/>
        </w:rPr>
        <w:t>Article 1</w:t>
      </w:r>
      <w:r w:rsidR="00BB1AFC">
        <w:rPr>
          <w:rFonts w:ascii="Arial" w:hAnsi="Arial" w:cs="Arial"/>
          <w:b/>
          <w:sz w:val="22"/>
          <w:szCs w:val="22"/>
        </w:rPr>
        <w:t>20</w:t>
      </w:r>
      <w:r w:rsidR="00F1470A" w:rsidRPr="00A64175">
        <w:rPr>
          <w:rFonts w:ascii="Arial" w:hAnsi="Arial" w:cs="Arial"/>
          <w:b/>
          <w:sz w:val="22"/>
          <w:szCs w:val="22"/>
        </w:rPr>
        <w:t xml:space="preserve">. – </w:t>
      </w:r>
      <w:r w:rsidR="00F1470A" w:rsidRPr="00A64175">
        <w:rPr>
          <w:rFonts w:ascii="Arial" w:hAnsi="Arial" w:cs="Arial"/>
          <w:sz w:val="22"/>
          <w:szCs w:val="22"/>
        </w:rPr>
        <w:t xml:space="preserve">Le document d’information doit </w:t>
      </w:r>
      <w:r w:rsidR="00261335" w:rsidRPr="00A64175">
        <w:rPr>
          <w:rFonts w:ascii="Arial" w:hAnsi="Arial" w:cs="Arial"/>
          <w:sz w:val="22"/>
          <w:szCs w:val="22"/>
        </w:rPr>
        <w:t xml:space="preserve">notamment </w:t>
      </w:r>
      <w:r w:rsidR="00DF47A8">
        <w:rPr>
          <w:rFonts w:ascii="Arial" w:hAnsi="Arial" w:cs="Arial"/>
          <w:sz w:val="22"/>
          <w:szCs w:val="22"/>
        </w:rPr>
        <w:t>préciser :</w:t>
      </w:r>
    </w:p>
    <w:p w14:paraId="3B104433" w14:textId="4E7DA148" w:rsidR="00F1470A"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 contexte de l’opération et les objectifs poursuivis ;</w:t>
      </w:r>
    </w:p>
    <w:p w14:paraId="389072B4" w14:textId="678DDD04"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 montant de l’opération envisagée ;</w:t>
      </w:r>
    </w:p>
    <w:p w14:paraId="44A12198" w14:textId="39280737"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la destination des fonds sollicités ;</w:t>
      </w:r>
    </w:p>
    <w:p w14:paraId="4FA99A47" w14:textId="0255DBB1"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la nature et le nombre des titres à émettre ;</w:t>
      </w:r>
    </w:p>
    <w:p w14:paraId="39E54E63" w14:textId="325CBCC0"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modalités d’émission des titres ;</w:t>
      </w:r>
    </w:p>
    <w:p w14:paraId="2AC1CD18" w14:textId="73E77F6C"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la valeur nominale des titres ;</w:t>
      </w:r>
    </w:p>
    <w:p w14:paraId="131049F9" w14:textId="6CCD80C8"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 prix d’émission de chaque titre et la justification de ce prix ;</w:t>
      </w:r>
    </w:p>
    <w:p w14:paraId="22D269F3" w14:textId="4FB78D5E"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conditions de souscription des titres ;</w:t>
      </w:r>
    </w:p>
    <w:p w14:paraId="68BBE95E" w14:textId="77777777"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engagements de l’émetteur à l’égard des investisseurs ;</w:t>
      </w:r>
    </w:p>
    <w:p w14:paraId="21BD3639" w14:textId="42F72637" w:rsidR="00912445" w:rsidRPr="00A64175" w:rsidRDefault="0091244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une description des facteurs de risques inhérents à l’opération envisagée ;</w:t>
      </w:r>
    </w:p>
    <w:p w14:paraId="22A3D253" w14:textId="1B48B95C" w:rsidR="00261335" w:rsidRPr="00A64175" w:rsidRDefault="0026133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éléments comptables, comprenant notamment les états fi</w:t>
      </w:r>
      <w:r w:rsidR="003726AC" w:rsidRPr="00A64175">
        <w:rPr>
          <w:color w:val="000000"/>
          <w:kern w:val="1"/>
          <w:sz w:val="22"/>
          <w:szCs w:val="22"/>
        </w:rPr>
        <w:t>nanciers de synthèse des trois</w:t>
      </w:r>
      <w:r w:rsidRPr="00A64175">
        <w:rPr>
          <w:color w:val="000000"/>
          <w:kern w:val="1"/>
          <w:sz w:val="22"/>
          <w:szCs w:val="22"/>
        </w:rPr>
        <w:t xml:space="preserve"> </w:t>
      </w:r>
      <w:r w:rsidR="004E721C" w:rsidRPr="00A64175">
        <w:rPr>
          <w:color w:val="000000"/>
          <w:kern w:val="1"/>
          <w:sz w:val="22"/>
          <w:szCs w:val="22"/>
        </w:rPr>
        <w:t>derniers exercices, établis conformément aux normes comptables en vigueur ;</w:t>
      </w:r>
    </w:p>
    <w:p w14:paraId="4FB71FB2" w14:textId="388CBA45" w:rsidR="00433D42" w:rsidRPr="00A64175" w:rsidRDefault="00433D42"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la composition du syndicat de placement, avec l’indication de la dénomination et de l’adresse des membres qui le composent ;</w:t>
      </w:r>
    </w:p>
    <w:p w14:paraId="1DA62B30" w14:textId="77777777" w:rsidR="00BB1A85" w:rsidRPr="00A64175" w:rsidRDefault="00BB1A8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 rôle, l’identité et l’adresse de chacun des intermédiaires qui assistent l’émetteur ;</w:t>
      </w:r>
    </w:p>
    <w:p w14:paraId="48B01B56" w14:textId="77777777" w:rsidR="00B572BD" w:rsidRPr="00A64175" w:rsidRDefault="00BB1A8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l’identité et l’adresse de la (les) société (s) de bourse désignées comme arrangeurs de l’opération</w:t>
      </w:r>
      <w:r w:rsidR="00B572BD" w:rsidRPr="00A64175">
        <w:rPr>
          <w:color w:val="000000"/>
          <w:kern w:val="1"/>
          <w:sz w:val="22"/>
          <w:szCs w:val="22"/>
        </w:rPr>
        <w:t> ;</w:t>
      </w:r>
    </w:p>
    <w:p w14:paraId="14A97154" w14:textId="3608504C" w:rsidR="00BB1A85" w:rsidRPr="00A64175" w:rsidRDefault="00B572BD"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l’identité et l’adresse de la (les) société (s) de bourse ou de   l’établissement (ou les établissements) de crédit désigné (s) en qualité</w:t>
      </w:r>
      <w:r w:rsidR="00BB1A85" w:rsidRPr="00A64175">
        <w:rPr>
          <w:color w:val="000000"/>
          <w:kern w:val="1"/>
          <w:sz w:val="22"/>
          <w:szCs w:val="22"/>
        </w:rPr>
        <w:t xml:space="preserve"> </w:t>
      </w:r>
      <w:r w:rsidRPr="00A64175">
        <w:rPr>
          <w:color w:val="000000"/>
          <w:kern w:val="1"/>
          <w:sz w:val="22"/>
          <w:szCs w:val="22"/>
        </w:rPr>
        <w:t>d</w:t>
      </w:r>
      <w:r w:rsidR="00BB1A85" w:rsidRPr="00A64175">
        <w:rPr>
          <w:color w:val="000000"/>
          <w:kern w:val="1"/>
          <w:sz w:val="22"/>
          <w:szCs w:val="22"/>
        </w:rPr>
        <w:t>e chef</w:t>
      </w:r>
      <w:r w:rsidRPr="00A64175">
        <w:rPr>
          <w:color w:val="000000"/>
          <w:kern w:val="1"/>
          <w:sz w:val="22"/>
          <w:szCs w:val="22"/>
        </w:rPr>
        <w:t xml:space="preserve"> (s)</w:t>
      </w:r>
      <w:r w:rsidR="00BB1A85" w:rsidRPr="00A64175">
        <w:rPr>
          <w:color w:val="000000"/>
          <w:kern w:val="1"/>
          <w:sz w:val="22"/>
          <w:szCs w:val="22"/>
        </w:rPr>
        <w:t xml:space="preserve"> de file du syndicat de placement ;</w:t>
      </w:r>
    </w:p>
    <w:p w14:paraId="77FD52D7" w14:textId="200F3834" w:rsidR="00B572BD" w:rsidRPr="00A64175" w:rsidRDefault="00B572BD"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l’identité et l’adresse de l’agence de notation, lorsque l’émetteur a fait l’objet d’une notation au cours des trois (3) années précédant le dépôt du document d’information auprès de la COSUMAF ;</w:t>
      </w:r>
    </w:p>
    <w:p w14:paraId="02EBEAC0" w14:textId="3F35701B" w:rsidR="00B572BD" w:rsidRPr="00A64175" w:rsidRDefault="00B572BD"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la durée de la période de souscription ou de placement des titres dans le public ;</w:t>
      </w:r>
    </w:p>
    <w:p w14:paraId="001A8505" w14:textId="4EF9C67C" w:rsidR="00B572BD" w:rsidRPr="00A64175" w:rsidRDefault="00B572BD"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modalités de placement des titres ;</w:t>
      </w:r>
    </w:p>
    <w:p w14:paraId="1E81E29A" w14:textId="3A7F8739" w:rsidR="00912445" w:rsidRPr="00A64175" w:rsidRDefault="0091244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modes de règlement des litiges éventuels entre l’émetteur et les investisseurs ;</w:t>
      </w:r>
    </w:p>
    <w:p w14:paraId="49737385" w14:textId="5EA193D3" w:rsidR="00912445" w:rsidRPr="00A64175" w:rsidRDefault="0091244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 régime fiscal applicable à l’opération envisagée ;</w:t>
      </w:r>
    </w:p>
    <w:p w14:paraId="77B10195" w14:textId="29EEAE79" w:rsidR="00912445" w:rsidRPr="00A64175" w:rsidRDefault="00912445" w:rsidP="00A64175">
      <w:pPr>
        <w:pStyle w:val="Paragraphedeliste"/>
        <w:widowControl w:val="0"/>
        <w:numPr>
          <w:ilvl w:val="0"/>
          <w:numId w:val="89"/>
        </w:numPr>
        <w:autoSpaceDE w:val="0"/>
        <w:adjustRightInd w:val="0"/>
        <w:rPr>
          <w:color w:val="000000"/>
          <w:kern w:val="1"/>
          <w:sz w:val="22"/>
          <w:szCs w:val="22"/>
        </w:rPr>
      </w:pPr>
      <w:r w:rsidRPr="00A64175">
        <w:rPr>
          <w:color w:val="000000"/>
          <w:kern w:val="1"/>
          <w:sz w:val="22"/>
          <w:szCs w:val="22"/>
        </w:rPr>
        <w:t>les modalités prévues pour l’admission des titres en bourse ainsi que la procédure d’introduction choisie.</w:t>
      </w:r>
    </w:p>
    <w:p w14:paraId="3CA46192" w14:textId="77777777" w:rsidR="00261335" w:rsidRPr="00A64175" w:rsidRDefault="00261335" w:rsidP="00A64175">
      <w:pPr>
        <w:widowControl w:val="0"/>
        <w:autoSpaceDE w:val="0"/>
        <w:adjustRightInd w:val="0"/>
        <w:jc w:val="both"/>
        <w:rPr>
          <w:rFonts w:ascii="Arial" w:hAnsi="Arial" w:cs="Arial"/>
          <w:color w:val="000000"/>
          <w:kern w:val="1"/>
          <w:sz w:val="22"/>
          <w:szCs w:val="22"/>
        </w:rPr>
      </w:pPr>
    </w:p>
    <w:p w14:paraId="6266CB04" w14:textId="607FC486" w:rsidR="00261335" w:rsidRPr="00480280" w:rsidRDefault="007E45E4" w:rsidP="00A64175">
      <w:pPr>
        <w:widowControl w:val="0"/>
        <w:autoSpaceDE w:val="0"/>
        <w:autoSpaceDN w:val="0"/>
        <w:adjustRightInd w:val="0"/>
        <w:jc w:val="both"/>
        <w:rPr>
          <w:rFonts w:ascii="Arial" w:hAnsi="Arial" w:cs="Arial"/>
          <w:strike/>
          <w:color w:val="000000"/>
          <w:kern w:val="1"/>
          <w:sz w:val="22"/>
          <w:szCs w:val="22"/>
        </w:rPr>
      </w:pPr>
      <w:r w:rsidRPr="00A64175">
        <w:rPr>
          <w:rFonts w:ascii="Arial" w:hAnsi="Arial" w:cs="Arial"/>
          <w:b/>
          <w:bCs/>
          <w:color w:val="000000"/>
          <w:sz w:val="22"/>
          <w:szCs w:val="22"/>
        </w:rPr>
        <w:t>Article 1</w:t>
      </w:r>
      <w:r w:rsidR="008F56E4">
        <w:rPr>
          <w:rFonts w:ascii="Arial" w:hAnsi="Arial" w:cs="Arial"/>
          <w:b/>
          <w:bCs/>
          <w:color w:val="000000"/>
          <w:sz w:val="22"/>
          <w:szCs w:val="22"/>
        </w:rPr>
        <w:t>2</w:t>
      </w:r>
      <w:r w:rsidR="00BB1AFC">
        <w:rPr>
          <w:rFonts w:ascii="Arial" w:hAnsi="Arial" w:cs="Arial"/>
          <w:b/>
          <w:bCs/>
          <w:color w:val="000000"/>
          <w:sz w:val="22"/>
          <w:szCs w:val="22"/>
        </w:rPr>
        <w:t>1</w:t>
      </w:r>
      <w:r w:rsidR="00261335" w:rsidRPr="00A64175">
        <w:rPr>
          <w:rFonts w:ascii="Arial" w:hAnsi="Arial" w:cs="Arial"/>
          <w:b/>
          <w:bCs/>
          <w:color w:val="000000"/>
          <w:sz w:val="22"/>
          <w:szCs w:val="22"/>
        </w:rPr>
        <w:t xml:space="preserve">. – </w:t>
      </w:r>
      <w:r w:rsidR="00261335" w:rsidRPr="00A64175">
        <w:rPr>
          <w:rFonts w:ascii="Arial" w:hAnsi="Arial" w:cs="Arial"/>
          <w:color w:val="000000"/>
          <w:sz w:val="22"/>
          <w:szCs w:val="22"/>
        </w:rPr>
        <w:t>Lors des émissions de titres d’emprunts par un Etat membre de la CEMAC, un document d’information est transmis à la COSUMAF pour examen et enregistrement.</w:t>
      </w:r>
    </w:p>
    <w:p w14:paraId="1C874C4B" w14:textId="77777777" w:rsidR="00261335" w:rsidRPr="00A64175" w:rsidRDefault="00261335" w:rsidP="00A64175">
      <w:pPr>
        <w:widowControl w:val="0"/>
        <w:autoSpaceDE w:val="0"/>
        <w:autoSpaceDN w:val="0"/>
        <w:adjustRightInd w:val="0"/>
        <w:jc w:val="both"/>
        <w:rPr>
          <w:rFonts w:ascii="Arial" w:hAnsi="Arial" w:cs="Arial"/>
          <w:color w:val="000000"/>
          <w:kern w:val="1"/>
          <w:sz w:val="22"/>
          <w:szCs w:val="22"/>
        </w:rPr>
      </w:pPr>
    </w:p>
    <w:p w14:paraId="0D86AC0C" w14:textId="77777777" w:rsidR="00261335" w:rsidRPr="00A64175" w:rsidRDefault="00261335"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Il contient notamment les informations suivantes :</w:t>
      </w:r>
    </w:p>
    <w:p w14:paraId="0282F0D3" w14:textId="77777777" w:rsidR="00261335" w:rsidRPr="00A64175" w:rsidRDefault="00261335" w:rsidP="00A64175">
      <w:pPr>
        <w:widowControl w:val="0"/>
        <w:autoSpaceDE w:val="0"/>
        <w:autoSpaceDN w:val="0"/>
        <w:adjustRightInd w:val="0"/>
        <w:ind w:left="360"/>
        <w:jc w:val="both"/>
        <w:rPr>
          <w:rFonts w:ascii="Arial" w:hAnsi="Arial" w:cs="Arial"/>
          <w:color w:val="000000"/>
          <w:kern w:val="1"/>
          <w:sz w:val="22"/>
          <w:szCs w:val="22"/>
        </w:rPr>
      </w:pPr>
    </w:p>
    <w:p w14:paraId="745D856C"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la description du contexte politique, économique et social dans lequel s’inscrit l’émission des titres ;</w:t>
      </w:r>
    </w:p>
    <w:p w14:paraId="42D477F9" w14:textId="77777777" w:rsidR="00261335" w:rsidRPr="00A64175" w:rsidRDefault="00261335"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6C0B600C"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description des titres offerts et des conditions de souscription ;</w:t>
      </w:r>
    </w:p>
    <w:p w14:paraId="0B70AF56" w14:textId="77777777" w:rsidR="00261335" w:rsidRPr="00A64175" w:rsidRDefault="00261335"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7D033D32"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prix unitaire de chaque titre ;</w:t>
      </w:r>
    </w:p>
    <w:p w14:paraId="004FA7E5" w14:textId="77777777" w:rsidR="00261335" w:rsidRPr="00A64175" w:rsidRDefault="00261335"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0AE8B212" w14:textId="358FA268"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l’objectif  et la destination des fonds sollicités ;</w:t>
      </w:r>
    </w:p>
    <w:p w14:paraId="1C0400A9" w14:textId="77777777" w:rsidR="00261335" w:rsidRPr="00A64175" w:rsidRDefault="00261335"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609A0403"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plan de diffusion des titres dans le public ;</w:t>
      </w:r>
    </w:p>
    <w:p w14:paraId="0F98D3A0" w14:textId="77777777" w:rsidR="00261335" w:rsidRPr="00A64175" w:rsidRDefault="00261335"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74FB6BE7"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modalités de rémunération de l’emprunt ;</w:t>
      </w:r>
    </w:p>
    <w:p w14:paraId="6C676165" w14:textId="77777777" w:rsidR="00261335" w:rsidRPr="00A64175" w:rsidRDefault="00261335"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5104FDC"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cas échéant, la garantie consentie ;</w:t>
      </w:r>
    </w:p>
    <w:p w14:paraId="6DD4819D" w14:textId="77777777" w:rsidR="00261335" w:rsidRPr="00A64175" w:rsidRDefault="00261335"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0C7D43F2" w14:textId="77777777" w:rsidR="00261335" w:rsidRPr="00A64175" w:rsidRDefault="00261335" w:rsidP="00A64175">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cas échéant, les références de l’agence de notation et l’appréciation portée sur l’émetteur.</w:t>
      </w:r>
    </w:p>
    <w:p w14:paraId="7F978B4D" w14:textId="77777777" w:rsidR="00043502" w:rsidRPr="00A64175" w:rsidRDefault="00043502" w:rsidP="00A64175">
      <w:pPr>
        <w:widowControl w:val="0"/>
        <w:autoSpaceDE w:val="0"/>
        <w:autoSpaceDN w:val="0"/>
        <w:adjustRightInd w:val="0"/>
        <w:jc w:val="both"/>
        <w:rPr>
          <w:rFonts w:ascii="Arial" w:hAnsi="Arial" w:cs="Arial"/>
          <w:color w:val="000000"/>
          <w:kern w:val="1"/>
          <w:sz w:val="22"/>
          <w:szCs w:val="22"/>
        </w:rPr>
      </w:pPr>
    </w:p>
    <w:p w14:paraId="1ACDEE8A" w14:textId="20A3388D" w:rsidR="007E055D" w:rsidRPr="00480280" w:rsidRDefault="007E45E4" w:rsidP="00A64175">
      <w:pPr>
        <w:widowControl w:val="0"/>
        <w:autoSpaceDE w:val="0"/>
        <w:autoSpaceDN w:val="0"/>
        <w:adjustRightInd w:val="0"/>
        <w:jc w:val="both"/>
        <w:rPr>
          <w:rFonts w:ascii="Arial" w:hAnsi="Arial" w:cs="Arial"/>
          <w:strike/>
          <w:color w:val="000000"/>
          <w:sz w:val="22"/>
          <w:szCs w:val="22"/>
        </w:rPr>
      </w:pPr>
      <w:r w:rsidRPr="00A64175">
        <w:rPr>
          <w:rFonts w:ascii="Arial" w:hAnsi="Arial" w:cs="Arial"/>
          <w:b/>
          <w:sz w:val="22"/>
          <w:szCs w:val="22"/>
        </w:rPr>
        <w:t>Article 1</w:t>
      </w:r>
      <w:r w:rsidR="008F56E4">
        <w:rPr>
          <w:rFonts w:ascii="Arial" w:hAnsi="Arial" w:cs="Arial"/>
          <w:b/>
          <w:sz w:val="22"/>
          <w:szCs w:val="22"/>
        </w:rPr>
        <w:t>2</w:t>
      </w:r>
      <w:r w:rsidR="00BB1AFC">
        <w:rPr>
          <w:rFonts w:ascii="Arial" w:hAnsi="Arial" w:cs="Arial"/>
          <w:b/>
          <w:sz w:val="22"/>
          <w:szCs w:val="22"/>
        </w:rPr>
        <w:t>2</w:t>
      </w:r>
      <w:r w:rsidR="00043502" w:rsidRPr="00A64175">
        <w:rPr>
          <w:rFonts w:ascii="Arial" w:hAnsi="Arial" w:cs="Arial"/>
          <w:b/>
          <w:sz w:val="22"/>
          <w:szCs w:val="22"/>
        </w:rPr>
        <w:t xml:space="preserve">. – </w:t>
      </w:r>
      <w:r w:rsidR="00043502" w:rsidRPr="00A64175">
        <w:rPr>
          <w:rFonts w:ascii="Arial" w:hAnsi="Arial" w:cs="Arial"/>
          <w:color w:val="000000"/>
          <w:kern w:val="1"/>
          <w:sz w:val="22"/>
          <w:szCs w:val="22"/>
        </w:rPr>
        <w:t xml:space="preserve">L’enregistrement du document d’information établi par un Etat membre de la CEMAC est effectué dans un délai de </w:t>
      </w:r>
      <w:r w:rsidR="00987AE7">
        <w:rPr>
          <w:rFonts w:ascii="Arial" w:hAnsi="Arial" w:cs="Arial"/>
          <w:color w:val="000000"/>
          <w:kern w:val="1"/>
          <w:sz w:val="22"/>
          <w:szCs w:val="22"/>
        </w:rPr>
        <w:t xml:space="preserve">soixante </w:t>
      </w:r>
      <w:r w:rsidR="00043502" w:rsidRPr="00A64175">
        <w:rPr>
          <w:rFonts w:ascii="Arial" w:hAnsi="Arial" w:cs="Arial"/>
          <w:color w:val="000000"/>
          <w:kern w:val="1"/>
          <w:sz w:val="22"/>
          <w:szCs w:val="22"/>
        </w:rPr>
        <w:t>(</w:t>
      </w:r>
      <w:r w:rsidR="00987AE7">
        <w:rPr>
          <w:rFonts w:ascii="Arial" w:hAnsi="Arial" w:cs="Arial"/>
          <w:color w:val="000000"/>
          <w:kern w:val="1"/>
          <w:sz w:val="22"/>
          <w:szCs w:val="22"/>
        </w:rPr>
        <w:t>60</w:t>
      </w:r>
      <w:r w:rsidR="00043502" w:rsidRPr="00A64175">
        <w:rPr>
          <w:rFonts w:ascii="Arial" w:hAnsi="Arial" w:cs="Arial"/>
          <w:color w:val="000000"/>
          <w:kern w:val="1"/>
          <w:sz w:val="22"/>
          <w:szCs w:val="22"/>
        </w:rPr>
        <w:t>) jours ouvrés</w:t>
      </w:r>
      <w:r w:rsidR="007E055D" w:rsidRPr="00A64175">
        <w:rPr>
          <w:rFonts w:ascii="Arial" w:hAnsi="Arial" w:cs="Arial"/>
          <w:color w:val="000000"/>
          <w:kern w:val="1"/>
          <w:sz w:val="22"/>
          <w:szCs w:val="22"/>
        </w:rPr>
        <w:t xml:space="preserve"> courant à compter de la réception d’un dossier complet par la COSUMAF.</w:t>
      </w:r>
    </w:p>
    <w:p w14:paraId="59808969" w14:textId="77777777" w:rsidR="007E055D" w:rsidRPr="00A64175" w:rsidRDefault="007E055D" w:rsidP="00A64175">
      <w:pPr>
        <w:widowControl w:val="0"/>
        <w:autoSpaceDE w:val="0"/>
        <w:autoSpaceDN w:val="0"/>
        <w:adjustRightInd w:val="0"/>
        <w:jc w:val="both"/>
        <w:rPr>
          <w:rFonts w:ascii="Arial" w:hAnsi="Arial" w:cs="Arial"/>
          <w:color w:val="000000"/>
          <w:sz w:val="22"/>
          <w:szCs w:val="22"/>
        </w:rPr>
      </w:pPr>
    </w:p>
    <w:p w14:paraId="33246660" w14:textId="6E9DDA84" w:rsidR="007E055D" w:rsidRPr="00A64175" w:rsidRDefault="007E055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Le délai visé au présent article peut être prorogé par la COSUMAF lorsque des investigations complémentaires sont jugées nécessaires.</w:t>
      </w:r>
    </w:p>
    <w:p w14:paraId="16783390" w14:textId="77777777" w:rsidR="007E055D" w:rsidRPr="00A64175" w:rsidRDefault="007E055D" w:rsidP="00A64175">
      <w:pPr>
        <w:widowControl w:val="0"/>
        <w:autoSpaceDE w:val="0"/>
        <w:autoSpaceDN w:val="0"/>
        <w:adjustRightInd w:val="0"/>
        <w:jc w:val="both"/>
        <w:rPr>
          <w:rFonts w:ascii="Arial" w:hAnsi="Arial" w:cs="Arial"/>
          <w:color w:val="000000"/>
          <w:kern w:val="1"/>
          <w:sz w:val="22"/>
          <w:szCs w:val="22"/>
        </w:rPr>
      </w:pPr>
    </w:p>
    <w:p w14:paraId="4AA3FD9E" w14:textId="30BD33F8" w:rsidR="00BE7B21" w:rsidRPr="00A64175" w:rsidRDefault="00966707" w:rsidP="00BE7B21">
      <w:pPr>
        <w:widowControl w:val="0"/>
        <w:autoSpaceDE w:val="0"/>
        <w:autoSpaceDN w:val="0"/>
        <w:adjustRightInd w:val="0"/>
        <w:jc w:val="both"/>
        <w:rPr>
          <w:rFonts w:ascii="Arial" w:hAnsi="Arial" w:cs="Arial"/>
          <w:b/>
          <w:bCs/>
          <w:color w:val="000000"/>
          <w:sz w:val="22"/>
          <w:szCs w:val="22"/>
        </w:rPr>
      </w:pPr>
      <w:r w:rsidRPr="00DB26E6">
        <w:rPr>
          <w:rFonts w:ascii="Arial" w:hAnsi="Arial" w:cs="Arial"/>
          <w:b/>
          <w:sz w:val="22"/>
          <w:szCs w:val="22"/>
        </w:rPr>
        <w:t>Article</w:t>
      </w:r>
      <w:r w:rsidR="008F56E4" w:rsidRPr="00DB26E6">
        <w:rPr>
          <w:rFonts w:ascii="Arial" w:hAnsi="Arial" w:cs="Arial"/>
          <w:b/>
          <w:sz w:val="22"/>
          <w:szCs w:val="22"/>
        </w:rPr>
        <w:t xml:space="preserve"> 12</w:t>
      </w:r>
      <w:r w:rsidR="00BB1AFC" w:rsidRPr="00DB26E6">
        <w:rPr>
          <w:rFonts w:ascii="Arial" w:hAnsi="Arial" w:cs="Arial"/>
          <w:b/>
          <w:sz w:val="22"/>
          <w:szCs w:val="22"/>
        </w:rPr>
        <w:t>3</w:t>
      </w:r>
      <w:r w:rsidR="00BE7B21" w:rsidRPr="00DB26E6">
        <w:rPr>
          <w:rFonts w:ascii="Arial" w:hAnsi="Arial" w:cs="Arial"/>
          <w:color w:val="000000"/>
          <w:kern w:val="1"/>
          <w:sz w:val="22"/>
          <w:szCs w:val="22"/>
        </w:rPr>
        <w:t xml:space="preserve"> </w:t>
      </w:r>
      <w:r w:rsidR="00BE7B21" w:rsidRPr="00DB26E6">
        <w:rPr>
          <w:rFonts w:ascii="Arial" w:hAnsi="Arial" w:cs="Arial"/>
          <w:color w:val="000000"/>
          <w:sz w:val="22"/>
          <w:szCs w:val="22"/>
        </w:rPr>
        <w:t>Lors des émissions de titres d’emprunts par</w:t>
      </w:r>
      <w:r w:rsidR="00774EB5" w:rsidRPr="00DB26E6">
        <w:rPr>
          <w:rFonts w:ascii="Arial" w:hAnsi="Arial" w:cs="Arial"/>
          <w:color w:val="000000"/>
          <w:sz w:val="22"/>
          <w:szCs w:val="22"/>
        </w:rPr>
        <w:t xml:space="preserve"> une </w:t>
      </w:r>
      <w:r w:rsidR="00962DAE" w:rsidRPr="00DB26E6">
        <w:rPr>
          <w:rFonts w:ascii="Arial" w:hAnsi="Arial" w:cs="Arial"/>
          <w:color w:val="000000"/>
          <w:sz w:val="22"/>
          <w:szCs w:val="22"/>
        </w:rPr>
        <w:t>collectivité</w:t>
      </w:r>
      <w:r w:rsidR="00774EB5" w:rsidRPr="00DB26E6">
        <w:rPr>
          <w:rFonts w:ascii="Arial" w:hAnsi="Arial" w:cs="Arial"/>
          <w:color w:val="000000"/>
          <w:sz w:val="22"/>
          <w:szCs w:val="22"/>
        </w:rPr>
        <w:t xml:space="preserve"> locale ou</w:t>
      </w:r>
      <w:r w:rsidR="00BE7B21" w:rsidRPr="00DB26E6">
        <w:rPr>
          <w:rFonts w:ascii="Arial" w:hAnsi="Arial" w:cs="Arial"/>
          <w:color w:val="000000"/>
          <w:sz w:val="22"/>
          <w:szCs w:val="22"/>
        </w:rPr>
        <w:t xml:space="preserve"> </w:t>
      </w:r>
      <w:r w:rsidR="00774EB5" w:rsidRPr="00DB26E6">
        <w:rPr>
          <w:rFonts w:ascii="Arial" w:hAnsi="Arial" w:cs="Arial"/>
          <w:color w:val="000000"/>
          <w:sz w:val="22"/>
          <w:szCs w:val="22"/>
        </w:rPr>
        <w:t xml:space="preserve">le </w:t>
      </w:r>
      <w:r w:rsidR="00BE7B21" w:rsidRPr="00DB26E6">
        <w:rPr>
          <w:rFonts w:ascii="Arial" w:hAnsi="Arial" w:cs="Arial"/>
          <w:color w:val="000000"/>
          <w:sz w:val="22"/>
          <w:szCs w:val="22"/>
        </w:rPr>
        <w:t xml:space="preserve"> </w:t>
      </w:r>
      <w:r w:rsidR="00BE7B21" w:rsidRPr="00DB26E6">
        <w:rPr>
          <w:rFonts w:ascii="Arial" w:hAnsi="Arial" w:cs="Arial"/>
          <w:color w:val="000000"/>
          <w:kern w:val="1"/>
          <w:sz w:val="22"/>
          <w:szCs w:val="22"/>
        </w:rPr>
        <w:t>démembrement d’un</w:t>
      </w:r>
      <w:r w:rsidR="00962DAE" w:rsidRPr="00DB26E6">
        <w:rPr>
          <w:rFonts w:ascii="Arial" w:hAnsi="Arial" w:cs="Arial"/>
          <w:color w:val="000000"/>
          <w:kern w:val="1"/>
          <w:sz w:val="22"/>
          <w:szCs w:val="22"/>
        </w:rPr>
        <w:t xml:space="preserve"> </w:t>
      </w:r>
      <w:r w:rsidR="00BE7B21" w:rsidRPr="00DB26E6">
        <w:rPr>
          <w:rFonts w:ascii="Arial" w:hAnsi="Arial" w:cs="Arial"/>
          <w:color w:val="000000"/>
          <w:kern w:val="1"/>
          <w:sz w:val="22"/>
          <w:szCs w:val="22"/>
        </w:rPr>
        <w:t xml:space="preserve">Etat membre </w:t>
      </w:r>
      <w:r w:rsidR="00BE7B21" w:rsidRPr="00DB26E6">
        <w:rPr>
          <w:rFonts w:ascii="Arial" w:hAnsi="Arial" w:cs="Arial"/>
          <w:color w:val="000000"/>
          <w:sz w:val="22"/>
          <w:szCs w:val="22"/>
        </w:rPr>
        <w:t>de la CEMAC, un document d’information est transmis à la COSUMAF pour examen et visa.</w:t>
      </w:r>
    </w:p>
    <w:p w14:paraId="484A5AEF" w14:textId="77777777" w:rsidR="00BE7B21" w:rsidRPr="00A64175" w:rsidRDefault="00BE7B21" w:rsidP="00BE7B21">
      <w:pPr>
        <w:widowControl w:val="0"/>
        <w:autoSpaceDE w:val="0"/>
        <w:autoSpaceDN w:val="0"/>
        <w:adjustRightInd w:val="0"/>
        <w:jc w:val="both"/>
        <w:rPr>
          <w:rFonts w:ascii="Arial" w:hAnsi="Arial" w:cs="Arial"/>
          <w:color w:val="000000"/>
          <w:kern w:val="1"/>
          <w:sz w:val="22"/>
          <w:szCs w:val="22"/>
        </w:rPr>
      </w:pPr>
    </w:p>
    <w:p w14:paraId="678F6DF8" w14:textId="40F936DD" w:rsidR="00BE7B21" w:rsidRPr="00A64175" w:rsidRDefault="00522BD2" w:rsidP="00BE7B21">
      <w:pPr>
        <w:widowControl w:val="0"/>
        <w:autoSpaceDE w:val="0"/>
        <w:autoSpaceDN w:val="0"/>
        <w:adjustRightInd w:val="0"/>
        <w:jc w:val="both"/>
        <w:rPr>
          <w:rFonts w:ascii="Arial" w:hAnsi="Arial" w:cs="Arial"/>
          <w:color w:val="000000"/>
          <w:kern w:val="1"/>
          <w:sz w:val="22"/>
          <w:szCs w:val="22"/>
        </w:rPr>
      </w:pPr>
      <w:r>
        <w:rPr>
          <w:rFonts w:ascii="Arial" w:hAnsi="Arial" w:cs="Arial"/>
          <w:color w:val="000000"/>
          <w:sz w:val="22"/>
          <w:szCs w:val="22"/>
        </w:rPr>
        <w:t xml:space="preserve">Le document d’information visé au présent article </w:t>
      </w:r>
      <w:r w:rsidR="00BE7B21" w:rsidRPr="00A64175">
        <w:rPr>
          <w:rFonts w:ascii="Arial" w:hAnsi="Arial" w:cs="Arial"/>
          <w:color w:val="000000"/>
          <w:sz w:val="22"/>
          <w:szCs w:val="22"/>
        </w:rPr>
        <w:t>contient notamment les informations suivantes :</w:t>
      </w:r>
    </w:p>
    <w:p w14:paraId="047AB98F" w14:textId="77777777" w:rsidR="00BE7B21" w:rsidRPr="00A64175" w:rsidRDefault="00BE7B21" w:rsidP="00BE7B21">
      <w:pPr>
        <w:widowControl w:val="0"/>
        <w:autoSpaceDE w:val="0"/>
        <w:autoSpaceDN w:val="0"/>
        <w:adjustRightInd w:val="0"/>
        <w:ind w:left="360"/>
        <w:jc w:val="both"/>
        <w:rPr>
          <w:rFonts w:ascii="Arial" w:hAnsi="Arial" w:cs="Arial"/>
          <w:color w:val="000000"/>
          <w:kern w:val="1"/>
          <w:sz w:val="22"/>
          <w:szCs w:val="22"/>
        </w:rPr>
      </w:pPr>
    </w:p>
    <w:p w14:paraId="732D5D17" w14:textId="733D4CC9"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la description du contexte économique et social dans lequel s’inscrit l’émission des titres ;</w:t>
      </w:r>
    </w:p>
    <w:p w14:paraId="2E5939C3" w14:textId="77777777" w:rsidR="00BE7B21" w:rsidRPr="00A64175" w:rsidRDefault="00BE7B21" w:rsidP="00BE7B21">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3009B1CD" w14:textId="77777777"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description des titres offerts et des conditions de souscription ;</w:t>
      </w:r>
    </w:p>
    <w:p w14:paraId="7EF6D5A4" w14:textId="77777777" w:rsidR="00BE7B21" w:rsidRPr="00A64175" w:rsidRDefault="00BE7B21" w:rsidP="00BE7B21">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E6F026A" w14:textId="77777777"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prix unitaire de chaque titre ;</w:t>
      </w:r>
    </w:p>
    <w:p w14:paraId="63BC96DD" w14:textId="77777777" w:rsidR="00BE7B21" w:rsidRPr="00A64175" w:rsidRDefault="00BE7B21" w:rsidP="00BE7B21">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4F48DE0" w14:textId="77777777"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l’objectif  et la destination des fonds sollicités ;</w:t>
      </w:r>
    </w:p>
    <w:p w14:paraId="44F3B24D" w14:textId="77777777" w:rsidR="00BE7B21" w:rsidRPr="00A64175" w:rsidRDefault="00BE7B21" w:rsidP="00BE7B21">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40C0B57" w14:textId="77777777"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plan de diffusion des titres dans le public ;</w:t>
      </w:r>
    </w:p>
    <w:p w14:paraId="6D1BDA80" w14:textId="77777777" w:rsidR="00BE7B21" w:rsidRPr="00A64175" w:rsidRDefault="00BE7B21" w:rsidP="00BE7B21">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609A4ECB" w14:textId="77777777"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modalités de rémunération de l’emprunt ;</w:t>
      </w:r>
    </w:p>
    <w:p w14:paraId="1ACDA9F9" w14:textId="77777777" w:rsidR="00BE7B21" w:rsidRPr="00A64175" w:rsidRDefault="00BE7B21" w:rsidP="00BE7B21">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5EFE8255" w14:textId="3D2CCA79" w:rsidR="00BE7B21" w:rsidRPr="00A64175" w:rsidRDefault="00BE7B21" w:rsidP="00BE7B21">
      <w:pPr>
        <w:widowControl w:val="0"/>
        <w:numPr>
          <w:ilvl w:val="0"/>
          <w:numId w:val="20"/>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cas échéant, la garantie consentie</w:t>
      </w:r>
      <w:r w:rsidR="00DE133A">
        <w:rPr>
          <w:rFonts w:ascii="Arial" w:hAnsi="Arial" w:cs="Arial"/>
          <w:color w:val="000000"/>
          <w:sz w:val="22"/>
          <w:szCs w:val="22"/>
        </w:rPr>
        <w:t>.</w:t>
      </w:r>
    </w:p>
    <w:p w14:paraId="64DADEA7" w14:textId="77777777" w:rsidR="00BE7B21" w:rsidRPr="00A64175" w:rsidRDefault="00BE7B21" w:rsidP="00BE7B21">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1C851DB2" w14:textId="77777777" w:rsidR="00BE7B21" w:rsidRDefault="00BE7B21" w:rsidP="00A64175">
      <w:pPr>
        <w:widowControl w:val="0"/>
        <w:autoSpaceDE w:val="0"/>
        <w:autoSpaceDN w:val="0"/>
        <w:adjustRightInd w:val="0"/>
        <w:jc w:val="both"/>
        <w:rPr>
          <w:rFonts w:ascii="Arial" w:hAnsi="Arial" w:cs="Arial"/>
          <w:color w:val="000000"/>
          <w:kern w:val="1"/>
          <w:sz w:val="22"/>
          <w:szCs w:val="22"/>
        </w:rPr>
      </w:pPr>
    </w:p>
    <w:p w14:paraId="365FDFBA" w14:textId="77777777" w:rsidR="00966707" w:rsidRDefault="00966707" w:rsidP="00A64175">
      <w:pPr>
        <w:widowControl w:val="0"/>
        <w:autoSpaceDE w:val="0"/>
        <w:autoSpaceDN w:val="0"/>
        <w:adjustRightInd w:val="0"/>
        <w:jc w:val="both"/>
        <w:rPr>
          <w:rFonts w:ascii="Arial" w:hAnsi="Arial" w:cs="Arial"/>
          <w:b/>
          <w:sz w:val="22"/>
          <w:szCs w:val="22"/>
        </w:rPr>
      </w:pPr>
    </w:p>
    <w:p w14:paraId="34FB7DD3" w14:textId="77777777" w:rsidR="00966707" w:rsidRPr="00A64175" w:rsidRDefault="00966707" w:rsidP="00A64175">
      <w:pPr>
        <w:widowControl w:val="0"/>
        <w:autoSpaceDE w:val="0"/>
        <w:autoSpaceDN w:val="0"/>
        <w:adjustRightInd w:val="0"/>
        <w:jc w:val="both"/>
        <w:rPr>
          <w:rFonts w:ascii="Arial" w:hAnsi="Arial" w:cs="Arial"/>
          <w:color w:val="000000"/>
          <w:kern w:val="1"/>
          <w:sz w:val="22"/>
          <w:szCs w:val="22"/>
        </w:rPr>
      </w:pPr>
    </w:p>
    <w:p w14:paraId="089E56B5" w14:textId="4CD48355" w:rsidR="00774AE5" w:rsidRPr="00A64175" w:rsidRDefault="007E45E4"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sz w:val="22"/>
          <w:szCs w:val="22"/>
        </w:rPr>
        <w:t>Article 1</w:t>
      </w:r>
      <w:r w:rsidR="008F56E4">
        <w:rPr>
          <w:rFonts w:ascii="Arial" w:hAnsi="Arial" w:cs="Arial"/>
          <w:b/>
          <w:sz w:val="22"/>
          <w:szCs w:val="22"/>
        </w:rPr>
        <w:t>2</w:t>
      </w:r>
      <w:r w:rsidR="00BB1AFC">
        <w:rPr>
          <w:rFonts w:ascii="Arial" w:hAnsi="Arial" w:cs="Arial"/>
          <w:b/>
          <w:sz w:val="22"/>
          <w:szCs w:val="22"/>
        </w:rPr>
        <w:t>4</w:t>
      </w:r>
      <w:r w:rsidR="00F1470A" w:rsidRPr="00A64175">
        <w:rPr>
          <w:rFonts w:ascii="Arial" w:hAnsi="Arial" w:cs="Arial"/>
          <w:b/>
          <w:sz w:val="22"/>
          <w:szCs w:val="22"/>
        </w:rPr>
        <w:t xml:space="preserve">. – </w:t>
      </w:r>
      <w:r w:rsidR="00774AE5" w:rsidRPr="00A64175">
        <w:rPr>
          <w:rFonts w:ascii="Arial" w:hAnsi="Arial" w:cs="Arial"/>
          <w:color w:val="000000"/>
          <w:kern w:val="1"/>
          <w:sz w:val="22"/>
          <w:szCs w:val="22"/>
        </w:rPr>
        <w:t>Une instruction de la COSUMAF précise le format</w:t>
      </w:r>
      <w:r w:rsidR="00C64A21" w:rsidRPr="00A64175">
        <w:rPr>
          <w:rFonts w:ascii="Arial" w:hAnsi="Arial" w:cs="Arial"/>
          <w:color w:val="000000"/>
          <w:kern w:val="1"/>
          <w:sz w:val="22"/>
          <w:szCs w:val="22"/>
        </w:rPr>
        <w:t xml:space="preserve"> et le contenu </w:t>
      </w:r>
      <w:r w:rsidR="00774AE5" w:rsidRPr="00A64175">
        <w:rPr>
          <w:rFonts w:ascii="Arial" w:hAnsi="Arial" w:cs="Arial"/>
          <w:color w:val="000000"/>
          <w:kern w:val="1"/>
          <w:sz w:val="22"/>
          <w:szCs w:val="22"/>
        </w:rPr>
        <w:t xml:space="preserve"> du document d’information</w:t>
      </w:r>
      <w:r w:rsidR="00C64A21" w:rsidRPr="00A64175">
        <w:rPr>
          <w:rFonts w:ascii="Arial" w:hAnsi="Arial" w:cs="Arial"/>
          <w:color w:val="000000"/>
          <w:kern w:val="1"/>
          <w:sz w:val="22"/>
          <w:szCs w:val="22"/>
        </w:rPr>
        <w:t>,</w:t>
      </w:r>
      <w:r w:rsidR="00774AE5" w:rsidRPr="00A64175">
        <w:rPr>
          <w:rFonts w:ascii="Arial" w:hAnsi="Arial" w:cs="Arial"/>
          <w:color w:val="000000"/>
          <w:kern w:val="1"/>
          <w:sz w:val="22"/>
          <w:szCs w:val="22"/>
        </w:rPr>
        <w:t xml:space="preserve"> </w:t>
      </w:r>
      <w:r w:rsidR="00F1470A" w:rsidRPr="00A64175">
        <w:rPr>
          <w:rFonts w:ascii="Arial" w:hAnsi="Arial" w:cs="Arial"/>
          <w:color w:val="000000"/>
          <w:kern w:val="1"/>
          <w:sz w:val="22"/>
          <w:szCs w:val="22"/>
        </w:rPr>
        <w:t>en fonction du profil de l’émetteur ou de la nature des titres à émettre</w:t>
      </w:r>
      <w:r w:rsidR="00774AE5" w:rsidRPr="00A64175">
        <w:rPr>
          <w:rFonts w:ascii="Arial" w:hAnsi="Arial" w:cs="Arial"/>
          <w:color w:val="000000"/>
          <w:kern w:val="1"/>
          <w:sz w:val="22"/>
          <w:szCs w:val="22"/>
        </w:rPr>
        <w:t>.</w:t>
      </w:r>
    </w:p>
    <w:p w14:paraId="45C82237" w14:textId="77777777" w:rsidR="005D6E20" w:rsidRPr="00A64175" w:rsidRDefault="005D6E20" w:rsidP="00A64175">
      <w:pPr>
        <w:widowControl w:val="0"/>
        <w:autoSpaceDE w:val="0"/>
        <w:autoSpaceDN w:val="0"/>
        <w:adjustRightInd w:val="0"/>
        <w:jc w:val="both"/>
        <w:rPr>
          <w:rFonts w:ascii="Arial" w:hAnsi="Arial" w:cs="Arial"/>
          <w:color w:val="000000"/>
          <w:kern w:val="1"/>
          <w:sz w:val="22"/>
          <w:szCs w:val="22"/>
        </w:rPr>
      </w:pPr>
    </w:p>
    <w:p w14:paraId="4A5E62DB" w14:textId="5187F195" w:rsidR="00610019" w:rsidRPr="00A64175" w:rsidRDefault="00610019" w:rsidP="00A64175">
      <w:pPr>
        <w:ind w:right="1024"/>
        <w:contextualSpacing/>
        <w:jc w:val="both"/>
        <w:rPr>
          <w:rFonts w:ascii="Arial" w:hAnsi="Arial" w:cs="Arial"/>
          <w:b/>
          <w:i/>
          <w:iCs/>
          <w:color w:val="000000" w:themeColor="text1"/>
          <w:sz w:val="22"/>
          <w:szCs w:val="22"/>
        </w:rPr>
      </w:pPr>
      <w:r w:rsidRPr="00A64175">
        <w:rPr>
          <w:rFonts w:ascii="Arial" w:hAnsi="Arial" w:cs="Arial"/>
          <w:b/>
          <w:i/>
          <w:iCs/>
          <w:color w:val="000000" w:themeColor="text1"/>
          <w:sz w:val="22"/>
          <w:szCs w:val="22"/>
        </w:rPr>
        <w:t>Sous-section II – Résumé du document d’information</w:t>
      </w:r>
    </w:p>
    <w:p w14:paraId="60F58D94" w14:textId="77777777" w:rsidR="00610019" w:rsidRPr="00A64175" w:rsidRDefault="00610019" w:rsidP="00A64175">
      <w:pPr>
        <w:widowControl w:val="0"/>
        <w:autoSpaceDE w:val="0"/>
        <w:autoSpaceDN w:val="0"/>
        <w:adjustRightInd w:val="0"/>
        <w:jc w:val="both"/>
        <w:rPr>
          <w:rFonts w:ascii="Arial" w:hAnsi="Arial" w:cs="Arial"/>
          <w:color w:val="000000"/>
          <w:kern w:val="1"/>
          <w:sz w:val="22"/>
          <w:szCs w:val="22"/>
        </w:rPr>
      </w:pPr>
    </w:p>
    <w:tbl>
      <w:tblPr>
        <w:tblStyle w:val="Grilledutableau"/>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6"/>
      </w:tblGrid>
      <w:tr w:rsidR="005D6E20" w:rsidRPr="00A64175" w14:paraId="143E4067" w14:textId="77777777" w:rsidTr="00331ECA">
        <w:tc>
          <w:tcPr>
            <w:tcW w:w="9986" w:type="dxa"/>
            <w:shd w:val="clear" w:color="auto" w:fill="auto"/>
          </w:tcPr>
          <w:p w14:paraId="1FC9216E" w14:textId="77777777" w:rsidR="005D6E20" w:rsidRPr="00A64175" w:rsidRDefault="005D6E20" w:rsidP="00A64175">
            <w:pPr>
              <w:ind w:right="1024"/>
              <w:contextualSpacing/>
              <w:jc w:val="both"/>
              <w:rPr>
                <w:rFonts w:ascii="Arial" w:hAnsi="Arial" w:cs="Arial"/>
                <w:b/>
                <w:color w:val="000000" w:themeColor="text1"/>
              </w:rPr>
            </w:pPr>
          </w:p>
          <w:p w14:paraId="02143668" w14:textId="6597EBCF" w:rsidR="005D6E20" w:rsidRPr="00A64175" w:rsidRDefault="007E45E4" w:rsidP="00A64175">
            <w:pPr>
              <w:ind w:right="1024"/>
              <w:contextualSpacing/>
              <w:jc w:val="both"/>
              <w:rPr>
                <w:rFonts w:ascii="Arial" w:hAnsi="Arial" w:cs="Arial"/>
                <w:bCs/>
                <w:color w:val="000000" w:themeColor="text1"/>
                <w:kern w:val="1"/>
              </w:rPr>
            </w:pPr>
            <w:r w:rsidRPr="00A64175">
              <w:rPr>
                <w:rFonts w:ascii="Arial" w:hAnsi="Arial" w:cs="Arial"/>
                <w:b/>
                <w:bCs/>
                <w:color w:val="000000" w:themeColor="text1"/>
                <w:kern w:val="1"/>
              </w:rPr>
              <w:t>Article 1</w:t>
            </w:r>
            <w:r w:rsidR="008F56E4">
              <w:rPr>
                <w:rFonts w:ascii="Arial" w:hAnsi="Arial" w:cs="Arial"/>
                <w:b/>
                <w:bCs/>
                <w:color w:val="000000" w:themeColor="text1"/>
                <w:kern w:val="1"/>
              </w:rPr>
              <w:t>2</w:t>
            </w:r>
            <w:r w:rsidR="00BB1AFC">
              <w:rPr>
                <w:rFonts w:ascii="Arial" w:hAnsi="Arial" w:cs="Arial"/>
                <w:b/>
                <w:bCs/>
                <w:color w:val="000000" w:themeColor="text1"/>
                <w:kern w:val="1"/>
              </w:rPr>
              <w:t>5</w:t>
            </w:r>
            <w:r w:rsidR="005D6E20" w:rsidRPr="00A64175">
              <w:rPr>
                <w:rFonts w:ascii="Arial" w:hAnsi="Arial" w:cs="Arial"/>
                <w:b/>
                <w:bCs/>
                <w:color w:val="000000" w:themeColor="text1"/>
                <w:kern w:val="1"/>
              </w:rPr>
              <w:t xml:space="preserve"> – </w:t>
            </w:r>
            <w:r w:rsidR="005D6E20" w:rsidRPr="00A64175">
              <w:rPr>
                <w:rFonts w:ascii="Arial" w:hAnsi="Arial" w:cs="Arial"/>
                <w:bCs/>
                <w:color w:val="000000" w:themeColor="text1"/>
                <w:kern w:val="1"/>
              </w:rPr>
              <w:t xml:space="preserve">Le résumé visé à l’article 80 du </w:t>
            </w:r>
            <w:r w:rsidR="005D6E20" w:rsidRPr="00A64175">
              <w:rPr>
                <w:rFonts w:ascii="Arial" w:hAnsi="Arial" w:cs="Arial"/>
                <w:color w:val="000000"/>
              </w:rPr>
              <w:t>Règlement n°01/22/CEMAC/UMAC/CM/COSUMAF du 21 juillet 2022 fournit des informations clés, dans une formulation simple et concise et dans la langue dans laquelle le document d’information a été établi.</w:t>
            </w:r>
          </w:p>
          <w:p w14:paraId="5C77E528" w14:textId="77777777" w:rsidR="005D6E20" w:rsidRPr="00A64175" w:rsidRDefault="005D6E20" w:rsidP="00A64175">
            <w:pPr>
              <w:ind w:right="1024"/>
              <w:contextualSpacing/>
              <w:jc w:val="both"/>
              <w:rPr>
                <w:rFonts w:ascii="Arial" w:hAnsi="Arial" w:cs="Arial"/>
                <w:color w:val="000000" w:themeColor="text1"/>
              </w:rPr>
            </w:pPr>
          </w:p>
          <w:p w14:paraId="7E9F2445" w14:textId="77777777" w:rsidR="005D6E20" w:rsidRPr="00A64175" w:rsidRDefault="005D6E20" w:rsidP="00A64175">
            <w:pPr>
              <w:ind w:right="1024"/>
              <w:contextualSpacing/>
              <w:jc w:val="both"/>
              <w:rPr>
                <w:rFonts w:ascii="Arial" w:hAnsi="Arial" w:cs="Arial"/>
                <w:color w:val="000000" w:themeColor="text1"/>
              </w:rPr>
            </w:pPr>
            <w:r w:rsidRPr="00A64175">
              <w:rPr>
                <w:rFonts w:ascii="Arial" w:hAnsi="Arial" w:cs="Arial"/>
                <w:color w:val="000000" w:themeColor="text1"/>
              </w:rPr>
              <w:t>Le résumé est établi sous une forme standard. Il doit être rédigé sous une forme simple et compréhensible. Il doit contenir des informations pertinentes sur les valeurs mobilières ou titres concernés.</w:t>
            </w:r>
          </w:p>
          <w:p w14:paraId="3A3F5BC2" w14:textId="77777777" w:rsidR="005D6E20" w:rsidRPr="00A64175" w:rsidRDefault="005D6E20" w:rsidP="00A64175">
            <w:pPr>
              <w:ind w:right="1024"/>
              <w:contextualSpacing/>
              <w:jc w:val="both"/>
              <w:rPr>
                <w:rFonts w:ascii="Arial" w:hAnsi="Arial" w:cs="Arial"/>
                <w:color w:val="000000" w:themeColor="text1"/>
              </w:rPr>
            </w:pPr>
          </w:p>
          <w:p w14:paraId="2BB00283" w14:textId="77777777" w:rsidR="005D6E20" w:rsidRPr="00A64175" w:rsidRDefault="005D6E20" w:rsidP="00A64175">
            <w:pPr>
              <w:ind w:right="1024"/>
              <w:contextualSpacing/>
              <w:jc w:val="both"/>
              <w:rPr>
                <w:rFonts w:ascii="Arial" w:hAnsi="Arial" w:cs="Arial"/>
                <w:color w:val="000000" w:themeColor="text1"/>
              </w:rPr>
            </w:pPr>
            <w:r w:rsidRPr="00A64175">
              <w:rPr>
                <w:rFonts w:ascii="Arial" w:hAnsi="Arial" w:cs="Arial"/>
                <w:color w:val="000000" w:themeColor="text1"/>
              </w:rPr>
              <w:t>Le résumé doit comporter un avertissement indiquant :</w:t>
            </w:r>
          </w:p>
          <w:p w14:paraId="1A5D17AF" w14:textId="77777777" w:rsidR="005D6E20" w:rsidRPr="00A64175" w:rsidRDefault="005D6E20" w:rsidP="00A64175">
            <w:pPr>
              <w:ind w:right="1024"/>
              <w:contextualSpacing/>
              <w:jc w:val="both"/>
              <w:rPr>
                <w:rFonts w:ascii="Arial" w:hAnsi="Arial" w:cs="Arial"/>
                <w:color w:val="000000" w:themeColor="text1"/>
              </w:rPr>
            </w:pPr>
          </w:p>
          <w:p w14:paraId="006261FB" w14:textId="77777777" w:rsidR="005D6E20" w:rsidRPr="00A64175" w:rsidRDefault="005D6E20" w:rsidP="00A64175">
            <w:pPr>
              <w:pStyle w:val="Paragraphedeliste"/>
              <w:numPr>
                <w:ilvl w:val="0"/>
                <w:numId w:val="20"/>
              </w:numPr>
              <w:ind w:right="1024"/>
              <w:contextualSpacing/>
              <w:rPr>
                <w:b/>
                <w:color w:val="000000" w:themeColor="text1"/>
              </w:rPr>
            </w:pPr>
            <w:r w:rsidRPr="00A64175">
              <w:rPr>
                <w:color w:val="000000" w:themeColor="text1"/>
              </w:rPr>
              <w:t>Qu’il doit être lu comme une introduction au document d’information ;</w:t>
            </w:r>
          </w:p>
          <w:p w14:paraId="59557FA6" w14:textId="77777777" w:rsidR="005D6E20" w:rsidRPr="00A64175" w:rsidRDefault="005D6E20" w:rsidP="00A64175">
            <w:pPr>
              <w:pStyle w:val="Paragraphedeliste"/>
              <w:numPr>
                <w:ilvl w:val="0"/>
                <w:numId w:val="20"/>
              </w:numPr>
              <w:ind w:right="1024"/>
              <w:contextualSpacing/>
              <w:rPr>
                <w:b/>
                <w:color w:val="000000" w:themeColor="text1"/>
              </w:rPr>
            </w:pPr>
            <w:r w:rsidRPr="00A64175">
              <w:rPr>
                <w:color w:val="000000" w:themeColor="text1"/>
              </w:rPr>
              <w:t>Que toute décision d’investir dans les valeurs mobilières ou titres concernés doit être fondée sur un examen exhaustif du document d’information par l’investisseur ;</w:t>
            </w:r>
          </w:p>
          <w:p w14:paraId="400ED641" w14:textId="77777777" w:rsidR="005D6E20" w:rsidRPr="00A64175" w:rsidRDefault="005D6E20" w:rsidP="00A64175">
            <w:pPr>
              <w:pStyle w:val="Paragraphedeliste"/>
              <w:numPr>
                <w:ilvl w:val="0"/>
                <w:numId w:val="20"/>
              </w:numPr>
              <w:ind w:right="1024"/>
              <w:contextualSpacing/>
              <w:rPr>
                <w:b/>
                <w:color w:val="000000" w:themeColor="text1"/>
              </w:rPr>
            </w:pPr>
            <w:r w:rsidRPr="00A64175">
              <w:rPr>
                <w:color w:val="000000" w:themeColor="text1"/>
              </w:rPr>
              <w:t>Qu’engagent leur responsabilité civile les personnes qui ont présenté le résumé, si le contenu du résumé est trompeur, inexact ou contradictoire par rapport aux autres parties du document d’information ou s’il ne fournit pas, lu en combinaison avec les autres parties du document d’information, les informations essentielles permettant d’éclairer les investisseurs lorsqu’ils envisagent d’investir dans ces valeurs mobilières ou titres.</w:t>
            </w:r>
          </w:p>
        </w:tc>
      </w:tr>
      <w:tr w:rsidR="005D6E20" w:rsidRPr="00A64175" w14:paraId="76D4C0B0" w14:textId="77777777" w:rsidTr="00331ECA">
        <w:tc>
          <w:tcPr>
            <w:tcW w:w="9986" w:type="dxa"/>
          </w:tcPr>
          <w:p w14:paraId="33395927" w14:textId="103E56C5" w:rsidR="005D6E20" w:rsidRPr="000F25F1" w:rsidRDefault="007E45E4" w:rsidP="00A64175">
            <w:pPr>
              <w:ind w:right="1024"/>
              <w:contextualSpacing/>
              <w:jc w:val="both"/>
              <w:rPr>
                <w:rFonts w:ascii="Arial" w:hAnsi="Arial" w:cs="Arial"/>
                <w:bCs/>
                <w:color w:val="000000" w:themeColor="text1"/>
                <w:kern w:val="1"/>
              </w:rPr>
            </w:pPr>
            <w:r w:rsidRPr="00A64175">
              <w:rPr>
                <w:rFonts w:ascii="Arial" w:hAnsi="Arial" w:cs="Arial"/>
                <w:b/>
                <w:bCs/>
                <w:color w:val="000000" w:themeColor="text1"/>
                <w:kern w:val="1"/>
              </w:rPr>
              <w:t>Article 12</w:t>
            </w:r>
            <w:r w:rsidR="002B2920">
              <w:rPr>
                <w:rFonts w:ascii="Arial" w:hAnsi="Arial" w:cs="Arial"/>
                <w:b/>
                <w:bCs/>
                <w:color w:val="000000" w:themeColor="text1"/>
                <w:kern w:val="1"/>
              </w:rPr>
              <w:t>6</w:t>
            </w:r>
            <w:r w:rsidR="005D6E20" w:rsidRPr="00A64175">
              <w:rPr>
                <w:rFonts w:ascii="Arial" w:hAnsi="Arial" w:cs="Arial"/>
                <w:b/>
                <w:bCs/>
                <w:color w:val="000000" w:themeColor="text1"/>
                <w:kern w:val="1"/>
              </w:rPr>
              <w:t xml:space="preserve"> – </w:t>
            </w:r>
            <w:r w:rsidR="00821391" w:rsidRPr="000F25F1">
              <w:rPr>
                <w:rFonts w:ascii="Arial" w:hAnsi="Arial" w:cs="Arial"/>
                <w:bCs/>
                <w:color w:val="000000" w:themeColor="text1"/>
                <w:kern w:val="1"/>
              </w:rPr>
              <w:t>Le résumé du document d’information doit remplir les conditions suivantes :</w:t>
            </w:r>
          </w:p>
          <w:p w14:paraId="3A1E0DAD" w14:textId="77777777" w:rsidR="005D6E20" w:rsidRPr="000F25F1" w:rsidRDefault="005D6E20" w:rsidP="00A64175">
            <w:pPr>
              <w:ind w:right="1024"/>
              <w:contextualSpacing/>
              <w:jc w:val="both"/>
              <w:rPr>
                <w:rFonts w:ascii="Arial" w:hAnsi="Arial" w:cs="Arial"/>
                <w:color w:val="000000" w:themeColor="text1"/>
              </w:rPr>
            </w:pPr>
          </w:p>
          <w:p w14:paraId="3D8D57B7" w14:textId="5CF4CD4C" w:rsidR="005D6E20" w:rsidRPr="00A64175" w:rsidRDefault="005D6E20" w:rsidP="00A64175">
            <w:pPr>
              <w:pStyle w:val="Paragraphedeliste"/>
              <w:numPr>
                <w:ilvl w:val="0"/>
                <w:numId w:val="206"/>
              </w:numPr>
              <w:spacing w:before="0" w:beforeAutospacing="0" w:afterAutospacing="0"/>
              <w:ind w:right="1024"/>
              <w:contextualSpacing/>
              <w:rPr>
                <w:color w:val="000000" w:themeColor="text1"/>
              </w:rPr>
            </w:pPr>
            <w:r w:rsidRPr="00A64175">
              <w:rPr>
                <w:color w:val="000000" w:themeColor="text1"/>
              </w:rPr>
              <w:t xml:space="preserve">Un récapitulatif du document d’information ne s’intitule « résumé » que s’il est conforme aux exigences établies </w:t>
            </w:r>
            <w:r w:rsidR="007E45E4" w:rsidRPr="00A64175">
              <w:rPr>
                <w:color w:val="000000" w:themeColor="text1"/>
              </w:rPr>
              <w:t xml:space="preserve">à </w:t>
            </w:r>
            <w:r w:rsidR="007E45E4" w:rsidRPr="00C21CF0">
              <w:rPr>
                <w:color w:val="000000" w:themeColor="text1"/>
              </w:rPr>
              <w:t xml:space="preserve">l’article </w:t>
            </w:r>
            <w:r w:rsidR="00B32E4D" w:rsidRPr="00C21CF0">
              <w:rPr>
                <w:color w:val="000000" w:themeColor="text1"/>
              </w:rPr>
              <w:t>125</w:t>
            </w:r>
            <w:r w:rsidR="007E45E4" w:rsidRPr="00C21CF0">
              <w:rPr>
                <w:color w:val="000000" w:themeColor="text1"/>
              </w:rPr>
              <w:t xml:space="preserve"> du présent règlement général</w:t>
            </w:r>
            <w:r w:rsidR="007E45E4" w:rsidRPr="008800A4">
              <w:rPr>
                <w:color w:val="000000" w:themeColor="text1"/>
              </w:rPr>
              <w:t>.</w:t>
            </w:r>
          </w:p>
          <w:p w14:paraId="38D0356A" w14:textId="77777777" w:rsidR="007E45E4" w:rsidRPr="00A64175" w:rsidRDefault="007E45E4" w:rsidP="00A64175">
            <w:pPr>
              <w:pStyle w:val="Paragraphedeliste"/>
              <w:spacing w:before="0" w:beforeAutospacing="0" w:afterAutospacing="0"/>
              <w:ind w:right="1024"/>
              <w:contextualSpacing/>
              <w:rPr>
                <w:color w:val="000000" w:themeColor="text1"/>
              </w:rPr>
            </w:pPr>
          </w:p>
          <w:p w14:paraId="726AD0AF" w14:textId="77777777" w:rsidR="005D6E20" w:rsidRPr="00A64175" w:rsidRDefault="005D6E20" w:rsidP="00A64175">
            <w:pPr>
              <w:pStyle w:val="Paragraphedeliste"/>
              <w:numPr>
                <w:ilvl w:val="0"/>
                <w:numId w:val="206"/>
              </w:numPr>
              <w:spacing w:before="0" w:beforeAutospacing="0" w:afterAutospacing="0"/>
              <w:ind w:right="1024"/>
              <w:contextualSpacing/>
              <w:rPr>
                <w:color w:val="000000" w:themeColor="text1"/>
              </w:rPr>
            </w:pPr>
            <w:r w:rsidRPr="00A64175">
              <w:rPr>
                <w:color w:val="000000" w:themeColor="text1"/>
              </w:rPr>
              <w:t>Un résumé ne peut excéder cinq (5) pages.</w:t>
            </w:r>
          </w:p>
          <w:p w14:paraId="06D4B52D" w14:textId="77777777" w:rsidR="005D6E20" w:rsidRPr="00A64175" w:rsidRDefault="005D6E20" w:rsidP="00A64175">
            <w:pPr>
              <w:pStyle w:val="Paragraphedeliste"/>
              <w:ind w:right="1024"/>
              <w:contextualSpacing/>
              <w:rPr>
                <w:color w:val="000000" w:themeColor="text1"/>
              </w:rPr>
            </w:pPr>
          </w:p>
          <w:p w14:paraId="29372C88" w14:textId="77777777" w:rsidR="005D6E20" w:rsidRPr="00A64175" w:rsidRDefault="005D6E20" w:rsidP="00A64175">
            <w:pPr>
              <w:pStyle w:val="Paragraphedeliste"/>
              <w:numPr>
                <w:ilvl w:val="0"/>
                <w:numId w:val="206"/>
              </w:numPr>
              <w:spacing w:before="0" w:beforeAutospacing="0" w:afterAutospacing="0"/>
              <w:ind w:right="1024"/>
              <w:contextualSpacing/>
              <w:rPr>
                <w:color w:val="000000" w:themeColor="text1"/>
              </w:rPr>
            </w:pPr>
            <w:r w:rsidRPr="00A64175">
              <w:rPr>
                <w:color w:val="000000" w:themeColor="text1"/>
              </w:rPr>
              <w:t>Le contenu et le format du résumé sont précisés dans une instruction de la COSUMAF.</w:t>
            </w:r>
          </w:p>
          <w:p w14:paraId="44B42530" w14:textId="77777777" w:rsidR="005D6E20" w:rsidRPr="00A64175" w:rsidRDefault="005D6E20" w:rsidP="00A64175">
            <w:pPr>
              <w:pStyle w:val="Paragraphedeliste"/>
              <w:ind w:right="1024"/>
              <w:contextualSpacing/>
              <w:rPr>
                <w:color w:val="000000" w:themeColor="text1"/>
              </w:rPr>
            </w:pPr>
          </w:p>
          <w:p w14:paraId="4E037CBA" w14:textId="5F4638F6" w:rsidR="005D6E20" w:rsidRPr="00A64175" w:rsidRDefault="005D6E20" w:rsidP="00A64175">
            <w:pPr>
              <w:pStyle w:val="Paragraphedeliste"/>
              <w:numPr>
                <w:ilvl w:val="0"/>
                <w:numId w:val="206"/>
              </w:numPr>
              <w:spacing w:before="0" w:beforeAutospacing="0" w:afterAutospacing="0"/>
              <w:ind w:right="1024"/>
              <w:contextualSpacing/>
              <w:rPr>
                <w:color w:val="000000" w:themeColor="text1"/>
                <w:u w:val="single"/>
              </w:rPr>
            </w:pPr>
            <w:r w:rsidRPr="00A64175">
              <w:rPr>
                <w:color w:val="000000" w:themeColor="text1"/>
              </w:rPr>
              <w:t>Lorsque le résumé du document d’information doit être complété conformément aux dispositions de</w:t>
            </w:r>
            <w:r w:rsidR="009D15F5" w:rsidRPr="00A64175">
              <w:rPr>
                <w:color w:val="000000" w:themeColor="text1"/>
              </w:rPr>
              <w:t xml:space="preserve"> </w:t>
            </w:r>
            <w:r w:rsidR="009D15F5" w:rsidRPr="00C21CF0">
              <w:rPr>
                <w:color w:val="000000" w:themeColor="text1"/>
              </w:rPr>
              <w:t xml:space="preserve">l’article </w:t>
            </w:r>
            <w:r w:rsidR="008F56E4" w:rsidRPr="00C21CF0">
              <w:rPr>
                <w:color w:val="000000" w:themeColor="text1"/>
              </w:rPr>
              <w:t xml:space="preserve"> </w:t>
            </w:r>
            <w:r w:rsidR="00687918" w:rsidRPr="00C21CF0">
              <w:rPr>
                <w:color w:val="000000" w:themeColor="text1"/>
              </w:rPr>
              <w:t>125</w:t>
            </w:r>
            <w:r w:rsidR="008F56E4" w:rsidRPr="00C21CF0">
              <w:rPr>
                <w:color w:val="000000" w:themeColor="text1"/>
              </w:rPr>
              <w:t xml:space="preserve"> </w:t>
            </w:r>
            <w:r w:rsidR="009D15F5" w:rsidRPr="00C21CF0">
              <w:rPr>
                <w:color w:val="000000" w:themeColor="text1"/>
              </w:rPr>
              <w:t>du présent règlement général</w:t>
            </w:r>
            <w:r w:rsidRPr="00C21CF0">
              <w:rPr>
                <w:color w:val="000000" w:themeColor="text1"/>
              </w:rPr>
              <w:t>,</w:t>
            </w:r>
            <w:r w:rsidRPr="00A64175">
              <w:rPr>
                <w:color w:val="000000" w:themeColor="text1"/>
              </w:rPr>
              <w:t xml:space="preserve"> les nouvelles informations y sont intégrées d’une manière qui permette aux investisseurs de repérer facilement les modifications. Les nouvelles informations sont intégrées dans le résumé soit en élaborant un nouveau résumé, soit en complétant le résumé initial. </w:t>
            </w:r>
          </w:p>
        </w:tc>
      </w:tr>
    </w:tbl>
    <w:p w14:paraId="4D3B8EC7" w14:textId="77777777" w:rsidR="00610019" w:rsidRPr="00A64175" w:rsidRDefault="00610019" w:rsidP="00A64175">
      <w:pPr>
        <w:widowControl w:val="0"/>
        <w:autoSpaceDE w:val="0"/>
        <w:autoSpaceDN w:val="0"/>
        <w:adjustRightInd w:val="0"/>
        <w:jc w:val="both"/>
        <w:rPr>
          <w:rFonts w:ascii="Arial" w:hAnsi="Arial" w:cs="Arial"/>
          <w:color w:val="000000"/>
          <w:kern w:val="1"/>
          <w:sz w:val="22"/>
          <w:szCs w:val="22"/>
        </w:rPr>
      </w:pPr>
    </w:p>
    <w:tbl>
      <w:tblPr>
        <w:tblStyle w:val="Grilledutableau"/>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6"/>
      </w:tblGrid>
      <w:tr w:rsidR="00A84D5A" w:rsidRPr="00A64175" w14:paraId="02A470B5" w14:textId="77777777" w:rsidTr="0026180D">
        <w:tc>
          <w:tcPr>
            <w:tcW w:w="9986" w:type="dxa"/>
            <w:shd w:val="clear" w:color="auto" w:fill="auto"/>
          </w:tcPr>
          <w:p w14:paraId="149DBE91" w14:textId="3B9E03B1" w:rsidR="00900B72" w:rsidRPr="001B69F3" w:rsidRDefault="00900B72" w:rsidP="001B69F3">
            <w:pPr>
              <w:ind w:right="1024"/>
              <w:contextualSpacing/>
              <w:rPr>
                <w:color w:val="000000" w:themeColor="text1"/>
              </w:rPr>
            </w:pPr>
          </w:p>
        </w:tc>
      </w:tr>
      <w:tr w:rsidR="00A84D5A" w:rsidRPr="00A64175" w14:paraId="226B0ABF" w14:textId="77777777" w:rsidTr="0026180D">
        <w:tc>
          <w:tcPr>
            <w:tcW w:w="9986" w:type="dxa"/>
          </w:tcPr>
          <w:p w14:paraId="6E61363F" w14:textId="77777777" w:rsidR="00A84D5A" w:rsidRPr="00A64175" w:rsidRDefault="00A84D5A" w:rsidP="00A64175">
            <w:pPr>
              <w:ind w:right="1024"/>
              <w:contextualSpacing/>
              <w:jc w:val="both"/>
              <w:rPr>
                <w:rFonts w:ascii="Arial" w:hAnsi="Arial" w:cs="Arial"/>
                <w:b/>
                <w:bCs/>
                <w:color w:val="000000" w:themeColor="text1"/>
              </w:rPr>
            </w:pPr>
          </w:p>
        </w:tc>
      </w:tr>
      <w:tr w:rsidR="005D6E20" w:rsidRPr="00A64175" w14:paraId="52C0AED2" w14:textId="77777777" w:rsidTr="0026180D">
        <w:tc>
          <w:tcPr>
            <w:tcW w:w="9986" w:type="dxa"/>
          </w:tcPr>
          <w:p w14:paraId="7F6A49EB" w14:textId="0CC71134" w:rsidR="005D6E20" w:rsidRPr="007077DD" w:rsidRDefault="0062326A" w:rsidP="00A64175">
            <w:pPr>
              <w:ind w:right="1024"/>
              <w:contextualSpacing/>
              <w:jc w:val="both"/>
              <w:rPr>
                <w:rFonts w:ascii="Arial" w:hAnsi="Arial" w:cs="Arial"/>
                <w:b/>
                <w:i/>
                <w:iCs/>
                <w:color w:val="000000" w:themeColor="text1"/>
              </w:rPr>
            </w:pPr>
            <w:r>
              <w:rPr>
                <w:rFonts w:ascii="Arial" w:hAnsi="Arial" w:cs="Arial"/>
                <w:b/>
                <w:i/>
                <w:iCs/>
                <w:color w:val="000000" w:themeColor="text1"/>
              </w:rPr>
              <w:t>Sous-section III</w:t>
            </w:r>
            <w:r w:rsidR="005D6E20" w:rsidRPr="007077DD">
              <w:rPr>
                <w:rFonts w:ascii="Arial" w:hAnsi="Arial" w:cs="Arial"/>
                <w:b/>
                <w:i/>
                <w:iCs/>
                <w:color w:val="000000" w:themeColor="text1"/>
              </w:rPr>
              <w:t xml:space="preserve"> – Document de référence et note d’opération </w:t>
            </w:r>
          </w:p>
          <w:p w14:paraId="2BA2C62A" w14:textId="77777777" w:rsidR="005D6E20" w:rsidRPr="007077DD" w:rsidRDefault="005D6E20" w:rsidP="00A64175">
            <w:pPr>
              <w:ind w:right="1024"/>
              <w:contextualSpacing/>
              <w:jc w:val="both"/>
              <w:rPr>
                <w:rFonts w:ascii="Arial" w:hAnsi="Arial" w:cs="Arial"/>
                <w:color w:val="000000" w:themeColor="text1"/>
              </w:rPr>
            </w:pPr>
          </w:p>
          <w:p w14:paraId="1E991499" w14:textId="77777777" w:rsidR="005D6E20" w:rsidRPr="007077DD" w:rsidRDefault="005D6E20" w:rsidP="00A64175">
            <w:pPr>
              <w:ind w:right="1024"/>
              <w:contextualSpacing/>
              <w:jc w:val="both"/>
              <w:rPr>
                <w:rFonts w:ascii="Arial" w:hAnsi="Arial" w:cs="Arial"/>
                <w:color w:val="000000" w:themeColor="text1"/>
              </w:rPr>
            </w:pPr>
          </w:p>
          <w:p w14:paraId="71B7F52A" w14:textId="42936CA1" w:rsidR="005D6E20" w:rsidRPr="007077DD" w:rsidRDefault="00C64145" w:rsidP="00A64175">
            <w:pPr>
              <w:ind w:right="1024"/>
              <w:contextualSpacing/>
              <w:jc w:val="both"/>
              <w:rPr>
                <w:rFonts w:ascii="Arial" w:hAnsi="Arial" w:cs="Arial"/>
                <w:color w:val="000000"/>
                <w:kern w:val="1"/>
              </w:rPr>
            </w:pPr>
            <w:r w:rsidRPr="007077DD">
              <w:rPr>
                <w:rFonts w:ascii="Arial" w:hAnsi="Arial" w:cs="Arial"/>
                <w:b/>
              </w:rPr>
              <w:t>Article 12</w:t>
            </w:r>
            <w:r w:rsidR="002B2920">
              <w:rPr>
                <w:rFonts w:ascii="Arial" w:hAnsi="Arial" w:cs="Arial"/>
                <w:b/>
              </w:rPr>
              <w:t>7</w:t>
            </w:r>
            <w:r w:rsidR="005D6E20" w:rsidRPr="007077DD">
              <w:rPr>
                <w:rFonts w:ascii="Arial" w:hAnsi="Arial" w:cs="Arial"/>
                <w:b/>
              </w:rPr>
              <w:t xml:space="preserve">. – </w:t>
            </w:r>
            <w:r w:rsidR="005D6E20" w:rsidRPr="007077DD">
              <w:rPr>
                <w:rFonts w:ascii="Arial" w:hAnsi="Arial" w:cs="Arial"/>
                <w:color w:val="000000"/>
                <w:kern w:val="1"/>
              </w:rPr>
              <w:t>Le document d’information peut faire référence à tout autre document d’information visé par la COSUMAF depuis moins d’un (1) an, lorsque le document d’information visé a été établi pour des titres de même catégorie et qu’il intègre les derniers états financiers annuels approuvés de l’émetteur et l’ensemble des informations prévues par la réglementation du marché.</w:t>
            </w:r>
          </w:p>
          <w:p w14:paraId="39454651" w14:textId="77777777" w:rsidR="005D6E20" w:rsidRPr="007077DD" w:rsidRDefault="005D6E20" w:rsidP="00A64175">
            <w:pPr>
              <w:ind w:right="1024"/>
              <w:contextualSpacing/>
              <w:jc w:val="both"/>
              <w:rPr>
                <w:rFonts w:ascii="Arial" w:hAnsi="Arial" w:cs="Arial"/>
                <w:color w:val="000000"/>
                <w:kern w:val="1"/>
              </w:rPr>
            </w:pPr>
          </w:p>
          <w:p w14:paraId="31A76738" w14:textId="77777777" w:rsidR="005D6E20" w:rsidRPr="007077DD" w:rsidRDefault="005D6E20" w:rsidP="00A64175">
            <w:pPr>
              <w:ind w:right="1024"/>
              <w:contextualSpacing/>
              <w:jc w:val="both"/>
              <w:rPr>
                <w:rFonts w:ascii="Arial" w:hAnsi="Arial" w:cs="Arial"/>
                <w:color w:val="000000" w:themeColor="text1"/>
              </w:rPr>
            </w:pPr>
            <w:r w:rsidRPr="007077DD">
              <w:rPr>
                <w:rFonts w:ascii="Arial" w:hAnsi="Arial" w:cs="Arial"/>
                <w:color w:val="000000"/>
                <w:kern w:val="1"/>
              </w:rPr>
              <w:t>Le document d’information visé est alors complété par une note d’opération qui doit comprendre :</w:t>
            </w:r>
          </w:p>
          <w:p w14:paraId="7E2FA85B" w14:textId="77777777" w:rsidR="005D6E20" w:rsidRPr="007077DD" w:rsidRDefault="005D6E20" w:rsidP="00A64175">
            <w:pPr>
              <w:pStyle w:val="Paragraphedeliste"/>
              <w:numPr>
                <w:ilvl w:val="0"/>
                <w:numId w:val="20"/>
              </w:numPr>
              <w:ind w:right="1024"/>
              <w:contextualSpacing/>
              <w:rPr>
                <w:color w:val="000000" w:themeColor="text1"/>
              </w:rPr>
            </w:pPr>
            <w:r w:rsidRPr="007077DD">
              <w:rPr>
                <w:color w:val="000000" w:themeColor="text1"/>
              </w:rPr>
              <w:t>les informations relatives aux valeurs mobilières offertes ;</w:t>
            </w:r>
          </w:p>
          <w:p w14:paraId="055AA32C" w14:textId="77777777" w:rsidR="005D6E20" w:rsidRPr="007077DD" w:rsidRDefault="005D6E20" w:rsidP="00A64175">
            <w:pPr>
              <w:pStyle w:val="Paragraphedeliste"/>
              <w:numPr>
                <w:ilvl w:val="0"/>
                <w:numId w:val="20"/>
              </w:numPr>
              <w:ind w:right="1024"/>
              <w:contextualSpacing/>
              <w:rPr>
                <w:color w:val="000000" w:themeColor="text1"/>
              </w:rPr>
            </w:pPr>
            <w:r w:rsidRPr="007077DD">
              <w:rPr>
                <w:color w:val="000000" w:themeColor="text1"/>
              </w:rPr>
              <w:t>les éléments comptables publiés depuis le visa initial ;</w:t>
            </w:r>
          </w:p>
          <w:p w14:paraId="0132890F" w14:textId="77777777" w:rsidR="005D6E20" w:rsidRPr="007077DD" w:rsidRDefault="005D6E20" w:rsidP="00A64175">
            <w:pPr>
              <w:pStyle w:val="Paragraphedeliste"/>
              <w:numPr>
                <w:ilvl w:val="0"/>
                <w:numId w:val="20"/>
              </w:numPr>
              <w:ind w:right="1024"/>
              <w:contextualSpacing/>
              <w:rPr>
                <w:color w:val="000000" w:themeColor="text1"/>
              </w:rPr>
            </w:pPr>
            <w:r w:rsidRPr="007077DD">
              <w:rPr>
                <w:color w:val="000000" w:themeColor="text1"/>
              </w:rPr>
              <w:t>des informations sur les faits nouveaux significatifs, de nature à avoir une incidence sur l’évaluation des valeurs mobilières offertes ;</w:t>
            </w:r>
          </w:p>
          <w:p w14:paraId="7ADEDC91" w14:textId="0D7A2004" w:rsidR="005D6E20" w:rsidRPr="007077DD" w:rsidRDefault="005D6E20" w:rsidP="00A64175">
            <w:pPr>
              <w:pStyle w:val="Paragraphedeliste"/>
              <w:numPr>
                <w:ilvl w:val="0"/>
                <w:numId w:val="20"/>
              </w:numPr>
              <w:ind w:right="1024"/>
              <w:contextualSpacing/>
              <w:rPr>
                <w:color w:val="000000" w:themeColor="text1"/>
              </w:rPr>
            </w:pPr>
            <w:r w:rsidRPr="007077DD">
              <w:rPr>
                <w:color w:val="000000" w:themeColor="text1"/>
              </w:rPr>
              <w:t>les cas échéant, un tableau de correspondance afin de permettre aux investisseurs de retrouver facilement des informations déterminées.</w:t>
            </w:r>
          </w:p>
        </w:tc>
      </w:tr>
      <w:tr w:rsidR="005D6E20" w:rsidRPr="00A64175" w14:paraId="4FD18FA7" w14:textId="77777777" w:rsidTr="0026180D">
        <w:tc>
          <w:tcPr>
            <w:tcW w:w="9986" w:type="dxa"/>
          </w:tcPr>
          <w:p w14:paraId="3580E23B" w14:textId="570448FF" w:rsidR="005D6E20" w:rsidRPr="00A64175" w:rsidRDefault="005D6E20" w:rsidP="00A64175">
            <w:pPr>
              <w:ind w:right="1024"/>
              <w:contextualSpacing/>
              <w:jc w:val="both"/>
              <w:rPr>
                <w:rFonts w:ascii="Arial" w:hAnsi="Arial" w:cs="Arial"/>
                <w:b/>
                <w:bCs/>
                <w:color w:val="000000" w:themeColor="text1"/>
                <w:kern w:val="1"/>
              </w:rPr>
            </w:pPr>
          </w:p>
          <w:p w14:paraId="2C73CA73" w14:textId="2CBB24A5" w:rsidR="005D6E20" w:rsidRPr="00A64175" w:rsidRDefault="00C64145" w:rsidP="00A64175">
            <w:pPr>
              <w:ind w:right="1024"/>
              <w:contextualSpacing/>
              <w:jc w:val="both"/>
              <w:rPr>
                <w:rFonts w:ascii="Arial" w:hAnsi="Arial" w:cs="Arial"/>
                <w:color w:val="000000" w:themeColor="text1"/>
                <w:kern w:val="1"/>
              </w:rPr>
            </w:pPr>
            <w:r w:rsidRPr="00A64175">
              <w:rPr>
                <w:rFonts w:ascii="Arial" w:hAnsi="Arial" w:cs="Arial"/>
                <w:b/>
                <w:bCs/>
                <w:color w:val="000000" w:themeColor="text1"/>
                <w:kern w:val="1"/>
              </w:rPr>
              <w:t>Article 12</w:t>
            </w:r>
            <w:r w:rsidR="002B2920">
              <w:rPr>
                <w:rFonts w:ascii="Arial" w:hAnsi="Arial" w:cs="Arial"/>
                <w:b/>
                <w:bCs/>
                <w:color w:val="000000" w:themeColor="text1"/>
                <w:kern w:val="1"/>
              </w:rPr>
              <w:t>8</w:t>
            </w:r>
            <w:r w:rsidR="005D6E20" w:rsidRPr="00A64175">
              <w:rPr>
                <w:rFonts w:ascii="Arial" w:hAnsi="Arial" w:cs="Arial"/>
                <w:b/>
                <w:bCs/>
                <w:color w:val="000000" w:themeColor="text1"/>
                <w:kern w:val="1"/>
              </w:rPr>
              <w:t xml:space="preserve"> - </w:t>
            </w:r>
            <w:r w:rsidR="005D6E20" w:rsidRPr="00A64175">
              <w:rPr>
                <w:rFonts w:ascii="Arial" w:hAnsi="Arial" w:cs="Arial"/>
                <w:color w:val="000000" w:themeColor="text1"/>
              </w:rPr>
              <w:t xml:space="preserve">La note d’opération est visée dans un délai maximum d’un (1) mois à compter du dépôt complet des documents. </w:t>
            </w:r>
            <w:r w:rsidR="005D6E20" w:rsidRPr="00A64175">
              <w:rPr>
                <w:rFonts w:ascii="Arial" w:hAnsi="Arial" w:cs="Arial"/>
                <w:color w:val="000000" w:themeColor="text1"/>
                <w:kern w:val="1"/>
              </w:rPr>
              <w:t>Le délai mentionné au 1) est interrompu en cas de question de la COSUMAF adressée à l’émetteur ou ses conseils.</w:t>
            </w:r>
          </w:p>
          <w:p w14:paraId="3295C185" w14:textId="77777777" w:rsidR="005D6E20" w:rsidRPr="00A64175" w:rsidRDefault="005D6E20" w:rsidP="00A64175">
            <w:pPr>
              <w:ind w:right="1024"/>
              <w:contextualSpacing/>
              <w:jc w:val="both"/>
              <w:rPr>
                <w:rFonts w:ascii="Arial" w:hAnsi="Arial" w:cs="Arial"/>
                <w:color w:val="000000" w:themeColor="text1"/>
              </w:rPr>
            </w:pPr>
          </w:p>
          <w:p w14:paraId="485A15BD" w14:textId="65E25DE0" w:rsidR="007A3A79" w:rsidRPr="00A64175" w:rsidRDefault="007A3A79" w:rsidP="00A64175">
            <w:pPr>
              <w:widowControl w:val="0"/>
              <w:autoSpaceDE w:val="0"/>
              <w:autoSpaceDN w:val="0"/>
              <w:adjustRightInd w:val="0"/>
              <w:jc w:val="both"/>
              <w:rPr>
                <w:rFonts w:ascii="Arial" w:hAnsi="Arial" w:cs="Arial"/>
                <w:i/>
                <w:kern w:val="1"/>
              </w:rPr>
            </w:pPr>
            <w:r w:rsidRPr="00A64175">
              <w:rPr>
                <w:rFonts w:ascii="Arial" w:hAnsi="Arial" w:cs="Arial"/>
                <w:b/>
                <w:bCs/>
                <w:i/>
              </w:rPr>
              <w:t xml:space="preserve">Sous-section </w:t>
            </w:r>
            <w:r w:rsidR="00EB0DED">
              <w:rPr>
                <w:rFonts w:ascii="Arial" w:hAnsi="Arial" w:cs="Arial"/>
                <w:b/>
                <w:bCs/>
                <w:i/>
              </w:rPr>
              <w:t>I</w:t>
            </w:r>
            <w:r w:rsidRPr="00A64175">
              <w:rPr>
                <w:rFonts w:ascii="Arial" w:hAnsi="Arial" w:cs="Arial"/>
                <w:b/>
                <w:bCs/>
                <w:i/>
              </w:rPr>
              <w:t>V : Modification du document d’information et obligations diverses</w:t>
            </w:r>
          </w:p>
          <w:p w14:paraId="4300D0CC"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1156F37C"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4FC79990" w14:textId="2528FB64" w:rsidR="007A3A79" w:rsidRPr="00A64175" w:rsidRDefault="00C64145" w:rsidP="00A64175">
            <w:pPr>
              <w:widowControl w:val="0"/>
              <w:autoSpaceDE w:val="0"/>
              <w:autoSpaceDN w:val="0"/>
              <w:adjustRightInd w:val="0"/>
              <w:jc w:val="both"/>
              <w:rPr>
                <w:rFonts w:ascii="Arial" w:hAnsi="Arial" w:cs="Arial"/>
                <w:b/>
                <w:bCs/>
                <w:color w:val="000000"/>
              </w:rPr>
            </w:pPr>
            <w:bookmarkStart w:id="2" w:name="_Hlk125444507"/>
            <w:r w:rsidRPr="00A64175">
              <w:rPr>
                <w:rFonts w:ascii="Arial" w:hAnsi="Arial" w:cs="Arial"/>
                <w:b/>
                <w:bCs/>
                <w:color w:val="000000"/>
              </w:rPr>
              <w:t>Article 12</w:t>
            </w:r>
            <w:r w:rsidR="002B2920">
              <w:rPr>
                <w:rFonts w:ascii="Arial" w:hAnsi="Arial" w:cs="Arial"/>
                <w:b/>
                <w:bCs/>
                <w:color w:val="000000"/>
              </w:rPr>
              <w:t>9</w:t>
            </w:r>
            <w:r w:rsidR="007A3A79" w:rsidRPr="00A64175">
              <w:rPr>
                <w:rFonts w:ascii="Arial" w:hAnsi="Arial" w:cs="Arial"/>
                <w:b/>
                <w:bCs/>
                <w:color w:val="000000"/>
              </w:rPr>
              <w:t xml:space="preserve">. – </w:t>
            </w:r>
            <w:r w:rsidR="007A3A79" w:rsidRPr="00A64175">
              <w:rPr>
                <w:rFonts w:ascii="Arial" w:hAnsi="Arial" w:cs="Arial"/>
                <w:color w:val="000000"/>
              </w:rPr>
              <w:t>Tout émetteur</w:t>
            </w:r>
            <w:r w:rsidR="00DE270C">
              <w:rPr>
                <w:rFonts w:ascii="Arial" w:hAnsi="Arial" w:cs="Arial"/>
                <w:color w:val="000000"/>
              </w:rPr>
              <w:t xml:space="preserve"> de titres </w:t>
            </w:r>
            <w:r w:rsidR="00772B5D">
              <w:rPr>
                <w:rFonts w:ascii="Arial" w:hAnsi="Arial" w:cs="Arial"/>
                <w:color w:val="000000"/>
              </w:rPr>
              <w:t>par</w:t>
            </w:r>
            <w:r w:rsidR="00772B5D" w:rsidRPr="00A64175">
              <w:rPr>
                <w:rFonts w:ascii="Arial" w:hAnsi="Arial" w:cs="Arial"/>
                <w:color w:val="000000"/>
              </w:rPr>
              <w:t xml:space="preserve"> appel</w:t>
            </w:r>
            <w:r w:rsidR="007A3A79" w:rsidRPr="00A64175">
              <w:rPr>
                <w:rFonts w:ascii="Arial" w:hAnsi="Arial" w:cs="Arial"/>
                <w:color w:val="000000"/>
              </w:rPr>
              <w:t xml:space="preserve"> public à l’épargne</w:t>
            </w:r>
            <w:r w:rsidR="00772B5D">
              <w:rPr>
                <w:rFonts w:ascii="Arial" w:hAnsi="Arial" w:cs="Arial"/>
                <w:color w:val="000000"/>
              </w:rPr>
              <w:t xml:space="preserve"> </w:t>
            </w:r>
            <w:r w:rsidR="007A3A79" w:rsidRPr="00A64175">
              <w:rPr>
                <w:rFonts w:ascii="Arial" w:hAnsi="Arial" w:cs="Arial"/>
                <w:color w:val="000000"/>
              </w:rPr>
              <w:t xml:space="preserve">est tenu, en cas de changement important survenu, selon le cas, après l’obtention du visa ou l’enregistrement du document d’information, d’en informer immédiatement la COSUMAF et de soumettre à son visa ou à son enregistrement, un nouveau document d’information avant l’expiration d’un délai de quinze (15) jours courant à compter de la date de survenance du changement. </w:t>
            </w:r>
          </w:p>
          <w:bookmarkEnd w:id="2"/>
          <w:p w14:paraId="375B0806"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3A4F986F" w14:textId="77777777" w:rsidR="007A3A79" w:rsidRPr="00A64175" w:rsidRDefault="007A3A79" w:rsidP="00A64175">
            <w:pPr>
              <w:widowControl w:val="0"/>
              <w:autoSpaceDE w:val="0"/>
              <w:autoSpaceDN w:val="0"/>
              <w:adjustRightInd w:val="0"/>
              <w:jc w:val="both"/>
              <w:rPr>
                <w:rFonts w:ascii="Arial" w:hAnsi="Arial" w:cs="Arial"/>
                <w:color w:val="000000"/>
              </w:rPr>
            </w:pPr>
          </w:p>
          <w:p w14:paraId="1A97B464" w14:textId="369C2472" w:rsidR="007A3A79" w:rsidRPr="00A64175" w:rsidRDefault="00C64145" w:rsidP="00A64175">
            <w:pPr>
              <w:widowControl w:val="0"/>
              <w:autoSpaceDE w:val="0"/>
              <w:autoSpaceDN w:val="0"/>
              <w:adjustRightInd w:val="0"/>
              <w:jc w:val="both"/>
              <w:rPr>
                <w:rFonts w:ascii="Arial" w:hAnsi="Arial" w:cs="Arial"/>
                <w:color w:val="000000"/>
                <w:kern w:val="1"/>
              </w:rPr>
            </w:pPr>
            <w:r w:rsidRPr="00A64175">
              <w:rPr>
                <w:rFonts w:ascii="Arial" w:hAnsi="Arial" w:cs="Arial"/>
                <w:b/>
                <w:bCs/>
                <w:color w:val="000000"/>
              </w:rPr>
              <w:t>Article 1</w:t>
            </w:r>
            <w:r w:rsidR="002B2920">
              <w:rPr>
                <w:rFonts w:ascii="Arial" w:hAnsi="Arial" w:cs="Arial"/>
                <w:b/>
                <w:bCs/>
                <w:color w:val="000000"/>
              </w:rPr>
              <w:t>30</w:t>
            </w:r>
            <w:r w:rsidR="007A3A79" w:rsidRPr="00A64175">
              <w:rPr>
                <w:rFonts w:ascii="Arial" w:hAnsi="Arial" w:cs="Arial"/>
                <w:b/>
                <w:bCs/>
                <w:color w:val="000000"/>
              </w:rPr>
              <w:t xml:space="preserve">. – </w:t>
            </w:r>
            <w:r w:rsidR="007A3A79" w:rsidRPr="00A64175">
              <w:rPr>
                <w:rFonts w:ascii="Arial" w:hAnsi="Arial" w:cs="Arial"/>
                <w:color w:val="000000"/>
              </w:rPr>
              <w:t xml:space="preserve">Tout émetteur est tenu, en cas de survenance </w:t>
            </w:r>
            <w:r w:rsidR="007A3A79" w:rsidRPr="00A64175">
              <w:rPr>
                <w:rFonts w:ascii="Arial" w:hAnsi="Arial" w:cs="Arial"/>
              </w:rPr>
              <w:t>de faits nouveaux significatifs, d’erreurs ou d’inexactitude substantielle</w:t>
            </w:r>
            <w:r w:rsidR="007A3A79" w:rsidRPr="00A64175">
              <w:rPr>
                <w:rFonts w:ascii="Arial" w:hAnsi="Arial" w:cs="Arial"/>
                <w:color w:val="000000"/>
                <w:kern w:val="1"/>
              </w:rPr>
              <w:t xml:space="preserve"> </w:t>
            </w:r>
            <w:r w:rsidR="007A3A79" w:rsidRPr="00A64175">
              <w:rPr>
                <w:rFonts w:ascii="Arial" w:hAnsi="Arial" w:cs="Arial"/>
                <w:color w:val="000000"/>
              </w:rPr>
              <w:t>après l’obtention du visa</w:t>
            </w:r>
            <w:r w:rsidR="009E5976">
              <w:rPr>
                <w:rFonts w:ascii="Arial" w:hAnsi="Arial" w:cs="Arial"/>
                <w:color w:val="000000"/>
              </w:rPr>
              <w:t xml:space="preserve"> ou de l’enregistrement</w:t>
            </w:r>
            <w:r w:rsidR="007A3A79" w:rsidRPr="00A64175">
              <w:rPr>
                <w:rFonts w:ascii="Arial" w:hAnsi="Arial" w:cs="Arial"/>
                <w:color w:val="000000"/>
              </w:rPr>
              <w:t>, d’en informer immédiatement la COSUMAF et de soumettre à son visa</w:t>
            </w:r>
            <w:r w:rsidR="009E5976">
              <w:rPr>
                <w:rFonts w:ascii="Arial" w:hAnsi="Arial" w:cs="Arial"/>
                <w:color w:val="000000"/>
              </w:rPr>
              <w:t xml:space="preserve"> ou à son enregistrement </w:t>
            </w:r>
            <w:r w:rsidR="007A3A79" w:rsidRPr="00A64175">
              <w:rPr>
                <w:rFonts w:ascii="Arial" w:hAnsi="Arial" w:cs="Arial"/>
                <w:color w:val="000000"/>
              </w:rPr>
              <w:t xml:space="preserve">, un nouveau document d’information avant l’expiration d’un délai de sept (7) jours à compter de la date de survenance des faits ou de constatation des erreurs et inexactitudes. </w:t>
            </w:r>
          </w:p>
          <w:p w14:paraId="48F0208B"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3F1D4186"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60678107" w14:textId="1F2EF6F8" w:rsidR="007A3A79" w:rsidRPr="00A64175" w:rsidRDefault="00C64145" w:rsidP="00A64175">
            <w:pPr>
              <w:widowControl w:val="0"/>
              <w:autoSpaceDE w:val="0"/>
              <w:autoSpaceDN w:val="0"/>
              <w:adjustRightInd w:val="0"/>
              <w:jc w:val="both"/>
              <w:rPr>
                <w:rFonts w:ascii="Arial" w:hAnsi="Arial" w:cs="Arial"/>
                <w:color w:val="000000"/>
              </w:rPr>
            </w:pPr>
            <w:r w:rsidRPr="00A64175">
              <w:rPr>
                <w:rFonts w:ascii="Arial" w:hAnsi="Arial" w:cs="Arial"/>
                <w:b/>
                <w:bCs/>
                <w:color w:val="000000"/>
              </w:rPr>
              <w:t>Article 1</w:t>
            </w:r>
            <w:r w:rsidR="008F56E4">
              <w:rPr>
                <w:rFonts w:ascii="Arial" w:hAnsi="Arial" w:cs="Arial"/>
                <w:b/>
                <w:bCs/>
                <w:color w:val="000000"/>
              </w:rPr>
              <w:t>3</w:t>
            </w:r>
            <w:r w:rsidR="002B2920">
              <w:rPr>
                <w:rFonts w:ascii="Arial" w:hAnsi="Arial" w:cs="Arial"/>
                <w:b/>
                <w:bCs/>
                <w:color w:val="000000"/>
              </w:rPr>
              <w:t>1</w:t>
            </w:r>
            <w:r w:rsidR="007A3A79" w:rsidRPr="00A64175">
              <w:rPr>
                <w:rFonts w:ascii="Arial" w:hAnsi="Arial" w:cs="Arial"/>
                <w:b/>
                <w:bCs/>
                <w:color w:val="000000"/>
              </w:rPr>
              <w:t xml:space="preserve">. – </w:t>
            </w:r>
            <w:r w:rsidR="007A3A79" w:rsidRPr="00A64175">
              <w:rPr>
                <w:rFonts w:ascii="Arial" w:hAnsi="Arial" w:cs="Arial"/>
                <w:color w:val="000000"/>
              </w:rPr>
              <w:t xml:space="preserve">Pendant la période d’examen par la COSUMAF de la modification effectuée sur le document d’information, les opérations portant appel public à l’épargne ou de placement privé sont immédiatement interrompues et ne peuvent reprendre qu’après l’obtention du nouveau visa ou du nouvel enregistrement du document d’information. </w:t>
            </w:r>
          </w:p>
          <w:p w14:paraId="7DCDD117" w14:textId="77777777" w:rsidR="007A3A79" w:rsidRPr="00A64175" w:rsidRDefault="007A3A79" w:rsidP="00A64175">
            <w:pPr>
              <w:widowControl w:val="0"/>
              <w:autoSpaceDE w:val="0"/>
              <w:autoSpaceDN w:val="0"/>
              <w:adjustRightInd w:val="0"/>
              <w:jc w:val="both"/>
              <w:rPr>
                <w:rFonts w:ascii="Arial" w:hAnsi="Arial" w:cs="Arial"/>
                <w:color w:val="000000"/>
              </w:rPr>
            </w:pPr>
          </w:p>
          <w:p w14:paraId="5BDB609B" w14:textId="77777777" w:rsidR="007A3A79" w:rsidRPr="00A64175" w:rsidRDefault="007A3A79" w:rsidP="00A64175">
            <w:pPr>
              <w:widowControl w:val="0"/>
              <w:autoSpaceDE w:val="0"/>
              <w:autoSpaceDN w:val="0"/>
              <w:adjustRightInd w:val="0"/>
              <w:jc w:val="both"/>
              <w:rPr>
                <w:rFonts w:ascii="Arial" w:hAnsi="Arial" w:cs="Arial"/>
                <w:color w:val="000000"/>
                <w:kern w:val="1"/>
              </w:rPr>
            </w:pPr>
          </w:p>
          <w:p w14:paraId="44613290" w14:textId="67C53B7E" w:rsidR="002A025F" w:rsidRPr="00A64175" w:rsidRDefault="00C64145" w:rsidP="00A64175">
            <w:pPr>
              <w:widowControl w:val="0"/>
              <w:autoSpaceDE w:val="0"/>
              <w:autoSpaceDN w:val="0"/>
              <w:adjustRightInd w:val="0"/>
              <w:jc w:val="both"/>
              <w:rPr>
                <w:rFonts w:ascii="Arial" w:hAnsi="Arial" w:cs="Arial"/>
                <w:color w:val="000000"/>
              </w:rPr>
            </w:pPr>
            <w:r w:rsidRPr="00A64175">
              <w:rPr>
                <w:rFonts w:ascii="Arial" w:hAnsi="Arial" w:cs="Arial"/>
                <w:b/>
                <w:bCs/>
                <w:color w:val="000000"/>
              </w:rPr>
              <w:t>Article 1</w:t>
            </w:r>
            <w:r w:rsidR="008F56E4">
              <w:rPr>
                <w:rFonts w:ascii="Arial" w:hAnsi="Arial" w:cs="Arial"/>
                <w:b/>
                <w:bCs/>
                <w:color w:val="000000"/>
              </w:rPr>
              <w:t>3</w:t>
            </w:r>
            <w:r w:rsidR="002B2920">
              <w:rPr>
                <w:rFonts w:ascii="Arial" w:hAnsi="Arial" w:cs="Arial"/>
                <w:b/>
                <w:bCs/>
                <w:color w:val="000000"/>
              </w:rPr>
              <w:t>2</w:t>
            </w:r>
            <w:r w:rsidR="002A025F" w:rsidRPr="00A64175">
              <w:rPr>
                <w:rFonts w:ascii="Arial" w:hAnsi="Arial" w:cs="Arial"/>
                <w:b/>
                <w:bCs/>
                <w:color w:val="000000"/>
              </w:rPr>
              <w:t xml:space="preserve">. – </w:t>
            </w:r>
            <w:r w:rsidR="002A025F" w:rsidRPr="00A64175">
              <w:rPr>
                <w:rFonts w:ascii="Arial" w:hAnsi="Arial" w:cs="Arial"/>
                <w:color w:val="000000"/>
              </w:rPr>
              <w:t>La COSUMAF peut, dans le cadre d’une opération d’appel public à l’épargne,  proposer des modifications ou compléments d’information qu’elle estime indispensables à la protection des investisseurs.</w:t>
            </w:r>
          </w:p>
          <w:p w14:paraId="5FDD8950"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50E9BB72" w14:textId="148841D8" w:rsidR="002A025F" w:rsidRPr="00A64175" w:rsidRDefault="00C64145" w:rsidP="00A64175">
            <w:pPr>
              <w:widowControl w:val="0"/>
              <w:autoSpaceDE w:val="0"/>
              <w:autoSpaceDN w:val="0"/>
              <w:adjustRightInd w:val="0"/>
              <w:jc w:val="both"/>
              <w:rPr>
                <w:rFonts w:ascii="Arial" w:hAnsi="Arial" w:cs="Arial"/>
                <w:b/>
                <w:bCs/>
                <w:color w:val="000000"/>
              </w:rPr>
            </w:pPr>
            <w:r w:rsidRPr="00A64175">
              <w:rPr>
                <w:rFonts w:ascii="Arial" w:hAnsi="Arial" w:cs="Arial"/>
                <w:b/>
                <w:bCs/>
                <w:color w:val="000000"/>
              </w:rPr>
              <w:t>Article 13</w:t>
            </w:r>
            <w:r w:rsidR="002B2920">
              <w:rPr>
                <w:rFonts w:ascii="Arial" w:hAnsi="Arial" w:cs="Arial"/>
                <w:b/>
                <w:bCs/>
                <w:color w:val="000000"/>
              </w:rPr>
              <w:t>3</w:t>
            </w:r>
            <w:r w:rsidR="002A025F" w:rsidRPr="00A64175">
              <w:rPr>
                <w:rFonts w:ascii="Arial" w:hAnsi="Arial" w:cs="Arial"/>
                <w:b/>
                <w:bCs/>
                <w:color w:val="000000"/>
              </w:rPr>
              <w:t xml:space="preserve">. – </w:t>
            </w:r>
            <w:r w:rsidR="002A025F" w:rsidRPr="00A64175">
              <w:rPr>
                <w:rFonts w:ascii="Arial" w:hAnsi="Arial" w:cs="Arial"/>
                <w:color w:val="000000"/>
              </w:rPr>
              <w:t xml:space="preserve">La diffusion par un émetteur faisant appel public à l’épargne de toute information relative à l’opération envisagée est interdite entre le dépôt du document d’information et </w:t>
            </w:r>
            <w:r w:rsidR="00402E2B">
              <w:rPr>
                <w:rFonts w:ascii="Arial" w:hAnsi="Arial" w:cs="Arial"/>
                <w:color w:val="000000"/>
              </w:rPr>
              <w:t>la</w:t>
            </w:r>
            <w:r w:rsidR="002A025F" w:rsidRPr="00A64175">
              <w:rPr>
                <w:rFonts w:ascii="Arial" w:hAnsi="Arial" w:cs="Arial"/>
                <w:color w:val="000000"/>
              </w:rPr>
              <w:t xml:space="preserve"> délivrance du visa de la COSUMAF.</w:t>
            </w:r>
          </w:p>
          <w:p w14:paraId="31C8E825"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037EA438" w14:textId="4A52B29E" w:rsidR="002A025F" w:rsidRPr="00A64175" w:rsidRDefault="002A025F" w:rsidP="00A64175">
            <w:pPr>
              <w:widowControl w:val="0"/>
              <w:autoSpaceDE w:val="0"/>
              <w:autoSpaceDN w:val="0"/>
              <w:adjustRightInd w:val="0"/>
              <w:jc w:val="both"/>
              <w:rPr>
                <w:rFonts w:ascii="Arial" w:hAnsi="Arial" w:cs="Arial"/>
                <w:b/>
                <w:bCs/>
                <w:color w:val="000000"/>
              </w:rPr>
            </w:pPr>
            <w:r w:rsidRPr="00A64175">
              <w:rPr>
                <w:rFonts w:ascii="Arial" w:hAnsi="Arial" w:cs="Arial"/>
                <w:b/>
                <w:bCs/>
                <w:color w:val="000000"/>
              </w:rPr>
              <w:t>Article</w:t>
            </w:r>
            <w:r w:rsidR="00C64145" w:rsidRPr="00A64175">
              <w:rPr>
                <w:rFonts w:ascii="Arial" w:hAnsi="Arial" w:cs="Arial"/>
                <w:b/>
                <w:bCs/>
                <w:color w:val="000000"/>
              </w:rPr>
              <w:t xml:space="preserve"> 13</w:t>
            </w:r>
            <w:r w:rsidR="00B900AE">
              <w:rPr>
                <w:rFonts w:ascii="Arial" w:hAnsi="Arial" w:cs="Arial"/>
                <w:b/>
                <w:bCs/>
                <w:color w:val="000000"/>
              </w:rPr>
              <w:t>4</w:t>
            </w:r>
            <w:r w:rsidRPr="00A64175">
              <w:rPr>
                <w:rFonts w:ascii="Arial" w:hAnsi="Arial" w:cs="Arial"/>
                <w:b/>
                <w:bCs/>
                <w:color w:val="000000"/>
              </w:rPr>
              <w:t xml:space="preserve">. – </w:t>
            </w:r>
            <w:r w:rsidRPr="00A64175">
              <w:rPr>
                <w:rFonts w:ascii="Arial" w:hAnsi="Arial" w:cs="Arial"/>
                <w:color w:val="000000"/>
              </w:rPr>
              <w:t>Toute information diffusée auprès du public dans le cadre d’une opération d’appel public à l’épargne doit être conforme à celle contenue dans le document d’information visé par la COSUMAF.</w:t>
            </w:r>
          </w:p>
          <w:p w14:paraId="2C6EA47A"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2BA8B5A3" w14:textId="15FB7CEF" w:rsidR="002A025F" w:rsidRPr="00A64175" w:rsidRDefault="002A025F" w:rsidP="00A64175">
            <w:pPr>
              <w:widowControl w:val="0"/>
              <w:autoSpaceDE w:val="0"/>
              <w:autoSpaceDN w:val="0"/>
              <w:adjustRightInd w:val="0"/>
              <w:jc w:val="both"/>
              <w:rPr>
                <w:rFonts w:ascii="Arial" w:hAnsi="Arial" w:cs="Arial"/>
                <w:color w:val="000000"/>
                <w:kern w:val="1"/>
              </w:rPr>
            </w:pPr>
            <w:r w:rsidRPr="00A64175">
              <w:rPr>
                <w:rFonts w:ascii="Arial" w:hAnsi="Arial" w:cs="Arial"/>
                <w:color w:val="000000"/>
              </w:rPr>
              <w:t>Toute personne ou entité qui, outre le document d’information, prévoit de diffuser des documents publicitaires dans le cadre d’une opération d’appel public à l’épargne, est tenue de soumettre lesdits documents à l’</w:t>
            </w:r>
            <w:r w:rsidR="009D63C5">
              <w:rPr>
                <w:rFonts w:ascii="Arial" w:hAnsi="Arial" w:cs="Arial"/>
                <w:color w:val="000000"/>
              </w:rPr>
              <w:t xml:space="preserve">autorisation </w:t>
            </w:r>
            <w:r w:rsidRPr="00A64175">
              <w:rPr>
                <w:rFonts w:ascii="Arial" w:hAnsi="Arial" w:cs="Arial"/>
                <w:color w:val="000000"/>
              </w:rPr>
              <w:t>préalable de la COSUMAF.</w:t>
            </w:r>
          </w:p>
          <w:p w14:paraId="024CF57A"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5D71F2D4" w14:textId="619B253F" w:rsidR="002A025F" w:rsidRPr="00A64175" w:rsidRDefault="00C64145" w:rsidP="00A64175">
            <w:pPr>
              <w:widowControl w:val="0"/>
              <w:autoSpaceDE w:val="0"/>
              <w:autoSpaceDN w:val="0"/>
              <w:adjustRightInd w:val="0"/>
              <w:jc w:val="both"/>
              <w:rPr>
                <w:rFonts w:ascii="Arial" w:hAnsi="Arial" w:cs="Arial"/>
                <w:b/>
                <w:bCs/>
                <w:color w:val="000000"/>
              </w:rPr>
            </w:pPr>
            <w:r w:rsidRPr="00A64175">
              <w:rPr>
                <w:rFonts w:ascii="Arial" w:hAnsi="Arial" w:cs="Arial"/>
                <w:b/>
                <w:bCs/>
                <w:color w:val="000000"/>
              </w:rPr>
              <w:t>Article 13</w:t>
            </w:r>
            <w:r w:rsidR="00B900AE">
              <w:rPr>
                <w:rFonts w:ascii="Arial" w:hAnsi="Arial" w:cs="Arial"/>
                <w:b/>
                <w:bCs/>
                <w:color w:val="000000"/>
              </w:rPr>
              <w:t>5</w:t>
            </w:r>
            <w:r w:rsidR="002A025F" w:rsidRPr="00A64175">
              <w:rPr>
                <w:rFonts w:ascii="Arial" w:hAnsi="Arial" w:cs="Arial"/>
                <w:b/>
                <w:bCs/>
                <w:color w:val="000000"/>
              </w:rPr>
              <w:t xml:space="preserve">. – </w:t>
            </w:r>
            <w:r w:rsidR="002A025F" w:rsidRPr="00A64175">
              <w:rPr>
                <w:rFonts w:ascii="Arial" w:hAnsi="Arial" w:cs="Arial"/>
                <w:color w:val="000000"/>
              </w:rPr>
              <w:t xml:space="preserve">La COSUMAF s’assure que le document d’information qui lui est adressé ne comporte pas </w:t>
            </w:r>
            <w:r w:rsidR="002A025F" w:rsidRPr="006A4D08">
              <w:rPr>
                <w:rFonts w:ascii="Arial" w:hAnsi="Arial" w:cs="Arial"/>
                <w:color w:val="000000"/>
              </w:rPr>
              <w:t xml:space="preserve">d’irrégularités ni </w:t>
            </w:r>
            <w:r w:rsidR="002A025F" w:rsidRPr="00A64175">
              <w:rPr>
                <w:rFonts w:ascii="Arial" w:hAnsi="Arial" w:cs="Arial"/>
                <w:color w:val="000000"/>
              </w:rPr>
              <w:t xml:space="preserve">d’informations </w:t>
            </w:r>
            <w:r w:rsidR="002A025F" w:rsidRPr="006A4D08">
              <w:rPr>
                <w:rFonts w:ascii="Arial" w:hAnsi="Arial" w:cs="Arial"/>
                <w:color w:val="000000"/>
              </w:rPr>
              <w:t>fausses ou</w:t>
            </w:r>
            <w:r w:rsidR="002A025F" w:rsidRPr="00A64175">
              <w:rPr>
                <w:rFonts w:ascii="Arial" w:hAnsi="Arial" w:cs="Arial"/>
                <w:color w:val="000000"/>
              </w:rPr>
              <w:t xml:space="preserve"> de nature à tromper les investisseurs et à compromettre leurs intérêts.</w:t>
            </w:r>
            <w:r w:rsidR="00C90734">
              <w:rPr>
                <w:rFonts w:ascii="Arial" w:hAnsi="Arial" w:cs="Arial"/>
                <w:color w:val="000000"/>
              </w:rPr>
              <w:t xml:space="preserve"> </w:t>
            </w:r>
          </w:p>
          <w:p w14:paraId="777DA0FB"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2995B898" w14:textId="77777777" w:rsidR="002A025F" w:rsidRPr="00A64175" w:rsidRDefault="002A025F" w:rsidP="00A64175">
            <w:pPr>
              <w:widowControl w:val="0"/>
              <w:autoSpaceDE w:val="0"/>
              <w:autoSpaceDN w:val="0"/>
              <w:adjustRightInd w:val="0"/>
              <w:jc w:val="both"/>
              <w:rPr>
                <w:rFonts w:ascii="Arial" w:hAnsi="Arial" w:cs="Arial"/>
                <w:color w:val="000000"/>
                <w:kern w:val="1"/>
              </w:rPr>
            </w:pPr>
            <w:r w:rsidRPr="00A64175">
              <w:rPr>
                <w:rFonts w:ascii="Arial" w:hAnsi="Arial" w:cs="Arial"/>
                <w:color w:val="000000"/>
              </w:rPr>
              <w:t>Elle peut requérir directement de la personne ou de l’entité qui sollicite le visa toutes informations complémentaires jugées utiles.</w:t>
            </w:r>
          </w:p>
          <w:p w14:paraId="6FD758FC"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337DBD79" w14:textId="77777777" w:rsidR="002A025F" w:rsidRPr="00A64175" w:rsidRDefault="002A025F" w:rsidP="00A64175">
            <w:pPr>
              <w:widowControl w:val="0"/>
              <w:autoSpaceDE w:val="0"/>
              <w:autoSpaceDN w:val="0"/>
              <w:adjustRightInd w:val="0"/>
              <w:jc w:val="both"/>
              <w:rPr>
                <w:rFonts w:ascii="Arial" w:hAnsi="Arial" w:cs="Arial"/>
                <w:color w:val="000000"/>
                <w:kern w:val="1"/>
              </w:rPr>
            </w:pPr>
            <w:r w:rsidRPr="00A64175">
              <w:rPr>
                <w:rFonts w:ascii="Arial" w:hAnsi="Arial" w:cs="Arial"/>
                <w:color w:val="000000"/>
              </w:rPr>
              <w:t>Elle peut également exiger des modifications de forme et de fond à apporter au document d’information.</w:t>
            </w:r>
          </w:p>
          <w:p w14:paraId="79DAA398"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53C2F9D9" w14:textId="17F0D787" w:rsidR="002A025F" w:rsidRPr="00A64175" w:rsidRDefault="00C64145" w:rsidP="00A64175">
            <w:pPr>
              <w:widowControl w:val="0"/>
              <w:autoSpaceDE w:val="0"/>
              <w:autoSpaceDN w:val="0"/>
              <w:adjustRightInd w:val="0"/>
              <w:jc w:val="both"/>
              <w:rPr>
                <w:rFonts w:ascii="Arial" w:hAnsi="Arial" w:cs="Arial"/>
                <w:b/>
                <w:bCs/>
                <w:color w:val="000000"/>
              </w:rPr>
            </w:pPr>
            <w:r w:rsidRPr="00A64175">
              <w:rPr>
                <w:rFonts w:ascii="Arial" w:hAnsi="Arial" w:cs="Arial"/>
                <w:b/>
                <w:bCs/>
                <w:color w:val="000000"/>
              </w:rPr>
              <w:t>Article 13</w:t>
            </w:r>
            <w:r w:rsidR="00B900AE">
              <w:rPr>
                <w:rFonts w:ascii="Arial" w:hAnsi="Arial" w:cs="Arial"/>
                <w:b/>
                <w:bCs/>
                <w:color w:val="000000"/>
              </w:rPr>
              <w:t>6</w:t>
            </w:r>
            <w:r w:rsidR="002A025F" w:rsidRPr="00A64175">
              <w:rPr>
                <w:rFonts w:ascii="Arial" w:hAnsi="Arial" w:cs="Arial"/>
                <w:b/>
                <w:bCs/>
                <w:color w:val="000000"/>
              </w:rPr>
              <w:t xml:space="preserve">. – </w:t>
            </w:r>
            <w:r w:rsidR="002A025F" w:rsidRPr="00A64175">
              <w:rPr>
                <w:rFonts w:ascii="Arial" w:hAnsi="Arial" w:cs="Arial"/>
                <w:color w:val="000000"/>
              </w:rPr>
              <w:t>Les informations et documents fournis à la COSUMAF sont réputés confidentiels, à l’exception de ceux qui font l’objet d’une publicité obligatoire.</w:t>
            </w:r>
          </w:p>
          <w:p w14:paraId="79F7EEF1"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37969015" w14:textId="77777777" w:rsidR="002A025F" w:rsidRPr="00A64175" w:rsidRDefault="002A025F" w:rsidP="00A64175">
            <w:pPr>
              <w:widowControl w:val="0"/>
              <w:autoSpaceDE w:val="0"/>
              <w:autoSpaceDN w:val="0"/>
              <w:adjustRightInd w:val="0"/>
              <w:jc w:val="both"/>
              <w:rPr>
                <w:rFonts w:ascii="Arial" w:hAnsi="Arial" w:cs="Arial"/>
                <w:color w:val="000000"/>
                <w:kern w:val="1"/>
              </w:rPr>
            </w:pPr>
          </w:p>
          <w:p w14:paraId="26224B46" w14:textId="0D891044" w:rsidR="002A025F" w:rsidRPr="00A64175" w:rsidRDefault="00C64145" w:rsidP="00A64175">
            <w:pPr>
              <w:widowControl w:val="0"/>
              <w:autoSpaceDE w:val="0"/>
              <w:autoSpaceDN w:val="0"/>
              <w:adjustRightInd w:val="0"/>
              <w:jc w:val="both"/>
              <w:rPr>
                <w:rFonts w:ascii="Arial" w:hAnsi="Arial" w:cs="Arial"/>
                <w:b/>
                <w:bCs/>
                <w:color w:val="000000"/>
              </w:rPr>
            </w:pPr>
            <w:r w:rsidRPr="00A64175">
              <w:rPr>
                <w:rFonts w:ascii="Arial" w:hAnsi="Arial" w:cs="Arial"/>
                <w:b/>
                <w:bCs/>
                <w:color w:val="000000"/>
              </w:rPr>
              <w:t>Article 13</w:t>
            </w:r>
            <w:r w:rsidR="00B900AE">
              <w:rPr>
                <w:rFonts w:ascii="Arial" w:hAnsi="Arial" w:cs="Arial"/>
                <w:b/>
                <w:bCs/>
                <w:color w:val="000000"/>
              </w:rPr>
              <w:t>7</w:t>
            </w:r>
            <w:r w:rsidR="002A025F" w:rsidRPr="00A64175">
              <w:rPr>
                <w:rFonts w:ascii="Arial" w:hAnsi="Arial" w:cs="Arial"/>
                <w:b/>
                <w:bCs/>
                <w:color w:val="000000"/>
              </w:rPr>
              <w:t xml:space="preserve">. – </w:t>
            </w:r>
            <w:r w:rsidR="002A025F" w:rsidRPr="00A64175">
              <w:rPr>
                <w:rFonts w:ascii="Arial" w:hAnsi="Arial" w:cs="Arial"/>
                <w:color w:val="000000"/>
              </w:rPr>
              <w:t>Les personnes sollicitées dans le cadre d’un démarchage reçoivent copie du document d’information visé par la COSUMAF ou de tout autre document publicitaire approuvé par la COSUMAF.</w:t>
            </w:r>
          </w:p>
          <w:p w14:paraId="0CAE8783" w14:textId="77777777" w:rsidR="002A025F" w:rsidRPr="00A64175" w:rsidRDefault="002A025F" w:rsidP="00A64175">
            <w:pPr>
              <w:widowControl w:val="0"/>
              <w:tabs>
                <w:tab w:val="left" w:pos="3870"/>
              </w:tabs>
              <w:autoSpaceDE w:val="0"/>
              <w:autoSpaceDN w:val="0"/>
              <w:adjustRightInd w:val="0"/>
              <w:jc w:val="both"/>
              <w:rPr>
                <w:rFonts w:ascii="Arial" w:hAnsi="Arial" w:cs="Arial"/>
                <w:color w:val="000000"/>
                <w:kern w:val="1"/>
              </w:rPr>
            </w:pPr>
          </w:p>
          <w:p w14:paraId="1E916038" w14:textId="5E41B959" w:rsidR="002A025F" w:rsidRPr="00A64175" w:rsidRDefault="00C64145" w:rsidP="00A64175">
            <w:pPr>
              <w:widowControl w:val="0"/>
              <w:autoSpaceDE w:val="0"/>
              <w:autoSpaceDN w:val="0"/>
              <w:adjustRightInd w:val="0"/>
              <w:jc w:val="both"/>
              <w:rPr>
                <w:rFonts w:ascii="Arial" w:hAnsi="Arial" w:cs="Arial"/>
              </w:rPr>
            </w:pPr>
            <w:r w:rsidRPr="00A64175">
              <w:rPr>
                <w:rFonts w:ascii="Arial" w:hAnsi="Arial" w:cs="Arial"/>
                <w:b/>
                <w:bCs/>
              </w:rPr>
              <w:t>Article 13</w:t>
            </w:r>
            <w:r w:rsidR="00B900AE">
              <w:rPr>
                <w:rFonts w:ascii="Arial" w:hAnsi="Arial" w:cs="Arial"/>
                <w:b/>
                <w:bCs/>
              </w:rPr>
              <w:t>8</w:t>
            </w:r>
            <w:r w:rsidR="002A025F" w:rsidRPr="00A64175">
              <w:rPr>
                <w:rFonts w:ascii="Arial" w:hAnsi="Arial" w:cs="Arial"/>
                <w:b/>
                <w:bCs/>
              </w:rPr>
              <w:t xml:space="preserve">. – </w:t>
            </w:r>
            <w:r w:rsidR="002A025F" w:rsidRPr="00A64175">
              <w:rPr>
                <w:rFonts w:ascii="Arial" w:hAnsi="Arial" w:cs="Arial"/>
              </w:rPr>
              <w:t xml:space="preserve">La responsabilité des informations fournies dans un document d'information incombe à l'émetteur ou à l'offreur et à leur organe d'administration ou de direction et, le cas échéant, au garant. Le document d'information identifie clairement les personnes responsables par leur nom et fonction, ou, dans le cas des personnes morales, par leur nom et siège social, et fournit une déclaration de leur part certifiant que, à leur connaissance, les données du document d'information sont conformes à la réalité et ne comportent pas d'omissions de nature à en altérer la portée. </w:t>
            </w:r>
          </w:p>
          <w:p w14:paraId="7C82FE13" w14:textId="77777777" w:rsidR="007A3A79" w:rsidRPr="00A64175" w:rsidRDefault="007A3A79" w:rsidP="00A64175">
            <w:pPr>
              <w:ind w:right="1024"/>
              <w:contextualSpacing/>
              <w:jc w:val="both"/>
              <w:rPr>
                <w:rFonts w:ascii="Arial" w:hAnsi="Arial" w:cs="Arial"/>
                <w:color w:val="000000" w:themeColor="text1"/>
              </w:rPr>
            </w:pPr>
          </w:p>
          <w:p w14:paraId="03939541" w14:textId="77777777" w:rsidR="005D6E20" w:rsidRPr="00A64175" w:rsidRDefault="005D6E20" w:rsidP="00A64175">
            <w:pPr>
              <w:ind w:right="1024"/>
              <w:contextualSpacing/>
              <w:jc w:val="both"/>
              <w:rPr>
                <w:rFonts w:ascii="Arial" w:hAnsi="Arial" w:cs="Arial"/>
                <w:b/>
                <w:i/>
                <w:iCs/>
                <w:color w:val="000000" w:themeColor="text1"/>
              </w:rPr>
            </w:pPr>
          </w:p>
        </w:tc>
      </w:tr>
    </w:tbl>
    <w:p w14:paraId="54149224" w14:textId="4CFE59A0" w:rsidR="005C51B4" w:rsidRPr="00A64175" w:rsidRDefault="006D7CF0"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Section III</w:t>
      </w:r>
      <w:r w:rsidR="005C51B4" w:rsidRPr="00A64175">
        <w:rPr>
          <w:rFonts w:ascii="Arial" w:hAnsi="Arial" w:cs="Arial"/>
          <w:b/>
          <w:bCs/>
          <w:color w:val="000000"/>
          <w:sz w:val="22"/>
          <w:szCs w:val="22"/>
        </w:rPr>
        <w:t> : Visa de la COSUMAF</w:t>
      </w:r>
    </w:p>
    <w:p w14:paraId="27478993" w14:textId="77777777" w:rsidR="00043502" w:rsidRPr="00A64175" w:rsidRDefault="00043502" w:rsidP="00A64175">
      <w:pPr>
        <w:widowControl w:val="0"/>
        <w:autoSpaceDE w:val="0"/>
        <w:autoSpaceDN w:val="0"/>
        <w:adjustRightInd w:val="0"/>
        <w:jc w:val="both"/>
        <w:rPr>
          <w:rFonts w:ascii="Arial" w:hAnsi="Arial" w:cs="Arial"/>
          <w:color w:val="000000"/>
          <w:kern w:val="1"/>
          <w:sz w:val="22"/>
          <w:szCs w:val="22"/>
        </w:rPr>
      </w:pPr>
    </w:p>
    <w:p w14:paraId="59781F8D" w14:textId="5A715373" w:rsidR="007D1E22" w:rsidRPr="00A64175" w:rsidRDefault="00C64145"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sz w:val="22"/>
          <w:szCs w:val="22"/>
        </w:rPr>
        <w:t>Article 13</w:t>
      </w:r>
      <w:r w:rsidR="00B900AE">
        <w:rPr>
          <w:rFonts w:ascii="Arial" w:hAnsi="Arial" w:cs="Arial"/>
          <w:b/>
          <w:sz w:val="22"/>
          <w:szCs w:val="22"/>
        </w:rPr>
        <w:t>9</w:t>
      </w:r>
      <w:r w:rsidR="006A7196" w:rsidRPr="00A64175">
        <w:rPr>
          <w:rFonts w:ascii="Arial" w:hAnsi="Arial" w:cs="Arial"/>
          <w:b/>
          <w:sz w:val="22"/>
          <w:szCs w:val="22"/>
        </w:rPr>
        <w:t>. –</w:t>
      </w:r>
      <w:r w:rsidR="006A7196" w:rsidRPr="00A64175">
        <w:rPr>
          <w:rFonts w:ascii="Arial" w:hAnsi="Arial" w:cs="Arial"/>
          <w:sz w:val="22"/>
          <w:szCs w:val="22"/>
        </w:rPr>
        <w:t xml:space="preserve"> En vue de délivrer son visa prévu à l’article 80 du</w:t>
      </w:r>
      <w:r w:rsidR="006A7196" w:rsidRPr="00A64175">
        <w:rPr>
          <w:rFonts w:ascii="Arial" w:hAnsi="Arial" w:cs="Arial"/>
          <w:color w:val="000000"/>
          <w:sz w:val="22"/>
          <w:szCs w:val="22"/>
        </w:rPr>
        <w:t xml:space="preserve"> Règlement n°01/22/CEMAC/UMAC/CM/COSUMAF du 21 juillet 2022, la COSUMAF  vérifie si les informations</w:t>
      </w:r>
      <w:r w:rsidR="00F43E5A" w:rsidRPr="00A64175">
        <w:rPr>
          <w:rFonts w:ascii="Arial" w:hAnsi="Arial" w:cs="Arial"/>
          <w:color w:val="000000"/>
          <w:sz w:val="22"/>
          <w:szCs w:val="22"/>
        </w:rPr>
        <w:t xml:space="preserve"> figurant dans le document</w:t>
      </w:r>
      <w:r w:rsidR="007D1E22" w:rsidRPr="00A64175">
        <w:rPr>
          <w:rFonts w:ascii="Arial" w:hAnsi="Arial" w:cs="Arial"/>
          <w:color w:val="000000"/>
          <w:sz w:val="22"/>
          <w:szCs w:val="22"/>
        </w:rPr>
        <w:t xml:space="preserve"> d’information sont complètes, cohérentes et compréhensibles.</w:t>
      </w:r>
    </w:p>
    <w:p w14:paraId="362DECCD" w14:textId="77777777" w:rsidR="005D6E20" w:rsidRPr="00A64175" w:rsidRDefault="005D6E20" w:rsidP="00A64175">
      <w:pPr>
        <w:widowControl w:val="0"/>
        <w:autoSpaceDE w:val="0"/>
        <w:autoSpaceDN w:val="0"/>
        <w:adjustRightInd w:val="0"/>
        <w:jc w:val="both"/>
        <w:rPr>
          <w:rFonts w:ascii="Arial" w:hAnsi="Arial" w:cs="Arial"/>
          <w:color w:val="000000"/>
          <w:sz w:val="22"/>
          <w:szCs w:val="22"/>
        </w:rPr>
      </w:pPr>
    </w:p>
    <w:p w14:paraId="7E94701C" w14:textId="0FB54E7E" w:rsidR="007D1E22" w:rsidRPr="00A64175" w:rsidRDefault="00C64145" w:rsidP="00A64175">
      <w:pPr>
        <w:widowControl w:val="0"/>
        <w:autoSpaceDE w:val="0"/>
        <w:adjustRightInd w:val="0"/>
        <w:ind w:right="1024"/>
        <w:contextualSpacing/>
        <w:jc w:val="both"/>
        <w:rPr>
          <w:rFonts w:ascii="Arial" w:hAnsi="Arial" w:cs="Arial"/>
          <w:b/>
          <w:bCs/>
          <w:color w:val="000000" w:themeColor="text1"/>
          <w:kern w:val="1"/>
          <w:sz w:val="22"/>
          <w:szCs w:val="22"/>
        </w:rPr>
      </w:pPr>
      <w:r w:rsidRPr="00A64175">
        <w:rPr>
          <w:rFonts w:ascii="Arial" w:hAnsi="Arial" w:cs="Arial"/>
          <w:b/>
          <w:sz w:val="22"/>
          <w:szCs w:val="22"/>
        </w:rPr>
        <w:t>Article 1</w:t>
      </w:r>
      <w:r w:rsidR="00B900AE">
        <w:rPr>
          <w:rFonts w:ascii="Arial" w:hAnsi="Arial" w:cs="Arial"/>
          <w:b/>
          <w:sz w:val="22"/>
          <w:szCs w:val="22"/>
        </w:rPr>
        <w:t>40</w:t>
      </w:r>
      <w:r w:rsidR="007D1E22" w:rsidRPr="00A64175">
        <w:rPr>
          <w:rFonts w:ascii="Arial" w:hAnsi="Arial" w:cs="Arial"/>
          <w:b/>
          <w:sz w:val="22"/>
          <w:szCs w:val="22"/>
        </w:rPr>
        <w:t>. –</w:t>
      </w:r>
      <w:r w:rsidR="007D1E22" w:rsidRPr="00A64175">
        <w:rPr>
          <w:rFonts w:ascii="Arial" w:hAnsi="Arial" w:cs="Arial"/>
          <w:sz w:val="22"/>
          <w:szCs w:val="22"/>
        </w:rPr>
        <w:t xml:space="preserve"> </w:t>
      </w:r>
    </w:p>
    <w:p w14:paraId="1F9DD1AB" w14:textId="77777777" w:rsidR="007D1E22" w:rsidRPr="00A64175" w:rsidRDefault="007D1E22" w:rsidP="00A64175">
      <w:pPr>
        <w:widowControl w:val="0"/>
        <w:autoSpaceDE w:val="0"/>
        <w:adjustRightInd w:val="0"/>
        <w:ind w:right="1024"/>
        <w:contextualSpacing/>
        <w:jc w:val="both"/>
        <w:rPr>
          <w:rFonts w:ascii="Arial" w:hAnsi="Arial" w:cs="Arial"/>
          <w:color w:val="000000" w:themeColor="text1"/>
          <w:kern w:val="1"/>
          <w:sz w:val="22"/>
          <w:szCs w:val="22"/>
        </w:rPr>
      </w:pPr>
    </w:p>
    <w:p w14:paraId="04814B64" w14:textId="37F482FD" w:rsidR="007D1E22" w:rsidRPr="00A64175" w:rsidRDefault="004937E8" w:rsidP="00A64175">
      <w:pPr>
        <w:pStyle w:val="Paragraphedeliste"/>
        <w:widowControl w:val="0"/>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Dans le cadre du contrôle</w:t>
      </w:r>
      <w:r w:rsidR="007D1E22" w:rsidRPr="00A64175">
        <w:rPr>
          <w:color w:val="000000" w:themeColor="text1"/>
          <w:kern w:val="1"/>
          <w:sz w:val="22"/>
          <w:szCs w:val="22"/>
        </w:rPr>
        <w:t xml:space="preserve"> de l’exhaustivité des informat</w:t>
      </w:r>
      <w:r w:rsidR="00607087" w:rsidRPr="00A64175">
        <w:rPr>
          <w:color w:val="000000" w:themeColor="text1"/>
          <w:kern w:val="1"/>
          <w:sz w:val="22"/>
          <w:szCs w:val="22"/>
        </w:rPr>
        <w:t>ions contenues dans un</w:t>
      </w:r>
      <w:r w:rsidR="00F43E5A" w:rsidRPr="00A64175">
        <w:rPr>
          <w:color w:val="000000" w:themeColor="text1"/>
          <w:kern w:val="1"/>
          <w:sz w:val="22"/>
          <w:szCs w:val="22"/>
        </w:rPr>
        <w:t xml:space="preserve"> projet de</w:t>
      </w:r>
      <w:r w:rsidR="007D1E22" w:rsidRPr="00A64175">
        <w:rPr>
          <w:color w:val="000000" w:themeColor="text1"/>
          <w:kern w:val="1"/>
          <w:sz w:val="22"/>
          <w:szCs w:val="22"/>
        </w:rPr>
        <w:t xml:space="preserve"> document d’inf</w:t>
      </w:r>
      <w:r w:rsidR="00E97FB5" w:rsidRPr="00A64175">
        <w:rPr>
          <w:color w:val="000000" w:themeColor="text1"/>
          <w:kern w:val="1"/>
          <w:sz w:val="22"/>
          <w:szCs w:val="22"/>
        </w:rPr>
        <w:t>ormation, la COSUMAF</w:t>
      </w:r>
      <w:r w:rsidR="007D1E22" w:rsidRPr="00A64175">
        <w:rPr>
          <w:color w:val="000000" w:themeColor="text1"/>
          <w:kern w:val="1"/>
          <w:sz w:val="22"/>
          <w:szCs w:val="22"/>
        </w:rPr>
        <w:t> :</w:t>
      </w:r>
    </w:p>
    <w:p w14:paraId="6F35ECA1" w14:textId="77777777" w:rsidR="007D1E22" w:rsidRPr="00A64175" w:rsidRDefault="007D1E22" w:rsidP="00A64175">
      <w:pPr>
        <w:pStyle w:val="Paragraphedeliste"/>
        <w:widowControl w:val="0"/>
        <w:autoSpaceDE w:val="0"/>
        <w:adjustRightInd w:val="0"/>
        <w:ind w:right="1024"/>
        <w:contextualSpacing/>
        <w:rPr>
          <w:color w:val="000000" w:themeColor="text1"/>
          <w:kern w:val="1"/>
          <w:sz w:val="22"/>
          <w:szCs w:val="22"/>
        </w:rPr>
      </w:pPr>
    </w:p>
    <w:p w14:paraId="02C3CA43" w14:textId="2E66C0B7" w:rsidR="007D1E22" w:rsidRPr="00A64175" w:rsidRDefault="00E97FB5" w:rsidP="00A64175">
      <w:pPr>
        <w:pStyle w:val="Paragraphedeliste"/>
        <w:widowControl w:val="0"/>
        <w:numPr>
          <w:ilvl w:val="0"/>
          <w:numId w:val="199"/>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Vérifie s</w:t>
      </w:r>
      <w:r w:rsidR="007D1E22" w:rsidRPr="00A64175">
        <w:rPr>
          <w:color w:val="000000" w:themeColor="text1"/>
          <w:kern w:val="1"/>
          <w:sz w:val="22"/>
          <w:szCs w:val="22"/>
        </w:rPr>
        <w:t>i le projet de d</w:t>
      </w:r>
      <w:r w:rsidR="004937E8" w:rsidRPr="00A64175">
        <w:rPr>
          <w:color w:val="000000" w:themeColor="text1"/>
          <w:kern w:val="1"/>
          <w:sz w:val="22"/>
          <w:szCs w:val="22"/>
        </w:rPr>
        <w:t>ocument d’information est bien</w:t>
      </w:r>
      <w:r w:rsidR="007D1E22" w:rsidRPr="00A64175">
        <w:rPr>
          <w:color w:val="000000" w:themeColor="text1"/>
          <w:kern w:val="1"/>
          <w:sz w:val="22"/>
          <w:szCs w:val="22"/>
        </w:rPr>
        <w:t xml:space="preserve"> établi conformément aux dispo</w:t>
      </w:r>
      <w:r w:rsidR="004937E8" w:rsidRPr="00A64175">
        <w:rPr>
          <w:color w:val="000000" w:themeColor="text1"/>
          <w:kern w:val="1"/>
          <w:sz w:val="22"/>
          <w:szCs w:val="22"/>
        </w:rPr>
        <w:t>sitions réglementaires</w:t>
      </w:r>
      <w:r w:rsidR="007D1E22" w:rsidRPr="00A64175">
        <w:rPr>
          <w:color w:val="000000" w:themeColor="text1"/>
          <w:kern w:val="1"/>
          <w:sz w:val="22"/>
          <w:szCs w:val="22"/>
        </w:rPr>
        <w:t>, selon le type d’émetteur, le type d’émission, le type de valeur</w:t>
      </w:r>
      <w:r w:rsidR="004937E8" w:rsidRPr="00A64175">
        <w:rPr>
          <w:color w:val="000000" w:themeColor="text1"/>
          <w:kern w:val="1"/>
          <w:sz w:val="22"/>
          <w:szCs w:val="22"/>
        </w:rPr>
        <w:t>s</w:t>
      </w:r>
      <w:r w:rsidR="007D1E22" w:rsidRPr="00A64175">
        <w:rPr>
          <w:color w:val="000000" w:themeColor="text1"/>
          <w:kern w:val="1"/>
          <w:sz w:val="22"/>
          <w:szCs w:val="22"/>
        </w:rPr>
        <w:t xml:space="preserve"> mobilière</w:t>
      </w:r>
      <w:r w:rsidR="004937E8" w:rsidRPr="00A64175">
        <w:rPr>
          <w:color w:val="000000" w:themeColor="text1"/>
          <w:kern w:val="1"/>
          <w:sz w:val="22"/>
          <w:szCs w:val="22"/>
        </w:rPr>
        <w:t>s</w:t>
      </w:r>
      <w:r w:rsidR="007D1E22" w:rsidRPr="00A64175">
        <w:rPr>
          <w:color w:val="000000" w:themeColor="text1"/>
          <w:kern w:val="1"/>
          <w:sz w:val="22"/>
          <w:szCs w:val="22"/>
        </w:rPr>
        <w:t xml:space="preserve"> et le</w:t>
      </w:r>
      <w:r w:rsidR="004937E8" w:rsidRPr="00A64175">
        <w:rPr>
          <w:color w:val="000000" w:themeColor="text1"/>
          <w:kern w:val="1"/>
          <w:sz w:val="22"/>
          <w:szCs w:val="22"/>
        </w:rPr>
        <w:t>s modalités de l</w:t>
      </w:r>
      <w:r w:rsidR="007D1E22" w:rsidRPr="00A64175">
        <w:rPr>
          <w:color w:val="000000" w:themeColor="text1"/>
          <w:kern w:val="1"/>
          <w:sz w:val="22"/>
          <w:szCs w:val="22"/>
        </w:rPr>
        <w:t>’offre ou</w:t>
      </w:r>
      <w:r w:rsidR="004937E8" w:rsidRPr="00A64175">
        <w:rPr>
          <w:color w:val="000000" w:themeColor="text1"/>
          <w:kern w:val="1"/>
          <w:sz w:val="22"/>
          <w:szCs w:val="22"/>
        </w:rPr>
        <w:t xml:space="preserve"> de l</w:t>
      </w:r>
      <w:r w:rsidR="007D1E22" w:rsidRPr="00A64175">
        <w:rPr>
          <w:color w:val="000000" w:themeColor="text1"/>
          <w:kern w:val="1"/>
          <w:sz w:val="22"/>
          <w:szCs w:val="22"/>
        </w:rPr>
        <w:t xml:space="preserve">’admission à la négociation ; </w:t>
      </w:r>
    </w:p>
    <w:p w14:paraId="2C3323DD" w14:textId="77777777" w:rsidR="007D1E22" w:rsidRPr="00A64175" w:rsidRDefault="007D1E22" w:rsidP="00A64175">
      <w:pPr>
        <w:pStyle w:val="Paragraphedeliste"/>
        <w:widowControl w:val="0"/>
        <w:autoSpaceDE w:val="0"/>
        <w:adjustRightInd w:val="0"/>
        <w:ind w:right="1024"/>
        <w:contextualSpacing/>
        <w:rPr>
          <w:color w:val="000000" w:themeColor="text1"/>
          <w:kern w:val="1"/>
          <w:sz w:val="22"/>
          <w:szCs w:val="22"/>
        </w:rPr>
      </w:pPr>
    </w:p>
    <w:p w14:paraId="40F39F9E" w14:textId="29B5C26A" w:rsidR="007D1E22" w:rsidRPr="00A64175" w:rsidRDefault="00E97FB5" w:rsidP="00A64175">
      <w:pPr>
        <w:pStyle w:val="Paragraphedeliste"/>
        <w:widowControl w:val="0"/>
        <w:numPr>
          <w:ilvl w:val="0"/>
          <w:numId w:val="199"/>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Vérifie si l’émetteur dispose d’</w:t>
      </w:r>
      <w:r w:rsidR="007D1E22" w:rsidRPr="00A64175">
        <w:rPr>
          <w:color w:val="000000" w:themeColor="text1"/>
          <w:kern w:val="1"/>
          <w:sz w:val="22"/>
          <w:szCs w:val="22"/>
        </w:rPr>
        <w:t>un historique fin</w:t>
      </w:r>
      <w:r w:rsidRPr="00A64175">
        <w:rPr>
          <w:color w:val="000000" w:themeColor="text1"/>
          <w:kern w:val="1"/>
          <w:sz w:val="22"/>
          <w:szCs w:val="22"/>
        </w:rPr>
        <w:t>ancier complexe ou a pris</w:t>
      </w:r>
      <w:r w:rsidR="007D1E22" w:rsidRPr="00A64175">
        <w:rPr>
          <w:color w:val="000000" w:themeColor="text1"/>
          <w:kern w:val="1"/>
          <w:sz w:val="22"/>
          <w:szCs w:val="22"/>
        </w:rPr>
        <w:t xml:space="preserve"> un engagement financier important ;</w:t>
      </w:r>
    </w:p>
    <w:p w14:paraId="5D3F4212" w14:textId="77777777" w:rsidR="007D1E22" w:rsidRPr="00A64175" w:rsidRDefault="007D1E22" w:rsidP="00A64175">
      <w:pPr>
        <w:pStyle w:val="Paragraphedeliste"/>
        <w:widowControl w:val="0"/>
        <w:autoSpaceDE w:val="0"/>
        <w:adjustRightInd w:val="0"/>
        <w:ind w:right="1024"/>
        <w:contextualSpacing/>
        <w:rPr>
          <w:color w:val="000000" w:themeColor="text1"/>
          <w:kern w:val="1"/>
          <w:sz w:val="22"/>
          <w:szCs w:val="22"/>
        </w:rPr>
      </w:pPr>
    </w:p>
    <w:p w14:paraId="18CA4E65" w14:textId="2357C3A3" w:rsidR="005C51B4" w:rsidRPr="006714C1" w:rsidRDefault="00E97FB5" w:rsidP="00A64175">
      <w:pPr>
        <w:pStyle w:val="Paragraphedeliste"/>
        <w:widowControl w:val="0"/>
        <w:numPr>
          <w:ilvl w:val="0"/>
          <w:numId w:val="199"/>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P</w:t>
      </w:r>
      <w:r w:rsidR="007D1E22" w:rsidRPr="00A64175">
        <w:rPr>
          <w:color w:val="000000" w:themeColor="text1"/>
          <w:kern w:val="1"/>
          <w:sz w:val="22"/>
          <w:szCs w:val="22"/>
        </w:rPr>
        <w:t>eut exiger que l’émetteur inclue des informations dans un projet de document d’informat</w:t>
      </w:r>
      <w:r w:rsidRPr="00A64175">
        <w:rPr>
          <w:color w:val="000000" w:themeColor="text1"/>
          <w:kern w:val="1"/>
          <w:sz w:val="22"/>
          <w:szCs w:val="22"/>
        </w:rPr>
        <w:t>ion, ou en modifie ou supprime certain</w:t>
      </w:r>
      <w:r w:rsidR="007D1E22" w:rsidRPr="00A64175">
        <w:rPr>
          <w:color w:val="000000" w:themeColor="text1"/>
          <w:kern w:val="1"/>
          <w:sz w:val="22"/>
          <w:szCs w:val="22"/>
        </w:rPr>
        <w:t>es information</w:t>
      </w:r>
      <w:r w:rsidRPr="00A64175">
        <w:rPr>
          <w:color w:val="000000" w:themeColor="text1"/>
          <w:kern w:val="1"/>
          <w:sz w:val="22"/>
          <w:szCs w:val="22"/>
        </w:rPr>
        <w:t>s.</w:t>
      </w:r>
    </w:p>
    <w:p w14:paraId="5B0DC203" w14:textId="77777777" w:rsidR="004937E8" w:rsidRPr="00A64175" w:rsidRDefault="004937E8" w:rsidP="00A64175">
      <w:pPr>
        <w:widowControl w:val="0"/>
        <w:autoSpaceDE w:val="0"/>
        <w:autoSpaceDN w:val="0"/>
        <w:adjustRightInd w:val="0"/>
        <w:jc w:val="both"/>
        <w:rPr>
          <w:rFonts w:ascii="Arial" w:hAnsi="Arial" w:cs="Arial"/>
          <w:color w:val="000000"/>
          <w:kern w:val="1"/>
          <w:sz w:val="22"/>
          <w:szCs w:val="22"/>
        </w:rPr>
      </w:pPr>
    </w:p>
    <w:p w14:paraId="33E345E6" w14:textId="3990F6B7" w:rsidR="007D1E22" w:rsidRPr="00A64175" w:rsidRDefault="009B3D43" w:rsidP="00A64175">
      <w:pPr>
        <w:widowControl w:val="0"/>
        <w:autoSpaceDE w:val="0"/>
        <w:adjustRightInd w:val="0"/>
        <w:ind w:right="1024"/>
        <w:contextualSpacing/>
        <w:jc w:val="both"/>
        <w:rPr>
          <w:rFonts w:ascii="Arial" w:hAnsi="Arial" w:cs="Arial"/>
          <w:b/>
          <w:bCs/>
          <w:color w:val="000000" w:themeColor="text1"/>
          <w:kern w:val="1"/>
          <w:sz w:val="22"/>
          <w:szCs w:val="22"/>
        </w:rPr>
      </w:pPr>
      <w:r w:rsidRPr="00A64175">
        <w:rPr>
          <w:rFonts w:ascii="Arial" w:hAnsi="Arial" w:cs="Arial"/>
          <w:b/>
          <w:sz w:val="22"/>
          <w:szCs w:val="22"/>
        </w:rPr>
        <w:t>Article 1</w:t>
      </w:r>
      <w:r w:rsidR="008F56E4">
        <w:rPr>
          <w:rFonts w:ascii="Arial" w:hAnsi="Arial" w:cs="Arial"/>
          <w:b/>
          <w:sz w:val="22"/>
          <w:szCs w:val="22"/>
        </w:rPr>
        <w:t>4</w:t>
      </w:r>
      <w:r w:rsidR="00B900AE">
        <w:rPr>
          <w:rFonts w:ascii="Arial" w:hAnsi="Arial" w:cs="Arial"/>
          <w:b/>
          <w:sz w:val="22"/>
          <w:szCs w:val="22"/>
        </w:rPr>
        <w:t>1</w:t>
      </w:r>
      <w:r w:rsidR="004937E8" w:rsidRPr="00A64175">
        <w:rPr>
          <w:rFonts w:ascii="Arial" w:hAnsi="Arial" w:cs="Arial"/>
          <w:b/>
          <w:sz w:val="22"/>
          <w:szCs w:val="22"/>
        </w:rPr>
        <w:t>. –</w:t>
      </w:r>
      <w:r w:rsidR="004937E8" w:rsidRPr="00A64175">
        <w:rPr>
          <w:rFonts w:ascii="Arial" w:hAnsi="Arial" w:cs="Arial"/>
          <w:sz w:val="22"/>
          <w:szCs w:val="22"/>
        </w:rPr>
        <w:t xml:space="preserve"> </w:t>
      </w:r>
    </w:p>
    <w:p w14:paraId="437B5F06" w14:textId="77777777" w:rsidR="00E97FB5" w:rsidRPr="00A64175" w:rsidRDefault="00E97FB5" w:rsidP="00A64175">
      <w:pPr>
        <w:widowControl w:val="0"/>
        <w:autoSpaceDE w:val="0"/>
        <w:adjustRightInd w:val="0"/>
        <w:ind w:right="1024"/>
        <w:contextualSpacing/>
        <w:jc w:val="both"/>
        <w:rPr>
          <w:rFonts w:ascii="Arial" w:hAnsi="Arial" w:cs="Arial"/>
          <w:color w:val="000000" w:themeColor="text1"/>
          <w:kern w:val="1"/>
          <w:sz w:val="22"/>
          <w:szCs w:val="22"/>
        </w:rPr>
      </w:pPr>
    </w:p>
    <w:p w14:paraId="27F2C4B0" w14:textId="7B885367" w:rsidR="004937E8" w:rsidRPr="00A64175" w:rsidRDefault="00E97FB5" w:rsidP="00A64175">
      <w:pPr>
        <w:widowControl w:val="0"/>
        <w:autoSpaceDE w:val="0"/>
        <w:adjustRightInd w:val="0"/>
        <w:ind w:right="1024"/>
        <w:contextualSpacing/>
        <w:jc w:val="both"/>
        <w:rPr>
          <w:rFonts w:ascii="Arial" w:hAnsi="Arial" w:cs="Arial"/>
          <w:color w:val="000000" w:themeColor="text1"/>
          <w:kern w:val="1"/>
          <w:sz w:val="22"/>
          <w:szCs w:val="22"/>
        </w:rPr>
      </w:pPr>
      <w:r w:rsidRPr="00A64175">
        <w:rPr>
          <w:rFonts w:ascii="Arial" w:hAnsi="Arial" w:cs="Arial"/>
          <w:color w:val="000000" w:themeColor="text1"/>
          <w:kern w:val="1"/>
          <w:sz w:val="22"/>
          <w:szCs w:val="22"/>
        </w:rPr>
        <w:t>Dans le cadre du contrôle</w:t>
      </w:r>
      <w:r w:rsidR="004937E8" w:rsidRPr="00A64175">
        <w:rPr>
          <w:rFonts w:ascii="Arial" w:hAnsi="Arial" w:cs="Arial"/>
          <w:color w:val="000000" w:themeColor="text1"/>
          <w:kern w:val="1"/>
          <w:sz w:val="22"/>
          <w:szCs w:val="22"/>
        </w:rPr>
        <w:t xml:space="preserve"> de la compréhensibilité des informat</w:t>
      </w:r>
      <w:r w:rsidR="00607087" w:rsidRPr="00A64175">
        <w:rPr>
          <w:rFonts w:ascii="Arial" w:hAnsi="Arial" w:cs="Arial"/>
          <w:color w:val="000000" w:themeColor="text1"/>
          <w:kern w:val="1"/>
          <w:sz w:val="22"/>
          <w:szCs w:val="22"/>
        </w:rPr>
        <w:t>ions contenues dans un</w:t>
      </w:r>
      <w:r w:rsidR="004937E8" w:rsidRPr="00A64175">
        <w:rPr>
          <w:rFonts w:ascii="Arial" w:hAnsi="Arial" w:cs="Arial"/>
          <w:color w:val="000000" w:themeColor="text1"/>
          <w:kern w:val="1"/>
          <w:sz w:val="22"/>
          <w:szCs w:val="22"/>
        </w:rPr>
        <w:t xml:space="preserve"> </w:t>
      </w:r>
      <w:r w:rsidR="00F43E5A" w:rsidRPr="00A64175">
        <w:rPr>
          <w:rFonts w:ascii="Arial" w:hAnsi="Arial" w:cs="Arial"/>
          <w:color w:val="000000" w:themeColor="text1"/>
          <w:kern w:val="1"/>
          <w:sz w:val="22"/>
          <w:szCs w:val="22"/>
        </w:rPr>
        <w:t xml:space="preserve">projet de </w:t>
      </w:r>
      <w:r w:rsidR="004937E8" w:rsidRPr="00A64175">
        <w:rPr>
          <w:rFonts w:ascii="Arial" w:hAnsi="Arial" w:cs="Arial"/>
          <w:color w:val="000000" w:themeColor="text1"/>
          <w:kern w:val="1"/>
          <w:sz w:val="22"/>
          <w:szCs w:val="22"/>
        </w:rPr>
        <w:t>document d’informa</w:t>
      </w:r>
      <w:r w:rsidRPr="00A64175">
        <w:rPr>
          <w:rFonts w:ascii="Arial" w:hAnsi="Arial" w:cs="Arial"/>
          <w:color w:val="000000" w:themeColor="text1"/>
          <w:kern w:val="1"/>
          <w:sz w:val="22"/>
          <w:szCs w:val="22"/>
        </w:rPr>
        <w:t>tion, la COSUMAF</w:t>
      </w:r>
      <w:r w:rsidR="00607087" w:rsidRPr="00A64175">
        <w:rPr>
          <w:rFonts w:ascii="Arial" w:hAnsi="Arial" w:cs="Arial"/>
          <w:color w:val="000000" w:themeColor="text1"/>
          <w:kern w:val="1"/>
          <w:sz w:val="22"/>
          <w:szCs w:val="22"/>
        </w:rPr>
        <w:t xml:space="preserve"> vérifie</w:t>
      </w:r>
      <w:r w:rsidR="004937E8" w:rsidRPr="00A64175">
        <w:rPr>
          <w:rFonts w:ascii="Arial" w:hAnsi="Arial" w:cs="Arial"/>
          <w:color w:val="000000" w:themeColor="text1"/>
          <w:kern w:val="1"/>
          <w:sz w:val="22"/>
          <w:szCs w:val="22"/>
        </w:rPr>
        <w:t> :</w:t>
      </w:r>
    </w:p>
    <w:p w14:paraId="5209E921" w14:textId="77777777" w:rsidR="00E97FB5" w:rsidRPr="00A64175" w:rsidRDefault="00E97FB5" w:rsidP="00A64175">
      <w:pPr>
        <w:pStyle w:val="Paragraphedeliste"/>
        <w:widowControl w:val="0"/>
        <w:autoSpaceDE w:val="0"/>
        <w:adjustRightInd w:val="0"/>
        <w:spacing w:before="0" w:beforeAutospacing="0" w:afterAutospacing="0"/>
        <w:ind w:right="1024"/>
        <w:contextualSpacing/>
        <w:rPr>
          <w:color w:val="000000" w:themeColor="text1"/>
          <w:kern w:val="1"/>
          <w:sz w:val="22"/>
          <w:szCs w:val="22"/>
        </w:rPr>
      </w:pPr>
    </w:p>
    <w:p w14:paraId="27705C9F" w14:textId="1EEBC308" w:rsidR="004937E8" w:rsidRPr="00A64175" w:rsidRDefault="00607087"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w:t>
      </w:r>
      <w:r w:rsidR="004937E8" w:rsidRPr="00A64175">
        <w:rPr>
          <w:color w:val="000000" w:themeColor="text1"/>
          <w:kern w:val="1"/>
          <w:sz w:val="22"/>
          <w:szCs w:val="22"/>
        </w:rPr>
        <w:t>le document d’information contient une table des matières claire et détaillée ;</w:t>
      </w:r>
    </w:p>
    <w:p w14:paraId="1C9DFA95" w14:textId="5A842859" w:rsidR="004937E8" w:rsidRPr="00A64175" w:rsidRDefault="00607087"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w:t>
      </w:r>
      <w:r w:rsidR="00E97FB5" w:rsidRPr="00A64175">
        <w:rPr>
          <w:color w:val="000000" w:themeColor="text1"/>
          <w:kern w:val="1"/>
          <w:sz w:val="22"/>
          <w:szCs w:val="22"/>
        </w:rPr>
        <w:t>le</w:t>
      </w:r>
      <w:r w:rsidR="004937E8" w:rsidRPr="00A64175">
        <w:rPr>
          <w:color w:val="000000" w:themeColor="text1"/>
          <w:kern w:val="1"/>
          <w:sz w:val="22"/>
          <w:szCs w:val="22"/>
        </w:rPr>
        <w:t xml:space="preserve"> document d’information est exempt de répétitions inutiles ; </w:t>
      </w:r>
    </w:p>
    <w:p w14:paraId="73A2F028" w14:textId="77777777"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Si les informations liées sont regroupées</w:t>
      </w:r>
    </w:p>
    <w:p w14:paraId="4CE41A0E" w14:textId="50FDF62B"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 document d’information utilise une taille de police facilement lisible ; </w:t>
      </w:r>
    </w:p>
    <w:p w14:paraId="65C857BC" w14:textId="0AE8D1CF"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w:t>
      </w:r>
      <w:r w:rsidR="00C90734">
        <w:rPr>
          <w:color w:val="000000" w:themeColor="text1"/>
          <w:kern w:val="1"/>
          <w:sz w:val="22"/>
          <w:szCs w:val="22"/>
        </w:rPr>
        <w:t>l</w:t>
      </w:r>
      <w:r w:rsidRPr="00A64175">
        <w:rPr>
          <w:color w:val="000000" w:themeColor="text1"/>
          <w:kern w:val="1"/>
          <w:sz w:val="22"/>
          <w:szCs w:val="22"/>
        </w:rPr>
        <w:t xml:space="preserve">e document d’information présente une structure qui permet aux investisseurs de comprendre son contenu ; </w:t>
      </w:r>
    </w:p>
    <w:p w14:paraId="51DAC088" w14:textId="692304BC"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 document d’information définit les composantes des formules mathématiques et, le cas échéant, décrit clairement la structure du produit ; </w:t>
      </w:r>
    </w:p>
    <w:p w14:paraId="5018F733" w14:textId="6C9BD430"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 document d’information est </w:t>
      </w:r>
      <w:r w:rsidR="00607087" w:rsidRPr="00A64175">
        <w:rPr>
          <w:color w:val="000000" w:themeColor="text1"/>
          <w:kern w:val="1"/>
          <w:sz w:val="22"/>
          <w:szCs w:val="22"/>
        </w:rPr>
        <w:t>bien rédigé en</w:t>
      </w:r>
      <w:r w:rsidRPr="00A64175">
        <w:rPr>
          <w:color w:val="000000" w:themeColor="text1"/>
          <w:kern w:val="1"/>
          <w:sz w:val="22"/>
          <w:szCs w:val="22"/>
        </w:rPr>
        <w:t xml:space="preserve"> langage</w:t>
      </w:r>
      <w:r w:rsidR="00607087" w:rsidRPr="00A64175">
        <w:rPr>
          <w:color w:val="000000" w:themeColor="text1"/>
          <w:kern w:val="1"/>
          <w:sz w:val="22"/>
          <w:szCs w:val="22"/>
        </w:rPr>
        <w:t xml:space="preserve"> clair et</w:t>
      </w:r>
      <w:r w:rsidRPr="00A64175">
        <w:rPr>
          <w:color w:val="000000" w:themeColor="text1"/>
          <w:kern w:val="1"/>
          <w:sz w:val="22"/>
          <w:szCs w:val="22"/>
        </w:rPr>
        <w:t xml:space="preserve"> simple ; </w:t>
      </w:r>
    </w:p>
    <w:p w14:paraId="68D0388A" w14:textId="77777777"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 projet de document d’information décrit ou non clairement la nature des opérations de l’émetteur et ses principales activités ; </w:t>
      </w:r>
    </w:p>
    <w:p w14:paraId="1715FE3F" w14:textId="77777777" w:rsidR="004937E8" w:rsidRPr="00A64175" w:rsidRDefault="004937E8" w:rsidP="00A64175">
      <w:pPr>
        <w:pStyle w:val="Paragraphedeliste"/>
        <w:widowControl w:val="0"/>
        <w:numPr>
          <w:ilvl w:val="0"/>
          <w:numId w:val="200"/>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Si le projet de document d’information explique ou non la terminologie propre à la branche d’activité ou au secteur.</w:t>
      </w:r>
    </w:p>
    <w:p w14:paraId="41C770E2" w14:textId="77777777" w:rsidR="004937E8" w:rsidRPr="00A64175" w:rsidRDefault="004937E8" w:rsidP="00A64175">
      <w:pPr>
        <w:pStyle w:val="Paragraphedeliste"/>
        <w:widowControl w:val="0"/>
        <w:autoSpaceDE w:val="0"/>
        <w:adjustRightInd w:val="0"/>
        <w:ind w:right="1024"/>
        <w:contextualSpacing/>
        <w:rPr>
          <w:color w:val="000000" w:themeColor="text1"/>
          <w:kern w:val="1"/>
          <w:sz w:val="22"/>
          <w:szCs w:val="22"/>
        </w:rPr>
      </w:pPr>
    </w:p>
    <w:p w14:paraId="02DFD7F0" w14:textId="403379B7" w:rsidR="007D1E22" w:rsidRPr="00A64175" w:rsidRDefault="004937E8"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themeColor="text1"/>
          <w:kern w:val="1"/>
          <w:sz w:val="22"/>
          <w:szCs w:val="22"/>
        </w:rPr>
        <w:t xml:space="preserve">La COSUMAF peut exiger que certaines informations fournies dans le projet de document d’information </w:t>
      </w:r>
      <w:r w:rsidR="009B3D43" w:rsidRPr="00A64175">
        <w:rPr>
          <w:rFonts w:ascii="Arial" w:hAnsi="Arial" w:cs="Arial"/>
          <w:color w:val="000000" w:themeColor="text1"/>
          <w:kern w:val="1"/>
          <w:sz w:val="22"/>
          <w:szCs w:val="22"/>
        </w:rPr>
        <w:t>soient incluses dans le résumé.</w:t>
      </w:r>
    </w:p>
    <w:p w14:paraId="5FAC6D2B" w14:textId="77777777" w:rsidR="004937E8" w:rsidRPr="00A64175" w:rsidRDefault="004937E8" w:rsidP="00A64175">
      <w:pPr>
        <w:widowControl w:val="0"/>
        <w:autoSpaceDE w:val="0"/>
        <w:autoSpaceDN w:val="0"/>
        <w:adjustRightInd w:val="0"/>
        <w:jc w:val="both"/>
        <w:rPr>
          <w:rFonts w:ascii="Arial" w:hAnsi="Arial" w:cs="Arial"/>
          <w:color w:val="000000"/>
          <w:kern w:val="1"/>
          <w:sz w:val="22"/>
          <w:szCs w:val="22"/>
        </w:rPr>
      </w:pPr>
    </w:p>
    <w:p w14:paraId="1D54F7A0" w14:textId="09559423" w:rsidR="004937E8" w:rsidRPr="00A64175" w:rsidRDefault="009B3D43" w:rsidP="00A64175">
      <w:pPr>
        <w:widowControl w:val="0"/>
        <w:autoSpaceDE w:val="0"/>
        <w:adjustRightInd w:val="0"/>
        <w:ind w:right="1024"/>
        <w:contextualSpacing/>
        <w:jc w:val="both"/>
        <w:rPr>
          <w:rFonts w:ascii="Arial" w:hAnsi="Arial" w:cs="Arial"/>
          <w:b/>
          <w:bCs/>
          <w:color w:val="000000" w:themeColor="text1"/>
          <w:kern w:val="1"/>
          <w:sz w:val="22"/>
          <w:szCs w:val="22"/>
        </w:rPr>
      </w:pPr>
      <w:r w:rsidRPr="00A64175">
        <w:rPr>
          <w:rFonts w:ascii="Arial" w:hAnsi="Arial" w:cs="Arial"/>
          <w:b/>
          <w:sz w:val="22"/>
          <w:szCs w:val="22"/>
        </w:rPr>
        <w:t>Article 1</w:t>
      </w:r>
      <w:r w:rsidR="008F56E4">
        <w:rPr>
          <w:rFonts w:ascii="Arial" w:hAnsi="Arial" w:cs="Arial"/>
          <w:b/>
          <w:sz w:val="22"/>
          <w:szCs w:val="22"/>
        </w:rPr>
        <w:t>4</w:t>
      </w:r>
      <w:r w:rsidR="004F08BD">
        <w:rPr>
          <w:rFonts w:ascii="Arial" w:hAnsi="Arial" w:cs="Arial"/>
          <w:b/>
          <w:sz w:val="22"/>
          <w:szCs w:val="22"/>
        </w:rPr>
        <w:t>2</w:t>
      </w:r>
      <w:r w:rsidR="004937E8" w:rsidRPr="00A64175">
        <w:rPr>
          <w:rFonts w:ascii="Arial" w:hAnsi="Arial" w:cs="Arial"/>
          <w:b/>
          <w:sz w:val="22"/>
          <w:szCs w:val="22"/>
        </w:rPr>
        <w:t>. –</w:t>
      </w:r>
      <w:r w:rsidR="004937E8" w:rsidRPr="00A64175">
        <w:rPr>
          <w:rFonts w:ascii="Arial" w:hAnsi="Arial" w:cs="Arial"/>
          <w:sz w:val="22"/>
          <w:szCs w:val="22"/>
        </w:rPr>
        <w:t xml:space="preserve"> </w:t>
      </w:r>
    </w:p>
    <w:p w14:paraId="212EE093" w14:textId="77777777" w:rsidR="007D1E22" w:rsidRPr="00A64175" w:rsidRDefault="007D1E22" w:rsidP="00A64175">
      <w:pPr>
        <w:widowControl w:val="0"/>
        <w:autoSpaceDE w:val="0"/>
        <w:autoSpaceDN w:val="0"/>
        <w:adjustRightInd w:val="0"/>
        <w:jc w:val="both"/>
        <w:rPr>
          <w:rFonts w:ascii="Arial" w:hAnsi="Arial" w:cs="Arial"/>
          <w:color w:val="000000"/>
          <w:kern w:val="1"/>
          <w:sz w:val="22"/>
          <w:szCs w:val="22"/>
        </w:rPr>
      </w:pPr>
    </w:p>
    <w:p w14:paraId="675B4088" w14:textId="457D85F1" w:rsidR="004937E8" w:rsidRPr="00A64175" w:rsidRDefault="00607087" w:rsidP="00A64175">
      <w:pPr>
        <w:widowControl w:val="0"/>
        <w:autoSpaceDE w:val="0"/>
        <w:adjustRightInd w:val="0"/>
        <w:ind w:right="1024"/>
        <w:contextualSpacing/>
        <w:jc w:val="both"/>
        <w:rPr>
          <w:rFonts w:ascii="Arial" w:hAnsi="Arial" w:cs="Arial"/>
          <w:b/>
          <w:bCs/>
          <w:color w:val="000000" w:themeColor="text1"/>
          <w:kern w:val="1"/>
          <w:sz w:val="22"/>
          <w:szCs w:val="22"/>
        </w:rPr>
      </w:pPr>
      <w:r w:rsidRPr="00A64175">
        <w:rPr>
          <w:rFonts w:ascii="Arial" w:hAnsi="Arial" w:cs="Arial"/>
          <w:color w:val="000000" w:themeColor="text1"/>
          <w:kern w:val="1"/>
          <w:sz w:val="22"/>
          <w:szCs w:val="22"/>
        </w:rPr>
        <w:t>Dans le cadre du contrôle</w:t>
      </w:r>
      <w:r w:rsidR="004937E8" w:rsidRPr="00A64175">
        <w:rPr>
          <w:rFonts w:ascii="Arial" w:hAnsi="Arial" w:cs="Arial"/>
          <w:color w:val="000000" w:themeColor="text1"/>
          <w:kern w:val="1"/>
          <w:sz w:val="22"/>
          <w:szCs w:val="22"/>
        </w:rPr>
        <w:t xml:space="preserve"> de la cohérence des informations contenues dans un</w:t>
      </w:r>
      <w:r w:rsidR="00F43E5A" w:rsidRPr="00A64175">
        <w:rPr>
          <w:rFonts w:ascii="Arial" w:hAnsi="Arial" w:cs="Arial"/>
          <w:color w:val="000000" w:themeColor="text1"/>
          <w:kern w:val="1"/>
          <w:sz w:val="22"/>
          <w:szCs w:val="22"/>
        </w:rPr>
        <w:t xml:space="preserve"> projet de</w:t>
      </w:r>
      <w:r w:rsidR="004937E8" w:rsidRPr="00A64175">
        <w:rPr>
          <w:rFonts w:ascii="Arial" w:hAnsi="Arial" w:cs="Arial"/>
          <w:color w:val="000000" w:themeColor="text1"/>
          <w:kern w:val="1"/>
          <w:sz w:val="22"/>
          <w:szCs w:val="22"/>
        </w:rPr>
        <w:t xml:space="preserve"> document d’</w:t>
      </w:r>
      <w:r w:rsidRPr="00A64175">
        <w:rPr>
          <w:rFonts w:ascii="Arial" w:hAnsi="Arial" w:cs="Arial"/>
          <w:color w:val="000000" w:themeColor="text1"/>
          <w:kern w:val="1"/>
          <w:sz w:val="22"/>
          <w:szCs w:val="22"/>
        </w:rPr>
        <w:t>information, la COSUMAF vérifi</w:t>
      </w:r>
      <w:r w:rsidR="004937E8" w:rsidRPr="00A64175">
        <w:rPr>
          <w:rFonts w:ascii="Arial" w:hAnsi="Arial" w:cs="Arial"/>
          <w:color w:val="000000" w:themeColor="text1"/>
          <w:kern w:val="1"/>
          <w:sz w:val="22"/>
          <w:szCs w:val="22"/>
        </w:rPr>
        <w:t xml:space="preserve">e : </w:t>
      </w:r>
    </w:p>
    <w:p w14:paraId="32C77EEB" w14:textId="77777777" w:rsidR="004937E8" w:rsidRPr="00A64175" w:rsidRDefault="004937E8" w:rsidP="00A64175">
      <w:pPr>
        <w:widowControl w:val="0"/>
        <w:autoSpaceDE w:val="0"/>
        <w:adjustRightInd w:val="0"/>
        <w:ind w:right="1024"/>
        <w:contextualSpacing/>
        <w:jc w:val="both"/>
        <w:rPr>
          <w:rFonts w:ascii="Arial" w:hAnsi="Arial" w:cs="Arial"/>
          <w:i/>
          <w:iCs/>
          <w:color w:val="000000" w:themeColor="text1"/>
          <w:kern w:val="1"/>
          <w:sz w:val="22"/>
          <w:szCs w:val="22"/>
        </w:rPr>
      </w:pPr>
    </w:p>
    <w:p w14:paraId="2A5CCB39" w14:textId="77777777" w:rsidR="004937E8" w:rsidRPr="00A64175" w:rsidRDefault="004937E8" w:rsidP="00A64175">
      <w:pPr>
        <w:pStyle w:val="Paragraphedeliste"/>
        <w:widowControl w:val="0"/>
        <w:numPr>
          <w:ilvl w:val="0"/>
          <w:numId w:val="201"/>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 projet de document d’information est exempt de discordances importantes entre les différentes informations qu’il contient ; </w:t>
      </w:r>
    </w:p>
    <w:p w14:paraId="44ED18FB" w14:textId="629E4656" w:rsidR="004937E8" w:rsidRPr="00A64175" w:rsidRDefault="004937E8" w:rsidP="00A64175">
      <w:pPr>
        <w:pStyle w:val="Paragraphedeliste"/>
        <w:widowControl w:val="0"/>
        <w:numPr>
          <w:ilvl w:val="0"/>
          <w:numId w:val="201"/>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Si les risques spécifiques et importants déclarés dans d’autres</w:t>
      </w:r>
      <w:r w:rsidR="00F43E5A" w:rsidRPr="00A64175">
        <w:rPr>
          <w:color w:val="000000" w:themeColor="text1"/>
          <w:kern w:val="1"/>
          <w:sz w:val="22"/>
          <w:szCs w:val="22"/>
        </w:rPr>
        <w:t xml:space="preserve"> parties du document</w:t>
      </w:r>
      <w:r w:rsidRPr="00A64175">
        <w:rPr>
          <w:color w:val="000000" w:themeColor="text1"/>
          <w:kern w:val="1"/>
          <w:sz w:val="22"/>
          <w:szCs w:val="22"/>
        </w:rPr>
        <w:t xml:space="preserve"> sont inclus dans la section sur les facteurs de risque ; </w:t>
      </w:r>
    </w:p>
    <w:p w14:paraId="56E435C4" w14:textId="77777777" w:rsidR="004937E8" w:rsidRPr="00A64175" w:rsidRDefault="004937E8" w:rsidP="00A64175">
      <w:pPr>
        <w:pStyle w:val="Paragraphedeliste"/>
        <w:widowControl w:val="0"/>
        <w:numPr>
          <w:ilvl w:val="0"/>
          <w:numId w:val="201"/>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Si les informations contenues dans le résumé concordent avec les informations contenues dans les autres parties du projet de document d’information ; </w:t>
      </w:r>
    </w:p>
    <w:p w14:paraId="0BEF7F37" w14:textId="7B41DDB8" w:rsidR="004937E8" w:rsidRPr="00A64175" w:rsidRDefault="004937E8" w:rsidP="00A64175">
      <w:pPr>
        <w:pStyle w:val="Paragraphedeliste"/>
        <w:widowControl w:val="0"/>
        <w:numPr>
          <w:ilvl w:val="0"/>
          <w:numId w:val="201"/>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Si les chiffres sur l’utilisation</w:t>
      </w:r>
      <w:r w:rsidR="00F43E5A" w:rsidRPr="00A64175">
        <w:rPr>
          <w:color w:val="000000" w:themeColor="text1"/>
          <w:kern w:val="1"/>
          <w:sz w:val="22"/>
          <w:szCs w:val="22"/>
        </w:rPr>
        <w:t xml:space="preserve"> du produit correspondent bien </w:t>
      </w:r>
      <w:r w:rsidRPr="00A64175">
        <w:rPr>
          <w:color w:val="000000" w:themeColor="text1"/>
          <w:kern w:val="1"/>
          <w:sz w:val="22"/>
          <w:szCs w:val="22"/>
        </w:rPr>
        <w:t xml:space="preserve"> au montant du produit levé et si l’utilisation du produit qui est</w:t>
      </w:r>
      <w:r w:rsidR="00F43E5A" w:rsidRPr="00A64175">
        <w:rPr>
          <w:color w:val="000000" w:themeColor="text1"/>
          <w:kern w:val="1"/>
          <w:sz w:val="22"/>
          <w:szCs w:val="22"/>
        </w:rPr>
        <w:t xml:space="preserve"> déclarée est bien</w:t>
      </w:r>
      <w:r w:rsidRPr="00A64175">
        <w:rPr>
          <w:color w:val="000000" w:themeColor="text1"/>
          <w:kern w:val="1"/>
          <w:sz w:val="22"/>
          <w:szCs w:val="22"/>
        </w:rPr>
        <w:t xml:space="preserve"> con</w:t>
      </w:r>
      <w:r w:rsidR="00F43E5A" w:rsidRPr="00A64175">
        <w:rPr>
          <w:color w:val="000000" w:themeColor="text1"/>
          <w:kern w:val="1"/>
          <w:sz w:val="22"/>
          <w:szCs w:val="22"/>
        </w:rPr>
        <w:t>forme à la stratégie définie par</w:t>
      </w:r>
      <w:r w:rsidRPr="00A64175">
        <w:rPr>
          <w:color w:val="000000" w:themeColor="text1"/>
          <w:kern w:val="1"/>
          <w:sz w:val="22"/>
          <w:szCs w:val="22"/>
        </w:rPr>
        <w:t xml:space="preserve"> l’émetteur ;</w:t>
      </w:r>
    </w:p>
    <w:p w14:paraId="31C9E6CF" w14:textId="77777777" w:rsidR="00F43E5A" w:rsidRPr="00A64175" w:rsidRDefault="00F43E5A" w:rsidP="00A64175">
      <w:pPr>
        <w:pStyle w:val="Paragraphedeliste"/>
        <w:widowControl w:val="0"/>
        <w:numPr>
          <w:ilvl w:val="0"/>
          <w:numId w:val="201"/>
        </w:numPr>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Si la description faite par</w:t>
      </w:r>
      <w:r w:rsidR="004937E8" w:rsidRPr="00A64175">
        <w:rPr>
          <w:color w:val="000000" w:themeColor="text1"/>
          <w:kern w:val="1"/>
          <w:sz w:val="22"/>
          <w:szCs w:val="22"/>
        </w:rPr>
        <w:t xml:space="preserve"> l’émetteur </w:t>
      </w:r>
      <w:r w:rsidRPr="00A64175">
        <w:rPr>
          <w:color w:val="000000" w:themeColor="text1"/>
          <w:kern w:val="1"/>
          <w:sz w:val="22"/>
          <w:szCs w:val="22"/>
        </w:rPr>
        <w:t xml:space="preserve">sur ses </w:t>
      </w:r>
      <w:r w:rsidR="004937E8" w:rsidRPr="00A64175">
        <w:rPr>
          <w:color w:val="000000" w:themeColor="text1"/>
          <w:kern w:val="1"/>
          <w:sz w:val="22"/>
          <w:szCs w:val="22"/>
        </w:rPr>
        <w:t>résultat</w:t>
      </w:r>
      <w:r w:rsidRPr="00A64175">
        <w:rPr>
          <w:color w:val="000000" w:themeColor="text1"/>
          <w:kern w:val="1"/>
          <w:sz w:val="22"/>
          <w:szCs w:val="22"/>
        </w:rPr>
        <w:t>s, sa</w:t>
      </w:r>
      <w:r w:rsidR="004937E8" w:rsidRPr="00A64175">
        <w:rPr>
          <w:color w:val="000000" w:themeColor="text1"/>
          <w:kern w:val="1"/>
          <w:sz w:val="22"/>
          <w:szCs w:val="22"/>
        </w:rPr>
        <w:t xml:space="preserve">  situation financière, les informations financières h</w:t>
      </w:r>
      <w:r w:rsidRPr="00A64175">
        <w:rPr>
          <w:color w:val="000000" w:themeColor="text1"/>
          <w:kern w:val="1"/>
          <w:sz w:val="22"/>
          <w:szCs w:val="22"/>
        </w:rPr>
        <w:t>istoriques, la description de l’</w:t>
      </w:r>
      <w:r w:rsidR="004937E8" w:rsidRPr="00A64175">
        <w:rPr>
          <w:color w:val="000000" w:themeColor="text1"/>
          <w:kern w:val="1"/>
          <w:sz w:val="22"/>
          <w:szCs w:val="22"/>
        </w:rPr>
        <w:t xml:space="preserve">activité </w:t>
      </w:r>
      <w:r w:rsidRPr="00A64175">
        <w:rPr>
          <w:color w:val="000000" w:themeColor="text1"/>
          <w:kern w:val="1"/>
          <w:sz w:val="22"/>
          <w:szCs w:val="22"/>
        </w:rPr>
        <w:t xml:space="preserve">et </w:t>
      </w:r>
      <w:r w:rsidR="004937E8" w:rsidRPr="00A64175">
        <w:rPr>
          <w:color w:val="000000" w:themeColor="text1"/>
          <w:kern w:val="1"/>
          <w:sz w:val="22"/>
          <w:szCs w:val="22"/>
        </w:rPr>
        <w:t>d</w:t>
      </w:r>
      <w:r w:rsidRPr="00A64175">
        <w:rPr>
          <w:color w:val="000000" w:themeColor="text1"/>
          <w:kern w:val="1"/>
          <w:sz w:val="22"/>
          <w:szCs w:val="22"/>
        </w:rPr>
        <w:t>es facteurs de risque sont</w:t>
      </w:r>
      <w:r w:rsidR="004937E8" w:rsidRPr="00A64175">
        <w:rPr>
          <w:color w:val="000000" w:themeColor="text1"/>
          <w:kern w:val="1"/>
          <w:sz w:val="22"/>
          <w:szCs w:val="22"/>
        </w:rPr>
        <w:t xml:space="preserve"> cohérentes ;</w:t>
      </w:r>
    </w:p>
    <w:p w14:paraId="7DF020BE" w14:textId="29A85AFB" w:rsidR="004937E8" w:rsidRPr="00A64175" w:rsidRDefault="004937E8" w:rsidP="00A64175">
      <w:pPr>
        <w:pStyle w:val="Paragraphedeliste"/>
        <w:widowControl w:val="0"/>
        <w:autoSpaceDE w:val="0"/>
        <w:adjustRightInd w:val="0"/>
        <w:spacing w:before="0" w:beforeAutospacing="0" w:afterAutospacing="0"/>
        <w:ind w:right="1024"/>
        <w:contextualSpacing/>
        <w:rPr>
          <w:color w:val="000000" w:themeColor="text1"/>
          <w:kern w:val="1"/>
          <w:sz w:val="22"/>
          <w:szCs w:val="22"/>
        </w:rPr>
      </w:pPr>
      <w:r w:rsidRPr="00A64175">
        <w:rPr>
          <w:color w:val="000000" w:themeColor="text1"/>
          <w:kern w:val="1"/>
          <w:sz w:val="22"/>
          <w:szCs w:val="22"/>
        </w:rPr>
        <w:t xml:space="preserve"> </w:t>
      </w:r>
    </w:p>
    <w:p w14:paraId="196E251E" w14:textId="39CDCAEA" w:rsidR="007D1E22" w:rsidRPr="006714C1" w:rsidRDefault="00F43E5A" w:rsidP="00A64175">
      <w:pPr>
        <w:pStyle w:val="Paragraphedeliste"/>
        <w:widowControl w:val="0"/>
        <w:numPr>
          <w:ilvl w:val="0"/>
          <w:numId w:val="201"/>
        </w:numPr>
        <w:autoSpaceDE w:val="0"/>
        <w:adjustRightInd w:val="0"/>
        <w:rPr>
          <w:color w:val="000000"/>
          <w:kern w:val="1"/>
          <w:sz w:val="22"/>
          <w:szCs w:val="22"/>
        </w:rPr>
      </w:pPr>
      <w:r w:rsidRPr="00A64175">
        <w:rPr>
          <w:color w:val="000000" w:themeColor="text1"/>
          <w:kern w:val="1"/>
          <w:sz w:val="22"/>
          <w:szCs w:val="22"/>
        </w:rPr>
        <w:t>Si les données sur le</w:t>
      </w:r>
      <w:r w:rsidR="004937E8" w:rsidRPr="00A64175">
        <w:rPr>
          <w:color w:val="000000" w:themeColor="text1"/>
          <w:kern w:val="1"/>
          <w:sz w:val="22"/>
          <w:szCs w:val="22"/>
        </w:rPr>
        <w:t xml:space="preserve"> fonds </w:t>
      </w:r>
      <w:r w:rsidRPr="00A64175">
        <w:rPr>
          <w:color w:val="000000" w:themeColor="text1"/>
          <w:kern w:val="1"/>
          <w:sz w:val="22"/>
          <w:szCs w:val="22"/>
        </w:rPr>
        <w:t>de roulement net concordent bien</w:t>
      </w:r>
      <w:r w:rsidR="004937E8" w:rsidRPr="00A64175">
        <w:rPr>
          <w:color w:val="000000" w:themeColor="text1"/>
          <w:kern w:val="1"/>
          <w:sz w:val="22"/>
          <w:szCs w:val="22"/>
        </w:rPr>
        <w:t xml:space="preserve"> avec les facteurs de risque, le rapport d’au</w:t>
      </w:r>
      <w:r w:rsidRPr="00A64175">
        <w:rPr>
          <w:color w:val="000000" w:themeColor="text1"/>
          <w:kern w:val="1"/>
          <w:sz w:val="22"/>
          <w:szCs w:val="22"/>
        </w:rPr>
        <w:t>dit, l’utilisation du produit, la stratégie défini</w:t>
      </w:r>
      <w:r w:rsidR="004937E8" w:rsidRPr="00A64175">
        <w:rPr>
          <w:color w:val="000000" w:themeColor="text1"/>
          <w:kern w:val="1"/>
          <w:sz w:val="22"/>
          <w:szCs w:val="22"/>
        </w:rPr>
        <w:t>e</w:t>
      </w:r>
      <w:r w:rsidRPr="00A64175">
        <w:rPr>
          <w:color w:val="000000" w:themeColor="text1"/>
          <w:kern w:val="1"/>
          <w:sz w:val="22"/>
          <w:szCs w:val="22"/>
        </w:rPr>
        <w:t xml:space="preserve"> par</w:t>
      </w:r>
      <w:r w:rsidR="004937E8" w:rsidRPr="00A64175">
        <w:rPr>
          <w:color w:val="000000" w:themeColor="text1"/>
          <w:kern w:val="1"/>
          <w:sz w:val="22"/>
          <w:szCs w:val="22"/>
        </w:rPr>
        <w:t xml:space="preserve"> l’émetteur et la manière dont cette stratégie sera financée.</w:t>
      </w:r>
    </w:p>
    <w:p w14:paraId="31929CA2" w14:textId="3320CB65" w:rsidR="007D1E22" w:rsidRPr="00A64175" w:rsidRDefault="00F30BD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sz w:val="22"/>
          <w:szCs w:val="22"/>
        </w:rPr>
        <w:t>Article 14</w:t>
      </w:r>
      <w:r w:rsidR="004F08BD">
        <w:rPr>
          <w:rFonts w:ascii="Arial" w:hAnsi="Arial" w:cs="Arial"/>
          <w:b/>
          <w:bCs/>
          <w:sz w:val="22"/>
          <w:szCs w:val="22"/>
        </w:rPr>
        <w:t>3</w:t>
      </w:r>
      <w:r w:rsidR="004937E8" w:rsidRPr="00A64175">
        <w:rPr>
          <w:rFonts w:ascii="Arial" w:hAnsi="Arial" w:cs="Arial"/>
          <w:b/>
          <w:bCs/>
          <w:sz w:val="22"/>
          <w:szCs w:val="22"/>
        </w:rPr>
        <w:t xml:space="preserve">. – </w:t>
      </w:r>
      <w:r w:rsidR="004937E8" w:rsidRPr="00A64175">
        <w:rPr>
          <w:rFonts w:ascii="Arial" w:hAnsi="Arial" w:cs="Arial"/>
          <w:color w:val="000000" w:themeColor="text1"/>
          <w:kern w:val="1"/>
          <w:sz w:val="22"/>
          <w:szCs w:val="22"/>
        </w:rPr>
        <w:t>Si la protection des investisseurs l’exige, la COSUMAF peut appliquer des critères supplémentaires en sus de ceux prévus</w:t>
      </w:r>
      <w:r w:rsidRPr="00A64175">
        <w:rPr>
          <w:rFonts w:ascii="Arial" w:hAnsi="Arial" w:cs="Arial"/>
          <w:color w:val="000000" w:themeColor="text1"/>
          <w:kern w:val="1"/>
          <w:sz w:val="22"/>
          <w:szCs w:val="22"/>
        </w:rPr>
        <w:t xml:space="preserve"> </w:t>
      </w:r>
      <w:r w:rsidR="00F3790C" w:rsidRPr="00C21CF0">
        <w:rPr>
          <w:rFonts w:ascii="Arial" w:hAnsi="Arial" w:cs="Arial"/>
          <w:color w:val="000000" w:themeColor="text1"/>
          <w:kern w:val="1"/>
          <w:sz w:val="22"/>
          <w:szCs w:val="22"/>
        </w:rPr>
        <w:t>140</w:t>
      </w:r>
      <w:r w:rsidRPr="00C21CF0">
        <w:rPr>
          <w:rFonts w:ascii="Arial" w:hAnsi="Arial" w:cs="Arial"/>
          <w:color w:val="000000" w:themeColor="text1"/>
          <w:kern w:val="1"/>
          <w:sz w:val="22"/>
          <w:szCs w:val="22"/>
        </w:rPr>
        <w:t xml:space="preserve"> à </w:t>
      </w:r>
      <w:r w:rsidR="00F3790C" w:rsidRPr="00C21CF0">
        <w:rPr>
          <w:rFonts w:ascii="Arial" w:hAnsi="Arial" w:cs="Arial"/>
          <w:color w:val="000000" w:themeColor="text1"/>
          <w:kern w:val="1"/>
          <w:sz w:val="22"/>
          <w:szCs w:val="22"/>
        </w:rPr>
        <w:t>142</w:t>
      </w:r>
      <w:r w:rsidRPr="00C21CF0">
        <w:rPr>
          <w:rFonts w:ascii="Arial" w:hAnsi="Arial" w:cs="Arial"/>
          <w:color w:val="000000" w:themeColor="text1"/>
          <w:kern w:val="1"/>
          <w:sz w:val="22"/>
          <w:szCs w:val="22"/>
        </w:rPr>
        <w:t xml:space="preserve"> du présent règlement général</w:t>
      </w:r>
      <w:r w:rsidR="004937E8" w:rsidRPr="00A64175">
        <w:rPr>
          <w:rFonts w:ascii="Arial" w:hAnsi="Arial" w:cs="Arial"/>
          <w:color w:val="000000" w:themeColor="text1"/>
          <w:kern w:val="1"/>
          <w:sz w:val="22"/>
          <w:szCs w:val="22"/>
        </w:rPr>
        <w:t xml:space="preserve"> aux fins de l’examen de l’exhaustivité, de la compréhensibilité et de la cohérence des informations contenues dans le projet de document d’information.</w:t>
      </w:r>
    </w:p>
    <w:p w14:paraId="608FB72F" w14:textId="77777777" w:rsidR="007D1E22" w:rsidRPr="00A64175" w:rsidRDefault="007D1E22" w:rsidP="00A64175">
      <w:pPr>
        <w:widowControl w:val="0"/>
        <w:autoSpaceDE w:val="0"/>
        <w:autoSpaceDN w:val="0"/>
        <w:adjustRightInd w:val="0"/>
        <w:jc w:val="both"/>
        <w:rPr>
          <w:rFonts w:ascii="Arial" w:hAnsi="Arial" w:cs="Arial"/>
          <w:color w:val="000000"/>
          <w:kern w:val="1"/>
          <w:sz w:val="22"/>
          <w:szCs w:val="22"/>
        </w:rPr>
      </w:pPr>
    </w:p>
    <w:p w14:paraId="745FDECE" w14:textId="0C27C2E0" w:rsidR="00C4030B" w:rsidRPr="00A64175" w:rsidRDefault="00F30BD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sz w:val="22"/>
          <w:szCs w:val="22"/>
        </w:rPr>
        <w:t>Article 14</w:t>
      </w:r>
      <w:r w:rsidR="004F08BD">
        <w:rPr>
          <w:rFonts w:ascii="Arial" w:hAnsi="Arial" w:cs="Arial"/>
          <w:b/>
          <w:bCs/>
          <w:sz w:val="22"/>
          <w:szCs w:val="22"/>
        </w:rPr>
        <w:t>4</w:t>
      </w:r>
      <w:r w:rsidR="00C64A21" w:rsidRPr="00A64175">
        <w:rPr>
          <w:rFonts w:ascii="Arial" w:hAnsi="Arial" w:cs="Arial"/>
          <w:b/>
          <w:bCs/>
          <w:sz w:val="22"/>
          <w:szCs w:val="22"/>
        </w:rPr>
        <w:t>. –</w:t>
      </w:r>
      <w:r w:rsidR="004E721C" w:rsidRPr="00A64175">
        <w:rPr>
          <w:rFonts w:ascii="Arial" w:hAnsi="Arial" w:cs="Arial"/>
          <w:bCs/>
          <w:sz w:val="22"/>
          <w:szCs w:val="22"/>
        </w:rPr>
        <w:t xml:space="preserve"> Le</w:t>
      </w:r>
      <w:r w:rsidR="00C64A21" w:rsidRPr="00A64175">
        <w:rPr>
          <w:rFonts w:ascii="Arial" w:hAnsi="Arial" w:cs="Arial"/>
          <w:bCs/>
          <w:sz w:val="22"/>
          <w:szCs w:val="22"/>
        </w:rPr>
        <w:t xml:space="preserve"> dossier de demande</w:t>
      </w:r>
      <w:r w:rsidR="00261335" w:rsidRPr="00A64175">
        <w:rPr>
          <w:rFonts w:ascii="Arial" w:hAnsi="Arial" w:cs="Arial"/>
          <w:bCs/>
          <w:sz w:val="22"/>
          <w:szCs w:val="22"/>
        </w:rPr>
        <w:t xml:space="preserve"> de visa</w:t>
      </w:r>
      <w:r w:rsidR="004E721C" w:rsidRPr="00A64175">
        <w:rPr>
          <w:rFonts w:ascii="Arial" w:hAnsi="Arial" w:cs="Arial"/>
          <w:bCs/>
          <w:sz w:val="22"/>
          <w:szCs w:val="22"/>
        </w:rPr>
        <w:t xml:space="preserve"> comprend :</w:t>
      </w:r>
    </w:p>
    <w:p w14:paraId="5490C6E6" w14:textId="60205FB2" w:rsidR="004E721C" w:rsidRPr="00A64175" w:rsidRDefault="004E721C"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Une copie certifiée conforme des stat</w:t>
      </w:r>
      <w:r w:rsidR="003726AC" w:rsidRPr="00A64175">
        <w:rPr>
          <w:color w:val="000000"/>
          <w:kern w:val="1"/>
          <w:sz w:val="22"/>
          <w:szCs w:val="22"/>
        </w:rPr>
        <w:t xml:space="preserve">uts ou de tout document </w:t>
      </w:r>
      <w:r w:rsidRPr="00A64175">
        <w:rPr>
          <w:color w:val="000000"/>
          <w:kern w:val="1"/>
          <w:sz w:val="22"/>
          <w:szCs w:val="22"/>
        </w:rPr>
        <w:t xml:space="preserve"> équivalent ;</w:t>
      </w:r>
    </w:p>
    <w:p w14:paraId="7A22371F" w14:textId="2D66313A" w:rsidR="00236C2E" w:rsidRPr="00A64175" w:rsidRDefault="00236C2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Le document d’information soumis au visa ;</w:t>
      </w:r>
    </w:p>
    <w:p w14:paraId="01D2F818" w14:textId="68770D26" w:rsidR="0081030E" w:rsidRPr="00A64175" w:rsidRDefault="0081030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Un bulletin de souscription ;</w:t>
      </w:r>
    </w:p>
    <w:p w14:paraId="77F64FF8" w14:textId="03DCA967" w:rsidR="004E721C" w:rsidRPr="00A64175" w:rsidRDefault="004E721C"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Une copie ou un extrait des documents d’immatriculation au Registre du Commerce et du Crédit Mobilier datant de moins de trois mois ;</w:t>
      </w:r>
    </w:p>
    <w:p w14:paraId="435B9562" w14:textId="6DF349EF" w:rsidR="004E721C" w:rsidRPr="00A64175" w:rsidRDefault="004E721C"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 xml:space="preserve">Les états financiers certifiés </w:t>
      </w:r>
      <w:r w:rsidR="00236C2E" w:rsidRPr="00A64175">
        <w:rPr>
          <w:color w:val="000000"/>
          <w:kern w:val="1"/>
          <w:sz w:val="22"/>
          <w:szCs w:val="22"/>
        </w:rPr>
        <w:t>des trois derniers</w:t>
      </w:r>
      <w:r w:rsidRPr="00A64175">
        <w:rPr>
          <w:color w:val="000000"/>
          <w:kern w:val="1"/>
          <w:sz w:val="22"/>
          <w:szCs w:val="22"/>
        </w:rPr>
        <w:t xml:space="preserve"> exercices, établis conformément aux normes </w:t>
      </w:r>
      <w:r w:rsidR="00236C2E" w:rsidRPr="00A64175">
        <w:rPr>
          <w:color w:val="000000"/>
          <w:kern w:val="1"/>
          <w:sz w:val="22"/>
          <w:szCs w:val="22"/>
        </w:rPr>
        <w:t>comptables en vigueur, ou à défaut, une copie certifiée conforme du rapport de vérification de l’actif ou du passif ;</w:t>
      </w:r>
    </w:p>
    <w:p w14:paraId="1FC30837" w14:textId="70A8B00E" w:rsidR="00236C2E" w:rsidRPr="00A64175" w:rsidRDefault="00236C2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Le procès-verbal des délibérations de l’assemblée générale ou, à défaut, tout autre document équivalent ayant autorisé l’opération ;</w:t>
      </w:r>
    </w:p>
    <w:p w14:paraId="6B8AB32A" w14:textId="20187A8E" w:rsidR="00236C2E" w:rsidRPr="00A64175" w:rsidRDefault="00236C2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Les trois derniers rapports annuels de gestion ;</w:t>
      </w:r>
    </w:p>
    <w:p w14:paraId="086E9391" w14:textId="09FABDB2" w:rsidR="00236C2E" w:rsidRPr="00A64175" w:rsidRDefault="00236C2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Les trois derniers rapports généraux et spéciaux des commissaires aux comptes ;</w:t>
      </w:r>
    </w:p>
    <w:p w14:paraId="12770C83" w14:textId="23BCA24F" w:rsidR="00236C2E" w:rsidRPr="00A64175" w:rsidRDefault="00236C2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w:t>
      </w:r>
      <w:r w:rsidR="0081030E" w:rsidRPr="00A64175">
        <w:rPr>
          <w:color w:val="000000"/>
          <w:kern w:val="1"/>
          <w:sz w:val="22"/>
          <w:szCs w:val="22"/>
        </w:rPr>
        <w:t>a lettre de mandat désignant</w:t>
      </w:r>
      <w:r w:rsidRPr="00A64175">
        <w:rPr>
          <w:color w:val="000000"/>
          <w:kern w:val="1"/>
          <w:sz w:val="22"/>
          <w:szCs w:val="22"/>
        </w:rPr>
        <w:t xml:space="preserve"> la société de bourse chargée d’assister l’émetteur</w:t>
      </w:r>
      <w:r w:rsidR="0081030E" w:rsidRPr="00A64175">
        <w:rPr>
          <w:color w:val="000000"/>
          <w:kern w:val="1"/>
          <w:sz w:val="22"/>
          <w:szCs w:val="22"/>
        </w:rPr>
        <w:t xml:space="preserve"> et d’assurer le suivi de l’opération</w:t>
      </w:r>
      <w:r w:rsidRPr="00A64175">
        <w:rPr>
          <w:color w:val="000000"/>
          <w:kern w:val="1"/>
          <w:sz w:val="22"/>
          <w:szCs w:val="22"/>
        </w:rPr>
        <w:t> ;</w:t>
      </w:r>
    </w:p>
    <w:p w14:paraId="16AB6C6B" w14:textId="4B83E629" w:rsidR="0081030E" w:rsidRPr="00A64175" w:rsidRDefault="0081030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Le rapport d’évaluation financière de l’émetteur ;</w:t>
      </w:r>
    </w:p>
    <w:p w14:paraId="1E2187A4" w14:textId="2EAB6F20" w:rsidR="0081030E" w:rsidRPr="00A64175" w:rsidRDefault="0081030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Des documents prévisionnels d’activité sur les trois (3) années à venir ;</w:t>
      </w:r>
    </w:p>
    <w:p w14:paraId="069E4FAA" w14:textId="775458F3" w:rsidR="004E721C" w:rsidRPr="006714C1" w:rsidRDefault="0081030E" w:rsidP="00A64175">
      <w:pPr>
        <w:pStyle w:val="Paragraphedeliste"/>
        <w:widowControl w:val="0"/>
        <w:numPr>
          <w:ilvl w:val="0"/>
          <w:numId w:val="20"/>
        </w:numPr>
        <w:autoSpaceDE w:val="0"/>
        <w:adjustRightInd w:val="0"/>
        <w:rPr>
          <w:color w:val="000000"/>
          <w:kern w:val="1"/>
          <w:sz w:val="22"/>
          <w:szCs w:val="22"/>
        </w:rPr>
      </w:pPr>
      <w:r w:rsidRPr="00A64175">
        <w:rPr>
          <w:color w:val="000000"/>
          <w:kern w:val="1"/>
          <w:sz w:val="22"/>
          <w:szCs w:val="22"/>
        </w:rPr>
        <w:t xml:space="preserve">Tout autre document </w:t>
      </w:r>
      <w:r w:rsidR="00C152A0" w:rsidRPr="00A64175">
        <w:rPr>
          <w:color w:val="000000"/>
          <w:kern w:val="1"/>
          <w:sz w:val="22"/>
          <w:szCs w:val="22"/>
        </w:rPr>
        <w:t>que pourrait exiger la COSUMAF dans le cadre de l’instruction de la demande de visa.</w:t>
      </w:r>
    </w:p>
    <w:p w14:paraId="6A482DBC" w14:textId="6C6BD567" w:rsidR="00B16EC0" w:rsidRPr="00A64175" w:rsidRDefault="00F30BDF" w:rsidP="00A64175">
      <w:pPr>
        <w:widowControl w:val="0"/>
        <w:tabs>
          <w:tab w:val="left" w:pos="3870"/>
        </w:tabs>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14</w:t>
      </w:r>
      <w:r w:rsidR="004F08BD">
        <w:rPr>
          <w:rFonts w:ascii="Arial" w:hAnsi="Arial" w:cs="Arial"/>
          <w:b/>
          <w:bCs/>
          <w:color w:val="000000"/>
          <w:sz w:val="22"/>
          <w:szCs w:val="22"/>
        </w:rPr>
        <w:t>5</w:t>
      </w:r>
      <w:r w:rsidR="00B16EC0" w:rsidRPr="00A64175">
        <w:rPr>
          <w:rFonts w:ascii="Arial" w:hAnsi="Arial" w:cs="Arial"/>
          <w:b/>
          <w:bCs/>
          <w:color w:val="000000"/>
          <w:sz w:val="22"/>
          <w:szCs w:val="22"/>
        </w:rPr>
        <w:t xml:space="preserve">. – </w:t>
      </w:r>
      <w:r w:rsidR="00B16EC0" w:rsidRPr="00A64175">
        <w:rPr>
          <w:rFonts w:ascii="Arial" w:hAnsi="Arial" w:cs="Arial"/>
          <w:color w:val="000000"/>
          <w:sz w:val="22"/>
          <w:szCs w:val="22"/>
        </w:rPr>
        <w:t>La COSUMAF peut refuser de délivrer son visa lorsque :</w:t>
      </w:r>
    </w:p>
    <w:p w14:paraId="6E0F705E"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6156B5A4" w14:textId="77777777" w:rsidR="00B16EC0" w:rsidRPr="00A64175" w:rsidRDefault="00B16EC0" w:rsidP="00A64175">
      <w:pPr>
        <w:widowControl w:val="0"/>
        <w:numPr>
          <w:ilvl w:val="0"/>
          <w:numId w:val="21"/>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dossier du requérant est incomplet ;</w:t>
      </w:r>
    </w:p>
    <w:p w14:paraId="56833935" w14:textId="77777777" w:rsidR="00B16EC0" w:rsidRPr="00A64175" w:rsidRDefault="00B16EC0"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03367DED" w14:textId="77777777" w:rsidR="00B16EC0" w:rsidRPr="00A64175" w:rsidRDefault="00B16EC0" w:rsidP="00A64175">
      <w:pPr>
        <w:widowControl w:val="0"/>
        <w:numPr>
          <w:ilvl w:val="0"/>
          <w:numId w:val="21"/>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 document d’information n’est pas conforme aux dispositions légales et réglementaires en vigueur en matière d’appel public à l’épargne ;</w:t>
      </w:r>
    </w:p>
    <w:p w14:paraId="5C898E24" w14:textId="77777777" w:rsidR="00B16EC0" w:rsidRPr="00A64175" w:rsidRDefault="00B16EC0" w:rsidP="00A64175">
      <w:pPr>
        <w:widowControl w:val="0"/>
        <w:tabs>
          <w:tab w:val="left" w:pos="220"/>
          <w:tab w:val="left" w:pos="720"/>
        </w:tabs>
        <w:autoSpaceDE w:val="0"/>
        <w:autoSpaceDN w:val="0"/>
        <w:adjustRightInd w:val="0"/>
        <w:jc w:val="both"/>
        <w:rPr>
          <w:rFonts w:ascii="Arial" w:hAnsi="Arial" w:cs="Arial"/>
          <w:color w:val="000000"/>
          <w:kern w:val="1"/>
          <w:sz w:val="22"/>
          <w:szCs w:val="22"/>
        </w:rPr>
      </w:pPr>
    </w:p>
    <w:p w14:paraId="241ED8E5" w14:textId="77777777" w:rsidR="00B16EC0" w:rsidRPr="00A64175" w:rsidRDefault="00B16EC0" w:rsidP="00A64175">
      <w:pPr>
        <w:widowControl w:val="0"/>
        <w:numPr>
          <w:ilvl w:val="0"/>
          <w:numId w:val="21"/>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l’émetteur contrevient à l’une des dispositions légales en vigueur en matière d’appel public à l’épargne ;</w:t>
      </w:r>
    </w:p>
    <w:p w14:paraId="4E737D31" w14:textId="77777777" w:rsidR="00B16EC0" w:rsidRPr="00A64175" w:rsidRDefault="00B16EC0"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3F969CE3" w14:textId="77777777" w:rsidR="00B16EC0" w:rsidRPr="00A64175" w:rsidRDefault="00B16EC0" w:rsidP="00A64175">
      <w:pPr>
        <w:widowControl w:val="0"/>
        <w:numPr>
          <w:ilvl w:val="0"/>
          <w:numId w:val="21"/>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dirigeants de l’émetteur, les personnes possédant une participation leur conférant une influence déterminante sur ses affaires ou le promoteur de l’opération ne présentent pas la probité indispensable à la protection des intérêts des investisseurs ;</w:t>
      </w:r>
    </w:p>
    <w:p w14:paraId="100D9360" w14:textId="77777777" w:rsidR="00B16EC0" w:rsidRPr="00A64175" w:rsidRDefault="00B16EC0" w:rsidP="00A64175">
      <w:pPr>
        <w:widowControl w:val="0"/>
        <w:tabs>
          <w:tab w:val="left" w:pos="220"/>
          <w:tab w:val="left" w:pos="720"/>
        </w:tabs>
        <w:autoSpaceDE w:val="0"/>
        <w:autoSpaceDN w:val="0"/>
        <w:adjustRightInd w:val="0"/>
        <w:ind w:left="720"/>
        <w:jc w:val="both"/>
        <w:rPr>
          <w:rFonts w:ascii="Arial" w:hAnsi="Arial" w:cs="Arial"/>
          <w:color w:val="000000"/>
          <w:kern w:val="1"/>
          <w:sz w:val="22"/>
          <w:szCs w:val="22"/>
        </w:rPr>
      </w:pPr>
    </w:p>
    <w:p w14:paraId="73DB745B" w14:textId="77777777" w:rsidR="00B16EC0" w:rsidRPr="00A64175" w:rsidRDefault="00B16EC0" w:rsidP="00A64175">
      <w:pPr>
        <w:widowControl w:val="0"/>
        <w:numPr>
          <w:ilvl w:val="0"/>
          <w:numId w:val="21"/>
        </w:numPr>
        <w:tabs>
          <w:tab w:val="left" w:pos="220"/>
          <w:tab w:val="left" w:pos="720"/>
        </w:tabs>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situation financière de l’émetteur ne permet pas de garantir la viabilité de son entreprise.</w:t>
      </w:r>
    </w:p>
    <w:p w14:paraId="6FD9C7CE"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20C49947" w14:textId="7FE6BBF0" w:rsidR="00DA46D8" w:rsidRPr="00A64175" w:rsidRDefault="00F30BD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14</w:t>
      </w:r>
      <w:r w:rsidR="004F08BD">
        <w:rPr>
          <w:rFonts w:ascii="Arial" w:hAnsi="Arial" w:cs="Arial"/>
          <w:b/>
          <w:bCs/>
          <w:color w:val="000000"/>
          <w:sz w:val="22"/>
          <w:szCs w:val="22"/>
        </w:rPr>
        <w:t>6</w:t>
      </w:r>
      <w:r w:rsidR="00DA46D8" w:rsidRPr="00A64175">
        <w:rPr>
          <w:rFonts w:ascii="Arial" w:hAnsi="Arial" w:cs="Arial"/>
          <w:b/>
          <w:bCs/>
          <w:color w:val="000000"/>
          <w:sz w:val="22"/>
          <w:szCs w:val="22"/>
        </w:rPr>
        <w:t xml:space="preserve">. – </w:t>
      </w:r>
      <w:r w:rsidR="00DA46D8" w:rsidRPr="00A64175">
        <w:rPr>
          <w:rFonts w:ascii="Arial" w:hAnsi="Arial" w:cs="Arial"/>
          <w:color w:val="000000"/>
          <w:sz w:val="22"/>
          <w:szCs w:val="22"/>
        </w:rPr>
        <w:t>La COSUMAF instruit les demandes de visa ou d’enregistrement dans un délai de quarante-cinq (45) jours à compter de la réception du dossier complet qui lui est soumis par l’émetteur ou son intermédiaire. Ce délai est suspendu en cas de demande, par la COSUMAF, de renseignements complémentaires.</w:t>
      </w:r>
    </w:p>
    <w:p w14:paraId="3138FE41" w14:textId="77777777" w:rsidR="00DA46D8" w:rsidRPr="00A64175" w:rsidRDefault="00DA46D8" w:rsidP="00A64175">
      <w:pPr>
        <w:widowControl w:val="0"/>
        <w:autoSpaceDE w:val="0"/>
        <w:autoSpaceDN w:val="0"/>
        <w:adjustRightInd w:val="0"/>
        <w:jc w:val="both"/>
        <w:rPr>
          <w:rFonts w:ascii="Arial" w:hAnsi="Arial" w:cs="Arial"/>
          <w:color w:val="000000"/>
          <w:kern w:val="1"/>
          <w:sz w:val="22"/>
          <w:szCs w:val="22"/>
        </w:rPr>
      </w:pPr>
    </w:p>
    <w:p w14:paraId="10D325C5" w14:textId="51C4D934" w:rsidR="00B16EC0" w:rsidRPr="00A64175" w:rsidRDefault="00F30BDF"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14</w:t>
      </w:r>
      <w:r w:rsidR="004F08BD">
        <w:rPr>
          <w:rFonts w:ascii="Arial" w:hAnsi="Arial" w:cs="Arial"/>
          <w:b/>
          <w:bCs/>
          <w:color w:val="000000"/>
          <w:sz w:val="22"/>
          <w:szCs w:val="22"/>
        </w:rPr>
        <w:t>7</w:t>
      </w:r>
      <w:r w:rsidR="00B16EC0" w:rsidRPr="00A64175">
        <w:rPr>
          <w:rFonts w:ascii="Arial" w:hAnsi="Arial" w:cs="Arial"/>
          <w:b/>
          <w:bCs/>
          <w:color w:val="000000"/>
          <w:sz w:val="22"/>
          <w:szCs w:val="22"/>
        </w:rPr>
        <w:t xml:space="preserve">. – </w:t>
      </w:r>
      <w:r w:rsidR="00B16EC0" w:rsidRPr="00A64175">
        <w:rPr>
          <w:rFonts w:ascii="Arial" w:hAnsi="Arial" w:cs="Arial"/>
          <w:color w:val="000000"/>
          <w:sz w:val="22"/>
          <w:szCs w:val="22"/>
        </w:rPr>
        <w:t>La COSUMAF peut, à tout moment après la délivrance de son visa, interrompre les opérations portant appel public à l’épargne, lorsqu’elle relève un risque sérieux d’atteinte aux intérêts des investisseurs.</w:t>
      </w:r>
    </w:p>
    <w:p w14:paraId="0F5CBAD4"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73781CB2"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La décision d’interruption a effet immédiat, et les motifs invoqués sont portés à la connaissance du public par insertion de ladite décision dans tout journal ou support précisé par la COSUMAF.</w:t>
      </w:r>
    </w:p>
    <w:p w14:paraId="61F1D604"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15AC5350"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A compter de la date de publication de la décision, la COSUMAF ouvre une enquête en vue d’établir d’éventuels manquements ou atteintes aux intérêts des épargnants et à la réglementation du marché.</w:t>
      </w:r>
    </w:p>
    <w:p w14:paraId="0F04E135"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49406A1F"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sz w:val="22"/>
          <w:szCs w:val="22"/>
        </w:rPr>
        <w:t>Les opérations interrompues ne peuvent reprendre qu’avec l’autorisation de la COSUMAF.</w:t>
      </w:r>
    </w:p>
    <w:p w14:paraId="4734061F"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31DBAB74" w14:textId="77777777" w:rsidR="00B16EC0" w:rsidRPr="00A64175" w:rsidRDefault="00B16EC0"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Lorsque l’enquête révèle que des manquements graves ont été commis par l’émetteur dans le cadre de l’opération litigieuse, la COSUMAF prend une décision d’annulation de l’opération. Dans ce cas, l’émetteur ou son mandataire est tenu de procéder au remboursement des souscriptions déjà intervenues ou à la restitution des titres déjà reçus.</w:t>
      </w:r>
    </w:p>
    <w:p w14:paraId="534D52F6" w14:textId="77777777" w:rsidR="00B16EC0" w:rsidRPr="00A64175" w:rsidRDefault="00B16EC0" w:rsidP="00A64175">
      <w:pPr>
        <w:widowControl w:val="0"/>
        <w:autoSpaceDE w:val="0"/>
        <w:autoSpaceDN w:val="0"/>
        <w:adjustRightInd w:val="0"/>
        <w:jc w:val="both"/>
        <w:rPr>
          <w:rFonts w:ascii="Arial" w:hAnsi="Arial" w:cs="Arial"/>
          <w:color w:val="000000"/>
          <w:sz w:val="22"/>
          <w:szCs w:val="22"/>
        </w:rPr>
      </w:pPr>
    </w:p>
    <w:p w14:paraId="4F024D7C" w14:textId="07CD72D7" w:rsidR="00B16EC0" w:rsidRPr="00A64175" w:rsidRDefault="00F30BD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color w:val="000000"/>
          <w:sz w:val="22"/>
          <w:szCs w:val="22"/>
        </w:rPr>
        <w:t>Article 14</w:t>
      </w:r>
      <w:r w:rsidR="004F08BD">
        <w:rPr>
          <w:rFonts w:ascii="Arial" w:hAnsi="Arial" w:cs="Arial"/>
          <w:b/>
          <w:bCs/>
          <w:color w:val="000000"/>
          <w:sz w:val="22"/>
          <w:szCs w:val="22"/>
        </w:rPr>
        <w:t>8</w:t>
      </w:r>
      <w:r w:rsidR="002357DB" w:rsidRPr="00A64175">
        <w:rPr>
          <w:rFonts w:ascii="Arial" w:hAnsi="Arial" w:cs="Arial"/>
          <w:b/>
          <w:bCs/>
          <w:color w:val="000000"/>
          <w:sz w:val="22"/>
          <w:szCs w:val="22"/>
        </w:rPr>
        <w:t xml:space="preserve">. – </w:t>
      </w:r>
      <w:r w:rsidR="002357DB" w:rsidRPr="00A64175">
        <w:rPr>
          <w:rFonts w:ascii="Arial" w:hAnsi="Arial" w:cs="Arial"/>
          <w:color w:val="000000"/>
          <w:sz w:val="22"/>
          <w:szCs w:val="22"/>
        </w:rPr>
        <w:t>L</w:t>
      </w:r>
      <w:r w:rsidR="0059354E" w:rsidRPr="00A64175">
        <w:rPr>
          <w:rFonts w:ascii="Arial" w:hAnsi="Arial" w:cs="Arial"/>
          <w:color w:val="000000"/>
          <w:sz w:val="22"/>
          <w:szCs w:val="22"/>
        </w:rPr>
        <w:t>e</w:t>
      </w:r>
      <w:r w:rsidR="002357DB" w:rsidRPr="00A64175">
        <w:rPr>
          <w:rFonts w:ascii="Arial" w:hAnsi="Arial" w:cs="Arial"/>
          <w:color w:val="000000"/>
          <w:sz w:val="22"/>
          <w:szCs w:val="22"/>
        </w:rPr>
        <w:t xml:space="preserve"> visa </w:t>
      </w:r>
      <w:r w:rsidR="0059354E" w:rsidRPr="00A64175">
        <w:rPr>
          <w:rFonts w:ascii="Arial" w:hAnsi="Arial" w:cs="Arial"/>
          <w:color w:val="000000"/>
          <w:sz w:val="22"/>
          <w:szCs w:val="22"/>
        </w:rPr>
        <w:t xml:space="preserve">délivré </w:t>
      </w:r>
      <w:r w:rsidR="002357DB" w:rsidRPr="00A64175">
        <w:rPr>
          <w:rFonts w:ascii="Arial" w:hAnsi="Arial" w:cs="Arial"/>
          <w:color w:val="000000"/>
          <w:sz w:val="22"/>
          <w:szCs w:val="22"/>
        </w:rPr>
        <w:t xml:space="preserve">par la COSUMAF </w:t>
      </w:r>
      <w:r w:rsidR="0059354E" w:rsidRPr="00A64175">
        <w:rPr>
          <w:rFonts w:ascii="Arial" w:hAnsi="Arial" w:cs="Arial"/>
          <w:color w:val="000000"/>
          <w:sz w:val="22"/>
          <w:szCs w:val="22"/>
        </w:rPr>
        <w:t>n’implique ni approbation de l’opportunité de l’opération, ni authentification des éléments comptables et financiers présentés ou de l’information diffusée.</w:t>
      </w:r>
    </w:p>
    <w:p w14:paraId="25B850B8" w14:textId="77777777" w:rsidR="002357DB" w:rsidRPr="00A64175" w:rsidRDefault="002357DB" w:rsidP="00A64175">
      <w:pPr>
        <w:widowControl w:val="0"/>
        <w:autoSpaceDE w:val="0"/>
        <w:autoSpaceDN w:val="0"/>
        <w:adjustRightInd w:val="0"/>
        <w:jc w:val="both"/>
        <w:rPr>
          <w:rFonts w:ascii="Arial" w:hAnsi="Arial" w:cs="Arial"/>
          <w:color w:val="000000"/>
          <w:kern w:val="1"/>
          <w:sz w:val="22"/>
          <w:szCs w:val="22"/>
        </w:rPr>
      </w:pPr>
    </w:p>
    <w:p w14:paraId="61BC7EE6" w14:textId="4FF842E8" w:rsidR="00F02A1B" w:rsidRPr="00A64175" w:rsidRDefault="00F02A1B"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Le visa atteste que le document d’information examiné par la COSUMAF est complet et comporte des informations pertinentes, cohérentes, claires et compréhensibles pour les investisseurs.</w:t>
      </w:r>
    </w:p>
    <w:p w14:paraId="126F395C" w14:textId="77777777" w:rsidR="00F02A1B" w:rsidRPr="00A64175" w:rsidRDefault="00F02A1B" w:rsidP="00A64175">
      <w:pPr>
        <w:widowControl w:val="0"/>
        <w:autoSpaceDE w:val="0"/>
        <w:autoSpaceDN w:val="0"/>
        <w:adjustRightInd w:val="0"/>
        <w:jc w:val="both"/>
        <w:rPr>
          <w:rFonts w:ascii="Arial" w:hAnsi="Arial" w:cs="Arial"/>
          <w:color w:val="000000"/>
          <w:kern w:val="1"/>
          <w:sz w:val="22"/>
          <w:szCs w:val="22"/>
        </w:rPr>
      </w:pPr>
    </w:p>
    <w:p w14:paraId="022B98E0" w14:textId="2EF148E9" w:rsidR="00F02A1B" w:rsidRPr="00A64175" w:rsidRDefault="00F02A1B"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 xml:space="preserve">Le visa de la COSUMAF ne constitue pas une garantie </w:t>
      </w:r>
      <w:r w:rsidR="00D969E3" w:rsidRPr="00A64175">
        <w:rPr>
          <w:rFonts w:ascii="Arial" w:hAnsi="Arial" w:cs="Arial"/>
          <w:color w:val="000000"/>
          <w:kern w:val="1"/>
          <w:sz w:val="22"/>
          <w:szCs w:val="22"/>
        </w:rPr>
        <w:t xml:space="preserve">contre les risques de marché. </w:t>
      </w:r>
    </w:p>
    <w:p w14:paraId="2AFD58CB" w14:textId="77777777" w:rsidR="002357DB" w:rsidRPr="00A64175" w:rsidRDefault="002357DB" w:rsidP="00A64175">
      <w:pPr>
        <w:widowControl w:val="0"/>
        <w:autoSpaceDE w:val="0"/>
        <w:autoSpaceDN w:val="0"/>
        <w:adjustRightInd w:val="0"/>
        <w:jc w:val="both"/>
        <w:rPr>
          <w:rFonts w:ascii="Arial" w:hAnsi="Arial" w:cs="Arial"/>
          <w:color w:val="000000"/>
          <w:kern w:val="1"/>
          <w:sz w:val="22"/>
          <w:szCs w:val="22"/>
        </w:rPr>
      </w:pPr>
    </w:p>
    <w:p w14:paraId="6F6A7033" w14:textId="77777777" w:rsidR="00D969E3" w:rsidRPr="00A64175" w:rsidRDefault="00D969E3"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Le document d’information est établi sous la seule responsabilité de l’émetteur.</w:t>
      </w:r>
    </w:p>
    <w:p w14:paraId="7986DEC5" w14:textId="77777777" w:rsidR="00D969E3" w:rsidRPr="00A64175" w:rsidRDefault="00D969E3" w:rsidP="00A64175">
      <w:pPr>
        <w:widowControl w:val="0"/>
        <w:autoSpaceDE w:val="0"/>
        <w:autoSpaceDN w:val="0"/>
        <w:adjustRightInd w:val="0"/>
        <w:jc w:val="both"/>
        <w:rPr>
          <w:rFonts w:ascii="Arial" w:hAnsi="Arial" w:cs="Arial"/>
          <w:color w:val="000000"/>
          <w:kern w:val="1"/>
          <w:sz w:val="22"/>
          <w:szCs w:val="22"/>
        </w:rPr>
      </w:pPr>
    </w:p>
    <w:p w14:paraId="1D73E773" w14:textId="37D60466" w:rsidR="00D969E3" w:rsidRPr="00A64175" w:rsidRDefault="00D969E3"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color w:val="000000"/>
          <w:kern w:val="1"/>
          <w:sz w:val="22"/>
          <w:szCs w:val="22"/>
        </w:rPr>
        <w:t>Tout document d’information soumis au visa de la COSUMAF doit contenir un avertissement reprenant les dispositions du présent article.</w:t>
      </w:r>
    </w:p>
    <w:p w14:paraId="54443531" w14:textId="77777777" w:rsidR="002357DB" w:rsidRPr="00A64175" w:rsidRDefault="002357DB" w:rsidP="00A64175">
      <w:pPr>
        <w:widowControl w:val="0"/>
        <w:autoSpaceDE w:val="0"/>
        <w:autoSpaceDN w:val="0"/>
        <w:adjustRightInd w:val="0"/>
        <w:jc w:val="both"/>
        <w:rPr>
          <w:rFonts w:ascii="Arial" w:hAnsi="Arial" w:cs="Arial"/>
          <w:color w:val="000000"/>
          <w:kern w:val="1"/>
          <w:sz w:val="22"/>
          <w:szCs w:val="22"/>
        </w:rPr>
      </w:pPr>
    </w:p>
    <w:p w14:paraId="2663754D" w14:textId="79E55118" w:rsidR="00B16EC0" w:rsidRPr="006714C1" w:rsidRDefault="00F30BDF" w:rsidP="00A64175">
      <w:pPr>
        <w:widowControl w:val="0"/>
        <w:autoSpaceDE w:val="0"/>
        <w:autoSpaceDN w:val="0"/>
        <w:adjustRightInd w:val="0"/>
        <w:jc w:val="both"/>
        <w:rPr>
          <w:rFonts w:ascii="Arial" w:hAnsi="Arial" w:cs="Arial"/>
          <w:b/>
          <w:bCs/>
          <w:color w:val="000000"/>
          <w:sz w:val="22"/>
          <w:szCs w:val="22"/>
        </w:rPr>
      </w:pPr>
      <w:r w:rsidRPr="00A64175">
        <w:rPr>
          <w:rFonts w:ascii="Arial" w:hAnsi="Arial" w:cs="Arial"/>
          <w:b/>
          <w:bCs/>
          <w:color w:val="000000"/>
          <w:sz w:val="22"/>
          <w:szCs w:val="22"/>
        </w:rPr>
        <w:t>Article 14</w:t>
      </w:r>
      <w:r w:rsidR="004F08BD">
        <w:rPr>
          <w:rFonts w:ascii="Arial" w:hAnsi="Arial" w:cs="Arial"/>
          <w:b/>
          <w:bCs/>
          <w:color w:val="000000"/>
          <w:sz w:val="22"/>
          <w:szCs w:val="22"/>
        </w:rPr>
        <w:t>9</w:t>
      </w:r>
      <w:r w:rsidR="00841385" w:rsidRPr="00A64175">
        <w:rPr>
          <w:rFonts w:ascii="Arial" w:hAnsi="Arial" w:cs="Arial"/>
          <w:b/>
          <w:bCs/>
          <w:color w:val="000000"/>
          <w:sz w:val="22"/>
          <w:szCs w:val="22"/>
        </w:rPr>
        <w:t xml:space="preserve">. – </w:t>
      </w:r>
      <w:r w:rsidR="00841385" w:rsidRPr="00A64175">
        <w:rPr>
          <w:rFonts w:ascii="Arial" w:hAnsi="Arial" w:cs="Arial"/>
          <w:color w:val="000000"/>
          <w:sz w:val="22"/>
          <w:szCs w:val="22"/>
        </w:rPr>
        <w:t>Les demandes de visa donnent lieu au versement de droits dont le montant est fixé par instruction.</w:t>
      </w:r>
    </w:p>
    <w:p w14:paraId="5097C9FD"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0A9308A7" w14:textId="6DFEE1AC" w:rsidR="00B16EC0" w:rsidRPr="00A64175" w:rsidRDefault="00F30BDF"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sz w:val="22"/>
          <w:szCs w:val="22"/>
        </w:rPr>
        <w:t>Article 1</w:t>
      </w:r>
      <w:r w:rsidR="004F08BD">
        <w:rPr>
          <w:rFonts w:ascii="Arial" w:hAnsi="Arial" w:cs="Arial"/>
          <w:b/>
          <w:bCs/>
          <w:sz w:val="22"/>
          <w:szCs w:val="22"/>
        </w:rPr>
        <w:t>50</w:t>
      </w:r>
      <w:r w:rsidR="00B16EC0" w:rsidRPr="00A64175">
        <w:rPr>
          <w:rFonts w:ascii="Arial" w:hAnsi="Arial" w:cs="Arial"/>
          <w:b/>
          <w:bCs/>
          <w:sz w:val="22"/>
          <w:szCs w:val="22"/>
        </w:rPr>
        <w:t>. –</w:t>
      </w:r>
      <w:r w:rsidR="00B16EC0" w:rsidRPr="00A64175">
        <w:rPr>
          <w:rFonts w:ascii="Arial" w:hAnsi="Arial" w:cs="Arial"/>
          <w:bCs/>
          <w:sz w:val="22"/>
          <w:szCs w:val="22"/>
        </w:rPr>
        <w:t xml:space="preserve"> Une instruction de la COSUMAF précise les modalités de dépôt et d’examen du dossier de demande de visa.</w:t>
      </w:r>
    </w:p>
    <w:p w14:paraId="6A2CBF88" w14:textId="77777777" w:rsidR="00B16EC0" w:rsidRPr="00A64175" w:rsidRDefault="00B16EC0" w:rsidP="00A64175">
      <w:pPr>
        <w:widowControl w:val="0"/>
        <w:autoSpaceDE w:val="0"/>
        <w:autoSpaceDN w:val="0"/>
        <w:adjustRightInd w:val="0"/>
        <w:jc w:val="both"/>
        <w:rPr>
          <w:rFonts w:ascii="Arial" w:hAnsi="Arial" w:cs="Arial"/>
          <w:color w:val="000000"/>
          <w:kern w:val="1"/>
          <w:sz w:val="22"/>
          <w:szCs w:val="22"/>
        </w:rPr>
      </w:pPr>
    </w:p>
    <w:p w14:paraId="55DD2107" w14:textId="77777777" w:rsidR="006D7CF0" w:rsidRPr="00A64175" w:rsidRDefault="006D7CF0" w:rsidP="00A64175">
      <w:pPr>
        <w:widowControl w:val="0"/>
        <w:autoSpaceDE w:val="0"/>
        <w:autoSpaceDN w:val="0"/>
        <w:adjustRightInd w:val="0"/>
        <w:jc w:val="both"/>
        <w:rPr>
          <w:rFonts w:ascii="Arial" w:hAnsi="Arial" w:cs="Arial"/>
          <w:color w:val="000000"/>
          <w:kern w:val="1"/>
          <w:sz w:val="22"/>
          <w:szCs w:val="22"/>
        </w:rPr>
      </w:pPr>
    </w:p>
    <w:p w14:paraId="7DA4A729" w14:textId="5DD69037" w:rsidR="001E0F93" w:rsidRPr="00A64175" w:rsidRDefault="001E0F93" w:rsidP="00A64175">
      <w:pPr>
        <w:widowControl w:val="0"/>
        <w:autoSpaceDE w:val="0"/>
        <w:autoSpaceDN w:val="0"/>
        <w:adjustRightInd w:val="0"/>
        <w:jc w:val="both"/>
        <w:rPr>
          <w:rFonts w:ascii="Arial" w:hAnsi="Arial" w:cs="Arial"/>
          <w:b/>
          <w:color w:val="000000" w:themeColor="text1"/>
          <w:sz w:val="22"/>
          <w:szCs w:val="22"/>
        </w:rPr>
      </w:pPr>
      <w:r w:rsidRPr="00A64175">
        <w:rPr>
          <w:rFonts w:ascii="Arial" w:hAnsi="Arial" w:cs="Arial"/>
          <w:b/>
          <w:bCs/>
          <w:color w:val="000000"/>
          <w:sz w:val="22"/>
          <w:szCs w:val="22"/>
        </w:rPr>
        <w:t xml:space="preserve">Section </w:t>
      </w:r>
      <w:r w:rsidR="006D7CF0" w:rsidRPr="00A64175">
        <w:rPr>
          <w:rFonts w:ascii="Arial" w:hAnsi="Arial" w:cs="Arial"/>
          <w:b/>
          <w:bCs/>
          <w:color w:val="000000"/>
          <w:sz w:val="22"/>
          <w:szCs w:val="22"/>
        </w:rPr>
        <w:t>I</w:t>
      </w:r>
      <w:r w:rsidRPr="00A64175">
        <w:rPr>
          <w:rFonts w:ascii="Arial" w:hAnsi="Arial" w:cs="Arial"/>
          <w:b/>
          <w:bCs/>
          <w:color w:val="000000"/>
          <w:sz w:val="22"/>
          <w:szCs w:val="22"/>
        </w:rPr>
        <w:t xml:space="preserve">V : </w:t>
      </w:r>
      <w:r w:rsidR="006D7CF0" w:rsidRPr="00A64175">
        <w:rPr>
          <w:rFonts w:ascii="Arial" w:hAnsi="Arial" w:cs="Arial"/>
          <w:b/>
          <w:color w:val="000000" w:themeColor="text1"/>
          <w:sz w:val="22"/>
          <w:szCs w:val="22"/>
        </w:rPr>
        <w:t xml:space="preserve">Intervention des </w:t>
      </w:r>
      <w:r w:rsidR="00066B84">
        <w:rPr>
          <w:rFonts w:ascii="Arial" w:hAnsi="Arial" w:cs="Arial"/>
          <w:b/>
          <w:color w:val="000000" w:themeColor="text1"/>
          <w:sz w:val="22"/>
          <w:szCs w:val="22"/>
        </w:rPr>
        <w:t>c</w:t>
      </w:r>
      <w:r w:rsidR="006D7CF0" w:rsidRPr="00A64175">
        <w:rPr>
          <w:rFonts w:ascii="Arial" w:hAnsi="Arial" w:cs="Arial"/>
          <w:b/>
          <w:color w:val="000000" w:themeColor="text1"/>
          <w:sz w:val="22"/>
          <w:szCs w:val="22"/>
        </w:rPr>
        <w:t>ommissaires aux comptes</w:t>
      </w:r>
    </w:p>
    <w:p w14:paraId="31872A5C" w14:textId="77777777" w:rsidR="00155476" w:rsidRPr="00A64175" w:rsidRDefault="00155476" w:rsidP="00A64175">
      <w:pPr>
        <w:widowControl w:val="0"/>
        <w:autoSpaceDE w:val="0"/>
        <w:adjustRightInd w:val="0"/>
        <w:spacing w:before="12" w:line="240" w:lineRule="exact"/>
        <w:jc w:val="both"/>
        <w:rPr>
          <w:rFonts w:ascii="Arial" w:hAnsi="Arial" w:cs="Arial"/>
          <w:sz w:val="22"/>
          <w:szCs w:val="22"/>
        </w:rPr>
      </w:pPr>
    </w:p>
    <w:p w14:paraId="2970D2FB" w14:textId="6624674A" w:rsidR="00155476" w:rsidRPr="00A64175" w:rsidRDefault="00F30BDF" w:rsidP="00A64175">
      <w:pPr>
        <w:widowControl w:val="0"/>
        <w:autoSpaceDE w:val="0"/>
        <w:adjustRightInd w:val="0"/>
        <w:spacing w:before="29"/>
        <w:ind w:left="111" w:right="68"/>
        <w:jc w:val="both"/>
        <w:rPr>
          <w:rFonts w:ascii="Arial" w:hAnsi="Arial" w:cs="Arial"/>
          <w:sz w:val="22"/>
          <w:szCs w:val="22"/>
        </w:rPr>
      </w:pPr>
      <w:r w:rsidRPr="00A64175">
        <w:rPr>
          <w:rFonts w:ascii="Arial" w:hAnsi="Arial" w:cs="Arial"/>
          <w:b/>
          <w:bCs/>
          <w:sz w:val="22"/>
          <w:szCs w:val="22"/>
        </w:rPr>
        <w:t>Article 1</w:t>
      </w:r>
      <w:r w:rsidR="008F56E4">
        <w:rPr>
          <w:rFonts w:ascii="Arial" w:hAnsi="Arial" w:cs="Arial"/>
          <w:b/>
          <w:bCs/>
          <w:sz w:val="22"/>
          <w:szCs w:val="22"/>
        </w:rPr>
        <w:t>5</w:t>
      </w:r>
      <w:r w:rsidR="004F08BD">
        <w:rPr>
          <w:rFonts w:ascii="Arial" w:hAnsi="Arial" w:cs="Arial"/>
          <w:b/>
          <w:bCs/>
          <w:sz w:val="22"/>
          <w:szCs w:val="22"/>
        </w:rPr>
        <w:t>1</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Le</w:t>
      </w:r>
      <w:r w:rsidR="00155476" w:rsidRPr="00A64175">
        <w:rPr>
          <w:rFonts w:ascii="Arial" w:hAnsi="Arial" w:cs="Arial"/>
          <w:spacing w:val="22"/>
          <w:sz w:val="22"/>
          <w:szCs w:val="22"/>
        </w:rPr>
        <w:t xml:space="preserve"> </w:t>
      </w:r>
      <w:r w:rsidR="00155476" w:rsidRPr="00A64175">
        <w:rPr>
          <w:rFonts w:ascii="Arial" w:hAnsi="Arial" w:cs="Arial"/>
          <w:sz w:val="22"/>
          <w:szCs w:val="22"/>
        </w:rPr>
        <w:t>contrôle</w:t>
      </w:r>
      <w:r w:rsidR="00155476" w:rsidRPr="00A64175">
        <w:rPr>
          <w:rFonts w:ascii="Arial" w:hAnsi="Arial" w:cs="Arial"/>
          <w:spacing w:val="22"/>
          <w:sz w:val="22"/>
          <w:szCs w:val="22"/>
        </w:rPr>
        <w:t xml:space="preserve"> </w:t>
      </w:r>
      <w:r w:rsidR="00155476" w:rsidRPr="00A64175">
        <w:rPr>
          <w:rFonts w:ascii="Arial" w:hAnsi="Arial" w:cs="Arial"/>
          <w:sz w:val="22"/>
          <w:szCs w:val="22"/>
        </w:rPr>
        <w:t>des</w:t>
      </w:r>
      <w:r w:rsidR="00155476" w:rsidRPr="00A64175">
        <w:rPr>
          <w:rFonts w:ascii="Arial" w:hAnsi="Arial" w:cs="Arial"/>
          <w:spacing w:val="22"/>
          <w:sz w:val="22"/>
          <w:szCs w:val="22"/>
        </w:rPr>
        <w:t xml:space="preserve"> </w:t>
      </w:r>
      <w:r w:rsidR="00155476" w:rsidRPr="00A64175">
        <w:rPr>
          <w:rFonts w:ascii="Arial" w:hAnsi="Arial" w:cs="Arial"/>
          <w:sz w:val="22"/>
          <w:szCs w:val="22"/>
        </w:rPr>
        <w:t>co</w:t>
      </w:r>
      <w:r w:rsidR="00155476" w:rsidRPr="00A64175">
        <w:rPr>
          <w:rFonts w:ascii="Arial" w:hAnsi="Arial" w:cs="Arial"/>
          <w:spacing w:val="-2"/>
          <w:sz w:val="22"/>
          <w:szCs w:val="22"/>
        </w:rPr>
        <w:t>m</w:t>
      </w:r>
      <w:r w:rsidR="00155476" w:rsidRPr="00A64175">
        <w:rPr>
          <w:rFonts w:ascii="Arial" w:hAnsi="Arial" w:cs="Arial"/>
          <w:sz w:val="22"/>
          <w:szCs w:val="22"/>
        </w:rPr>
        <w:t>ptes</w:t>
      </w:r>
      <w:r w:rsidR="00155476" w:rsidRPr="00A64175">
        <w:rPr>
          <w:rFonts w:ascii="Arial" w:hAnsi="Arial" w:cs="Arial"/>
          <w:spacing w:val="22"/>
          <w:sz w:val="22"/>
          <w:szCs w:val="22"/>
        </w:rPr>
        <w:t xml:space="preserve"> </w:t>
      </w:r>
      <w:r w:rsidR="00155476" w:rsidRPr="00A64175">
        <w:rPr>
          <w:rFonts w:ascii="Arial" w:hAnsi="Arial" w:cs="Arial"/>
          <w:sz w:val="22"/>
          <w:szCs w:val="22"/>
        </w:rPr>
        <w:t>des</w:t>
      </w:r>
      <w:r w:rsidR="00155476" w:rsidRPr="00A64175">
        <w:rPr>
          <w:rFonts w:ascii="Arial" w:hAnsi="Arial" w:cs="Arial"/>
          <w:spacing w:val="22"/>
          <w:sz w:val="22"/>
          <w:szCs w:val="22"/>
        </w:rPr>
        <w:t xml:space="preserve"> </w:t>
      </w:r>
      <w:r w:rsidR="00155476" w:rsidRPr="00A64175">
        <w:rPr>
          <w:rFonts w:ascii="Arial" w:hAnsi="Arial" w:cs="Arial"/>
          <w:sz w:val="22"/>
          <w:szCs w:val="22"/>
        </w:rPr>
        <w:t>é</w:t>
      </w:r>
      <w:r w:rsidR="00155476" w:rsidRPr="00A64175">
        <w:rPr>
          <w:rFonts w:ascii="Arial" w:hAnsi="Arial" w:cs="Arial"/>
          <w:spacing w:val="-2"/>
          <w:sz w:val="22"/>
          <w:szCs w:val="22"/>
        </w:rPr>
        <w:t>m</w:t>
      </w:r>
      <w:r w:rsidR="00155476" w:rsidRPr="00A64175">
        <w:rPr>
          <w:rFonts w:ascii="Arial" w:hAnsi="Arial" w:cs="Arial"/>
          <w:sz w:val="22"/>
          <w:szCs w:val="22"/>
        </w:rPr>
        <w:t>ett</w:t>
      </w:r>
      <w:r w:rsidR="00155476" w:rsidRPr="00A64175">
        <w:rPr>
          <w:rFonts w:ascii="Arial" w:hAnsi="Arial" w:cs="Arial"/>
          <w:spacing w:val="-2"/>
          <w:sz w:val="22"/>
          <w:szCs w:val="22"/>
        </w:rPr>
        <w:t>e</w:t>
      </w:r>
      <w:r w:rsidR="00155476" w:rsidRPr="00A64175">
        <w:rPr>
          <w:rFonts w:ascii="Arial" w:hAnsi="Arial" w:cs="Arial"/>
          <w:sz w:val="22"/>
          <w:szCs w:val="22"/>
        </w:rPr>
        <w:t>urs</w:t>
      </w:r>
      <w:r w:rsidR="00155476" w:rsidRPr="00A64175">
        <w:rPr>
          <w:rFonts w:ascii="Arial" w:hAnsi="Arial" w:cs="Arial"/>
          <w:spacing w:val="22"/>
          <w:sz w:val="22"/>
          <w:szCs w:val="22"/>
        </w:rPr>
        <w:t xml:space="preserve"> </w:t>
      </w:r>
      <w:r w:rsidR="00155476" w:rsidRPr="00A64175">
        <w:rPr>
          <w:rFonts w:ascii="Arial" w:hAnsi="Arial" w:cs="Arial"/>
          <w:sz w:val="22"/>
          <w:szCs w:val="22"/>
        </w:rPr>
        <w:t>faisant</w:t>
      </w:r>
      <w:r w:rsidR="00155476" w:rsidRPr="00A64175">
        <w:rPr>
          <w:rFonts w:ascii="Arial" w:hAnsi="Arial" w:cs="Arial"/>
          <w:spacing w:val="22"/>
          <w:sz w:val="22"/>
          <w:szCs w:val="22"/>
        </w:rPr>
        <w:t xml:space="preserve"> </w:t>
      </w:r>
      <w:r w:rsidR="00155476" w:rsidRPr="00A64175">
        <w:rPr>
          <w:rFonts w:ascii="Arial" w:hAnsi="Arial" w:cs="Arial"/>
          <w:sz w:val="22"/>
          <w:szCs w:val="22"/>
        </w:rPr>
        <w:t>appel</w:t>
      </w:r>
      <w:r w:rsidR="00155476" w:rsidRPr="00A64175">
        <w:rPr>
          <w:rFonts w:ascii="Arial" w:hAnsi="Arial" w:cs="Arial"/>
          <w:spacing w:val="22"/>
          <w:sz w:val="22"/>
          <w:szCs w:val="22"/>
        </w:rPr>
        <w:t xml:space="preserve"> </w:t>
      </w:r>
      <w:r w:rsidR="00155476" w:rsidRPr="00A64175">
        <w:rPr>
          <w:rFonts w:ascii="Arial" w:hAnsi="Arial" w:cs="Arial"/>
          <w:sz w:val="22"/>
          <w:szCs w:val="22"/>
        </w:rPr>
        <w:t>public</w:t>
      </w:r>
      <w:r w:rsidR="00155476" w:rsidRPr="00A64175">
        <w:rPr>
          <w:rFonts w:ascii="Arial" w:hAnsi="Arial" w:cs="Arial"/>
          <w:spacing w:val="19"/>
          <w:sz w:val="22"/>
          <w:szCs w:val="22"/>
        </w:rPr>
        <w:t xml:space="preserve"> </w:t>
      </w:r>
      <w:r w:rsidR="00155476" w:rsidRPr="00A64175">
        <w:rPr>
          <w:rFonts w:ascii="Arial" w:hAnsi="Arial" w:cs="Arial"/>
          <w:sz w:val="22"/>
          <w:szCs w:val="22"/>
        </w:rPr>
        <w:t>à</w:t>
      </w:r>
      <w:r w:rsidR="00155476" w:rsidRPr="00A64175">
        <w:rPr>
          <w:rFonts w:ascii="Arial" w:hAnsi="Arial" w:cs="Arial"/>
          <w:spacing w:val="21"/>
          <w:sz w:val="22"/>
          <w:szCs w:val="22"/>
        </w:rPr>
        <w:t xml:space="preserve"> </w:t>
      </w:r>
      <w:r w:rsidR="00155476" w:rsidRPr="00A64175">
        <w:rPr>
          <w:rFonts w:ascii="Arial" w:hAnsi="Arial" w:cs="Arial"/>
          <w:sz w:val="22"/>
          <w:szCs w:val="22"/>
        </w:rPr>
        <w:t>l’épargne</w:t>
      </w:r>
      <w:r w:rsidR="00155476" w:rsidRPr="00A64175">
        <w:rPr>
          <w:rFonts w:ascii="Arial" w:hAnsi="Arial" w:cs="Arial"/>
          <w:spacing w:val="21"/>
          <w:sz w:val="22"/>
          <w:szCs w:val="22"/>
        </w:rPr>
        <w:t xml:space="preserve"> </w:t>
      </w:r>
      <w:r w:rsidR="00155476" w:rsidRPr="00A64175">
        <w:rPr>
          <w:rFonts w:ascii="Arial" w:hAnsi="Arial" w:cs="Arial"/>
          <w:sz w:val="22"/>
          <w:szCs w:val="22"/>
        </w:rPr>
        <w:t>est</w:t>
      </w:r>
      <w:r w:rsidR="00155476" w:rsidRPr="00A64175">
        <w:rPr>
          <w:rFonts w:ascii="Arial" w:hAnsi="Arial" w:cs="Arial"/>
          <w:spacing w:val="21"/>
          <w:sz w:val="22"/>
          <w:szCs w:val="22"/>
        </w:rPr>
        <w:t xml:space="preserve"> </w:t>
      </w:r>
      <w:r w:rsidR="00155476" w:rsidRPr="00A64175">
        <w:rPr>
          <w:rFonts w:ascii="Arial" w:hAnsi="Arial" w:cs="Arial"/>
          <w:sz w:val="22"/>
          <w:szCs w:val="22"/>
        </w:rPr>
        <w:t>assuré</w:t>
      </w:r>
      <w:r w:rsidR="00155476" w:rsidRPr="00A64175">
        <w:rPr>
          <w:rFonts w:ascii="Arial" w:hAnsi="Arial" w:cs="Arial"/>
          <w:spacing w:val="21"/>
          <w:sz w:val="22"/>
          <w:szCs w:val="22"/>
        </w:rPr>
        <w:t xml:space="preserve"> </w:t>
      </w:r>
      <w:r w:rsidR="00155476" w:rsidRPr="00A64175">
        <w:rPr>
          <w:rFonts w:ascii="Arial" w:hAnsi="Arial" w:cs="Arial"/>
          <w:sz w:val="22"/>
          <w:szCs w:val="22"/>
        </w:rPr>
        <w:t>par</w:t>
      </w:r>
      <w:r w:rsidR="00155476" w:rsidRPr="00A64175">
        <w:rPr>
          <w:rFonts w:ascii="Arial" w:hAnsi="Arial" w:cs="Arial"/>
          <w:spacing w:val="22"/>
          <w:sz w:val="22"/>
          <w:szCs w:val="22"/>
        </w:rPr>
        <w:t xml:space="preserve"> </w:t>
      </w:r>
      <w:r w:rsidR="00155476" w:rsidRPr="00A64175">
        <w:rPr>
          <w:rFonts w:ascii="Arial" w:hAnsi="Arial" w:cs="Arial"/>
          <w:sz w:val="22"/>
          <w:szCs w:val="22"/>
        </w:rPr>
        <w:t>les</w:t>
      </w:r>
      <w:r w:rsidR="00155476" w:rsidRPr="00A64175">
        <w:rPr>
          <w:rFonts w:ascii="Arial" w:hAnsi="Arial" w:cs="Arial"/>
          <w:spacing w:val="22"/>
          <w:sz w:val="22"/>
          <w:szCs w:val="22"/>
        </w:rPr>
        <w:t xml:space="preserve"> </w:t>
      </w:r>
      <w:r w:rsidR="00155476" w:rsidRPr="00A64175">
        <w:rPr>
          <w:rFonts w:ascii="Arial" w:hAnsi="Arial" w:cs="Arial"/>
          <w:sz w:val="22"/>
          <w:szCs w:val="22"/>
        </w:rPr>
        <w:t>Com</w:t>
      </w:r>
      <w:r w:rsidR="00155476" w:rsidRPr="00A64175">
        <w:rPr>
          <w:rFonts w:ascii="Arial" w:hAnsi="Arial" w:cs="Arial"/>
          <w:spacing w:val="-2"/>
          <w:sz w:val="22"/>
          <w:szCs w:val="22"/>
        </w:rPr>
        <w:t>m</w:t>
      </w:r>
      <w:r w:rsidR="00155476" w:rsidRPr="00A64175">
        <w:rPr>
          <w:rFonts w:ascii="Arial" w:hAnsi="Arial" w:cs="Arial"/>
          <w:sz w:val="22"/>
          <w:szCs w:val="22"/>
        </w:rPr>
        <w:t>issaires aux co</w:t>
      </w:r>
      <w:r w:rsidR="00155476" w:rsidRPr="00A64175">
        <w:rPr>
          <w:rFonts w:ascii="Arial" w:hAnsi="Arial" w:cs="Arial"/>
          <w:spacing w:val="-2"/>
          <w:sz w:val="22"/>
          <w:szCs w:val="22"/>
        </w:rPr>
        <w:t>m</w:t>
      </w:r>
      <w:r w:rsidR="00155476" w:rsidRPr="00A64175">
        <w:rPr>
          <w:rFonts w:ascii="Arial" w:hAnsi="Arial" w:cs="Arial"/>
          <w:sz w:val="22"/>
          <w:szCs w:val="22"/>
        </w:rPr>
        <w:t>ptes confo</w:t>
      </w:r>
      <w:r w:rsidR="00155476" w:rsidRPr="00A64175">
        <w:rPr>
          <w:rFonts w:ascii="Arial" w:hAnsi="Arial" w:cs="Arial"/>
          <w:spacing w:val="2"/>
          <w:sz w:val="22"/>
          <w:szCs w:val="22"/>
        </w:rPr>
        <w:t>r</w:t>
      </w:r>
      <w:r w:rsidR="00155476" w:rsidRPr="00A64175">
        <w:rPr>
          <w:rFonts w:ascii="Arial" w:hAnsi="Arial" w:cs="Arial"/>
          <w:spacing w:val="-2"/>
          <w:sz w:val="22"/>
          <w:szCs w:val="22"/>
        </w:rPr>
        <w:t>m</w:t>
      </w:r>
      <w:r w:rsidR="00155476" w:rsidRPr="00A64175">
        <w:rPr>
          <w:rFonts w:ascii="Arial" w:hAnsi="Arial" w:cs="Arial"/>
          <w:spacing w:val="1"/>
          <w:sz w:val="22"/>
          <w:szCs w:val="22"/>
        </w:rPr>
        <w:t>é</w:t>
      </w:r>
      <w:r w:rsidR="00155476" w:rsidRPr="00A64175">
        <w:rPr>
          <w:rFonts w:ascii="Arial" w:hAnsi="Arial" w:cs="Arial"/>
          <w:spacing w:val="-2"/>
          <w:sz w:val="22"/>
          <w:szCs w:val="22"/>
        </w:rPr>
        <w:t>m</w:t>
      </w:r>
      <w:r w:rsidR="00155476" w:rsidRPr="00A64175">
        <w:rPr>
          <w:rFonts w:ascii="Arial" w:hAnsi="Arial" w:cs="Arial"/>
          <w:sz w:val="22"/>
          <w:szCs w:val="22"/>
        </w:rPr>
        <w:t>ent aux dispositions des actes unifo</w:t>
      </w:r>
      <w:r w:rsidR="00155476" w:rsidRPr="00A64175">
        <w:rPr>
          <w:rFonts w:ascii="Arial" w:hAnsi="Arial" w:cs="Arial"/>
          <w:spacing w:val="2"/>
          <w:sz w:val="22"/>
          <w:szCs w:val="22"/>
        </w:rPr>
        <w:t>r</w:t>
      </w:r>
      <w:r w:rsidR="00155476" w:rsidRPr="00A64175">
        <w:rPr>
          <w:rFonts w:ascii="Arial" w:hAnsi="Arial" w:cs="Arial"/>
          <w:spacing w:val="-2"/>
          <w:sz w:val="22"/>
          <w:szCs w:val="22"/>
        </w:rPr>
        <w:t>m</w:t>
      </w:r>
      <w:r w:rsidR="00155476" w:rsidRPr="00A64175">
        <w:rPr>
          <w:rFonts w:ascii="Arial" w:hAnsi="Arial" w:cs="Arial"/>
          <w:sz w:val="22"/>
          <w:szCs w:val="22"/>
        </w:rPr>
        <w:t>es OHADA relati</w:t>
      </w:r>
      <w:r w:rsidR="00155476" w:rsidRPr="00A64175">
        <w:rPr>
          <w:rFonts w:ascii="Arial" w:hAnsi="Arial" w:cs="Arial"/>
          <w:spacing w:val="-2"/>
          <w:sz w:val="22"/>
          <w:szCs w:val="22"/>
        </w:rPr>
        <w:t>f</w:t>
      </w:r>
      <w:r w:rsidR="00155476" w:rsidRPr="00A64175">
        <w:rPr>
          <w:rFonts w:ascii="Arial" w:hAnsi="Arial" w:cs="Arial"/>
          <w:sz w:val="22"/>
          <w:szCs w:val="22"/>
        </w:rPr>
        <w:t>s au droit des sociétés commerciales et du groupe</w:t>
      </w:r>
      <w:r w:rsidR="00155476" w:rsidRPr="00A64175">
        <w:rPr>
          <w:rFonts w:ascii="Arial" w:hAnsi="Arial" w:cs="Arial"/>
          <w:spacing w:val="-2"/>
          <w:sz w:val="22"/>
          <w:szCs w:val="22"/>
        </w:rPr>
        <w:t>m</w:t>
      </w:r>
      <w:r w:rsidR="00155476" w:rsidRPr="00A64175">
        <w:rPr>
          <w:rFonts w:ascii="Arial" w:hAnsi="Arial" w:cs="Arial"/>
          <w:sz w:val="22"/>
          <w:szCs w:val="22"/>
        </w:rPr>
        <w:t>ent d’intér</w:t>
      </w:r>
      <w:r w:rsidR="00155476" w:rsidRPr="00A64175">
        <w:rPr>
          <w:rFonts w:ascii="Arial" w:hAnsi="Arial" w:cs="Arial"/>
          <w:spacing w:val="-2"/>
          <w:sz w:val="22"/>
          <w:szCs w:val="22"/>
        </w:rPr>
        <w:t>ê</w:t>
      </w:r>
      <w:r w:rsidR="00155476" w:rsidRPr="00A64175">
        <w:rPr>
          <w:rFonts w:ascii="Arial" w:hAnsi="Arial" w:cs="Arial"/>
          <w:sz w:val="22"/>
          <w:szCs w:val="22"/>
        </w:rPr>
        <w:t>t écono</w:t>
      </w:r>
      <w:r w:rsidR="00155476" w:rsidRPr="00A64175">
        <w:rPr>
          <w:rFonts w:ascii="Arial" w:hAnsi="Arial" w:cs="Arial"/>
          <w:spacing w:val="-2"/>
          <w:sz w:val="22"/>
          <w:szCs w:val="22"/>
        </w:rPr>
        <w:t>m</w:t>
      </w:r>
      <w:r w:rsidR="00155476" w:rsidRPr="00A64175">
        <w:rPr>
          <w:rFonts w:ascii="Arial" w:hAnsi="Arial" w:cs="Arial"/>
          <w:sz w:val="22"/>
          <w:szCs w:val="22"/>
        </w:rPr>
        <w:t>ique et au droit co</w:t>
      </w:r>
      <w:r w:rsidR="00155476" w:rsidRPr="00A64175">
        <w:rPr>
          <w:rFonts w:ascii="Arial" w:hAnsi="Arial" w:cs="Arial"/>
          <w:spacing w:val="-2"/>
          <w:sz w:val="22"/>
          <w:szCs w:val="22"/>
        </w:rPr>
        <w:t>m</w:t>
      </w:r>
      <w:r w:rsidR="00155476" w:rsidRPr="00A64175">
        <w:rPr>
          <w:rFonts w:ascii="Arial" w:hAnsi="Arial" w:cs="Arial"/>
          <w:sz w:val="22"/>
          <w:szCs w:val="22"/>
        </w:rPr>
        <w:t>ptable.</w:t>
      </w:r>
    </w:p>
    <w:p w14:paraId="685AAC91"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799B1828" w14:textId="77777777" w:rsidR="00155476" w:rsidRPr="00A64175" w:rsidRDefault="00155476"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Tout</w:t>
      </w:r>
      <w:r w:rsidRPr="00A64175">
        <w:rPr>
          <w:rFonts w:ascii="Arial" w:hAnsi="Arial" w:cs="Arial"/>
          <w:spacing w:val="3"/>
          <w:sz w:val="22"/>
          <w:szCs w:val="22"/>
        </w:rPr>
        <w:t xml:space="preserve"> </w:t>
      </w:r>
      <w:r w:rsidRPr="00A64175">
        <w:rPr>
          <w:rFonts w:ascii="Arial" w:hAnsi="Arial" w:cs="Arial"/>
          <w:sz w:val="22"/>
          <w:szCs w:val="22"/>
        </w:rPr>
        <w:t>é</w:t>
      </w:r>
      <w:r w:rsidRPr="00A64175">
        <w:rPr>
          <w:rFonts w:ascii="Arial" w:hAnsi="Arial" w:cs="Arial"/>
          <w:spacing w:val="-2"/>
          <w:sz w:val="22"/>
          <w:szCs w:val="22"/>
        </w:rPr>
        <w:t>m</w:t>
      </w:r>
      <w:r w:rsidRPr="00A64175">
        <w:rPr>
          <w:rFonts w:ascii="Arial" w:hAnsi="Arial" w:cs="Arial"/>
          <w:sz w:val="22"/>
          <w:szCs w:val="22"/>
        </w:rPr>
        <w:t>etteur</w:t>
      </w:r>
      <w:r w:rsidRPr="00A64175">
        <w:rPr>
          <w:rFonts w:ascii="Arial" w:hAnsi="Arial" w:cs="Arial"/>
          <w:spacing w:val="3"/>
          <w:sz w:val="22"/>
          <w:szCs w:val="22"/>
        </w:rPr>
        <w:t xml:space="preserve"> </w:t>
      </w:r>
      <w:r w:rsidRPr="00A64175">
        <w:rPr>
          <w:rFonts w:ascii="Arial" w:hAnsi="Arial" w:cs="Arial"/>
          <w:sz w:val="22"/>
          <w:szCs w:val="22"/>
        </w:rPr>
        <w:t>faisant</w:t>
      </w:r>
      <w:r w:rsidRPr="00A64175">
        <w:rPr>
          <w:rFonts w:ascii="Arial" w:hAnsi="Arial" w:cs="Arial"/>
          <w:spacing w:val="3"/>
          <w:sz w:val="22"/>
          <w:szCs w:val="22"/>
        </w:rPr>
        <w:t xml:space="preserve"> </w:t>
      </w:r>
      <w:r w:rsidRPr="00A64175">
        <w:rPr>
          <w:rFonts w:ascii="Arial" w:hAnsi="Arial" w:cs="Arial"/>
          <w:sz w:val="22"/>
          <w:szCs w:val="22"/>
        </w:rPr>
        <w:t>appel</w:t>
      </w:r>
      <w:r w:rsidRPr="00A64175">
        <w:rPr>
          <w:rFonts w:ascii="Arial" w:hAnsi="Arial" w:cs="Arial"/>
          <w:spacing w:val="3"/>
          <w:sz w:val="22"/>
          <w:szCs w:val="22"/>
        </w:rPr>
        <w:t xml:space="preserve"> </w:t>
      </w:r>
      <w:r w:rsidRPr="00A64175">
        <w:rPr>
          <w:rFonts w:ascii="Arial" w:hAnsi="Arial" w:cs="Arial"/>
          <w:sz w:val="22"/>
          <w:szCs w:val="22"/>
        </w:rPr>
        <w:t>public à</w:t>
      </w:r>
      <w:r w:rsidRPr="00A64175">
        <w:rPr>
          <w:rFonts w:ascii="Arial" w:hAnsi="Arial" w:cs="Arial"/>
          <w:spacing w:val="2"/>
          <w:sz w:val="22"/>
          <w:szCs w:val="22"/>
        </w:rPr>
        <w:t xml:space="preserve"> </w:t>
      </w:r>
      <w:r w:rsidRPr="00A64175">
        <w:rPr>
          <w:rFonts w:ascii="Arial" w:hAnsi="Arial" w:cs="Arial"/>
          <w:sz w:val="22"/>
          <w:szCs w:val="22"/>
        </w:rPr>
        <w:t>l’épargne</w:t>
      </w:r>
      <w:r w:rsidRPr="00A64175">
        <w:rPr>
          <w:rFonts w:ascii="Arial" w:hAnsi="Arial" w:cs="Arial"/>
          <w:spacing w:val="2"/>
          <w:sz w:val="22"/>
          <w:szCs w:val="22"/>
        </w:rPr>
        <w:t xml:space="preserve"> </w:t>
      </w:r>
      <w:r w:rsidRPr="00A64175">
        <w:rPr>
          <w:rFonts w:ascii="Arial" w:hAnsi="Arial" w:cs="Arial"/>
          <w:sz w:val="22"/>
          <w:szCs w:val="22"/>
        </w:rPr>
        <w:t>est</w:t>
      </w:r>
      <w:r w:rsidRPr="00A64175">
        <w:rPr>
          <w:rFonts w:ascii="Arial" w:hAnsi="Arial" w:cs="Arial"/>
          <w:spacing w:val="2"/>
          <w:sz w:val="22"/>
          <w:szCs w:val="22"/>
        </w:rPr>
        <w:t xml:space="preserve"> </w:t>
      </w:r>
      <w:r w:rsidRPr="00A64175">
        <w:rPr>
          <w:rFonts w:ascii="Arial" w:hAnsi="Arial" w:cs="Arial"/>
          <w:sz w:val="22"/>
          <w:szCs w:val="22"/>
        </w:rPr>
        <w:t>tenu</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désigner</w:t>
      </w:r>
      <w:r w:rsidRPr="00A64175">
        <w:rPr>
          <w:rFonts w:ascii="Arial" w:hAnsi="Arial" w:cs="Arial"/>
          <w:spacing w:val="3"/>
          <w:sz w:val="22"/>
          <w:szCs w:val="22"/>
        </w:rPr>
        <w:t xml:space="preserve"> </w:t>
      </w:r>
      <w:r w:rsidRPr="00A64175">
        <w:rPr>
          <w:rFonts w:ascii="Arial" w:hAnsi="Arial" w:cs="Arial"/>
          <w:sz w:val="22"/>
          <w:szCs w:val="22"/>
        </w:rPr>
        <w:t>deux</w:t>
      </w:r>
      <w:r w:rsidRPr="00A64175">
        <w:rPr>
          <w:rFonts w:ascii="Arial" w:hAnsi="Arial" w:cs="Arial"/>
          <w:spacing w:val="3"/>
          <w:sz w:val="22"/>
          <w:szCs w:val="22"/>
        </w:rPr>
        <w:t xml:space="preserve"> </w:t>
      </w:r>
      <w:r w:rsidRPr="00A64175">
        <w:rPr>
          <w:rFonts w:ascii="Arial" w:hAnsi="Arial" w:cs="Arial"/>
          <w:sz w:val="22"/>
          <w:szCs w:val="22"/>
        </w:rPr>
        <w:t>(2)</w:t>
      </w:r>
      <w:r w:rsidRPr="00A64175">
        <w:rPr>
          <w:rFonts w:ascii="Arial" w:hAnsi="Arial" w:cs="Arial"/>
          <w:spacing w:val="3"/>
          <w:sz w:val="22"/>
          <w:szCs w:val="22"/>
        </w:rPr>
        <w:t xml:space="preserve"> </w:t>
      </w:r>
      <w:r w:rsidRPr="00A64175">
        <w:rPr>
          <w:rFonts w:ascii="Arial" w:hAnsi="Arial" w:cs="Arial"/>
          <w:sz w:val="22"/>
          <w:szCs w:val="22"/>
        </w:rPr>
        <w:t>co</w:t>
      </w:r>
      <w:r w:rsidRPr="00A64175">
        <w:rPr>
          <w:rFonts w:ascii="Arial" w:hAnsi="Arial" w:cs="Arial"/>
          <w:spacing w:val="-2"/>
          <w:sz w:val="22"/>
          <w:szCs w:val="22"/>
        </w:rPr>
        <w:t>mm</w:t>
      </w:r>
      <w:r w:rsidRPr="00A64175">
        <w:rPr>
          <w:rFonts w:ascii="Arial" w:hAnsi="Arial" w:cs="Arial"/>
          <w:spacing w:val="1"/>
          <w:sz w:val="22"/>
          <w:szCs w:val="22"/>
        </w:rPr>
        <w:t>i</w:t>
      </w:r>
      <w:r w:rsidRPr="00A64175">
        <w:rPr>
          <w:rFonts w:ascii="Arial" w:hAnsi="Arial" w:cs="Arial"/>
          <w:sz w:val="22"/>
          <w:szCs w:val="22"/>
        </w:rPr>
        <w:t>ssaires</w:t>
      </w:r>
      <w:r w:rsidRPr="00A64175">
        <w:rPr>
          <w:rFonts w:ascii="Arial" w:hAnsi="Arial" w:cs="Arial"/>
          <w:spacing w:val="3"/>
          <w:sz w:val="22"/>
          <w:szCs w:val="22"/>
        </w:rPr>
        <w:t xml:space="preserve"> </w:t>
      </w:r>
      <w:r w:rsidRPr="00A64175">
        <w:rPr>
          <w:rFonts w:ascii="Arial" w:hAnsi="Arial" w:cs="Arial"/>
          <w:sz w:val="22"/>
          <w:szCs w:val="22"/>
        </w:rPr>
        <w:t>aux</w:t>
      </w:r>
      <w:r w:rsidRPr="00A64175">
        <w:rPr>
          <w:rFonts w:ascii="Arial" w:hAnsi="Arial" w:cs="Arial"/>
          <w:spacing w:val="3"/>
          <w:sz w:val="22"/>
          <w:szCs w:val="22"/>
        </w:rPr>
        <w:t xml:space="preserve"> </w:t>
      </w:r>
      <w:r w:rsidRPr="00A64175">
        <w:rPr>
          <w:rFonts w:ascii="Arial" w:hAnsi="Arial" w:cs="Arial"/>
          <w:sz w:val="22"/>
          <w:szCs w:val="22"/>
        </w:rPr>
        <w:t>co</w:t>
      </w:r>
      <w:r w:rsidRPr="00A64175">
        <w:rPr>
          <w:rFonts w:ascii="Arial" w:hAnsi="Arial" w:cs="Arial"/>
          <w:spacing w:val="-2"/>
          <w:sz w:val="22"/>
          <w:szCs w:val="22"/>
        </w:rPr>
        <w:t>m</w:t>
      </w:r>
      <w:r w:rsidRPr="00A64175">
        <w:rPr>
          <w:rFonts w:ascii="Arial" w:hAnsi="Arial" w:cs="Arial"/>
          <w:sz w:val="22"/>
          <w:szCs w:val="22"/>
        </w:rPr>
        <w:t>ptes tit</w:t>
      </w:r>
      <w:r w:rsidRPr="00A64175">
        <w:rPr>
          <w:rFonts w:ascii="Arial" w:hAnsi="Arial" w:cs="Arial"/>
          <w:spacing w:val="-1"/>
          <w:sz w:val="22"/>
          <w:szCs w:val="22"/>
        </w:rPr>
        <w:t>u</w:t>
      </w:r>
      <w:r w:rsidRPr="00A64175">
        <w:rPr>
          <w:rFonts w:ascii="Arial" w:hAnsi="Arial" w:cs="Arial"/>
          <w:sz w:val="22"/>
          <w:szCs w:val="22"/>
        </w:rPr>
        <w:t>laires et deux (2) c</w:t>
      </w:r>
      <w:r w:rsidRPr="00A64175">
        <w:rPr>
          <w:rFonts w:ascii="Arial" w:hAnsi="Arial" w:cs="Arial"/>
          <w:spacing w:val="-1"/>
          <w:sz w:val="22"/>
          <w:szCs w:val="22"/>
        </w:rPr>
        <w:t>o</w:t>
      </w:r>
      <w:r w:rsidRPr="00A64175">
        <w:rPr>
          <w:rFonts w:ascii="Arial" w:hAnsi="Arial" w:cs="Arial"/>
          <w:sz w:val="22"/>
          <w:szCs w:val="22"/>
        </w:rPr>
        <w:t>mmissaires aux co</w:t>
      </w:r>
      <w:r w:rsidRPr="00A64175">
        <w:rPr>
          <w:rFonts w:ascii="Arial" w:hAnsi="Arial" w:cs="Arial"/>
          <w:spacing w:val="-2"/>
          <w:sz w:val="22"/>
          <w:szCs w:val="22"/>
        </w:rPr>
        <w:t>m</w:t>
      </w:r>
      <w:r w:rsidRPr="00A64175">
        <w:rPr>
          <w:rFonts w:ascii="Arial" w:hAnsi="Arial" w:cs="Arial"/>
          <w:sz w:val="22"/>
          <w:szCs w:val="22"/>
        </w:rPr>
        <w:t>ptes suppléa</w:t>
      </w:r>
      <w:r w:rsidRPr="00A64175">
        <w:rPr>
          <w:rFonts w:ascii="Arial" w:hAnsi="Arial" w:cs="Arial"/>
          <w:spacing w:val="-1"/>
          <w:sz w:val="22"/>
          <w:szCs w:val="22"/>
        </w:rPr>
        <w:t>n</w:t>
      </w:r>
      <w:r w:rsidRPr="00A64175">
        <w:rPr>
          <w:rFonts w:ascii="Arial" w:hAnsi="Arial" w:cs="Arial"/>
          <w:sz w:val="22"/>
          <w:szCs w:val="22"/>
        </w:rPr>
        <w:t>ts.</w:t>
      </w:r>
    </w:p>
    <w:p w14:paraId="4DFA9C6F"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2250295D" w14:textId="1D9B652A" w:rsidR="00155476" w:rsidRPr="00A64175" w:rsidRDefault="00155476"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Avant</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pouvoir</w:t>
      </w:r>
      <w:r w:rsidRPr="00A64175">
        <w:rPr>
          <w:rFonts w:ascii="Arial" w:hAnsi="Arial" w:cs="Arial"/>
          <w:spacing w:val="2"/>
          <w:sz w:val="22"/>
          <w:szCs w:val="22"/>
        </w:rPr>
        <w:t xml:space="preserve"> </w:t>
      </w:r>
      <w:r w:rsidRPr="00A64175">
        <w:rPr>
          <w:rFonts w:ascii="Arial" w:hAnsi="Arial" w:cs="Arial"/>
          <w:sz w:val="22"/>
          <w:szCs w:val="22"/>
        </w:rPr>
        <w:t>intervenir auprès</w:t>
      </w:r>
      <w:r w:rsidRPr="00A64175">
        <w:rPr>
          <w:rFonts w:ascii="Arial" w:hAnsi="Arial" w:cs="Arial"/>
          <w:spacing w:val="2"/>
          <w:sz w:val="22"/>
          <w:szCs w:val="22"/>
        </w:rPr>
        <w:t xml:space="preserve"> </w:t>
      </w:r>
      <w:r w:rsidRPr="00A64175">
        <w:rPr>
          <w:rFonts w:ascii="Arial" w:hAnsi="Arial" w:cs="Arial"/>
          <w:sz w:val="22"/>
          <w:szCs w:val="22"/>
        </w:rPr>
        <w:t>d’un</w:t>
      </w:r>
      <w:r w:rsidRPr="00A64175">
        <w:rPr>
          <w:rFonts w:ascii="Arial" w:hAnsi="Arial" w:cs="Arial"/>
          <w:spacing w:val="2"/>
          <w:sz w:val="22"/>
          <w:szCs w:val="22"/>
        </w:rPr>
        <w:t xml:space="preserve"> </w:t>
      </w:r>
      <w:r w:rsidRPr="00A64175">
        <w:rPr>
          <w:rFonts w:ascii="Arial" w:hAnsi="Arial" w:cs="Arial"/>
          <w:sz w:val="22"/>
          <w:szCs w:val="22"/>
        </w:rPr>
        <w:t>é</w:t>
      </w:r>
      <w:r w:rsidRPr="00A64175">
        <w:rPr>
          <w:rFonts w:ascii="Arial" w:hAnsi="Arial" w:cs="Arial"/>
          <w:spacing w:val="-2"/>
          <w:sz w:val="22"/>
          <w:szCs w:val="22"/>
        </w:rPr>
        <w:t>m</w:t>
      </w:r>
      <w:r w:rsidRPr="00A64175">
        <w:rPr>
          <w:rFonts w:ascii="Arial" w:hAnsi="Arial" w:cs="Arial"/>
          <w:sz w:val="22"/>
          <w:szCs w:val="22"/>
        </w:rPr>
        <w:t>etteur</w:t>
      </w:r>
      <w:r w:rsidRPr="00A64175">
        <w:rPr>
          <w:rFonts w:ascii="Arial" w:hAnsi="Arial" w:cs="Arial"/>
          <w:spacing w:val="2"/>
          <w:sz w:val="22"/>
          <w:szCs w:val="22"/>
        </w:rPr>
        <w:t xml:space="preserve"> </w:t>
      </w:r>
      <w:r w:rsidRPr="00A64175">
        <w:rPr>
          <w:rFonts w:ascii="Arial" w:hAnsi="Arial" w:cs="Arial"/>
          <w:sz w:val="22"/>
          <w:szCs w:val="22"/>
        </w:rPr>
        <w:t>faisa</w:t>
      </w:r>
      <w:r w:rsidRPr="00A64175">
        <w:rPr>
          <w:rFonts w:ascii="Arial" w:hAnsi="Arial" w:cs="Arial"/>
          <w:spacing w:val="-2"/>
          <w:sz w:val="22"/>
          <w:szCs w:val="22"/>
        </w:rPr>
        <w:t>n</w:t>
      </w:r>
      <w:r w:rsidRPr="00A64175">
        <w:rPr>
          <w:rFonts w:ascii="Arial" w:hAnsi="Arial" w:cs="Arial"/>
          <w:sz w:val="22"/>
          <w:szCs w:val="22"/>
        </w:rPr>
        <w:t>t</w:t>
      </w:r>
      <w:r w:rsidRPr="00A64175">
        <w:rPr>
          <w:rFonts w:ascii="Arial" w:hAnsi="Arial" w:cs="Arial"/>
          <w:spacing w:val="2"/>
          <w:sz w:val="22"/>
          <w:szCs w:val="22"/>
        </w:rPr>
        <w:t xml:space="preserve"> </w:t>
      </w:r>
      <w:r w:rsidRPr="00A64175">
        <w:rPr>
          <w:rFonts w:ascii="Arial" w:hAnsi="Arial" w:cs="Arial"/>
          <w:sz w:val="22"/>
          <w:szCs w:val="22"/>
        </w:rPr>
        <w:t>appel</w:t>
      </w:r>
      <w:r w:rsidRPr="00A64175">
        <w:rPr>
          <w:rFonts w:ascii="Arial" w:hAnsi="Arial" w:cs="Arial"/>
          <w:spacing w:val="2"/>
          <w:sz w:val="22"/>
          <w:szCs w:val="22"/>
        </w:rPr>
        <w:t xml:space="preserve"> </w:t>
      </w:r>
      <w:r w:rsidRPr="00A64175">
        <w:rPr>
          <w:rFonts w:ascii="Arial" w:hAnsi="Arial" w:cs="Arial"/>
          <w:sz w:val="22"/>
          <w:szCs w:val="22"/>
        </w:rPr>
        <w:t>public</w:t>
      </w:r>
      <w:r w:rsidRPr="00A64175">
        <w:rPr>
          <w:rFonts w:ascii="Arial" w:hAnsi="Arial" w:cs="Arial"/>
          <w:spacing w:val="2"/>
          <w:sz w:val="22"/>
          <w:szCs w:val="22"/>
        </w:rPr>
        <w:t xml:space="preserve"> </w:t>
      </w:r>
      <w:r w:rsidRPr="00A64175">
        <w:rPr>
          <w:rFonts w:ascii="Arial" w:hAnsi="Arial" w:cs="Arial"/>
          <w:sz w:val="22"/>
          <w:szCs w:val="22"/>
        </w:rPr>
        <w:t>à</w:t>
      </w:r>
      <w:r w:rsidRPr="00A64175">
        <w:rPr>
          <w:rFonts w:ascii="Arial" w:hAnsi="Arial" w:cs="Arial"/>
          <w:spacing w:val="2"/>
          <w:sz w:val="22"/>
          <w:szCs w:val="22"/>
        </w:rPr>
        <w:t xml:space="preserve"> </w:t>
      </w:r>
      <w:r w:rsidRPr="00A64175">
        <w:rPr>
          <w:rFonts w:ascii="Arial" w:hAnsi="Arial" w:cs="Arial"/>
          <w:sz w:val="22"/>
          <w:szCs w:val="22"/>
        </w:rPr>
        <w:t>l</w:t>
      </w:r>
      <w:r w:rsidRPr="00A64175">
        <w:rPr>
          <w:rFonts w:ascii="Arial" w:hAnsi="Arial" w:cs="Arial"/>
          <w:spacing w:val="-1"/>
          <w:sz w:val="22"/>
          <w:szCs w:val="22"/>
        </w:rPr>
        <w:t>’</w:t>
      </w:r>
      <w:r w:rsidRPr="00A64175">
        <w:rPr>
          <w:rFonts w:ascii="Arial" w:hAnsi="Arial" w:cs="Arial"/>
          <w:sz w:val="22"/>
          <w:szCs w:val="22"/>
        </w:rPr>
        <w:t>épargne</w:t>
      </w:r>
      <w:r w:rsidRPr="00A64175">
        <w:rPr>
          <w:rFonts w:ascii="Arial" w:hAnsi="Arial" w:cs="Arial"/>
          <w:spacing w:val="1"/>
          <w:sz w:val="22"/>
          <w:szCs w:val="22"/>
        </w:rPr>
        <w:t xml:space="preserve"> </w:t>
      </w:r>
      <w:r w:rsidRPr="00A64175">
        <w:rPr>
          <w:rFonts w:ascii="Arial" w:hAnsi="Arial" w:cs="Arial"/>
          <w:sz w:val="22"/>
          <w:szCs w:val="22"/>
        </w:rPr>
        <w:t>et</w:t>
      </w:r>
      <w:r w:rsidRPr="00A64175">
        <w:rPr>
          <w:rFonts w:ascii="Arial" w:hAnsi="Arial" w:cs="Arial"/>
          <w:spacing w:val="1"/>
          <w:sz w:val="22"/>
          <w:szCs w:val="22"/>
        </w:rPr>
        <w:t xml:space="preserve"> </w:t>
      </w:r>
      <w:r w:rsidRPr="00A64175">
        <w:rPr>
          <w:rFonts w:ascii="Arial" w:hAnsi="Arial" w:cs="Arial"/>
          <w:sz w:val="22"/>
          <w:szCs w:val="22"/>
        </w:rPr>
        <w:t>auprès</w:t>
      </w:r>
      <w:r w:rsidRPr="00A64175">
        <w:rPr>
          <w:rFonts w:ascii="Arial" w:hAnsi="Arial" w:cs="Arial"/>
          <w:spacing w:val="1"/>
          <w:sz w:val="22"/>
          <w:szCs w:val="22"/>
        </w:rPr>
        <w:t xml:space="preserve"> </w:t>
      </w:r>
      <w:r w:rsidRPr="00A64175">
        <w:rPr>
          <w:rFonts w:ascii="Arial" w:hAnsi="Arial" w:cs="Arial"/>
          <w:sz w:val="22"/>
          <w:szCs w:val="22"/>
        </w:rPr>
        <w:t>de</w:t>
      </w:r>
      <w:r w:rsidRPr="00A64175">
        <w:rPr>
          <w:rFonts w:ascii="Arial" w:hAnsi="Arial" w:cs="Arial"/>
          <w:spacing w:val="1"/>
          <w:sz w:val="22"/>
          <w:szCs w:val="22"/>
        </w:rPr>
        <w:t xml:space="preserve"> </w:t>
      </w:r>
      <w:r w:rsidRPr="00A64175">
        <w:rPr>
          <w:rFonts w:ascii="Arial" w:hAnsi="Arial" w:cs="Arial"/>
          <w:sz w:val="22"/>
          <w:szCs w:val="22"/>
        </w:rPr>
        <w:t>toute</w:t>
      </w:r>
      <w:r w:rsidRPr="00A64175">
        <w:rPr>
          <w:rFonts w:ascii="Arial" w:hAnsi="Arial" w:cs="Arial"/>
          <w:spacing w:val="1"/>
          <w:sz w:val="22"/>
          <w:szCs w:val="22"/>
        </w:rPr>
        <w:t xml:space="preserve"> </w:t>
      </w:r>
      <w:r w:rsidRPr="00A64175">
        <w:rPr>
          <w:rFonts w:ascii="Arial" w:hAnsi="Arial" w:cs="Arial"/>
          <w:sz w:val="22"/>
          <w:szCs w:val="22"/>
        </w:rPr>
        <w:t>autre personne</w:t>
      </w:r>
      <w:r w:rsidRPr="00A64175">
        <w:rPr>
          <w:rFonts w:ascii="Arial" w:hAnsi="Arial" w:cs="Arial"/>
          <w:spacing w:val="2"/>
          <w:sz w:val="22"/>
          <w:szCs w:val="22"/>
        </w:rPr>
        <w:t xml:space="preserve"> </w:t>
      </w:r>
      <w:r w:rsidRPr="00A64175">
        <w:rPr>
          <w:rFonts w:ascii="Arial" w:hAnsi="Arial" w:cs="Arial"/>
          <w:sz w:val="22"/>
          <w:szCs w:val="22"/>
        </w:rPr>
        <w:t>ou</w:t>
      </w:r>
      <w:r w:rsidRPr="00A64175">
        <w:rPr>
          <w:rFonts w:ascii="Arial" w:hAnsi="Arial" w:cs="Arial"/>
          <w:spacing w:val="2"/>
          <w:sz w:val="22"/>
          <w:szCs w:val="22"/>
        </w:rPr>
        <w:t xml:space="preserve"> </w:t>
      </w:r>
      <w:r w:rsidRPr="00A64175">
        <w:rPr>
          <w:rFonts w:ascii="Arial" w:hAnsi="Arial" w:cs="Arial"/>
          <w:sz w:val="22"/>
          <w:szCs w:val="22"/>
        </w:rPr>
        <w:t>entité</w:t>
      </w:r>
      <w:r w:rsidRPr="00A64175">
        <w:rPr>
          <w:rFonts w:ascii="Arial" w:hAnsi="Arial" w:cs="Arial"/>
          <w:spacing w:val="2"/>
          <w:sz w:val="22"/>
          <w:szCs w:val="22"/>
        </w:rPr>
        <w:t xml:space="preserve"> </w:t>
      </w:r>
      <w:r w:rsidRPr="00A64175">
        <w:rPr>
          <w:rFonts w:ascii="Arial" w:hAnsi="Arial" w:cs="Arial"/>
          <w:sz w:val="22"/>
          <w:szCs w:val="22"/>
        </w:rPr>
        <w:t>i</w:t>
      </w:r>
      <w:r w:rsidRPr="00A64175">
        <w:rPr>
          <w:rFonts w:ascii="Arial" w:hAnsi="Arial" w:cs="Arial"/>
          <w:spacing w:val="-2"/>
          <w:sz w:val="22"/>
          <w:szCs w:val="22"/>
        </w:rPr>
        <w:t>m</w:t>
      </w:r>
      <w:r w:rsidRPr="00A64175">
        <w:rPr>
          <w:rFonts w:ascii="Arial" w:hAnsi="Arial" w:cs="Arial"/>
          <w:sz w:val="22"/>
          <w:szCs w:val="22"/>
        </w:rPr>
        <w:t>pliquée</w:t>
      </w:r>
      <w:r w:rsidRPr="00A64175">
        <w:rPr>
          <w:rFonts w:ascii="Arial" w:hAnsi="Arial" w:cs="Arial"/>
          <w:spacing w:val="2"/>
          <w:sz w:val="22"/>
          <w:szCs w:val="22"/>
        </w:rPr>
        <w:t xml:space="preserve"> </w:t>
      </w:r>
      <w:r w:rsidRPr="00A64175">
        <w:rPr>
          <w:rFonts w:ascii="Arial" w:hAnsi="Arial" w:cs="Arial"/>
          <w:sz w:val="22"/>
          <w:szCs w:val="22"/>
        </w:rPr>
        <w:t>dans</w:t>
      </w:r>
      <w:r w:rsidRPr="00A64175">
        <w:rPr>
          <w:rFonts w:ascii="Arial" w:hAnsi="Arial" w:cs="Arial"/>
          <w:spacing w:val="2"/>
          <w:sz w:val="22"/>
          <w:szCs w:val="22"/>
        </w:rPr>
        <w:t xml:space="preserve"> </w:t>
      </w:r>
      <w:r w:rsidRPr="00A64175">
        <w:rPr>
          <w:rFonts w:ascii="Arial" w:hAnsi="Arial" w:cs="Arial"/>
          <w:sz w:val="22"/>
          <w:szCs w:val="22"/>
        </w:rPr>
        <w:t>le</w:t>
      </w:r>
      <w:r w:rsidRPr="00A64175">
        <w:rPr>
          <w:rFonts w:ascii="Arial" w:hAnsi="Arial" w:cs="Arial"/>
          <w:spacing w:val="2"/>
          <w:sz w:val="22"/>
          <w:szCs w:val="22"/>
        </w:rPr>
        <w:t xml:space="preserve"> </w:t>
      </w:r>
      <w:r w:rsidRPr="00A64175">
        <w:rPr>
          <w:rFonts w:ascii="Arial" w:hAnsi="Arial" w:cs="Arial"/>
          <w:sz w:val="22"/>
          <w:szCs w:val="22"/>
        </w:rPr>
        <w:t>fonctionne</w:t>
      </w:r>
      <w:r w:rsidRPr="00A64175">
        <w:rPr>
          <w:rFonts w:ascii="Arial" w:hAnsi="Arial" w:cs="Arial"/>
          <w:spacing w:val="-2"/>
          <w:sz w:val="22"/>
          <w:szCs w:val="22"/>
        </w:rPr>
        <w:t>m</w:t>
      </w:r>
      <w:r w:rsidRPr="00A64175">
        <w:rPr>
          <w:rFonts w:ascii="Arial" w:hAnsi="Arial" w:cs="Arial"/>
          <w:sz w:val="22"/>
          <w:szCs w:val="22"/>
        </w:rPr>
        <w:t>ent du</w:t>
      </w:r>
      <w:r w:rsidRPr="00A64175">
        <w:rPr>
          <w:rFonts w:ascii="Arial" w:hAnsi="Arial" w:cs="Arial"/>
          <w:spacing w:val="2"/>
          <w:sz w:val="22"/>
          <w:szCs w:val="22"/>
        </w:rPr>
        <w:t xml:space="preserve"> </w:t>
      </w:r>
      <w:r w:rsidRPr="00A64175">
        <w:rPr>
          <w:rFonts w:ascii="Arial" w:hAnsi="Arial" w:cs="Arial"/>
          <w:sz w:val="22"/>
          <w:szCs w:val="22"/>
        </w:rPr>
        <w:t>M</w:t>
      </w:r>
      <w:r w:rsidRPr="00A64175">
        <w:rPr>
          <w:rFonts w:ascii="Arial" w:hAnsi="Arial" w:cs="Arial"/>
          <w:spacing w:val="1"/>
          <w:sz w:val="22"/>
          <w:szCs w:val="22"/>
        </w:rPr>
        <w:t>a</w:t>
      </w:r>
      <w:r w:rsidRPr="00A64175">
        <w:rPr>
          <w:rFonts w:ascii="Arial" w:hAnsi="Arial" w:cs="Arial"/>
          <w:sz w:val="22"/>
          <w:szCs w:val="22"/>
        </w:rPr>
        <w:t>rché</w:t>
      </w:r>
      <w:r w:rsidRPr="00A64175">
        <w:rPr>
          <w:rFonts w:ascii="Arial" w:hAnsi="Arial" w:cs="Arial"/>
          <w:spacing w:val="2"/>
          <w:sz w:val="22"/>
          <w:szCs w:val="22"/>
        </w:rPr>
        <w:t xml:space="preserve"> </w:t>
      </w:r>
      <w:r w:rsidRPr="00A64175">
        <w:rPr>
          <w:rFonts w:ascii="Arial" w:hAnsi="Arial" w:cs="Arial"/>
          <w:sz w:val="22"/>
          <w:szCs w:val="22"/>
        </w:rPr>
        <w:t>Financier</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l’Afrique</w:t>
      </w:r>
      <w:r w:rsidRPr="00A64175">
        <w:rPr>
          <w:rFonts w:ascii="Arial" w:hAnsi="Arial" w:cs="Arial"/>
          <w:spacing w:val="2"/>
          <w:sz w:val="22"/>
          <w:szCs w:val="22"/>
        </w:rPr>
        <w:t xml:space="preserve"> </w:t>
      </w:r>
      <w:r w:rsidRPr="00A64175">
        <w:rPr>
          <w:rFonts w:ascii="Arial" w:hAnsi="Arial" w:cs="Arial"/>
          <w:sz w:val="22"/>
          <w:szCs w:val="22"/>
        </w:rPr>
        <w:t>Centrale</w:t>
      </w:r>
      <w:r w:rsidRPr="00A64175">
        <w:rPr>
          <w:rFonts w:ascii="Arial" w:hAnsi="Arial" w:cs="Arial"/>
          <w:spacing w:val="2"/>
          <w:sz w:val="22"/>
          <w:szCs w:val="22"/>
        </w:rPr>
        <w:t xml:space="preserve"> </w:t>
      </w:r>
      <w:r w:rsidRPr="00A64175">
        <w:rPr>
          <w:rFonts w:ascii="Arial" w:hAnsi="Arial" w:cs="Arial"/>
          <w:sz w:val="22"/>
          <w:szCs w:val="22"/>
        </w:rPr>
        <w:t>ou</w:t>
      </w:r>
      <w:r w:rsidRPr="00A64175">
        <w:rPr>
          <w:rFonts w:ascii="Arial" w:hAnsi="Arial" w:cs="Arial"/>
          <w:spacing w:val="2"/>
          <w:sz w:val="22"/>
          <w:szCs w:val="22"/>
        </w:rPr>
        <w:t xml:space="preserve"> </w:t>
      </w:r>
      <w:r w:rsidRPr="00A64175">
        <w:rPr>
          <w:rFonts w:ascii="Arial" w:hAnsi="Arial" w:cs="Arial"/>
          <w:sz w:val="22"/>
          <w:szCs w:val="22"/>
        </w:rPr>
        <w:t>y intervenant, les</w:t>
      </w:r>
      <w:r w:rsidRPr="00A64175">
        <w:rPr>
          <w:rFonts w:ascii="Arial" w:hAnsi="Arial" w:cs="Arial"/>
          <w:spacing w:val="2"/>
          <w:sz w:val="22"/>
          <w:szCs w:val="22"/>
        </w:rPr>
        <w:t xml:space="preserve"> </w:t>
      </w:r>
      <w:r w:rsidRPr="00A64175">
        <w:rPr>
          <w:rFonts w:ascii="Arial" w:hAnsi="Arial" w:cs="Arial"/>
          <w:sz w:val="22"/>
          <w:szCs w:val="22"/>
        </w:rPr>
        <w:t>com</w:t>
      </w:r>
      <w:r w:rsidRPr="00A64175">
        <w:rPr>
          <w:rFonts w:ascii="Arial" w:hAnsi="Arial" w:cs="Arial"/>
          <w:spacing w:val="-2"/>
          <w:sz w:val="22"/>
          <w:szCs w:val="22"/>
        </w:rPr>
        <w:t>m</w:t>
      </w:r>
      <w:r w:rsidRPr="00A64175">
        <w:rPr>
          <w:rFonts w:ascii="Arial" w:hAnsi="Arial" w:cs="Arial"/>
          <w:spacing w:val="2"/>
          <w:sz w:val="22"/>
          <w:szCs w:val="22"/>
        </w:rPr>
        <w:t>i</w:t>
      </w:r>
      <w:r w:rsidRPr="00A64175">
        <w:rPr>
          <w:rFonts w:ascii="Arial" w:hAnsi="Arial" w:cs="Arial"/>
          <w:sz w:val="22"/>
          <w:szCs w:val="22"/>
        </w:rPr>
        <w:t>ssaires</w:t>
      </w:r>
      <w:r w:rsidRPr="00A64175">
        <w:rPr>
          <w:rFonts w:ascii="Arial" w:hAnsi="Arial" w:cs="Arial"/>
          <w:spacing w:val="2"/>
          <w:sz w:val="22"/>
          <w:szCs w:val="22"/>
        </w:rPr>
        <w:t xml:space="preserve"> </w:t>
      </w:r>
      <w:r w:rsidRPr="00A64175">
        <w:rPr>
          <w:rFonts w:ascii="Arial" w:hAnsi="Arial" w:cs="Arial"/>
          <w:sz w:val="22"/>
          <w:szCs w:val="22"/>
        </w:rPr>
        <w:t>aux co</w:t>
      </w:r>
      <w:r w:rsidRPr="00A64175">
        <w:rPr>
          <w:rFonts w:ascii="Arial" w:hAnsi="Arial" w:cs="Arial"/>
          <w:spacing w:val="-2"/>
          <w:sz w:val="22"/>
          <w:szCs w:val="22"/>
        </w:rPr>
        <w:t>m</w:t>
      </w:r>
      <w:r w:rsidRPr="00A64175">
        <w:rPr>
          <w:rFonts w:ascii="Arial" w:hAnsi="Arial" w:cs="Arial"/>
          <w:sz w:val="22"/>
          <w:szCs w:val="22"/>
        </w:rPr>
        <w:t>ptes</w:t>
      </w:r>
      <w:r w:rsidRPr="00A64175">
        <w:rPr>
          <w:rFonts w:ascii="Arial" w:hAnsi="Arial" w:cs="Arial"/>
          <w:spacing w:val="2"/>
          <w:sz w:val="22"/>
          <w:szCs w:val="22"/>
        </w:rPr>
        <w:t xml:space="preserve"> </w:t>
      </w:r>
      <w:r w:rsidRPr="00A64175">
        <w:rPr>
          <w:rFonts w:ascii="Arial" w:hAnsi="Arial" w:cs="Arial"/>
          <w:sz w:val="22"/>
          <w:szCs w:val="22"/>
        </w:rPr>
        <w:t>doivent</w:t>
      </w:r>
      <w:r w:rsidRPr="00A64175">
        <w:rPr>
          <w:rFonts w:ascii="Arial" w:hAnsi="Arial" w:cs="Arial"/>
          <w:spacing w:val="3"/>
          <w:sz w:val="22"/>
          <w:szCs w:val="22"/>
        </w:rPr>
        <w:t xml:space="preserve"> </w:t>
      </w:r>
      <w:r w:rsidRPr="00A64175">
        <w:rPr>
          <w:rFonts w:ascii="Arial" w:hAnsi="Arial" w:cs="Arial"/>
          <w:sz w:val="22"/>
          <w:szCs w:val="22"/>
        </w:rPr>
        <w:t>établir</w:t>
      </w:r>
      <w:r w:rsidRPr="00A64175">
        <w:rPr>
          <w:rFonts w:ascii="Arial" w:hAnsi="Arial" w:cs="Arial"/>
          <w:spacing w:val="2"/>
          <w:sz w:val="22"/>
          <w:szCs w:val="22"/>
        </w:rPr>
        <w:t xml:space="preserve"> </w:t>
      </w:r>
      <w:r w:rsidRPr="00A64175">
        <w:rPr>
          <w:rFonts w:ascii="Arial" w:hAnsi="Arial" w:cs="Arial"/>
          <w:sz w:val="22"/>
          <w:szCs w:val="22"/>
        </w:rPr>
        <w:t>un</w:t>
      </w:r>
      <w:r w:rsidRPr="00A64175">
        <w:rPr>
          <w:rFonts w:ascii="Arial" w:hAnsi="Arial" w:cs="Arial"/>
          <w:spacing w:val="2"/>
          <w:sz w:val="22"/>
          <w:szCs w:val="22"/>
        </w:rPr>
        <w:t xml:space="preserve"> </w:t>
      </w:r>
      <w:r w:rsidRPr="00A64175">
        <w:rPr>
          <w:rFonts w:ascii="Arial" w:hAnsi="Arial" w:cs="Arial"/>
          <w:sz w:val="22"/>
          <w:szCs w:val="22"/>
        </w:rPr>
        <w:t>dossier</w:t>
      </w:r>
      <w:r w:rsidRPr="00A64175">
        <w:rPr>
          <w:rFonts w:ascii="Arial" w:hAnsi="Arial" w:cs="Arial"/>
          <w:spacing w:val="2"/>
          <w:sz w:val="22"/>
          <w:szCs w:val="22"/>
        </w:rPr>
        <w:t xml:space="preserve"> </w:t>
      </w:r>
      <w:r w:rsidRPr="00A64175">
        <w:rPr>
          <w:rFonts w:ascii="Arial" w:hAnsi="Arial" w:cs="Arial"/>
          <w:sz w:val="22"/>
          <w:szCs w:val="22"/>
        </w:rPr>
        <w:t>sou</w:t>
      </w:r>
      <w:r w:rsidRPr="00A64175">
        <w:rPr>
          <w:rFonts w:ascii="Arial" w:hAnsi="Arial" w:cs="Arial"/>
          <w:spacing w:val="-2"/>
          <w:sz w:val="22"/>
          <w:szCs w:val="22"/>
        </w:rPr>
        <w:t>m</w:t>
      </w:r>
      <w:r w:rsidRPr="00A64175">
        <w:rPr>
          <w:rFonts w:ascii="Arial" w:hAnsi="Arial" w:cs="Arial"/>
          <w:sz w:val="22"/>
          <w:szCs w:val="22"/>
        </w:rPr>
        <w:t>is</w:t>
      </w:r>
      <w:r w:rsidRPr="00A64175">
        <w:rPr>
          <w:rFonts w:ascii="Arial" w:hAnsi="Arial" w:cs="Arial"/>
          <w:spacing w:val="2"/>
          <w:sz w:val="22"/>
          <w:szCs w:val="22"/>
        </w:rPr>
        <w:t xml:space="preserve"> </w:t>
      </w:r>
      <w:r w:rsidRPr="00A64175">
        <w:rPr>
          <w:rFonts w:ascii="Arial" w:hAnsi="Arial" w:cs="Arial"/>
          <w:sz w:val="22"/>
          <w:szCs w:val="22"/>
        </w:rPr>
        <w:t>à</w:t>
      </w:r>
      <w:r w:rsidRPr="00A64175">
        <w:rPr>
          <w:rFonts w:ascii="Arial" w:hAnsi="Arial" w:cs="Arial"/>
          <w:spacing w:val="3"/>
          <w:sz w:val="22"/>
          <w:szCs w:val="22"/>
        </w:rPr>
        <w:t xml:space="preserve"> </w:t>
      </w:r>
      <w:r w:rsidR="002542E7">
        <w:rPr>
          <w:rFonts w:ascii="Arial" w:hAnsi="Arial" w:cs="Arial"/>
          <w:sz w:val="22"/>
          <w:szCs w:val="22"/>
        </w:rPr>
        <w:t>l’agrément</w:t>
      </w:r>
      <w:r w:rsidR="002542E7"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la COSU</w:t>
      </w:r>
      <w:r w:rsidRPr="00A64175">
        <w:rPr>
          <w:rFonts w:ascii="Arial" w:hAnsi="Arial" w:cs="Arial"/>
          <w:spacing w:val="1"/>
          <w:sz w:val="22"/>
          <w:szCs w:val="22"/>
        </w:rPr>
        <w:t>M</w:t>
      </w:r>
      <w:r w:rsidRPr="00A64175">
        <w:rPr>
          <w:rFonts w:ascii="Arial" w:hAnsi="Arial" w:cs="Arial"/>
          <w:sz w:val="22"/>
          <w:szCs w:val="22"/>
        </w:rPr>
        <w:t>AF.</w:t>
      </w:r>
      <w:r w:rsidRPr="00480280">
        <w:rPr>
          <w:rFonts w:ascii="Arial" w:hAnsi="Arial" w:cs="Arial"/>
          <w:strike/>
          <w:sz w:val="22"/>
          <w:szCs w:val="22"/>
        </w:rPr>
        <w:t>.</w:t>
      </w:r>
    </w:p>
    <w:p w14:paraId="784FA2DB"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2227B61A" w14:textId="77777777" w:rsidR="00155476" w:rsidRPr="00A64175" w:rsidRDefault="00155476"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Les com</w:t>
      </w:r>
      <w:r w:rsidRPr="00A64175">
        <w:rPr>
          <w:rFonts w:ascii="Arial" w:hAnsi="Arial" w:cs="Arial"/>
          <w:spacing w:val="-2"/>
          <w:sz w:val="22"/>
          <w:szCs w:val="22"/>
        </w:rPr>
        <w:t>m</w:t>
      </w:r>
      <w:r w:rsidRPr="00A64175">
        <w:rPr>
          <w:rFonts w:ascii="Arial" w:hAnsi="Arial" w:cs="Arial"/>
          <w:sz w:val="22"/>
          <w:szCs w:val="22"/>
        </w:rPr>
        <w:t>i</w:t>
      </w:r>
      <w:r w:rsidRPr="00A64175">
        <w:rPr>
          <w:rFonts w:ascii="Arial" w:hAnsi="Arial" w:cs="Arial"/>
          <w:spacing w:val="1"/>
          <w:sz w:val="22"/>
          <w:szCs w:val="22"/>
        </w:rPr>
        <w:t>s</w:t>
      </w:r>
      <w:r w:rsidRPr="00A64175">
        <w:rPr>
          <w:rFonts w:ascii="Arial" w:hAnsi="Arial" w:cs="Arial"/>
          <w:sz w:val="22"/>
          <w:szCs w:val="22"/>
        </w:rPr>
        <w:t>saires aux co</w:t>
      </w:r>
      <w:r w:rsidRPr="00A64175">
        <w:rPr>
          <w:rFonts w:ascii="Arial" w:hAnsi="Arial" w:cs="Arial"/>
          <w:spacing w:val="-2"/>
          <w:sz w:val="22"/>
          <w:szCs w:val="22"/>
        </w:rPr>
        <w:t>m</w:t>
      </w:r>
      <w:r w:rsidRPr="00A64175">
        <w:rPr>
          <w:rFonts w:ascii="Arial" w:hAnsi="Arial" w:cs="Arial"/>
          <w:sz w:val="22"/>
          <w:szCs w:val="22"/>
        </w:rPr>
        <w:t>ptes doivent, en tout état de cause, figurer s</w:t>
      </w:r>
      <w:r w:rsidRPr="00A64175">
        <w:rPr>
          <w:rFonts w:ascii="Arial" w:hAnsi="Arial" w:cs="Arial"/>
          <w:spacing w:val="-1"/>
          <w:sz w:val="22"/>
          <w:szCs w:val="22"/>
        </w:rPr>
        <w:t>u</w:t>
      </w:r>
      <w:r w:rsidRPr="00A64175">
        <w:rPr>
          <w:rFonts w:ascii="Arial" w:hAnsi="Arial" w:cs="Arial"/>
          <w:sz w:val="22"/>
          <w:szCs w:val="22"/>
        </w:rPr>
        <w:t xml:space="preserve">r la liste des experts comptables agréés </w:t>
      </w:r>
      <w:r w:rsidRPr="00A64175">
        <w:rPr>
          <w:rFonts w:ascii="Arial" w:hAnsi="Arial" w:cs="Arial"/>
          <w:spacing w:val="-1"/>
          <w:sz w:val="22"/>
          <w:szCs w:val="22"/>
        </w:rPr>
        <w:t>p</w:t>
      </w:r>
      <w:r w:rsidRPr="00A64175">
        <w:rPr>
          <w:rFonts w:ascii="Arial" w:hAnsi="Arial" w:cs="Arial"/>
          <w:sz w:val="22"/>
          <w:szCs w:val="22"/>
        </w:rPr>
        <w:t>ar la CEMAC.</w:t>
      </w:r>
    </w:p>
    <w:p w14:paraId="6881D7BD"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583E54C3" w14:textId="77777777" w:rsidR="00155476" w:rsidRPr="00A64175" w:rsidRDefault="00155476"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 xml:space="preserve">La </w:t>
      </w:r>
      <w:r w:rsidRPr="00A64175">
        <w:rPr>
          <w:rFonts w:ascii="Arial" w:hAnsi="Arial" w:cs="Arial"/>
          <w:spacing w:val="1"/>
          <w:sz w:val="22"/>
          <w:szCs w:val="22"/>
        </w:rPr>
        <w:t xml:space="preserve"> </w:t>
      </w:r>
      <w:r w:rsidRPr="00A64175">
        <w:rPr>
          <w:rFonts w:ascii="Arial" w:hAnsi="Arial" w:cs="Arial"/>
          <w:sz w:val="22"/>
          <w:szCs w:val="22"/>
        </w:rPr>
        <w:t xml:space="preserve">COSUMAF </w:t>
      </w:r>
      <w:r w:rsidRPr="00A64175">
        <w:rPr>
          <w:rFonts w:ascii="Arial" w:hAnsi="Arial" w:cs="Arial"/>
          <w:spacing w:val="1"/>
          <w:sz w:val="22"/>
          <w:szCs w:val="22"/>
        </w:rPr>
        <w:t xml:space="preserve"> </w:t>
      </w:r>
      <w:r w:rsidRPr="00A64175">
        <w:rPr>
          <w:rFonts w:ascii="Arial" w:hAnsi="Arial" w:cs="Arial"/>
          <w:sz w:val="22"/>
          <w:szCs w:val="22"/>
        </w:rPr>
        <w:t xml:space="preserve">peut </w:t>
      </w:r>
      <w:r w:rsidRPr="00A64175">
        <w:rPr>
          <w:rFonts w:ascii="Arial" w:hAnsi="Arial" w:cs="Arial"/>
          <w:spacing w:val="1"/>
          <w:sz w:val="22"/>
          <w:szCs w:val="22"/>
        </w:rPr>
        <w:t xml:space="preserve"> </w:t>
      </w:r>
      <w:r w:rsidRPr="00A64175">
        <w:rPr>
          <w:rFonts w:ascii="Arial" w:hAnsi="Arial" w:cs="Arial"/>
          <w:sz w:val="22"/>
          <w:szCs w:val="22"/>
        </w:rPr>
        <w:t xml:space="preserve">interdire </w:t>
      </w:r>
      <w:r w:rsidRPr="00A64175">
        <w:rPr>
          <w:rFonts w:ascii="Arial" w:hAnsi="Arial" w:cs="Arial"/>
          <w:spacing w:val="1"/>
          <w:sz w:val="22"/>
          <w:szCs w:val="22"/>
        </w:rPr>
        <w:t xml:space="preserve"> </w:t>
      </w:r>
      <w:r w:rsidRPr="00A64175">
        <w:rPr>
          <w:rFonts w:ascii="Arial" w:hAnsi="Arial" w:cs="Arial"/>
          <w:sz w:val="22"/>
          <w:szCs w:val="22"/>
        </w:rPr>
        <w:t>l’interve</w:t>
      </w:r>
      <w:r w:rsidRPr="00A64175">
        <w:rPr>
          <w:rFonts w:ascii="Arial" w:hAnsi="Arial" w:cs="Arial"/>
          <w:spacing w:val="-1"/>
          <w:sz w:val="22"/>
          <w:szCs w:val="22"/>
        </w:rPr>
        <w:t>n</w:t>
      </w:r>
      <w:r w:rsidRPr="00A64175">
        <w:rPr>
          <w:rFonts w:ascii="Arial" w:hAnsi="Arial" w:cs="Arial"/>
          <w:sz w:val="22"/>
          <w:szCs w:val="22"/>
        </w:rPr>
        <w:t xml:space="preserve">tion </w:t>
      </w:r>
      <w:r w:rsidRPr="00A64175">
        <w:rPr>
          <w:rFonts w:ascii="Arial" w:hAnsi="Arial" w:cs="Arial"/>
          <w:spacing w:val="1"/>
          <w:sz w:val="22"/>
          <w:szCs w:val="22"/>
        </w:rPr>
        <w:t xml:space="preserve"> </w:t>
      </w:r>
      <w:r w:rsidRPr="00A64175">
        <w:rPr>
          <w:rFonts w:ascii="Arial" w:hAnsi="Arial" w:cs="Arial"/>
          <w:sz w:val="22"/>
          <w:szCs w:val="22"/>
        </w:rPr>
        <w:t>d’un  commissaire  aux  co</w:t>
      </w:r>
      <w:r w:rsidRPr="00A64175">
        <w:rPr>
          <w:rFonts w:ascii="Arial" w:hAnsi="Arial" w:cs="Arial"/>
          <w:spacing w:val="-2"/>
          <w:sz w:val="22"/>
          <w:szCs w:val="22"/>
        </w:rPr>
        <w:t>m</w:t>
      </w:r>
      <w:r w:rsidRPr="00A64175">
        <w:rPr>
          <w:rFonts w:ascii="Arial" w:hAnsi="Arial" w:cs="Arial"/>
          <w:sz w:val="22"/>
          <w:szCs w:val="22"/>
        </w:rPr>
        <w:t xml:space="preserve">ptes  dont  la  </w:t>
      </w:r>
      <w:r w:rsidRPr="00A64175">
        <w:rPr>
          <w:rFonts w:ascii="Arial" w:hAnsi="Arial" w:cs="Arial"/>
          <w:spacing w:val="-2"/>
          <w:sz w:val="22"/>
          <w:szCs w:val="22"/>
        </w:rPr>
        <w:t>m</w:t>
      </w:r>
      <w:r w:rsidRPr="00A64175">
        <w:rPr>
          <w:rFonts w:ascii="Arial" w:hAnsi="Arial" w:cs="Arial"/>
          <w:sz w:val="22"/>
          <w:szCs w:val="22"/>
        </w:rPr>
        <w:t>oralité  et  la crédi</w:t>
      </w:r>
      <w:r w:rsidRPr="00A64175">
        <w:rPr>
          <w:rFonts w:ascii="Arial" w:hAnsi="Arial" w:cs="Arial"/>
          <w:spacing w:val="-1"/>
          <w:sz w:val="22"/>
          <w:szCs w:val="22"/>
        </w:rPr>
        <w:t>b</w:t>
      </w:r>
      <w:r w:rsidRPr="00A64175">
        <w:rPr>
          <w:rFonts w:ascii="Arial" w:hAnsi="Arial" w:cs="Arial"/>
          <w:sz w:val="22"/>
          <w:szCs w:val="22"/>
        </w:rPr>
        <w:t>ilité</w:t>
      </w:r>
      <w:r w:rsidRPr="00A64175">
        <w:rPr>
          <w:rFonts w:ascii="Arial" w:hAnsi="Arial" w:cs="Arial"/>
          <w:spacing w:val="1"/>
          <w:sz w:val="22"/>
          <w:szCs w:val="22"/>
        </w:rPr>
        <w:t xml:space="preserve"> </w:t>
      </w:r>
      <w:r w:rsidRPr="00A64175">
        <w:rPr>
          <w:rFonts w:ascii="Arial" w:hAnsi="Arial" w:cs="Arial"/>
          <w:spacing w:val="-1"/>
          <w:sz w:val="22"/>
          <w:szCs w:val="22"/>
        </w:rPr>
        <w:t>p</w:t>
      </w:r>
      <w:r w:rsidRPr="00A64175">
        <w:rPr>
          <w:rFonts w:ascii="Arial" w:hAnsi="Arial" w:cs="Arial"/>
          <w:sz w:val="22"/>
          <w:szCs w:val="22"/>
        </w:rPr>
        <w:t>arai</w:t>
      </w:r>
      <w:r w:rsidRPr="00A64175">
        <w:rPr>
          <w:rFonts w:ascii="Arial" w:hAnsi="Arial" w:cs="Arial"/>
          <w:spacing w:val="-1"/>
          <w:sz w:val="22"/>
          <w:szCs w:val="22"/>
        </w:rPr>
        <w:t>s</w:t>
      </w:r>
      <w:r w:rsidRPr="00A64175">
        <w:rPr>
          <w:rFonts w:ascii="Arial" w:hAnsi="Arial" w:cs="Arial"/>
          <w:sz w:val="22"/>
          <w:szCs w:val="22"/>
        </w:rPr>
        <w:t>sent</w:t>
      </w:r>
      <w:r w:rsidRPr="00A64175">
        <w:rPr>
          <w:rFonts w:ascii="Arial" w:hAnsi="Arial" w:cs="Arial"/>
          <w:spacing w:val="3"/>
          <w:sz w:val="22"/>
          <w:szCs w:val="22"/>
        </w:rPr>
        <w:t xml:space="preserve"> </w:t>
      </w:r>
      <w:r w:rsidRPr="00A64175">
        <w:rPr>
          <w:rFonts w:ascii="Arial" w:hAnsi="Arial" w:cs="Arial"/>
          <w:sz w:val="22"/>
          <w:szCs w:val="22"/>
        </w:rPr>
        <w:t>d</w:t>
      </w:r>
      <w:r w:rsidRPr="00A64175">
        <w:rPr>
          <w:rFonts w:ascii="Arial" w:hAnsi="Arial" w:cs="Arial"/>
          <w:spacing w:val="-1"/>
          <w:sz w:val="22"/>
          <w:szCs w:val="22"/>
        </w:rPr>
        <w:t>o</w:t>
      </w:r>
      <w:r w:rsidRPr="00A64175">
        <w:rPr>
          <w:rFonts w:ascii="Arial" w:hAnsi="Arial" w:cs="Arial"/>
          <w:sz w:val="22"/>
          <w:szCs w:val="22"/>
        </w:rPr>
        <w:t>uteuses</w:t>
      </w:r>
      <w:r w:rsidRPr="00A64175">
        <w:rPr>
          <w:rFonts w:ascii="Arial" w:hAnsi="Arial" w:cs="Arial"/>
          <w:spacing w:val="1"/>
          <w:sz w:val="22"/>
          <w:szCs w:val="22"/>
        </w:rPr>
        <w:t xml:space="preserve"> </w:t>
      </w:r>
      <w:r w:rsidRPr="00A64175">
        <w:rPr>
          <w:rFonts w:ascii="Arial" w:hAnsi="Arial" w:cs="Arial"/>
          <w:sz w:val="22"/>
          <w:szCs w:val="22"/>
        </w:rPr>
        <w:t>ou</w:t>
      </w:r>
      <w:r w:rsidRPr="00A64175">
        <w:rPr>
          <w:rFonts w:ascii="Arial" w:hAnsi="Arial" w:cs="Arial"/>
          <w:spacing w:val="3"/>
          <w:sz w:val="22"/>
          <w:szCs w:val="22"/>
        </w:rPr>
        <w:t xml:space="preserve"> </w:t>
      </w:r>
      <w:r w:rsidRPr="00A64175">
        <w:rPr>
          <w:rFonts w:ascii="Arial" w:hAnsi="Arial" w:cs="Arial"/>
          <w:sz w:val="22"/>
          <w:szCs w:val="22"/>
        </w:rPr>
        <w:t>à l’égard</w:t>
      </w:r>
      <w:r w:rsidRPr="00A64175">
        <w:rPr>
          <w:rFonts w:ascii="Arial" w:hAnsi="Arial" w:cs="Arial"/>
          <w:spacing w:val="2"/>
          <w:sz w:val="22"/>
          <w:szCs w:val="22"/>
        </w:rPr>
        <w:t xml:space="preserve"> </w:t>
      </w:r>
      <w:r w:rsidRPr="00A64175">
        <w:rPr>
          <w:rFonts w:ascii="Arial" w:hAnsi="Arial" w:cs="Arial"/>
          <w:sz w:val="22"/>
          <w:szCs w:val="22"/>
        </w:rPr>
        <w:t>duquel</w:t>
      </w:r>
      <w:r w:rsidRPr="00A64175">
        <w:rPr>
          <w:rFonts w:ascii="Arial" w:hAnsi="Arial" w:cs="Arial"/>
          <w:spacing w:val="2"/>
          <w:sz w:val="22"/>
          <w:szCs w:val="22"/>
        </w:rPr>
        <w:t xml:space="preserve"> </w:t>
      </w:r>
      <w:r w:rsidRPr="00A64175">
        <w:rPr>
          <w:rFonts w:ascii="Arial" w:hAnsi="Arial" w:cs="Arial"/>
          <w:sz w:val="22"/>
          <w:szCs w:val="22"/>
        </w:rPr>
        <w:t>des</w:t>
      </w:r>
      <w:r w:rsidRPr="00A64175">
        <w:rPr>
          <w:rFonts w:ascii="Arial" w:hAnsi="Arial" w:cs="Arial"/>
          <w:spacing w:val="2"/>
          <w:sz w:val="22"/>
          <w:szCs w:val="22"/>
        </w:rPr>
        <w:t xml:space="preserve"> </w:t>
      </w:r>
      <w:r w:rsidRPr="00A64175">
        <w:rPr>
          <w:rFonts w:ascii="Arial" w:hAnsi="Arial" w:cs="Arial"/>
          <w:sz w:val="22"/>
          <w:szCs w:val="22"/>
        </w:rPr>
        <w:t>plaintes</w:t>
      </w:r>
      <w:r w:rsidRPr="00A64175">
        <w:rPr>
          <w:rFonts w:ascii="Arial" w:hAnsi="Arial" w:cs="Arial"/>
          <w:spacing w:val="2"/>
          <w:sz w:val="22"/>
          <w:szCs w:val="22"/>
        </w:rPr>
        <w:t xml:space="preserve"> </w:t>
      </w:r>
      <w:r w:rsidRPr="00A64175">
        <w:rPr>
          <w:rFonts w:ascii="Arial" w:hAnsi="Arial" w:cs="Arial"/>
          <w:sz w:val="22"/>
          <w:szCs w:val="22"/>
        </w:rPr>
        <w:t>ou</w:t>
      </w:r>
      <w:r w:rsidRPr="00A64175">
        <w:rPr>
          <w:rFonts w:ascii="Arial" w:hAnsi="Arial" w:cs="Arial"/>
          <w:spacing w:val="2"/>
          <w:sz w:val="22"/>
          <w:szCs w:val="22"/>
        </w:rPr>
        <w:t xml:space="preserve"> </w:t>
      </w:r>
      <w:r w:rsidRPr="00A64175">
        <w:rPr>
          <w:rFonts w:ascii="Arial" w:hAnsi="Arial" w:cs="Arial"/>
          <w:sz w:val="22"/>
          <w:szCs w:val="22"/>
        </w:rPr>
        <w:t>récla</w:t>
      </w:r>
      <w:r w:rsidRPr="00A64175">
        <w:rPr>
          <w:rFonts w:ascii="Arial" w:hAnsi="Arial" w:cs="Arial"/>
          <w:spacing w:val="-2"/>
          <w:sz w:val="22"/>
          <w:szCs w:val="22"/>
        </w:rPr>
        <w:t>m</w:t>
      </w:r>
      <w:r w:rsidRPr="00A64175">
        <w:rPr>
          <w:rFonts w:ascii="Arial" w:hAnsi="Arial" w:cs="Arial"/>
          <w:sz w:val="22"/>
          <w:szCs w:val="22"/>
        </w:rPr>
        <w:t>ations</w:t>
      </w:r>
      <w:r w:rsidRPr="00A64175">
        <w:rPr>
          <w:rFonts w:ascii="Arial" w:hAnsi="Arial" w:cs="Arial"/>
          <w:spacing w:val="2"/>
          <w:sz w:val="22"/>
          <w:szCs w:val="22"/>
        </w:rPr>
        <w:t xml:space="preserve"> </w:t>
      </w:r>
      <w:r w:rsidRPr="00A64175">
        <w:rPr>
          <w:rFonts w:ascii="Arial" w:hAnsi="Arial" w:cs="Arial"/>
          <w:sz w:val="22"/>
          <w:szCs w:val="22"/>
        </w:rPr>
        <w:t>ont</w:t>
      </w:r>
      <w:r w:rsidRPr="00A64175">
        <w:rPr>
          <w:rFonts w:ascii="Arial" w:hAnsi="Arial" w:cs="Arial"/>
          <w:spacing w:val="1"/>
          <w:sz w:val="22"/>
          <w:szCs w:val="22"/>
        </w:rPr>
        <w:t xml:space="preserve"> </w:t>
      </w:r>
      <w:r w:rsidRPr="00A64175">
        <w:rPr>
          <w:rFonts w:ascii="Arial" w:hAnsi="Arial" w:cs="Arial"/>
          <w:sz w:val="22"/>
          <w:szCs w:val="22"/>
        </w:rPr>
        <w:t>été</w:t>
      </w:r>
      <w:r w:rsidRPr="00A64175">
        <w:rPr>
          <w:rFonts w:ascii="Arial" w:hAnsi="Arial" w:cs="Arial"/>
          <w:spacing w:val="2"/>
          <w:sz w:val="22"/>
          <w:szCs w:val="22"/>
        </w:rPr>
        <w:t xml:space="preserve"> </w:t>
      </w:r>
      <w:r w:rsidRPr="00A64175">
        <w:rPr>
          <w:rFonts w:ascii="Arial" w:hAnsi="Arial" w:cs="Arial"/>
          <w:sz w:val="22"/>
          <w:szCs w:val="22"/>
        </w:rPr>
        <w:t>expri</w:t>
      </w:r>
      <w:r w:rsidRPr="00A64175">
        <w:rPr>
          <w:rFonts w:ascii="Arial" w:hAnsi="Arial" w:cs="Arial"/>
          <w:spacing w:val="-2"/>
          <w:sz w:val="22"/>
          <w:szCs w:val="22"/>
        </w:rPr>
        <w:t>m</w:t>
      </w:r>
      <w:r w:rsidRPr="00A64175">
        <w:rPr>
          <w:rFonts w:ascii="Arial" w:hAnsi="Arial" w:cs="Arial"/>
          <w:sz w:val="22"/>
          <w:szCs w:val="22"/>
        </w:rPr>
        <w:t>ées</w:t>
      </w:r>
      <w:r w:rsidRPr="00A64175">
        <w:rPr>
          <w:rFonts w:ascii="Arial" w:hAnsi="Arial" w:cs="Arial"/>
          <w:spacing w:val="2"/>
          <w:sz w:val="22"/>
          <w:szCs w:val="22"/>
        </w:rPr>
        <w:t xml:space="preserve"> </w:t>
      </w:r>
      <w:r w:rsidRPr="00A64175">
        <w:rPr>
          <w:rFonts w:ascii="Arial" w:hAnsi="Arial" w:cs="Arial"/>
          <w:sz w:val="22"/>
          <w:szCs w:val="22"/>
        </w:rPr>
        <w:t>dans</w:t>
      </w:r>
      <w:r w:rsidRPr="00A64175">
        <w:rPr>
          <w:rFonts w:ascii="Arial" w:hAnsi="Arial" w:cs="Arial"/>
          <w:spacing w:val="2"/>
          <w:sz w:val="22"/>
          <w:szCs w:val="22"/>
        </w:rPr>
        <w:t xml:space="preserve"> </w:t>
      </w:r>
      <w:r w:rsidRPr="00A64175">
        <w:rPr>
          <w:rFonts w:ascii="Arial" w:hAnsi="Arial" w:cs="Arial"/>
          <w:sz w:val="22"/>
          <w:szCs w:val="22"/>
        </w:rPr>
        <w:t>le cadre de l’exercice de sa profession.</w:t>
      </w:r>
    </w:p>
    <w:p w14:paraId="6A469447"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30B36706" w14:textId="77B2B883" w:rsidR="00155476" w:rsidRPr="00A64175" w:rsidRDefault="00155476" w:rsidP="00A64175">
      <w:pPr>
        <w:widowControl w:val="0"/>
        <w:autoSpaceDE w:val="0"/>
        <w:adjustRightInd w:val="0"/>
        <w:ind w:left="111" w:right="69"/>
        <w:jc w:val="both"/>
        <w:rPr>
          <w:rFonts w:ascii="Arial" w:hAnsi="Arial" w:cs="Arial"/>
          <w:sz w:val="22"/>
          <w:szCs w:val="22"/>
        </w:rPr>
      </w:pPr>
      <w:r w:rsidRPr="00A64175">
        <w:rPr>
          <w:rFonts w:ascii="Arial" w:hAnsi="Arial" w:cs="Arial"/>
          <w:sz w:val="22"/>
          <w:szCs w:val="22"/>
        </w:rPr>
        <w:t>Une instru</w:t>
      </w:r>
      <w:r w:rsidRPr="00A64175">
        <w:rPr>
          <w:rFonts w:ascii="Arial" w:hAnsi="Arial" w:cs="Arial"/>
          <w:spacing w:val="-1"/>
          <w:sz w:val="22"/>
          <w:szCs w:val="22"/>
        </w:rPr>
        <w:t>ct</w:t>
      </w:r>
      <w:r w:rsidRPr="00A64175">
        <w:rPr>
          <w:rFonts w:ascii="Arial" w:hAnsi="Arial" w:cs="Arial"/>
          <w:sz w:val="22"/>
          <w:szCs w:val="22"/>
        </w:rPr>
        <w:t>ion de la COSUMAF préci</w:t>
      </w:r>
      <w:r w:rsidRPr="00A64175">
        <w:rPr>
          <w:rFonts w:ascii="Arial" w:hAnsi="Arial" w:cs="Arial"/>
          <w:spacing w:val="-1"/>
          <w:sz w:val="22"/>
          <w:szCs w:val="22"/>
        </w:rPr>
        <w:t>s</w:t>
      </w:r>
      <w:r w:rsidRPr="00A64175">
        <w:rPr>
          <w:rFonts w:ascii="Arial" w:hAnsi="Arial" w:cs="Arial"/>
          <w:sz w:val="22"/>
          <w:szCs w:val="22"/>
        </w:rPr>
        <w:t>e les c</w:t>
      </w:r>
      <w:r w:rsidRPr="00A64175">
        <w:rPr>
          <w:rFonts w:ascii="Arial" w:hAnsi="Arial" w:cs="Arial"/>
          <w:spacing w:val="-1"/>
          <w:sz w:val="22"/>
          <w:szCs w:val="22"/>
        </w:rPr>
        <w:t>o</w:t>
      </w:r>
      <w:r w:rsidRPr="00A64175">
        <w:rPr>
          <w:rFonts w:ascii="Arial" w:hAnsi="Arial" w:cs="Arial"/>
          <w:sz w:val="22"/>
          <w:szCs w:val="22"/>
        </w:rPr>
        <w:t>nditions</w:t>
      </w:r>
      <w:r w:rsidRPr="00A64175">
        <w:rPr>
          <w:rFonts w:ascii="Arial" w:hAnsi="Arial" w:cs="Arial"/>
          <w:spacing w:val="1"/>
          <w:sz w:val="22"/>
          <w:szCs w:val="22"/>
        </w:rPr>
        <w:t xml:space="preserve"> </w:t>
      </w:r>
      <w:r w:rsidRPr="00A64175">
        <w:rPr>
          <w:rFonts w:ascii="Arial" w:hAnsi="Arial" w:cs="Arial"/>
          <w:sz w:val="22"/>
          <w:szCs w:val="22"/>
        </w:rPr>
        <w:t xml:space="preserve">et la procédure </w:t>
      </w:r>
      <w:r w:rsidR="002542E7">
        <w:rPr>
          <w:rFonts w:ascii="Arial" w:hAnsi="Arial" w:cs="Arial"/>
          <w:sz w:val="22"/>
          <w:szCs w:val="22"/>
        </w:rPr>
        <w:t>d’agrément</w:t>
      </w:r>
      <w:r w:rsidR="008F5A32">
        <w:rPr>
          <w:rFonts w:ascii="Arial" w:hAnsi="Arial" w:cs="Arial"/>
          <w:sz w:val="22"/>
          <w:szCs w:val="22"/>
        </w:rPr>
        <w:t xml:space="preserve"> </w:t>
      </w:r>
      <w:r w:rsidR="00522946">
        <w:rPr>
          <w:rFonts w:ascii="Arial" w:hAnsi="Arial" w:cs="Arial"/>
          <w:sz w:val="22"/>
          <w:szCs w:val="22"/>
        </w:rPr>
        <w:t xml:space="preserve">des commissaires aux comptes </w:t>
      </w:r>
      <w:r w:rsidRPr="00A64175">
        <w:rPr>
          <w:rFonts w:ascii="Arial" w:hAnsi="Arial" w:cs="Arial"/>
          <w:sz w:val="22"/>
          <w:szCs w:val="22"/>
        </w:rPr>
        <w:t>.</w:t>
      </w:r>
    </w:p>
    <w:p w14:paraId="6D8414FD" w14:textId="77777777" w:rsidR="00155476" w:rsidRPr="00A64175" w:rsidRDefault="00155476" w:rsidP="00A64175">
      <w:pPr>
        <w:widowControl w:val="0"/>
        <w:autoSpaceDE w:val="0"/>
        <w:adjustRightInd w:val="0"/>
        <w:spacing w:before="1" w:line="150" w:lineRule="exact"/>
        <w:jc w:val="both"/>
        <w:rPr>
          <w:rFonts w:ascii="Arial" w:hAnsi="Arial" w:cs="Arial"/>
          <w:sz w:val="22"/>
          <w:szCs w:val="22"/>
        </w:rPr>
      </w:pPr>
    </w:p>
    <w:p w14:paraId="5F15EB3F" w14:textId="77777777" w:rsidR="00155476" w:rsidRPr="00A64175" w:rsidRDefault="00155476" w:rsidP="00A64175">
      <w:pPr>
        <w:widowControl w:val="0"/>
        <w:autoSpaceDE w:val="0"/>
        <w:adjustRightInd w:val="0"/>
        <w:spacing w:before="1" w:line="150" w:lineRule="exact"/>
        <w:jc w:val="both"/>
        <w:rPr>
          <w:rFonts w:ascii="Arial" w:hAnsi="Arial" w:cs="Arial"/>
          <w:sz w:val="22"/>
          <w:szCs w:val="22"/>
        </w:rPr>
      </w:pPr>
    </w:p>
    <w:p w14:paraId="733A68F1" w14:textId="6D84C995" w:rsidR="00155476" w:rsidRPr="00A64175" w:rsidRDefault="00F30BDF" w:rsidP="00A64175">
      <w:pPr>
        <w:widowControl w:val="0"/>
        <w:autoSpaceDE w:val="0"/>
        <w:adjustRightInd w:val="0"/>
        <w:ind w:left="111" w:right="68"/>
        <w:jc w:val="both"/>
        <w:rPr>
          <w:rFonts w:ascii="Arial" w:hAnsi="Arial" w:cs="Arial"/>
          <w:sz w:val="22"/>
          <w:szCs w:val="22"/>
        </w:rPr>
      </w:pPr>
      <w:r w:rsidRPr="00A64175">
        <w:rPr>
          <w:rFonts w:ascii="Arial" w:hAnsi="Arial" w:cs="Arial"/>
          <w:b/>
          <w:bCs/>
          <w:sz w:val="22"/>
          <w:szCs w:val="22"/>
        </w:rPr>
        <w:t>Article 1</w:t>
      </w:r>
      <w:r w:rsidR="008F56E4">
        <w:rPr>
          <w:rFonts w:ascii="Arial" w:hAnsi="Arial" w:cs="Arial"/>
          <w:b/>
          <w:bCs/>
          <w:sz w:val="22"/>
          <w:szCs w:val="22"/>
        </w:rPr>
        <w:t>5</w:t>
      </w:r>
      <w:r w:rsidR="004F08BD">
        <w:rPr>
          <w:rFonts w:ascii="Arial" w:hAnsi="Arial" w:cs="Arial"/>
          <w:b/>
          <w:bCs/>
          <w:sz w:val="22"/>
          <w:szCs w:val="22"/>
        </w:rPr>
        <w:t>2</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Les</w:t>
      </w:r>
      <w:r w:rsidR="00155476" w:rsidRPr="00A64175">
        <w:rPr>
          <w:rFonts w:ascii="Arial" w:hAnsi="Arial" w:cs="Arial"/>
          <w:spacing w:val="9"/>
          <w:sz w:val="22"/>
          <w:szCs w:val="22"/>
        </w:rPr>
        <w:t xml:space="preserve"> </w:t>
      </w:r>
      <w:r w:rsidR="00155476" w:rsidRPr="00A64175">
        <w:rPr>
          <w:rFonts w:ascii="Arial" w:hAnsi="Arial" w:cs="Arial"/>
          <w:sz w:val="22"/>
          <w:szCs w:val="22"/>
        </w:rPr>
        <w:t>com</w:t>
      </w:r>
      <w:r w:rsidR="00155476" w:rsidRPr="00A64175">
        <w:rPr>
          <w:rFonts w:ascii="Arial" w:hAnsi="Arial" w:cs="Arial"/>
          <w:spacing w:val="-2"/>
          <w:sz w:val="22"/>
          <w:szCs w:val="22"/>
        </w:rPr>
        <w:t>m</w:t>
      </w:r>
      <w:r w:rsidR="00155476" w:rsidRPr="00A64175">
        <w:rPr>
          <w:rFonts w:ascii="Arial" w:hAnsi="Arial" w:cs="Arial"/>
          <w:sz w:val="22"/>
          <w:szCs w:val="22"/>
        </w:rPr>
        <w:t>i</w:t>
      </w:r>
      <w:r w:rsidR="00155476" w:rsidRPr="00A64175">
        <w:rPr>
          <w:rFonts w:ascii="Arial" w:hAnsi="Arial" w:cs="Arial"/>
          <w:spacing w:val="1"/>
          <w:sz w:val="22"/>
          <w:szCs w:val="22"/>
        </w:rPr>
        <w:t>s</w:t>
      </w:r>
      <w:r w:rsidR="00155476" w:rsidRPr="00A64175">
        <w:rPr>
          <w:rFonts w:ascii="Arial" w:hAnsi="Arial" w:cs="Arial"/>
          <w:sz w:val="22"/>
          <w:szCs w:val="22"/>
        </w:rPr>
        <w:t>saires</w:t>
      </w:r>
      <w:r w:rsidR="00155476" w:rsidRPr="00A64175">
        <w:rPr>
          <w:rFonts w:ascii="Arial" w:hAnsi="Arial" w:cs="Arial"/>
          <w:spacing w:val="9"/>
          <w:sz w:val="22"/>
          <w:szCs w:val="22"/>
        </w:rPr>
        <w:t xml:space="preserve"> </w:t>
      </w:r>
      <w:r w:rsidR="00155476" w:rsidRPr="00A64175">
        <w:rPr>
          <w:rFonts w:ascii="Arial" w:hAnsi="Arial" w:cs="Arial"/>
          <w:sz w:val="22"/>
          <w:szCs w:val="22"/>
        </w:rPr>
        <w:t>aux</w:t>
      </w:r>
      <w:r w:rsidR="00155476" w:rsidRPr="00A64175">
        <w:rPr>
          <w:rFonts w:ascii="Arial" w:hAnsi="Arial" w:cs="Arial"/>
          <w:spacing w:val="9"/>
          <w:sz w:val="22"/>
          <w:szCs w:val="22"/>
        </w:rPr>
        <w:t xml:space="preserve"> </w:t>
      </w:r>
      <w:r w:rsidR="00155476" w:rsidRPr="00A64175">
        <w:rPr>
          <w:rFonts w:ascii="Arial" w:hAnsi="Arial" w:cs="Arial"/>
          <w:sz w:val="22"/>
          <w:szCs w:val="22"/>
        </w:rPr>
        <w:t>co</w:t>
      </w:r>
      <w:r w:rsidR="00155476" w:rsidRPr="00A64175">
        <w:rPr>
          <w:rFonts w:ascii="Arial" w:hAnsi="Arial" w:cs="Arial"/>
          <w:spacing w:val="-2"/>
          <w:sz w:val="22"/>
          <w:szCs w:val="22"/>
        </w:rPr>
        <w:t>m</w:t>
      </w:r>
      <w:r w:rsidR="00155476" w:rsidRPr="00A64175">
        <w:rPr>
          <w:rFonts w:ascii="Arial" w:hAnsi="Arial" w:cs="Arial"/>
          <w:sz w:val="22"/>
          <w:szCs w:val="22"/>
        </w:rPr>
        <w:t>ptes</w:t>
      </w:r>
      <w:r w:rsidR="00155476" w:rsidRPr="00A64175">
        <w:rPr>
          <w:rFonts w:ascii="Arial" w:hAnsi="Arial" w:cs="Arial"/>
          <w:spacing w:val="9"/>
          <w:sz w:val="22"/>
          <w:szCs w:val="22"/>
        </w:rPr>
        <w:t xml:space="preserve"> </w:t>
      </w:r>
      <w:r w:rsidR="00155476" w:rsidRPr="00A64175">
        <w:rPr>
          <w:rFonts w:ascii="Arial" w:hAnsi="Arial" w:cs="Arial"/>
          <w:sz w:val="22"/>
          <w:szCs w:val="22"/>
        </w:rPr>
        <w:t>app</w:t>
      </w:r>
      <w:r w:rsidR="00155476" w:rsidRPr="00A64175">
        <w:rPr>
          <w:rFonts w:ascii="Arial" w:hAnsi="Arial" w:cs="Arial"/>
          <w:spacing w:val="1"/>
          <w:sz w:val="22"/>
          <w:szCs w:val="22"/>
        </w:rPr>
        <w:t>o</w:t>
      </w:r>
      <w:r w:rsidR="00155476" w:rsidRPr="00A64175">
        <w:rPr>
          <w:rFonts w:ascii="Arial" w:hAnsi="Arial" w:cs="Arial"/>
          <w:sz w:val="22"/>
          <w:szCs w:val="22"/>
        </w:rPr>
        <w:t>rtent</w:t>
      </w:r>
      <w:r w:rsidR="00155476" w:rsidRPr="00A64175">
        <w:rPr>
          <w:rFonts w:ascii="Arial" w:hAnsi="Arial" w:cs="Arial"/>
          <w:spacing w:val="10"/>
          <w:sz w:val="22"/>
          <w:szCs w:val="22"/>
        </w:rPr>
        <w:t xml:space="preserve"> </w:t>
      </w:r>
      <w:r w:rsidR="00155476" w:rsidRPr="00A64175">
        <w:rPr>
          <w:rFonts w:ascii="Arial" w:hAnsi="Arial" w:cs="Arial"/>
          <w:sz w:val="22"/>
          <w:szCs w:val="22"/>
        </w:rPr>
        <w:t>leur</w:t>
      </w:r>
      <w:r w:rsidR="00155476" w:rsidRPr="00A64175">
        <w:rPr>
          <w:rFonts w:ascii="Arial" w:hAnsi="Arial" w:cs="Arial"/>
          <w:spacing w:val="10"/>
          <w:sz w:val="22"/>
          <w:szCs w:val="22"/>
        </w:rPr>
        <w:t xml:space="preserve"> </w:t>
      </w:r>
      <w:r w:rsidR="00155476" w:rsidRPr="00A64175">
        <w:rPr>
          <w:rFonts w:ascii="Arial" w:hAnsi="Arial" w:cs="Arial"/>
          <w:sz w:val="22"/>
          <w:szCs w:val="22"/>
        </w:rPr>
        <w:t>contribution</w:t>
      </w:r>
      <w:r w:rsidR="00155476" w:rsidRPr="00A64175">
        <w:rPr>
          <w:rFonts w:ascii="Arial" w:hAnsi="Arial" w:cs="Arial"/>
          <w:spacing w:val="8"/>
          <w:sz w:val="22"/>
          <w:szCs w:val="22"/>
        </w:rPr>
        <w:t xml:space="preserve"> </w:t>
      </w:r>
      <w:r w:rsidR="00155476" w:rsidRPr="00A64175">
        <w:rPr>
          <w:rFonts w:ascii="Arial" w:hAnsi="Arial" w:cs="Arial"/>
          <w:sz w:val="22"/>
          <w:szCs w:val="22"/>
        </w:rPr>
        <w:t>au</w:t>
      </w:r>
      <w:r w:rsidR="00155476" w:rsidRPr="00A64175">
        <w:rPr>
          <w:rFonts w:ascii="Arial" w:hAnsi="Arial" w:cs="Arial"/>
          <w:spacing w:val="10"/>
          <w:sz w:val="22"/>
          <w:szCs w:val="22"/>
        </w:rPr>
        <w:t xml:space="preserve"> </w:t>
      </w:r>
      <w:r w:rsidR="00155476" w:rsidRPr="00A64175">
        <w:rPr>
          <w:rFonts w:ascii="Arial" w:hAnsi="Arial" w:cs="Arial"/>
          <w:sz w:val="22"/>
          <w:szCs w:val="22"/>
        </w:rPr>
        <w:t>bon</w:t>
      </w:r>
      <w:r w:rsidR="00155476" w:rsidRPr="00A64175">
        <w:rPr>
          <w:rFonts w:ascii="Arial" w:hAnsi="Arial" w:cs="Arial"/>
          <w:spacing w:val="10"/>
          <w:sz w:val="22"/>
          <w:szCs w:val="22"/>
        </w:rPr>
        <w:t xml:space="preserve"> </w:t>
      </w:r>
      <w:r w:rsidR="00155476" w:rsidRPr="00A64175">
        <w:rPr>
          <w:rFonts w:ascii="Arial" w:hAnsi="Arial" w:cs="Arial"/>
          <w:sz w:val="22"/>
          <w:szCs w:val="22"/>
        </w:rPr>
        <w:t>fonctionne</w:t>
      </w:r>
      <w:r w:rsidR="00155476" w:rsidRPr="00A64175">
        <w:rPr>
          <w:rFonts w:ascii="Arial" w:hAnsi="Arial" w:cs="Arial"/>
          <w:spacing w:val="-2"/>
          <w:sz w:val="22"/>
          <w:szCs w:val="22"/>
        </w:rPr>
        <w:t>m</w:t>
      </w:r>
      <w:r w:rsidR="00155476" w:rsidRPr="00A64175">
        <w:rPr>
          <w:rFonts w:ascii="Arial" w:hAnsi="Arial" w:cs="Arial"/>
          <w:sz w:val="22"/>
          <w:szCs w:val="22"/>
        </w:rPr>
        <w:t>ent</w:t>
      </w:r>
      <w:r w:rsidR="00155476" w:rsidRPr="00A64175">
        <w:rPr>
          <w:rFonts w:ascii="Arial" w:hAnsi="Arial" w:cs="Arial"/>
          <w:spacing w:val="10"/>
          <w:sz w:val="22"/>
          <w:szCs w:val="22"/>
        </w:rPr>
        <w:t xml:space="preserve"> </w:t>
      </w:r>
      <w:r w:rsidR="00155476" w:rsidRPr="00A64175">
        <w:rPr>
          <w:rFonts w:ascii="Arial" w:hAnsi="Arial" w:cs="Arial"/>
          <w:sz w:val="22"/>
          <w:szCs w:val="22"/>
        </w:rPr>
        <w:t>du</w:t>
      </w:r>
      <w:r w:rsidR="00155476" w:rsidRPr="00A64175">
        <w:rPr>
          <w:rFonts w:ascii="Arial" w:hAnsi="Arial" w:cs="Arial"/>
          <w:spacing w:val="10"/>
          <w:sz w:val="22"/>
          <w:szCs w:val="22"/>
        </w:rPr>
        <w:t xml:space="preserve"> </w:t>
      </w:r>
      <w:r w:rsidR="00155476" w:rsidRPr="00A64175">
        <w:rPr>
          <w:rFonts w:ascii="Arial" w:hAnsi="Arial" w:cs="Arial"/>
          <w:spacing w:val="-2"/>
          <w:sz w:val="22"/>
          <w:szCs w:val="22"/>
        </w:rPr>
        <w:t>m</w:t>
      </w:r>
      <w:r w:rsidR="00155476" w:rsidRPr="00A64175">
        <w:rPr>
          <w:rFonts w:ascii="Arial" w:hAnsi="Arial" w:cs="Arial"/>
          <w:sz w:val="22"/>
          <w:szCs w:val="22"/>
        </w:rPr>
        <w:t>arché</w:t>
      </w:r>
      <w:r w:rsidR="00155476" w:rsidRPr="00A64175">
        <w:rPr>
          <w:rFonts w:ascii="Arial" w:hAnsi="Arial" w:cs="Arial"/>
          <w:spacing w:val="10"/>
          <w:sz w:val="22"/>
          <w:szCs w:val="22"/>
        </w:rPr>
        <w:t xml:space="preserve"> </w:t>
      </w:r>
      <w:r w:rsidR="00155476" w:rsidRPr="00A64175">
        <w:rPr>
          <w:rFonts w:ascii="Arial" w:hAnsi="Arial" w:cs="Arial"/>
          <w:sz w:val="22"/>
          <w:szCs w:val="22"/>
        </w:rPr>
        <w:t>en</w:t>
      </w:r>
      <w:r w:rsidR="00155476" w:rsidRPr="00A64175">
        <w:rPr>
          <w:rFonts w:ascii="Arial" w:hAnsi="Arial" w:cs="Arial"/>
          <w:spacing w:val="10"/>
          <w:sz w:val="22"/>
          <w:szCs w:val="22"/>
        </w:rPr>
        <w:t xml:space="preserve"> </w:t>
      </w:r>
      <w:r w:rsidR="00155476" w:rsidRPr="00A64175">
        <w:rPr>
          <w:rFonts w:ascii="Arial" w:hAnsi="Arial" w:cs="Arial"/>
          <w:sz w:val="22"/>
          <w:szCs w:val="22"/>
        </w:rPr>
        <w:t>assurant la</w:t>
      </w:r>
      <w:r w:rsidR="00155476" w:rsidRPr="00A64175">
        <w:rPr>
          <w:rFonts w:ascii="Arial" w:hAnsi="Arial" w:cs="Arial"/>
          <w:spacing w:val="1"/>
          <w:sz w:val="22"/>
          <w:szCs w:val="22"/>
        </w:rPr>
        <w:t xml:space="preserve"> </w:t>
      </w:r>
      <w:r w:rsidR="00155476" w:rsidRPr="00A64175">
        <w:rPr>
          <w:rFonts w:ascii="Arial" w:hAnsi="Arial" w:cs="Arial"/>
          <w:spacing w:val="-1"/>
          <w:sz w:val="22"/>
          <w:szCs w:val="22"/>
        </w:rPr>
        <w:t>f</w:t>
      </w:r>
      <w:r w:rsidR="00155476" w:rsidRPr="00A64175">
        <w:rPr>
          <w:rFonts w:ascii="Arial" w:hAnsi="Arial" w:cs="Arial"/>
          <w:sz w:val="22"/>
          <w:szCs w:val="22"/>
        </w:rPr>
        <w:t>iabilité</w:t>
      </w:r>
      <w:r w:rsidR="00155476" w:rsidRPr="00A64175">
        <w:rPr>
          <w:rFonts w:ascii="Arial" w:hAnsi="Arial" w:cs="Arial"/>
          <w:spacing w:val="1"/>
          <w:sz w:val="22"/>
          <w:szCs w:val="22"/>
        </w:rPr>
        <w:t xml:space="preserve"> </w:t>
      </w:r>
      <w:r w:rsidR="00155476" w:rsidRPr="00A64175">
        <w:rPr>
          <w:rFonts w:ascii="Arial" w:hAnsi="Arial" w:cs="Arial"/>
          <w:spacing w:val="-1"/>
          <w:sz w:val="22"/>
          <w:szCs w:val="22"/>
        </w:rPr>
        <w:t>d</w:t>
      </w:r>
      <w:r w:rsidR="00155476" w:rsidRPr="00A64175">
        <w:rPr>
          <w:rFonts w:ascii="Arial" w:hAnsi="Arial" w:cs="Arial"/>
          <w:sz w:val="22"/>
          <w:szCs w:val="22"/>
        </w:rPr>
        <w:t>es</w:t>
      </w:r>
      <w:r w:rsidR="00155476" w:rsidRPr="00A64175">
        <w:rPr>
          <w:rFonts w:ascii="Arial" w:hAnsi="Arial" w:cs="Arial"/>
          <w:spacing w:val="1"/>
          <w:sz w:val="22"/>
          <w:szCs w:val="22"/>
        </w:rPr>
        <w:t xml:space="preserve"> </w:t>
      </w:r>
      <w:r w:rsidR="00155476" w:rsidRPr="00A64175">
        <w:rPr>
          <w:rFonts w:ascii="Arial" w:hAnsi="Arial" w:cs="Arial"/>
          <w:sz w:val="22"/>
          <w:szCs w:val="22"/>
        </w:rPr>
        <w:t>in</w:t>
      </w:r>
      <w:r w:rsidR="00155476" w:rsidRPr="00A64175">
        <w:rPr>
          <w:rFonts w:ascii="Arial" w:hAnsi="Arial" w:cs="Arial"/>
          <w:spacing w:val="-1"/>
          <w:sz w:val="22"/>
          <w:szCs w:val="22"/>
        </w:rPr>
        <w:t>f</w:t>
      </w:r>
      <w:r w:rsidR="00155476" w:rsidRPr="00A64175">
        <w:rPr>
          <w:rFonts w:ascii="Arial" w:hAnsi="Arial" w:cs="Arial"/>
          <w:sz w:val="22"/>
          <w:szCs w:val="22"/>
        </w:rPr>
        <w:t>or</w:t>
      </w:r>
      <w:r w:rsidR="00155476" w:rsidRPr="00A64175">
        <w:rPr>
          <w:rFonts w:ascii="Arial" w:hAnsi="Arial" w:cs="Arial"/>
          <w:spacing w:val="-2"/>
          <w:sz w:val="22"/>
          <w:szCs w:val="22"/>
        </w:rPr>
        <w:t>m</w:t>
      </w:r>
      <w:r w:rsidR="00155476" w:rsidRPr="00A64175">
        <w:rPr>
          <w:rFonts w:ascii="Arial" w:hAnsi="Arial" w:cs="Arial"/>
          <w:sz w:val="22"/>
          <w:szCs w:val="22"/>
        </w:rPr>
        <w:t>ations</w:t>
      </w:r>
      <w:r w:rsidR="00155476" w:rsidRPr="00A64175">
        <w:rPr>
          <w:rFonts w:ascii="Arial" w:hAnsi="Arial" w:cs="Arial"/>
          <w:spacing w:val="1"/>
          <w:sz w:val="22"/>
          <w:szCs w:val="22"/>
        </w:rPr>
        <w:t xml:space="preserve"> </w:t>
      </w:r>
      <w:r w:rsidR="00155476" w:rsidRPr="00A64175">
        <w:rPr>
          <w:rFonts w:ascii="Arial" w:hAnsi="Arial" w:cs="Arial"/>
          <w:spacing w:val="-1"/>
          <w:sz w:val="22"/>
          <w:szCs w:val="22"/>
        </w:rPr>
        <w:t>f</w:t>
      </w:r>
      <w:r w:rsidR="00155476" w:rsidRPr="00A64175">
        <w:rPr>
          <w:rFonts w:ascii="Arial" w:hAnsi="Arial" w:cs="Arial"/>
          <w:sz w:val="22"/>
          <w:szCs w:val="22"/>
        </w:rPr>
        <w:t>inanci</w:t>
      </w:r>
      <w:r w:rsidR="00155476" w:rsidRPr="00A64175">
        <w:rPr>
          <w:rFonts w:ascii="Arial" w:hAnsi="Arial" w:cs="Arial"/>
          <w:spacing w:val="-1"/>
          <w:sz w:val="22"/>
          <w:szCs w:val="22"/>
        </w:rPr>
        <w:t>è</w:t>
      </w:r>
      <w:r w:rsidR="00155476" w:rsidRPr="00A64175">
        <w:rPr>
          <w:rFonts w:ascii="Arial" w:hAnsi="Arial" w:cs="Arial"/>
          <w:sz w:val="22"/>
          <w:szCs w:val="22"/>
        </w:rPr>
        <w:t>res</w:t>
      </w:r>
      <w:r w:rsidR="00155476" w:rsidRPr="00A64175">
        <w:rPr>
          <w:rFonts w:ascii="Arial" w:hAnsi="Arial" w:cs="Arial"/>
          <w:spacing w:val="1"/>
          <w:sz w:val="22"/>
          <w:szCs w:val="22"/>
        </w:rPr>
        <w:t xml:space="preserve"> </w:t>
      </w:r>
      <w:r w:rsidR="00155476" w:rsidRPr="00A64175">
        <w:rPr>
          <w:rFonts w:ascii="Arial" w:hAnsi="Arial" w:cs="Arial"/>
          <w:spacing w:val="-1"/>
          <w:sz w:val="22"/>
          <w:szCs w:val="22"/>
        </w:rPr>
        <w:t>e</w:t>
      </w:r>
      <w:r w:rsidR="00155476" w:rsidRPr="00A64175">
        <w:rPr>
          <w:rFonts w:ascii="Arial" w:hAnsi="Arial" w:cs="Arial"/>
          <w:sz w:val="22"/>
          <w:szCs w:val="22"/>
        </w:rPr>
        <w:t>t</w:t>
      </w:r>
      <w:r w:rsidR="00155476" w:rsidRPr="00A64175">
        <w:rPr>
          <w:rFonts w:ascii="Arial" w:hAnsi="Arial" w:cs="Arial"/>
          <w:spacing w:val="1"/>
          <w:sz w:val="22"/>
          <w:szCs w:val="22"/>
        </w:rPr>
        <w:t xml:space="preserve"> </w:t>
      </w:r>
      <w:r w:rsidR="00155476" w:rsidRPr="00A64175">
        <w:rPr>
          <w:rFonts w:ascii="Arial" w:hAnsi="Arial" w:cs="Arial"/>
          <w:sz w:val="22"/>
          <w:szCs w:val="22"/>
        </w:rPr>
        <w:t>co</w:t>
      </w:r>
      <w:r w:rsidR="00155476" w:rsidRPr="00A64175">
        <w:rPr>
          <w:rFonts w:ascii="Arial" w:hAnsi="Arial" w:cs="Arial"/>
          <w:spacing w:val="-2"/>
          <w:sz w:val="22"/>
          <w:szCs w:val="22"/>
        </w:rPr>
        <w:t>m</w:t>
      </w:r>
      <w:r w:rsidR="00155476" w:rsidRPr="00A64175">
        <w:rPr>
          <w:rFonts w:ascii="Arial" w:hAnsi="Arial" w:cs="Arial"/>
          <w:sz w:val="22"/>
          <w:szCs w:val="22"/>
        </w:rPr>
        <w:t>ptab</w:t>
      </w:r>
      <w:r w:rsidR="00155476" w:rsidRPr="00A64175">
        <w:rPr>
          <w:rFonts w:ascii="Arial" w:hAnsi="Arial" w:cs="Arial"/>
          <w:spacing w:val="-1"/>
          <w:sz w:val="22"/>
          <w:szCs w:val="22"/>
        </w:rPr>
        <w:t>l</w:t>
      </w:r>
      <w:r w:rsidR="00155476" w:rsidRPr="00A64175">
        <w:rPr>
          <w:rFonts w:ascii="Arial" w:hAnsi="Arial" w:cs="Arial"/>
          <w:sz w:val="22"/>
          <w:szCs w:val="22"/>
        </w:rPr>
        <w:t>es contenues dans le docu</w:t>
      </w:r>
      <w:r w:rsidR="00155476" w:rsidRPr="00A64175">
        <w:rPr>
          <w:rFonts w:ascii="Arial" w:hAnsi="Arial" w:cs="Arial"/>
          <w:spacing w:val="-2"/>
          <w:sz w:val="22"/>
          <w:szCs w:val="22"/>
        </w:rPr>
        <w:t>m</w:t>
      </w:r>
      <w:r w:rsidR="00155476" w:rsidRPr="00A64175">
        <w:rPr>
          <w:rFonts w:ascii="Arial" w:hAnsi="Arial" w:cs="Arial"/>
          <w:sz w:val="22"/>
          <w:szCs w:val="22"/>
        </w:rPr>
        <w:t>ent</w:t>
      </w:r>
      <w:r w:rsidR="00155476" w:rsidRPr="00A64175">
        <w:rPr>
          <w:rFonts w:ascii="Arial" w:hAnsi="Arial" w:cs="Arial"/>
          <w:spacing w:val="1"/>
          <w:sz w:val="22"/>
          <w:szCs w:val="22"/>
        </w:rPr>
        <w:t xml:space="preserve"> </w:t>
      </w:r>
      <w:r w:rsidR="00155476" w:rsidRPr="00A64175">
        <w:rPr>
          <w:rFonts w:ascii="Arial" w:hAnsi="Arial" w:cs="Arial"/>
          <w:sz w:val="22"/>
          <w:szCs w:val="22"/>
        </w:rPr>
        <w:t>d’infor</w:t>
      </w:r>
      <w:r w:rsidR="00155476" w:rsidRPr="00A64175">
        <w:rPr>
          <w:rFonts w:ascii="Arial" w:hAnsi="Arial" w:cs="Arial"/>
          <w:spacing w:val="-2"/>
          <w:sz w:val="22"/>
          <w:szCs w:val="22"/>
        </w:rPr>
        <w:t>m</w:t>
      </w:r>
      <w:r w:rsidR="00155476" w:rsidRPr="00A64175">
        <w:rPr>
          <w:rFonts w:ascii="Arial" w:hAnsi="Arial" w:cs="Arial"/>
          <w:sz w:val="22"/>
          <w:szCs w:val="22"/>
        </w:rPr>
        <w:t>ation</w:t>
      </w:r>
      <w:r w:rsidR="00155476" w:rsidRPr="00A64175">
        <w:rPr>
          <w:rFonts w:ascii="Arial" w:hAnsi="Arial" w:cs="Arial"/>
          <w:spacing w:val="1"/>
          <w:sz w:val="22"/>
          <w:szCs w:val="22"/>
        </w:rPr>
        <w:t xml:space="preserve"> </w:t>
      </w:r>
      <w:r w:rsidR="00155476" w:rsidRPr="00A64175">
        <w:rPr>
          <w:rFonts w:ascii="Arial" w:hAnsi="Arial" w:cs="Arial"/>
          <w:sz w:val="22"/>
          <w:szCs w:val="22"/>
        </w:rPr>
        <w:t>et</w:t>
      </w:r>
      <w:r w:rsidR="00155476" w:rsidRPr="00A64175">
        <w:rPr>
          <w:rFonts w:ascii="Arial" w:hAnsi="Arial" w:cs="Arial"/>
          <w:spacing w:val="1"/>
          <w:sz w:val="22"/>
          <w:szCs w:val="22"/>
        </w:rPr>
        <w:t xml:space="preserve"> </w:t>
      </w:r>
      <w:r w:rsidR="00155476" w:rsidRPr="00A64175">
        <w:rPr>
          <w:rFonts w:ascii="Arial" w:hAnsi="Arial" w:cs="Arial"/>
          <w:sz w:val="22"/>
          <w:szCs w:val="22"/>
        </w:rPr>
        <w:t>des docu</w:t>
      </w:r>
      <w:r w:rsidR="00155476" w:rsidRPr="00A64175">
        <w:rPr>
          <w:rFonts w:ascii="Arial" w:hAnsi="Arial" w:cs="Arial"/>
          <w:spacing w:val="-2"/>
          <w:sz w:val="22"/>
          <w:szCs w:val="22"/>
        </w:rPr>
        <w:t>m</w:t>
      </w:r>
      <w:r w:rsidR="00155476" w:rsidRPr="00A64175">
        <w:rPr>
          <w:rFonts w:ascii="Arial" w:hAnsi="Arial" w:cs="Arial"/>
          <w:sz w:val="22"/>
          <w:szCs w:val="22"/>
        </w:rPr>
        <w:t>ents co</w:t>
      </w:r>
      <w:r w:rsidR="00155476" w:rsidRPr="00A64175">
        <w:rPr>
          <w:rFonts w:ascii="Arial" w:hAnsi="Arial" w:cs="Arial"/>
          <w:spacing w:val="-2"/>
          <w:sz w:val="22"/>
          <w:szCs w:val="22"/>
        </w:rPr>
        <w:t>m</w:t>
      </w:r>
      <w:r w:rsidR="00155476" w:rsidRPr="00A64175">
        <w:rPr>
          <w:rFonts w:ascii="Arial" w:hAnsi="Arial" w:cs="Arial"/>
          <w:sz w:val="22"/>
          <w:szCs w:val="22"/>
        </w:rPr>
        <w:t>ptables et financiers établis par les é</w:t>
      </w:r>
      <w:r w:rsidR="00155476" w:rsidRPr="00A64175">
        <w:rPr>
          <w:rFonts w:ascii="Arial" w:hAnsi="Arial" w:cs="Arial"/>
          <w:spacing w:val="-2"/>
          <w:sz w:val="22"/>
          <w:szCs w:val="22"/>
        </w:rPr>
        <w:t>m</w:t>
      </w:r>
      <w:r w:rsidR="00155476" w:rsidRPr="00A64175">
        <w:rPr>
          <w:rFonts w:ascii="Arial" w:hAnsi="Arial" w:cs="Arial"/>
          <w:sz w:val="22"/>
          <w:szCs w:val="22"/>
        </w:rPr>
        <w:t>etteurs, les Organis</w:t>
      </w:r>
      <w:r w:rsidR="00155476" w:rsidRPr="00A64175">
        <w:rPr>
          <w:rFonts w:ascii="Arial" w:hAnsi="Arial" w:cs="Arial"/>
          <w:spacing w:val="-2"/>
          <w:sz w:val="22"/>
          <w:szCs w:val="22"/>
        </w:rPr>
        <w:t>m</w:t>
      </w:r>
      <w:r w:rsidR="00155476" w:rsidRPr="00A64175">
        <w:rPr>
          <w:rFonts w:ascii="Arial" w:hAnsi="Arial" w:cs="Arial"/>
          <w:sz w:val="22"/>
          <w:szCs w:val="22"/>
        </w:rPr>
        <w:t xml:space="preserve">es et Intermédiaires de </w:t>
      </w:r>
      <w:r w:rsidR="00155476" w:rsidRPr="00A64175">
        <w:rPr>
          <w:rFonts w:ascii="Arial" w:hAnsi="Arial" w:cs="Arial"/>
          <w:spacing w:val="-2"/>
          <w:sz w:val="22"/>
          <w:szCs w:val="22"/>
        </w:rPr>
        <w:t>m</w:t>
      </w:r>
      <w:r w:rsidR="00155476" w:rsidRPr="00A64175">
        <w:rPr>
          <w:rFonts w:ascii="Arial" w:hAnsi="Arial" w:cs="Arial"/>
          <w:sz w:val="22"/>
          <w:szCs w:val="22"/>
        </w:rPr>
        <w:t>arché</w:t>
      </w:r>
      <w:r w:rsidR="00E57DFE">
        <w:rPr>
          <w:rFonts w:ascii="Arial" w:hAnsi="Arial" w:cs="Arial"/>
          <w:sz w:val="22"/>
          <w:szCs w:val="22"/>
        </w:rPr>
        <w:t xml:space="preserve"> et par toute autre personne ou structure soumise au contrôle de la COSUMAF</w:t>
      </w:r>
    </w:p>
    <w:p w14:paraId="2E065891"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2C7932BE" w14:textId="1A36445B" w:rsidR="00155476"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3</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Dans leur rapport, les commissaires aux comptes déclarent :</w:t>
      </w:r>
    </w:p>
    <w:p w14:paraId="409C5DC4"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44808FBD" w14:textId="77777777"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certifier</w:t>
      </w:r>
      <w:r w:rsidRPr="00A64175">
        <w:rPr>
          <w:rFonts w:ascii="Arial" w:hAnsi="Arial" w:cs="Arial"/>
          <w:spacing w:val="-1"/>
          <w:sz w:val="22"/>
          <w:szCs w:val="22"/>
        </w:rPr>
        <w:t xml:space="preserve"> </w:t>
      </w:r>
      <w:r w:rsidRPr="00A64175">
        <w:rPr>
          <w:rFonts w:ascii="Arial" w:hAnsi="Arial" w:cs="Arial"/>
          <w:sz w:val="22"/>
          <w:szCs w:val="22"/>
        </w:rPr>
        <w:t>la</w:t>
      </w:r>
      <w:r w:rsidRPr="00A64175">
        <w:rPr>
          <w:rFonts w:ascii="Arial" w:hAnsi="Arial" w:cs="Arial"/>
          <w:spacing w:val="-1"/>
          <w:sz w:val="22"/>
          <w:szCs w:val="22"/>
        </w:rPr>
        <w:t xml:space="preserve"> </w:t>
      </w:r>
      <w:r w:rsidRPr="00A64175">
        <w:rPr>
          <w:rFonts w:ascii="Arial" w:hAnsi="Arial" w:cs="Arial"/>
          <w:sz w:val="22"/>
          <w:szCs w:val="22"/>
        </w:rPr>
        <w:t>régularité</w:t>
      </w:r>
      <w:r w:rsidRPr="00A64175">
        <w:rPr>
          <w:rFonts w:ascii="Arial" w:hAnsi="Arial" w:cs="Arial"/>
          <w:spacing w:val="-1"/>
          <w:sz w:val="22"/>
          <w:szCs w:val="22"/>
        </w:rPr>
        <w:t xml:space="preserve"> </w:t>
      </w:r>
      <w:r w:rsidRPr="00A64175">
        <w:rPr>
          <w:rFonts w:ascii="Arial" w:hAnsi="Arial" w:cs="Arial"/>
          <w:sz w:val="22"/>
          <w:szCs w:val="22"/>
        </w:rPr>
        <w:t>et</w:t>
      </w:r>
      <w:r w:rsidRPr="00A64175">
        <w:rPr>
          <w:rFonts w:ascii="Arial" w:hAnsi="Arial" w:cs="Arial"/>
          <w:spacing w:val="-2"/>
          <w:sz w:val="22"/>
          <w:szCs w:val="22"/>
        </w:rPr>
        <w:t xml:space="preserve"> </w:t>
      </w:r>
      <w:r w:rsidRPr="00A64175">
        <w:rPr>
          <w:rFonts w:ascii="Arial" w:hAnsi="Arial" w:cs="Arial"/>
          <w:sz w:val="22"/>
          <w:szCs w:val="22"/>
        </w:rPr>
        <w:t xml:space="preserve">la sincérité </w:t>
      </w:r>
      <w:r w:rsidRPr="00A64175">
        <w:rPr>
          <w:rFonts w:ascii="Arial" w:hAnsi="Arial" w:cs="Arial"/>
          <w:spacing w:val="-1"/>
          <w:sz w:val="22"/>
          <w:szCs w:val="22"/>
        </w:rPr>
        <w:t>d</w:t>
      </w:r>
      <w:r w:rsidRPr="00A64175">
        <w:rPr>
          <w:rFonts w:ascii="Arial" w:hAnsi="Arial" w:cs="Arial"/>
          <w:sz w:val="22"/>
          <w:szCs w:val="22"/>
        </w:rPr>
        <w:t>es co</w:t>
      </w:r>
      <w:r w:rsidRPr="00A64175">
        <w:rPr>
          <w:rFonts w:ascii="Arial" w:hAnsi="Arial" w:cs="Arial"/>
          <w:spacing w:val="-2"/>
          <w:sz w:val="22"/>
          <w:szCs w:val="22"/>
        </w:rPr>
        <w:t>m</w:t>
      </w:r>
      <w:r w:rsidRPr="00A64175">
        <w:rPr>
          <w:rFonts w:ascii="Arial" w:hAnsi="Arial" w:cs="Arial"/>
          <w:sz w:val="22"/>
          <w:szCs w:val="22"/>
        </w:rPr>
        <w:t>ptes ;</w:t>
      </w:r>
    </w:p>
    <w:p w14:paraId="375D636E" w14:textId="77777777"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certifier, a</w:t>
      </w:r>
      <w:r w:rsidRPr="00A64175">
        <w:rPr>
          <w:rFonts w:ascii="Arial" w:hAnsi="Arial" w:cs="Arial"/>
          <w:spacing w:val="-1"/>
          <w:sz w:val="22"/>
          <w:szCs w:val="22"/>
        </w:rPr>
        <w:t>v</w:t>
      </w:r>
      <w:r w:rsidRPr="00A64175">
        <w:rPr>
          <w:rFonts w:ascii="Arial" w:hAnsi="Arial" w:cs="Arial"/>
          <w:sz w:val="22"/>
          <w:szCs w:val="22"/>
        </w:rPr>
        <w:t>ec réserves, les co</w:t>
      </w:r>
      <w:r w:rsidRPr="00A64175">
        <w:rPr>
          <w:rFonts w:ascii="Arial" w:hAnsi="Arial" w:cs="Arial"/>
          <w:spacing w:val="-2"/>
          <w:sz w:val="22"/>
          <w:szCs w:val="22"/>
        </w:rPr>
        <w:t>m</w:t>
      </w:r>
      <w:r w:rsidRPr="00A64175">
        <w:rPr>
          <w:rFonts w:ascii="Arial" w:hAnsi="Arial" w:cs="Arial"/>
          <w:sz w:val="22"/>
          <w:szCs w:val="22"/>
        </w:rPr>
        <w:t>ptes en j</w:t>
      </w:r>
      <w:r w:rsidRPr="00A64175">
        <w:rPr>
          <w:rFonts w:ascii="Arial" w:hAnsi="Arial" w:cs="Arial"/>
          <w:spacing w:val="-1"/>
          <w:sz w:val="22"/>
          <w:szCs w:val="22"/>
        </w:rPr>
        <w:t>u</w:t>
      </w:r>
      <w:r w:rsidRPr="00A64175">
        <w:rPr>
          <w:rFonts w:ascii="Arial" w:hAnsi="Arial" w:cs="Arial"/>
          <w:sz w:val="22"/>
          <w:szCs w:val="22"/>
        </w:rPr>
        <w:t>sti</w:t>
      </w:r>
      <w:r w:rsidRPr="00A64175">
        <w:rPr>
          <w:rFonts w:ascii="Arial" w:hAnsi="Arial" w:cs="Arial"/>
          <w:spacing w:val="-1"/>
          <w:sz w:val="22"/>
          <w:szCs w:val="22"/>
        </w:rPr>
        <w:t>f</w:t>
      </w:r>
      <w:r w:rsidRPr="00A64175">
        <w:rPr>
          <w:rFonts w:ascii="Arial" w:hAnsi="Arial" w:cs="Arial"/>
          <w:sz w:val="22"/>
          <w:szCs w:val="22"/>
        </w:rPr>
        <w:t xml:space="preserve">iant </w:t>
      </w:r>
      <w:r w:rsidRPr="00A64175">
        <w:rPr>
          <w:rFonts w:ascii="Arial" w:hAnsi="Arial" w:cs="Arial"/>
          <w:spacing w:val="-1"/>
          <w:sz w:val="22"/>
          <w:szCs w:val="22"/>
        </w:rPr>
        <w:t>e</w:t>
      </w:r>
      <w:r w:rsidRPr="00A64175">
        <w:rPr>
          <w:rFonts w:ascii="Arial" w:hAnsi="Arial" w:cs="Arial"/>
          <w:sz w:val="22"/>
          <w:szCs w:val="22"/>
        </w:rPr>
        <w:t xml:space="preserve">t explicitant leurs     </w:t>
      </w:r>
    </w:p>
    <w:p w14:paraId="13171011" w14:textId="16654B73"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rés</w:t>
      </w:r>
      <w:r w:rsidRPr="00A64175">
        <w:rPr>
          <w:rFonts w:ascii="Arial" w:hAnsi="Arial" w:cs="Arial"/>
          <w:spacing w:val="-1"/>
          <w:sz w:val="22"/>
          <w:szCs w:val="22"/>
        </w:rPr>
        <w:t>e</w:t>
      </w:r>
      <w:r w:rsidRPr="00A64175">
        <w:rPr>
          <w:rFonts w:ascii="Arial" w:hAnsi="Arial" w:cs="Arial"/>
          <w:sz w:val="22"/>
          <w:szCs w:val="22"/>
        </w:rPr>
        <w:t>rv</w:t>
      </w:r>
      <w:r w:rsidRPr="00A64175">
        <w:rPr>
          <w:rFonts w:ascii="Arial" w:hAnsi="Arial" w:cs="Arial"/>
          <w:spacing w:val="-1"/>
          <w:sz w:val="22"/>
          <w:szCs w:val="22"/>
        </w:rPr>
        <w:t>e</w:t>
      </w:r>
      <w:r w:rsidRPr="00A64175">
        <w:rPr>
          <w:rFonts w:ascii="Arial" w:hAnsi="Arial" w:cs="Arial"/>
          <w:sz w:val="22"/>
          <w:szCs w:val="22"/>
        </w:rPr>
        <w:t>s ;</w:t>
      </w:r>
    </w:p>
    <w:p w14:paraId="470C3D50" w14:textId="77777777"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 xml:space="preserve">refuser la certification, en justifiant et </w:t>
      </w:r>
      <w:r w:rsidRPr="00A64175">
        <w:rPr>
          <w:rFonts w:ascii="Arial" w:hAnsi="Arial" w:cs="Arial"/>
          <w:spacing w:val="-1"/>
          <w:sz w:val="22"/>
          <w:szCs w:val="22"/>
        </w:rPr>
        <w:t>e</w:t>
      </w:r>
      <w:r w:rsidRPr="00A64175">
        <w:rPr>
          <w:rFonts w:ascii="Arial" w:hAnsi="Arial" w:cs="Arial"/>
          <w:sz w:val="22"/>
          <w:szCs w:val="22"/>
        </w:rPr>
        <w:t xml:space="preserve">xplicitant les </w:t>
      </w:r>
      <w:r w:rsidRPr="00A64175">
        <w:rPr>
          <w:rFonts w:ascii="Arial" w:hAnsi="Arial" w:cs="Arial"/>
          <w:spacing w:val="-2"/>
          <w:sz w:val="22"/>
          <w:szCs w:val="22"/>
        </w:rPr>
        <w:t>m</w:t>
      </w:r>
      <w:r w:rsidRPr="00A64175">
        <w:rPr>
          <w:rFonts w:ascii="Arial" w:hAnsi="Arial" w:cs="Arial"/>
          <w:sz w:val="22"/>
          <w:szCs w:val="22"/>
        </w:rPr>
        <w:t>otifs du r</w:t>
      </w:r>
      <w:r w:rsidRPr="00A64175">
        <w:rPr>
          <w:rFonts w:ascii="Arial" w:hAnsi="Arial" w:cs="Arial"/>
          <w:spacing w:val="-1"/>
          <w:sz w:val="22"/>
          <w:szCs w:val="22"/>
        </w:rPr>
        <w:t>e</w:t>
      </w:r>
      <w:r w:rsidRPr="00A64175">
        <w:rPr>
          <w:rFonts w:ascii="Arial" w:hAnsi="Arial" w:cs="Arial"/>
          <w:sz w:val="22"/>
          <w:szCs w:val="22"/>
        </w:rPr>
        <w:t xml:space="preserve">fus de  </w:t>
      </w:r>
    </w:p>
    <w:p w14:paraId="76D01DCF" w14:textId="7952FEEE"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certification.</w:t>
      </w:r>
    </w:p>
    <w:p w14:paraId="291492E6" w14:textId="77777777" w:rsidR="00155476" w:rsidRPr="00A64175" w:rsidRDefault="00155476" w:rsidP="00A64175">
      <w:pPr>
        <w:widowControl w:val="0"/>
        <w:autoSpaceDE w:val="0"/>
        <w:adjustRightInd w:val="0"/>
        <w:spacing w:before="2" w:line="150" w:lineRule="exact"/>
        <w:jc w:val="both"/>
        <w:rPr>
          <w:rFonts w:ascii="Arial" w:hAnsi="Arial" w:cs="Arial"/>
          <w:sz w:val="22"/>
          <w:szCs w:val="22"/>
        </w:rPr>
      </w:pPr>
    </w:p>
    <w:p w14:paraId="3FB1A56E" w14:textId="77777777" w:rsidR="00155476" w:rsidRPr="00A64175" w:rsidRDefault="00155476" w:rsidP="00A64175">
      <w:pPr>
        <w:widowControl w:val="0"/>
        <w:autoSpaceDE w:val="0"/>
        <w:adjustRightInd w:val="0"/>
        <w:spacing w:before="2" w:line="150" w:lineRule="exact"/>
        <w:jc w:val="both"/>
        <w:rPr>
          <w:rFonts w:ascii="Arial" w:hAnsi="Arial" w:cs="Arial"/>
          <w:sz w:val="22"/>
          <w:szCs w:val="22"/>
        </w:rPr>
      </w:pPr>
    </w:p>
    <w:p w14:paraId="1D24562A" w14:textId="77777777" w:rsidR="00155476" w:rsidRPr="00A64175" w:rsidRDefault="00155476" w:rsidP="00A64175">
      <w:pPr>
        <w:widowControl w:val="0"/>
        <w:autoSpaceDE w:val="0"/>
        <w:adjustRightInd w:val="0"/>
        <w:spacing w:before="2" w:line="150" w:lineRule="exact"/>
        <w:jc w:val="both"/>
        <w:rPr>
          <w:rFonts w:ascii="Arial" w:hAnsi="Arial" w:cs="Arial"/>
          <w:sz w:val="22"/>
          <w:szCs w:val="22"/>
        </w:rPr>
      </w:pPr>
    </w:p>
    <w:p w14:paraId="19E2B1AC" w14:textId="2EE907D7" w:rsidR="00155476" w:rsidRPr="00A64175" w:rsidRDefault="00F30BDF" w:rsidP="00A64175">
      <w:pPr>
        <w:widowControl w:val="0"/>
        <w:autoSpaceDE w:val="0"/>
        <w:adjustRightInd w:val="0"/>
        <w:ind w:left="111" w:right="68"/>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4</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La</w:t>
      </w:r>
      <w:r w:rsidR="00155476" w:rsidRPr="00A64175">
        <w:rPr>
          <w:rFonts w:ascii="Arial" w:hAnsi="Arial" w:cs="Arial"/>
          <w:spacing w:val="1"/>
          <w:sz w:val="22"/>
          <w:szCs w:val="22"/>
        </w:rPr>
        <w:t xml:space="preserve"> </w:t>
      </w:r>
      <w:r w:rsidR="00155476" w:rsidRPr="00A64175">
        <w:rPr>
          <w:rFonts w:ascii="Arial" w:hAnsi="Arial" w:cs="Arial"/>
          <w:sz w:val="22"/>
          <w:szCs w:val="22"/>
        </w:rPr>
        <w:t>communication</w:t>
      </w:r>
      <w:r w:rsidR="00155476" w:rsidRPr="00A64175">
        <w:rPr>
          <w:rFonts w:ascii="Arial" w:hAnsi="Arial" w:cs="Arial"/>
          <w:spacing w:val="1"/>
          <w:sz w:val="22"/>
          <w:szCs w:val="22"/>
        </w:rPr>
        <w:t xml:space="preserve"> </w:t>
      </w:r>
      <w:r w:rsidR="00155476" w:rsidRPr="00A64175">
        <w:rPr>
          <w:rFonts w:ascii="Arial" w:hAnsi="Arial" w:cs="Arial"/>
          <w:sz w:val="22"/>
          <w:szCs w:val="22"/>
        </w:rPr>
        <w:t>d’infor</w:t>
      </w:r>
      <w:r w:rsidR="00155476" w:rsidRPr="00A64175">
        <w:rPr>
          <w:rFonts w:ascii="Arial" w:hAnsi="Arial" w:cs="Arial"/>
          <w:spacing w:val="-2"/>
          <w:sz w:val="22"/>
          <w:szCs w:val="22"/>
        </w:rPr>
        <w:t>m</w:t>
      </w:r>
      <w:r w:rsidR="00155476" w:rsidRPr="00A64175">
        <w:rPr>
          <w:rFonts w:ascii="Arial" w:hAnsi="Arial" w:cs="Arial"/>
          <w:sz w:val="22"/>
          <w:szCs w:val="22"/>
        </w:rPr>
        <w:t>ations</w:t>
      </w:r>
      <w:r w:rsidR="00155476" w:rsidRPr="00A64175">
        <w:rPr>
          <w:rFonts w:ascii="Arial" w:hAnsi="Arial" w:cs="Arial"/>
          <w:spacing w:val="1"/>
          <w:sz w:val="22"/>
          <w:szCs w:val="22"/>
        </w:rPr>
        <w:t xml:space="preserve"> </w:t>
      </w:r>
      <w:r w:rsidR="00155476" w:rsidRPr="00A64175">
        <w:rPr>
          <w:rFonts w:ascii="Arial" w:hAnsi="Arial" w:cs="Arial"/>
          <w:sz w:val="22"/>
          <w:szCs w:val="22"/>
        </w:rPr>
        <w:t>i</w:t>
      </w:r>
      <w:r w:rsidR="00155476" w:rsidRPr="00A64175">
        <w:rPr>
          <w:rFonts w:ascii="Arial" w:hAnsi="Arial" w:cs="Arial"/>
          <w:spacing w:val="-1"/>
          <w:sz w:val="22"/>
          <w:szCs w:val="22"/>
        </w:rPr>
        <w:t>n</w:t>
      </w:r>
      <w:r w:rsidR="00155476" w:rsidRPr="00A64175">
        <w:rPr>
          <w:rFonts w:ascii="Arial" w:hAnsi="Arial" w:cs="Arial"/>
          <w:sz w:val="22"/>
          <w:szCs w:val="22"/>
        </w:rPr>
        <w:t>exactes,</w:t>
      </w:r>
      <w:r w:rsidR="00155476" w:rsidRPr="00A64175">
        <w:rPr>
          <w:rFonts w:ascii="Arial" w:hAnsi="Arial" w:cs="Arial"/>
          <w:spacing w:val="1"/>
          <w:sz w:val="22"/>
          <w:szCs w:val="22"/>
        </w:rPr>
        <w:t xml:space="preserve"> </w:t>
      </w:r>
      <w:r w:rsidR="00155476" w:rsidRPr="00A64175">
        <w:rPr>
          <w:rFonts w:ascii="Arial" w:hAnsi="Arial" w:cs="Arial"/>
          <w:sz w:val="22"/>
          <w:szCs w:val="22"/>
        </w:rPr>
        <w:t>i</w:t>
      </w:r>
      <w:r w:rsidR="00155476" w:rsidRPr="00A64175">
        <w:rPr>
          <w:rFonts w:ascii="Arial" w:hAnsi="Arial" w:cs="Arial"/>
          <w:spacing w:val="-2"/>
          <w:sz w:val="22"/>
          <w:szCs w:val="22"/>
        </w:rPr>
        <w:t>m</w:t>
      </w:r>
      <w:r w:rsidR="00155476" w:rsidRPr="00A64175">
        <w:rPr>
          <w:rFonts w:ascii="Arial" w:hAnsi="Arial" w:cs="Arial"/>
          <w:sz w:val="22"/>
          <w:szCs w:val="22"/>
        </w:rPr>
        <w:t>préci</w:t>
      </w:r>
      <w:r w:rsidR="00155476" w:rsidRPr="00A64175">
        <w:rPr>
          <w:rFonts w:ascii="Arial" w:hAnsi="Arial" w:cs="Arial"/>
          <w:spacing w:val="-1"/>
          <w:sz w:val="22"/>
          <w:szCs w:val="22"/>
        </w:rPr>
        <w:t>s</w:t>
      </w:r>
      <w:r w:rsidR="00155476" w:rsidRPr="00A64175">
        <w:rPr>
          <w:rFonts w:ascii="Arial" w:hAnsi="Arial" w:cs="Arial"/>
          <w:sz w:val="22"/>
          <w:szCs w:val="22"/>
        </w:rPr>
        <w:t>es ou</w:t>
      </w:r>
      <w:r w:rsidR="00155476" w:rsidRPr="00A64175">
        <w:rPr>
          <w:rFonts w:ascii="Arial" w:hAnsi="Arial" w:cs="Arial"/>
          <w:spacing w:val="1"/>
          <w:sz w:val="22"/>
          <w:szCs w:val="22"/>
        </w:rPr>
        <w:t xml:space="preserve"> </w:t>
      </w:r>
      <w:r w:rsidR="00155476" w:rsidRPr="00A64175">
        <w:rPr>
          <w:rFonts w:ascii="Arial" w:hAnsi="Arial" w:cs="Arial"/>
          <w:sz w:val="22"/>
          <w:szCs w:val="22"/>
        </w:rPr>
        <w:t>tro</w:t>
      </w:r>
      <w:r w:rsidR="00155476" w:rsidRPr="00A64175">
        <w:rPr>
          <w:rFonts w:ascii="Arial" w:hAnsi="Arial" w:cs="Arial"/>
          <w:spacing w:val="-2"/>
          <w:sz w:val="22"/>
          <w:szCs w:val="22"/>
        </w:rPr>
        <w:t>m</w:t>
      </w:r>
      <w:r w:rsidR="00155476" w:rsidRPr="00A64175">
        <w:rPr>
          <w:rFonts w:ascii="Arial" w:hAnsi="Arial" w:cs="Arial"/>
          <w:sz w:val="22"/>
          <w:szCs w:val="22"/>
        </w:rPr>
        <w:t>peuses</w:t>
      </w:r>
      <w:r w:rsidR="00155476" w:rsidRPr="00A64175">
        <w:rPr>
          <w:rFonts w:ascii="Arial" w:hAnsi="Arial" w:cs="Arial"/>
          <w:spacing w:val="1"/>
          <w:sz w:val="22"/>
          <w:szCs w:val="22"/>
        </w:rPr>
        <w:t xml:space="preserve"> </w:t>
      </w:r>
      <w:r w:rsidR="00155476" w:rsidRPr="00A64175">
        <w:rPr>
          <w:rFonts w:ascii="Arial" w:hAnsi="Arial" w:cs="Arial"/>
          <w:sz w:val="22"/>
          <w:szCs w:val="22"/>
        </w:rPr>
        <w:t>de</w:t>
      </w:r>
      <w:r w:rsidR="00155476" w:rsidRPr="00A64175">
        <w:rPr>
          <w:rFonts w:ascii="Arial" w:hAnsi="Arial" w:cs="Arial"/>
          <w:spacing w:val="1"/>
          <w:sz w:val="22"/>
          <w:szCs w:val="22"/>
        </w:rPr>
        <w:t xml:space="preserve"> </w:t>
      </w:r>
      <w:r w:rsidR="00155476" w:rsidRPr="00A64175">
        <w:rPr>
          <w:rFonts w:ascii="Arial" w:hAnsi="Arial" w:cs="Arial"/>
          <w:sz w:val="22"/>
          <w:szCs w:val="22"/>
        </w:rPr>
        <w:t>la</w:t>
      </w:r>
      <w:r w:rsidR="00155476" w:rsidRPr="00A64175">
        <w:rPr>
          <w:rFonts w:ascii="Arial" w:hAnsi="Arial" w:cs="Arial"/>
          <w:spacing w:val="1"/>
          <w:sz w:val="22"/>
          <w:szCs w:val="22"/>
        </w:rPr>
        <w:t xml:space="preserve"> </w:t>
      </w:r>
      <w:r w:rsidR="00155476" w:rsidRPr="00A64175">
        <w:rPr>
          <w:rFonts w:ascii="Arial" w:hAnsi="Arial" w:cs="Arial"/>
          <w:sz w:val="22"/>
          <w:szCs w:val="22"/>
        </w:rPr>
        <w:t>part</w:t>
      </w:r>
      <w:r w:rsidR="00155476" w:rsidRPr="00A64175">
        <w:rPr>
          <w:rFonts w:ascii="Arial" w:hAnsi="Arial" w:cs="Arial"/>
          <w:spacing w:val="1"/>
          <w:sz w:val="22"/>
          <w:szCs w:val="22"/>
        </w:rPr>
        <w:t xml:space="preserve"> </w:t>
      </w:r>
      <w:r w:rsidR="00155476" w:rsidRPr="00A64175">
        <w:rPr>
          <w:rFonts w:ascii="Arial" w:hAnsi="Arial" w:cs="Arial"/>
          <w:sz w:val="22"/>
          <w:szCs w:val="22"/>
        </w:rPr>
        <w:t>d’un</w:t>
      </w:r>
      <w:r w:rsidR="00155476" w:rsidRPr="00A64175">
        <w:rPr>
          <w:rFonts w:ascii="Arial" w:hAnsi="Arial" w:cs="Arial"/>
          <w:spacing w:val="1"/>
          <w:sz w:val="22"/>
          <w:szCs w:val="22"/>
        </w:rPr>
        <w:t xml:space="preserve"> </w:t>
      </w:r>
      <w:r w:rsidR="00155476" w:rsidRPr="00A64175">
        <w:rPr>
          <w:rFonts w:ascii="Arial" w:hAnsi="Arial" w:cs="Arial"/>
          <w:sz w:val="22"/>
          <w:szCs w:val="22"/>
        </w:rPr>
        <w:t>com</w:t>
      </w:r>
      <w:r w:rsidR="00155476" w:rsidRPr="00A64175">
        <w:rPr>
          <w:rFonts w:ascii="Arial" w:hAnsi="Arial" w:cs="Arial"/>
          <w:spacing w:val="-2"/>
          <w:sz w:val="22"/>
          <w:szCs w:val="22"/>
        </w:rPr>
        <w:t>m</w:t>
      </w:r>
      <w:r w:rsidR="00155476" w:rsidRPr="00A64175">
        <w:rPr>
          <w:rFonts w:ascii="Arial" w:hAnsi="Arial" w:cs="Arial"/>
          <w:sz w:val="22"/>
          <w:szCs w:val="22"/>
        </w:rPr>
        <w:t>issaire</w:t>
      </w:r>
      <w:r w:rsidR="00155476" w:rsidRPr="00A64175">
        <w:rPr>
          <w:rFonts w:ascii="Arial" w:hAnsi="Arial" w:cs="Arial"/>
          <w:spacing w:val="1"/>
          <w:sz w:val="22"/>
          <w:szCs w:val="22"/>
        </w:rPr>
        <w:t xml:space="preserve"> </w:t>
      </w:r>
      <w:r w:rsidR="00155476" w:rsidRPr="00A64175">
        <w:rPr>
          <w:rFonts w:ascii="Arial" w:hAnsi="Arial" w:cs="Arial"/>
          <w:sz w:val="22"/>
          <w:szCs w:val="22"/>
        </w:rPr>
        <w:t>aux co</w:t>
      </w:r>
      <w:r w:rsidR="00155476" w:rsidRPr="00A64175">
        <w:rPr>
          <w:rFonts w:ascii="Arial" w:hAnsi="Arial" w:cs="Arial"/>
          <w:spacing w:val="-2"/>
          <w:sz w:val="22"/>
          <w:szCs w:val="22"/>
        </w:rPr>
        <w:t>m</w:t>
      </w:r>
      <w:r w:rsidR="00155476" w:rsidRPr="00A64175">
        <w:rPr>
          <w:rFonts w:ascii="Arial" w:hAnsi="Arial" w:cs="Arial"/>
          <w:sz w:val="22"/>
          <w:szCs w:val="22"/>
        </w:rPr>
        <w:t>ptes,</w:t>
      </w:r>
      <w:r w:rsidR="00155476" w:rsidRPr="00A64175">
        <w:rPr>
          <w:rFonts w:ascii="Arial" w:hAnsi="Arial" w:cs="Arial"/>
          <w:spacing w:val="1"/>
          <w:sz w:val="22"/>
          <w:szCs w:val="22"/>
        </w:rPr>
        <w:t xml:space="preserve"> </w:t>
      </w:r>
      <w:r w:rsidR="00155476" w:rsidRPr="00A64175">
        <w:rPr>
          <w:rFonts w:ascii="Arial" w:hAnsi="Arial" w:cs="Arial"/>
          <w:sz w:val="22"/>
          <w:szCs w:val="22"/>
        </w:rPr>
        <w:t>notam</w:t>
      </w:r>
      <w:r w:rsidR="00155476" w:rsidRPr="00A64175">
        <w:rPr>
          <w:rFonts w:ascii="Arial" w:hAnsi="Arial" w:cs="Arial"/>
          <w:spacing w:val="-2"/>
          <w:sz w:val="22"/>
          <w:szCs w:val="22"/>
        </w:rPr>
        <w:t>m</w:t>
      </w:r>
      <w:r w:rsidR="00155476" w:rsidRPr="00A64175">
        <w:rPr>
          <w:rFonts w:ascii="Arial" w:hAnsi="Arial" w:cs="Arial"/>
          <w:sz w:val="22"/>
          <w:szCs w:val="22"/>
        </w:rPr>
        <w:t>ent</w:t>
      </w:r>
      <w:r w:rsidR="00155476" w:rsidRPr="00A64175">
        <w:rPr>
          <w:rFonts w:ascii="Arial" w:hAnsi="Arial" w:cs="Arial"/>
          <w:spacing w:val="1"/>
          <w:sz w:val="22"/>
          <w:szCs w:val="22"/>
        </w:rPr>
        <w:t xml:space="preserve"> </w:t>
      </w:r>
      <w:r w:rsidR="00155476" w:rsidRPr="00A64175">
        <w:rPr>
          <w:rFonts w:ascii="Arial" w:hAnsi="Arial" w:cs="Arial"/>
          <w:sz w:val="22"/>
          <w:szCs w:val="22"/>
        </w:rPr>
        <w:t>au</w:t>
      </w:r>
      <w:r w:rsidR="00155476" w:rsidRPr="00A64175">
        <w:rPr>
          <w:rFonts w:ascii="Arial" w:hAnsi="Arial" w:cs="Arial"/>
          <w:spacing w:val="1"/>
          <w:sz w:val="22"/>
          <w:szCs w:val="22"/>
        </w:rPr>
        <w:t xml:space="preserve"> </w:t>
      </w:r>
      <w:r w:rsidR="00155476" w:rsidRPr="00A64175">
        <w:rPr>
          <w:rFonts w:ascii="Arial" w:hAnsi="Arial" w:cs="Arial"/>
          <w:spacing w:val="-2"/>
          <w:sz w:val="22"/>
          <w:szCs w:val="22"/>
        </w:rPr>
        <w:t>m</w:t>
      </w:r>
      <w:r w:rsidR="00155476" w:rsidRPr="00A64175">
        <w:rPr>
          <w:rFonts w:ascii="Arial" w:hAnsi="Arial" w:cs="Arial"/>
          <w:sz w:val="22"/>
          <w:szCs w:val="22"/>
        </w:rPr>
        <w:t>oyen</w:t>
      </w:r>
      <w:r w:rsidR="00155476" w:rsidRPr="00A64175">
        <w:rPr>
          <w:rFonts w:ascii="Arial" w:hAnsi="Arial" w:cs="Arial"/>
          <w:spacing w:val="1"/>
          <w:sz w:val="22"/>
          <w:szCs w:val="22"/>
        </w:rPr>
        <w:t xml:space="preserve"> </w:t>
      </w:r>
      <w:r w:rsidR="00155476" w:rsidRPr="00A64175">
        <w:rPr>
          <w:rFonts w:ascii="Arial" w:hAnsi="Arial" w:cs="Arial"/>
          <w:sz w:val="22"/>
          <w:szCs w:val="22"/>
        </w:rPr>
        <w:t>de</w:t>
      </w:r>
      <w:r w:rsidR="00155476" w:rsidRPr="00A64175">
        <w:rPr>
          <w:rFonts w:ascii="Arial" w:hAnsi="Arial" w:cs="Arial"/>
          <w:spacing w:val="1"/>
          <w:sz w:val="22"/>
          <w:szCs w:val="22"/>
        </w:rPr>
        <w:t xml:space="preserve"> </w:t>
      </w:r>
      <w:r w:rsidR="00155476" w:rsidRPr="00A64175">
        <w:rPr>
          <w:rFonts w:ascii="Arial" w:hAnsi="Arial" w:cs="Arial"/>
          <w:sz w:val="22"/>
          <w:szCs w:val="22"/>
        </w:rPr>
        <w:t>ses</w:t>
      </w:r>
      <w:r w:rsidR="00155476" w:rsidRPr="00A64175">
        <w:rPr>
          <w:rFonts w:ascii="Arial" w:hAnsi="Arial" w:cs="Arial"/>
          <w:spacing w:val="1"/>
          <w:sz w:val="22"/>
          <w:szCs w:val="22"/>
        </w:rPr>
        <w:t xml:space="preserve"> </w:t>
      </w:r>
      <w:r w:rsidR="00155476" w:rsidRPr="00A64175">
        <w:rPr>
          <w:rFonts w:ascii="Arial" w:hAnsi="Arial" w:cs="Arial"/>
          <w:sz w:val="22"/>
          <w:szCs w:val="22"/>
        </w:rPr>
        <w:t>rapports,</w:t>
      </w:r>
      <w:r w:rsidR="00155476" w:rsidRPr="00A64175">
        <w:rPr>
          <w:rFonts w:ascii="Arial" w:hAnsi="Arial" w:cs="Arial"/>
          <w:spacing w:val="1"/>
          <w:sz w:val="22"/>
          <w:szCs w:val="22"/>
        </w:rPr>
        <w:t xml:space="preserve"> </w:t>
      </w:r>
      <w:r w:rsidR="00155476" w:rsidRPr="00A64175">
        <w:rPr>
          <w:rFonts w:ascii="Arial" w:hAnsi="Arial" w:cs="Arial"/>
          <w:sz w:val="22"/>
          <w:szCs w:val="22"/>
        </w:rPr>
        <w:t>peut engager</w:t>
      </w:r>
      <w:r w:rsidR="00155476" w:rsidRPr="00A64175">
        <w:rPr>
          <w:rFonts w:ascii="Arial" w:hAnsi="Arial" w:cs="Arial"/>
          <w:spacing w:val="1"/>
          <w:sz w:val="22"/>
          <w:szCs w:val="22"/>
        </w:rPr>
        <w:t xml:space="preserve"> </w:t>
      </w:r>
      <w:r w:rsidR="00155476" w:rsidRPr="00A64175">
        <w:rPr>
          <w:rFonts w:ascii="Arial" w:hAnsi="Arial" w:cs="Arial"/>
          <w:sz w:val="22"/>
          <w:szCs w:val="22"/>
        </w:rPr>
        <w:t>sa</w:t>
      </w:r>
      <w:r w:rsidR="00155476" w:rsidRPr="00A64175">
        <w:rPr>
          <w:rFonts w:ascii="Arial" w:hAnsi="Arial" w:cs="Arial"/>
          <w:spacing w:val="1"/>
          <w:sz w:val="22"/>
          <w:szCs w:val="22"/>
        </w:rPr>
        <w:t xml:space="preserve"> </w:t>
      </w:r>
      <w:r w:rsidR="00155476" w:rsidRPr="00A64175">
        <w:rPr>
          <w:rFonts w:ascii="Arial" w:hAnsi="Arial" w:cs="Arial"/>
          <w:sz w:val="22"/>
          <w:szCs w:val="22"/>
        </w:rPr>
        <w:t>responsabilité</w:t>
      </w:r>
      <w:r w:rsidR="00155476" w:rsidRPr="00A64175">
        <w:rPr>
          <w:rFonts w:ascii="Arial" w:hAnsi="Arial" w:cs="Arial"/>
          <w:spacing w:val="1"/>
          <w:sz w:val="22"/>
          <w:szCs w:val="22"/>
        </w:rPr>
        <w:t xml:space="preserve"> </w:t>
      </w:r>
      <w:r w:rsidR="00155476" w:rsidRPr="00A64175">
        <w:rPr>
          <w:rFonts w:ascii="Arial" w:hAnsi="Arial" w:cs="Arial"/>
          <w:sz w:val="22"/>
          <w:szCs w:val="22"/>
        </w:rPr>
        <w:t>pour</w:t>
      </w:r>
      <w:r w:rsidR="00155476" w:rsidRPr="00A64175">
        <w:rPr>
          <w:rFonts w:ascii="Arial" w:hAnsi="Arial" w:cs="Arial"/>
          <w:spacing w:val="1"/>
          <w:sz w:val="22"/>
          <w:szCs w:val="22"/>
        </w:rPr>
        <w:t xml:space="preserve"> </w:t>
      </w:r>
      <w:r w:rsidR="00155476" w:rsidRPr="00A64175">
        <w:rPr>
          <w:rFonts w:ascii="Arial" w:hAnsi="Arial" w:cs="Arial"/>
          <w:spacing w:val="-2"/>
          <w:sz w:val="22"/>
          <w:szCs w:val="22"/>
        </w:rPr>
        <w:t>m</w:t>
      </w:r>
      <w:r w:rsidR="00155476" w:rsidRPr="00A64175">
        <w:rPr>
          <w:rFonts w:ascii="Arial" w:hAnsi="Arial" w:cs="Arial"/>
          <w:sz w:val="22"/>
          <w:szCs w:val="22"/>
        </w:rPr>
        <w:t>anque</w:t>
      </w:r>
      <w:r w:rsidR="00155476" w:rsidRPr="00A64175">
        <w:rPr>
          <w:rFonts w:ascii="Arial" w:hAnsi="Arial" w:cs="Arial"/>
          <w:spacing w:val="-2"/>
          <w:sz w:val="22"/>
          <w:szCs w:val="22"/>
        </w:rPr>
        <w:t>m</w:t>
      </w:r>
      <w:r w:rsidR="00155476" w:rsidRPr="00A64175">
        <w:rPr>
          <w:rFonts w:ascii="Arial" w:hAnsi="Arial" w:cs="Arial"/>
          <w:sz w:val="22"/>
          <w:szCs w:val="22"/>
        </w:rPr>
        <w:t>ent</w:t>
      </w:r>
      <w:r w:rsidR="00155476" w:rsidRPr="00A64175">
        <w:rPr>
          <w:rFonts w:ascii="Arial" w:hAnsi="Arial" w:cs="Arial"/>
          <w:spacing w:val="1"/>
          <w:sz w:val="22"/>
          <w:szCs w:val="22"/>
        </w:rPr>
        <w:t xml:space="preserve"> </w:t>
      </w:r>
      <w:r w:rsidR="00155476" w:rsidRPr="00A64175">
        <w:rPr>
          <w:rFonts w:ascii="Arial" w:hAnsi="Arial" w:cs="Arial"/>
          <w:sz w:val="22"/>
          <w:szCs w:val="22"/>
        </w:rPr>
        <w:t>à</w:t>
      </w:r>
      <w:r w:rsidR="00155476" w:rsidRPr="00A64175">
        <w:rPr>
          <w:rFonts w:ascii="Arial" w:hAnsi="Arial" w:cs="Arial"/>
          <w:spacing w:val="1"/>
          <w:sz w:val="22"/>
          <w:szCs w:val="22"/>
        </w:rPr>
        <w:t xml:space="preserve"> </w:t>
      </w:r>
      <w:r w:rsidR="00155476" w:rsidRPr="00A64175">
        <w:rPr>
          <w:rFonts w:ascii="Arial" w:hAnsi="Arial" w:cs="Arial"/>
          <w:sz w:val="22"/>
          <w:szCs w:val="22"/>
        </w:rPr>
        <w:t>la régle</w:t>
      </w:r>
      <w:r w:rsidR="00155476" w:rsidRPr="00A64175">
        <w:rPr>
          <w:rFonts w:ascii="Arial" w:hAnsi="Arial" w:cs="Arial"/>
          <w:spacing w:val="-2"/>
          <w:sz w:val="22"/>
          <w:szCs w:val="22"/>
        </w:rPr>
        <w:t>m</w:t>
      </w:r>
      <w:r w:rsidR="00155476" w:rsidRPr="00A64175">
        <w:rPr>
          <w:rFonts w:ascii="Arial" w:hAnsi="Arial" w:cs="Arial"/>
          <w:sz w:val="22"/>
          <w:szCs w:val="22"/>
        </w:rPr>
        <w:t xml:space="preserve">entation du </w:t>
      </w:r>
      <w:r w:rsidR="00155476" w:rsidRPr="00A64175">
        <w:rPr>
          <w:rFonts w:ascii="Arial" w:hAnsi="Arial" w:cs="Arial"/>
          <w:spacing w:val="-2"/>
          <w:sz w:val="22"/>
          <w:szCs w:val="22"/>
        </w:rPr>
        <w:t>m</w:t>
      </w:r>
      <w:r w:rsidR="00155476" w:rsidRPr="00A64175">
        <w:rPr>
          <w:rFonts w:ascii="Arial" w:hAnsi="Arial" w:cs="Arial"/>
          <w:sz w:val="22"/>
          <w:szCs w:val="22"/>
        </w:rPr>
        <w:t>arché et cond</w:t>
      </w:r>
      <w:r w:rsidR="00155476" w:rsidRPr="00A64175">
        <w:rPr>
          <w:rFonts w:ascii="Arial" w:hAnsi="Arial" w:cs="Arial"/>
          <w:spacing w:val="-2"/>
          <w:sz w:val="22"/>
          <w:szCs w:val="22"/>
        </w:rPr>
        <w:t>u</w:t>
      </w:r>
      <w:r w:rsidR="00155476" w:rsidRPr="00A64175">
        <w:rPr>
          <w:rFonts w:ascii="Arial" w:hAnsi="Arial" w:cs="Arial"/>
          <w:sz w:val="22"/>
          <w:szCs w:val="22"/>
        </w:rPr>
        <w:t>ire à une décision de sanction.</w:t>
      </w:r>
    </w:p>
    <w:p w14:paraId="28C6CC22" w14:textId="77777777" w:rsidR="00155476" w:rsidRPr="00A64175" w:rsidRDefault="00155476" w:rsidP="00A64175">
      <w:pPr>
        <w:widowControl w:val="0"/>
        <w:autoSpaceDE w:val="0"/>
        <w:adjustRightInd w:val="0"/>
        <w:ind w:left="111" w:right="68"/>
        <w:jc w:val="both"/>
        <w:rPr>
          <w:rFonts w:ascii="Arial" w:hAnsi="Arial" w:cs="Arial"/>
          <w:sz w:val="22"/>
          <w:szCs w:val="22"/>
        </w:rPr>
      </w:pPr>
    </w:p>
    <w:p w14:paraId="134EEC7B" w14:textId="3CDE8019" w:rsidR="00155476" w:rsidRPr="00A64175" w:rsidRDefault="00F30BDF" w:rsidP="00A64175">
      <w:pPr>
        <w:widowControl w:val="0"/>
        <w:autoSpaceDE w:val="0"/>
        <w:adjustRightInd w:val="0"/>
        <w:spacing w:before="29"/>
        <w:ind w:right="68"/>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5</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Les</w:t>
      </w:r>
      <w:r w:rsidR="00155476" w:rsidRPr="00A64175">
        <w:rPr>
          <w:rFonts w:ascii="Arial" w:hAnsi="Arial" w:cs="Arial"/>
          <w:spacing w:val="3"/>
          <w:sz w:val="22"/>
          <w:szCs w:val="22"/>
        </w:rPr>
        <w:t xml:space="preserve"> </w:t>
      </w:r>
      <w:r w:rsidR="00155476" w:rsidRPr="00A64175">
        <w:rPr>
          <w:rFonts w:ascii="Arial" w:hAnsi="Arial" w:cs="Arial"/>
          <w:sz w:val="22"/>
          <w:szCs w:val="22"/>
        </w:rPr>
        <w:t>sociétés</w:t>
      </w:r>
      <w:r w:rsidR="00155476" w:rsidRPr="00A64175">
        <w:rPr>
          <w:rFonts w:ascii="Arial" w:hAnsi="Arial" w:cs="Arial"/>
          <w:spacing w:val="3"/>
          <w:sz w:val="22"/>
          <w:szCs w:val="22"/>
        </w:rPr>
        <w:t xml:space="preserve"> </w:t>
      </w:r>
      <w:r w:rsidR="00155476" w:rsidRPr="00A64175">
        <w:rPr>
          <w:rFonts w:ascii="Arial" w:hAnsi="Arial" w:cs="Arial"/>
          <w:sz w:val="22"/>
          <w:szCs w:val="22"/>
        </w:rPr>
        <w:t>faisant</w:t>
      </w:r>
      <w:r w:rsidR="00155476" w:rsidRPr="00A64175">
        <w:rPr>
          <w:rFonts w:ascii="Arial" w:hAnsi="Arial" w:cs="Arial"/>
          <w:spacing w:val="3"/>
          <w:sz w:val="22"/>
          <w:szCs w:val="22"/>
        </w:rPr>
        <w:t xml:space="preserve"> </w:t>
      </w:r>
      <w:r w:rsidR="00155476" w:rsidRPr="00A64175">
        <w:rPr>
          <w:rFonts w:ascii="Arial" w:hAnsi="Arial" w:cs="Arial"/>
          <w:sz w:val="22"/>
          <w:szCs w:val="22"/>
        </w:rPr>
        <w:t>appel</w:t>
      </w:r>
      <w:r w:rsidR="00155476" w:rsidRPr="00A64175">
        <w:rPr>
          <w:rFonts w:ascii="Arial" w:hAnsi="Arial" w:cs="Arial"/>
          <w:spacing w:val="3"/>
          <w:sz w:val="22"/>
          <w:szCs w:val="22"/>
        </w:rPr>
        <w:t xml:space="preserve"> </w:t>
      </w:r>
      <w:r w:rsidR="00155476" w:rsidRPr="00A64175">
        <w:rPr>
          <w:rFonts w:ascii="Arial" w:hAnsi="Arial" w:cs="Arial"/>
          <w:sz w:val="22"/>
          <w:szCs w:val="22"/>
        </w:rPr>
        <w:t>public</w:t>
      </w:r>
      <w:r w:rsidR="00155476" w:rsidRPr="00A64175">
        <w:rPr>
          <w:rFonts w:ascii="Arial" w:hAnsi="Arial" w:cs="Arial"/>
          <w:spacing w:val="3"/>
          <w:sz w:val="22"/>
          <w:szCs w:val="22"/>
        </w:rPr>
        <w:t xml:space="preserve"> </w:t>
      </w:r>
      <w:r w:rsidR="00155476" w:rsidRPr="00A64175">
        <w:rPr>
          <w:rFonts w:ascii="Arial" w:hAnsi="Arial" w:cs="Arial"/>
          <w:sz w:val="22"/>
          <w:szCs w:val="22"/>
        </w:rPr>
        <w:t>à l’épargne</w:t>
      </w:r>
      <w:r w:rsidR="00155476" w:rsidRPr="00A64175">
        <w:rPr>
          <w:rFonts w:ascii="Arial" w:hAnsi="Arial" w:cs="Arial"/>
          <w:spacing w:val="3"/>
          <w:sz w:val="22"/>
          <w:szCs w:val="22"/>
        </w:rPr>
        <w:t xml:space="preserve"> </w:t>
      </w:r>
      <w:r w:rsidR="00155476" w:rsidRPr="00A64175">
        <w:rPr>
          <w:rFonts w:ascii="Arial" w:hAnsi="Arial" w:cs="Arial"/>
          <w:sz w:val="22"/>
          <w:szCs w:val="22"/>
        </w:rPr>
        <w:t>sont</w:t>
      </w:r>
      <w:r w:rsidR="00155476" w:rsidRPr="00A64175">
        <w:rPr>
          <w:rFonts w:ascii="Arial" w:hAnsi="Arial" w:cs="Arial"/>
          <w:spacing w:val="3"/>
          <w:sz w:val="22"/>
          <w:szCs w:val="22"/>
        </w:rPr>
        <w:t xml:space="preserve"> </w:t>
      </w:r>
      <w:r w:rsidR="00155476" w:rsidRPr="00A64175">
        <w:rPr>
          <w:rFonts w:ascii="Arial" w:hAnsi="Arial" w:cs="Arial"/>
          <w:sz w:val="22"/>
          <w:szCs w:val="22"/>
        </w:rPr>
        <w:t>tenues</w:t>
      </w:r>
      <w:r w:rsidR="00155476" w:rsidRPr="00A64175">
        <w:rPr>
          <w:rFonts w:ascii="Arial" w:hAnsi="Arial" w:cs="Arial"/>
          <w:spacing w:val="3"/>
          <w:sz w:val="22"/>
          <w:szCs w:val="22"/>
        </w:rPr>
        <w:t xml:space="preserve"> </w:t>
      </w:r>
      <w:r w:rsidR="00155476" w:rsidRPr="00A64175">
        <w:rPr>
          <w:rFonts w:ascii="Arial" w:hAnsi="Arial" w:cs="Arial"/>
          <w:sz w:val="22"/>
          <w:szCs w:val="22"/>
        </w:rPr>
        <w:t>d</w:t>
      </w:r>
      <w:r w:rsidR="00155476" w:rsidRPr="00A64175">
        <w:rPr>
          <w:rFonts w:ascii="Arial" w:hAnsi="Arial" w:cs="Arial"/>
          <w:spacing w:val="-1"/>
          <w:sz w:val="22"/>
          <w:szCs w:val="22"/>
        </w:rPr>
        <w:t>’</w:t>
      </w:r>
      <w:r w:rsidR="00155476" w:rsidRPr="00A64175">
        <w:rPr>
          <w:rFonts w:ascii="Arial" w:hAnsi="Arial" w:cs="Arial"/>
          <w:sz w:val="22"/>
          <w:szCs w:val="22"/>
        </w:rPr>
        <w:t>établir</w:t>
      </w:r>
      <w:r w:rsidR="00155476" w:rsidRPr="00A64175">
        <w:rPr>
          <w:rFonts w:ascii="Arial" w:hAnsi="Arial" w:cs="Arial"/>
          <w:spacing w:val="3"/>
          <w:sz w:val="22"/>
          <w:szCs w:val="22"/>
        </w:rPr>
        <w:t xml:space="preserve"> </w:t>
      </w:r>
      <w:r w:rsidR="00155476" w:rsidRPr="00A64175">
        <w:rPr>
          <w:rFonts w:ascii="Arial" w:hAnsi="Arial" w:cs="Arial"/>
          <w:sz w:val="22"/>
          <w:szCs w:val="22"/>
        </w:rPr>
        <w:t>un</w:t>
      </w:r>
      <w:r w:rsidR="00155476" w:rsidRPr="00A64175">
        <w:rPr>
          <w:rFonts w:ascii="Arial" w:hAnsi="Arial" w:cs="Arial"/>
          <w:spacing w:val="3"/>
          <w:sz w:val="22"/>
          <w:szCs w:val="22"/>
        </w:rPr>
        <w:t xml:space="preserve"> </w:t>
      </w:r>
      <w:r w:rsidR="00155476" w:rsidRPr="00A64175">
        <w:rPr>
          <w:rFonts w:ascii="Arial" w:hAnsi="Arial" w:cs="Arial"/>
          <w:sz w:val="22"/>
          <w:szCs w:val="22"/>
        </w:rPr>
        <w:t>rapport</w:t>
      </w:r>
      <w:r w:rsidR="00155476" w:rsidRPr="00A64175">
        <w:rPr>
          <w:rFonts w:ascii="Arial" w:hAnsi="Arial" w:cs="Arial"/>
          <w:spacing w:val="3"/>
          <w:sz w:val="22"/>
          <w:szCs w:val="22"/>
        </w:rPr>
        <w:t xml:space="preserve"> </w:t>
      </w:r>
      <w:r w:rsidR="00155476" w:rsidRPr="00A64175">
        <w:rPr>
          <w:rFonts w:ascii="Arial" w:hAnsi="Arial" w:cs="Arial"/>
          <w:sz w:val="22"/>
          <w:szCs w:val="22"/>
        </w:rPr>
        <w:t>annuel</w:t>
      </w:r>
      <w:r w:rsidR="00155476" w:rsidRPr="00A64175">
        <w:rPr>
          <w:rFonts w:ascii="Arial" w:hAnsi="Arial" w:cs="Arial"/>
          <w:spacing w:val="3"/>
          <w:sz w:val="22"/>
          <w:szCs w:val="22"/>
        </w:rPr>
        <w:t xml:space="preserve"> </w:t>
      </w:r>
      <w:r w:rsidR="00155476" w:rsidRPr="00A64175">
        <w:rPr>
          <w:rFonts w:ascii="Arial" w:hAnsi="Arial" w:cs="Arial"/>
          <w:sz w:val="22"/>
          <w:szCs w:val="22"/>
        </w:rPr>
        <w:t>de</w:t>
      </w:r>
      <w:r w:rsidR="00155476" w:rsidRPr="00A64175">
        <w:rPr>
          <w:rFonts w:ascii="Arial" w:hAnsi="Arial" w:cs="Arial"/>
          <w:spacing w:val="3"/>
          <w:sz w:val="22"/>
          <w:szCs w:val="22"/>
        </w:rPr>
        <w:t xml:space="preserve"> </w:t>
      </w:r>
      <w:r w:rsidR="00155476" w:rsidRPr="00A64175">
        <w:rPr>
          <w:rFonts w:ascii="Arial" w:hAnsi="Arial" w:cs="Arial"/>
          <w:sz w:val="22"/>
          <w:szCs w:val="22"/>
        </w:rPr>
        <w:t>contrôle</w:t>
      </w:r>
      <w:r w:rsidR="00155476" w:rsidRPr="00A64175">
        <w:rPr>
          <w:rFonts w:ascii="Arial" w:hAnsi="Arial" w:cs="Arial"/>
          <w:spacing w:val="3"/>
          <w:sz w:val="22"/>
          <w:szCs w:val="22"/>
        </w:rPr>
        <w:t xml:space="preserve"> </w:t>
      </w:r>
      <w:r w:rsidR="00155476" w:rsidRPr="00A64175">
        <w:rPr>
          <w:rFonts w:ascii="Arial" w:hAnsi="Arial" w:cs="Arial"/>
          <w:sz w:val="22"/>
          <w:szCs w:val="22"/>
        </w:rPr>
        <w:t>interne, dans</w:t>
      </w:r>
      <w:r w:rsidR="00155476" w:rsidRPr="00A64175">
        <w:rPr>
          <w:rFonts w:ascii="Arial" w:hAnsi="Arial" w:cs="Arial"/>
          <w:spacing w:val="11"/>
          <w:sz w:val="22"/>
          <w:szCs w:val="22"/>
        </w:rPr>
        <w:t xml:space="preserve"> </w:t>
      </w:r>
      <w:r w:rsidR="00155476" w:rsidRPr="00A64175">
        <w:rPr>
          <w:rFonts w:ascii="Arial" w:hAnsi="Arial" w:cs="Arial"/>
          <w:sz w:val="22"/>
          <w:szCs w:val="22"/>
        </w:rPr>
        <w:t>lequel</w:t>
      </w:r>
      <w:r w:rsidR="00155476" w:rsidRPr="00A64175">
        <w:rPr>
          <w:rFonts w:ascii="Arial" w:hAnsi="Arial" w:cs="Arial"/>
          <w:spacing w:val="11"/>
          <w:sz w:val="22"/>
          <w:szCs w:val="22"/>
        </w:rPr>
        <w:t xml:space="preserve"> </w:t>
      </w:r>
      <w:r w:rsidR="00155476" w:rsidRPr="00A64175">
        <w:rPr>
          <w:rFonts w:ascii="Arial" w:hAnsi="Arial" w:cs="Arial"/>
          <w:sz w:val="22"/>
          <w:szCs w:val="22"/>
        </w:rPr>
        <w:t>le</w:t>
      </w:r>
      <w:r w:rsidR="00155476" w:rsidRPr="00A64175">
        <w:rPr>
          <w:rFonts w:ascii="Arial" w:hAnsi="Arial" w:cs="Arial"/>
          <w:spacing w:val="11"/>
          <w:sz w:val="22"/>
          <w:szCs w:val="22"/>
        </w:rPr>
        <w:t xml:space="preserve"> </w:t>
      </w:r>
      <w:r w:rsidR="00155476" w:rsidRPr="00A64175">
        <w:rPr>
          <w:rFonts w:ascii="Arial" w:hAnsi="Arial" w:cs="Arial"/>
          <w:sz w:val="22"/>
          <w:szCs w:val="22"/>
        </w:rPr>
        <w:t>prési</w:t>
      </w:r>
      <w:r w:rsidR="00155476" w:rsidRPr="00A64175">
        <w:rPr>
          <w:rFonts w:ascii="Arial" w:hAnsi="Arial" w:cs="Arial"/>
          <w:spacing w:val="-1"/>
          <w:sz w:val="22"/>
          <w:szCs w:val="22"/>
        </w:rPr>
        <w:t>d</w:t>
      </w:r>
      <w:r w:rsidR="00155476" w:rsidRPr="00A64175">
        <w:rPr>
          <w:rFonts w:ascii="Arial" w:hAnsi="Arial" w:cs="Arial"/>
          <w:sz w:val="22"/>
          <w:szCs w:val="22"/>
        </w:rPr>
        <w:t>ent</w:t>
      </w:r>
      <w:r w:rsidR="00155476" w:rsidRPr="00A64175">
        <w:rPr>
          <w:rFonts w:ascii="Arial" w:hAnsi="Arial" w:cs="Arial"/>
          <w:spacing w:val="11"/>
          <w:sz w:val="22"/>
          <w:szCs w:val="22"/>
        </w:rPr>
        <w:t xml:space="preserve"> </w:t>
      </w:r>
      <w:r w:rsidR="00155476" w:rsidRPr="00A64175">
        <w:rPr>
          <w:rFonts w:ascii="Arial" w:hAnsi="Arial" w:cs="Arial"/>
          <w:sz w:val="22"/>
          <w:szCs w:val="22"/>
        </w:rPr>
        <w:t>de</w:t>
      </w:r>
      <w:r w:rsidR="00155476" w:rsidRPr="00A64175">
        <w:rPr>
          <w:rFonts w:ascii="Arial" w:hAnsi="Arial" w:cs="Arial"/>
          <w:spacing w:val="11"/>
          <w:sz w:val="22"/>
          <w:szCs w:val="22"/>
        </w:rPr>
        <w:t xml:space="preserve"> </w:t>
      </w:r>
      <w:r w:rsidR="00155476" w:rsidRPr="00A64175">
        <w:rPr>
          <w:rFonts w:ascii="Arial" w:hAnsi="Arial" w:cs="Arial"/>
          <w:sz w:val="22"/>
          <w:szCs w:val="22"/>
        </w:rPr>
        <w:t>la</w:t>
      </w:r>
      <w:r w:rsidR="00155476" w:rsidRPr="00A64175">
        <w:rPr>
          <w:rFonts w:ascii="Arial" w:hAnsi="Arial" w:cs="Arial"/>
          <w:spacing w:val="11"/>
          <w:sz w:val="22"/>
          <w:szCs w:val="22"/>
        </w:rPr>
        <w:t xml:space="preserve"> </w:t>
      </w:r>
      <w:r w:rsidR="00155476" w:rsidRPr="00A64175">
        <w:rPr>
          <w:rFonts w:ascii="Arial" w:hAnsi="Arial" w:cs="Arial"/>
          <w:sz w:val="22"/>
          <w:szCs w:val="22"/>
        </w:rPr>
        <w:t>soc</w:t>
      </w:r>
      <w:r w:rsidR="00155476" w:rsidRPr="00A64175">
        <w:rPr>
          <w:rFonts w:ascii="Arial" w:hAnsi="Arial" w:cs="Arial"/>
          <w:spacing w:val="-1"/>
          <w:sz w:val="22"/>
          <w:szCs w:val="22"/>
        </w:rPr>
        <w:t>i</w:t>
      </w:r>
      <w:r w:rsidR="00155476" w:rsidRPr="00A64175">
        <w:rPr>
          <w:rFonts w:ascii="Arial" w:hAnsi="Arial" w:cs="Arial"/>
          <w:sz w:val="22"/>
          <w:szCs w:val="22"/>
        </w:rPr>
        <w:t>été</w:t>
      </w:r>
      <w:r w:rsidR="00155476" w:rsidRPr="00A64175">
        <w:rPr>
          <w:rFonts w:ascii="Arial" w:hAnsi="Arial" w:cs="Arial"/>
          <w:spacing w:val="11"/>
          <w:sz w:val="22"/>
          <w:szCs w:val="22"/>
        </w:rPr>
        <w:t xml:space="preserve"> </w:t>
      </w:r>
      <w:r w:rsidR="00155476" w:rsidRPr="00A64175">
        <w:rPr>
          <w:rFonts w:ascii="Arial" w:hAnsi="Arial" w:cs="Arial"/>
          <w:sz w:val="22"/>
          <w:szCs w:val="22"/>
        </w:rPr>
        <w:t>rend</w:t>
      </w:r>
      <w:r w:rsidR="00155476" w:rsidRPr="00A64175">
        <w:rPr>
          <w:rFonts w:ascii="Arial" w:hAnsi="Arial" w:cs="Arial"/>
          <w:spacing w:val="11"/>
          <w:sz w:val="22"/>
          <w:szCs w:val="22"/>
        </w:rPr>
        <w:t xml:space="preserve"> </w:t>
      </w:r>
      <w:r w:rsidR="00155476" w:rsidRPr="00A64175">
        <w:rPr>
          <w:rFonts w:ascii="Arial" w:hAnsi="Arial" w:cs="Arial"/>
          <w:sz w:val="22"/>
          <w:szCs w:val="22"/>
        </w:rPr>
        <w:t>co</w:t>
      </w:r>
      <w:r w:rsidR="00155476" w:rsidRPr="00A64175">
        <w:rPr>
          <w:rFonts w:ascii="Arial" w:hAnsi="Arial" w:cs="Arial"/>
          <w:spacing w:val="-2"/>
          <w:sz w:val="22"/>
          <w:szCs w:val="22"/>
        </w:rPr>
        <w:t>m</w:t>
      </w:r>
      <w:r w:rsidR="00155476" w:rsidRPr="00A64175">
        <w:rPr>
          <w:rFonts w:ascii="Arial" w:hAnsi="Arial" w:cs="Arial"/>
          <w:sz w:val="22"/>
          <w:szCs w:val="22"/>
        </w:rPr>
        <w:t>pte</w:t>
      </w:r>
      <w:r w:rsidR="00155476" w:rsidRPr="00A64175">
        <w:rPr>
          <w:rFonts w:ascii="Arial" w:hAnsi="Arial" w:cs="Arial"/>
          <w:spacing w:val="11"/>
          <w:sz w:val="22"/>
          <w:szCs w:val="22"/>
        </w:rPr>
        <w:t xml:space="preserve"> </w:t>
      </w:r>
      <w:r w:rsidR="00155476" w:rsidRPr="00A64175">
        <w:rPr>
          <w:rFonts w:ascii="Arial" w:hAnsi="Arial" w:cs="Arial"/>
          <w:sz w:val="22"/>
          <w:szCs w:val="22"/>
        </w:rPr>
        <w:t>de</w:t>
      </w:r>
      <w:r w:rsidR="00155476" w:rsidRPr="00A64175">
        <w:rPr>
          <w:rFonts w:ascii="Arial" w:hAnsi="Arial" w:cs="Arial"/>
          <w:spacing w:val="11"/>
          <w:sz w:val="22"/>
          <w:szCs w:val="22"/>
        </w:rPr>
        <w:t xml:space="preserve"> </w:t>
      </w:r>
      <w:r w:rsidR="00155476" w:rsidRPr="00A64175">
        <w:rPr>
          <w:rFonts w:ascii="Arial" w:hAnsi="Arial" w:cs="Arial"/>
          <w:sz w:val="22"/>
          <w:szCs w:val="22"/>
        </w:rPr>
        <w:t>l’organisation</w:t>
      </w:r>
      <w:r w:rsidR="00155476" w:rsidRPr="00A64175">
        <w:rPr>
          <w:rFonts w:ascii="Arial" w:hAnsi="Arial" w:cs="Arial"/>
          <w:spacing w:val="11"/>
          <w:sz w:val="22"/>
          <w:szCs w:val="22"/>
        </w:rPr>
        <w:t xml:space="preserve"> </w:t>
      </w:r>
      <w:r w:rsidR="00155476" w:rsidRPr="00A64175">
        <w:rPr>
          <w:rFonts w:ascii="Arial" w:hAnsi="Arial" w:cs="Arial"/>
          <w:sz w:val="22"/>
          <w:szCs w:val="22"/>
        </w:rPr>
        <w:t>et</w:t>
      </w:r>
      <w:r w:rsidR="00155476" w:rsidRPr="00A64175">
        <w:rPr>
          <w:rFonts w:ascii="Arial" w:hAnsi="Arial" w:cs="Arial"/>
          <w:spacing w:val="12"/>
          <w:sz w:val="22"/>
          <w:szCs w:val="22"/>
        </w:rPr>
        <w:t xml:space="preserve"> </w:t>
      </w:r>
      <w:r w:rsidR="00155476" w:rsidRPr="00A64175">
        <w:rPr>
          <w:rFonts w:ascii="Arial" w:hAnsi="Arial" w:cs="Arial"/>
          <w:sz w:val="22"/>
          <w:szCs w:val="22"/>
        </w:rPr>
        <w:t>des</w:t>
      </w:r>
      <w:r w:rsidR="00155476" w:rsidRPr="00A64175">
        <w:rPr>
          <w:rFonts w:ascii="Arial" w:hAnsi="Arial" w:cs="Arial"/>
          <w:spacing w:val="11"/>
          <w:sz w:val="22"/>
          <w:szCs w:val="22"/>
        </w:rPr>
        <w:t xml:space="preserve"> </w:t>
      </w:r>
      <w:r w:rsidR="00155476" w:rsidRPr="00A64175">
        <w:rPr>
          <w:rFonts w:ascii="Arial" w:hAnsi="Arial" w:cs="Arial"/>
          <w:sz w:val="22"/>
          <w:szCs w:val="22"/>
        </w:rPr>
        <w:t>procédures</w:t>
      </w:r>
      <w:r w:rsidR="00155476" w:rsidRPr="00A64175">
        <w:rPr>
          <w:rFonts w:ascii="Arial" w:hAnsi="Arial" w:cs="Arial"/>
          <w:spacing w:val="11"/>
          <w:sz w:val="22"/>
          <w:szCs w:val="22"/>
        </w:rPr>
        <w:t xml:space="preserve"> </w:t>
      </w:r>
      <w:r w:rsidR="00155476" w:rsidRPr="00A64175">
        <w:rPr>
          <w:rFonts w:ascii="Arial" w:hAnsi="Arial" w:cs="Arial"/>
          <w:sz w:val="22"/>
          <w:szCs w:val="22"/>
        </w:rPr>
        <w:t>de</w:t>
      </w:r>
      <w:r w:rsidR="00155476" w:rsidRPr="00A64175">
        <w:rPr>
          <w:rFonts w:ascii="Arial" w:hAnsi="Arial" w:cs="Arial"/>
          <w:spacing w:val="11"/>
          <w:sz w:val="22"/>
          <w:szCs w:val="22"/>
        </w:rPr>
        <w:t xml:space="preserve"> </w:t>
      </w:r>
      <w:r w:rsidR="00155476" w:rsidRPr="00A64175">
        <w:rPr>
          <w:rFonts w:ascii="Arial" w:hAnsi="Arial" w:cs="Arial"/>
          <w:sz w:val="22"/>
          <w:szCs w:val="22"/>
        </w:rPr>
        <w:t>contrôle</w:t>
      </w:r>
      <w:r w:rsidR="00155476" w:rsidRPr="00A64175">
        <w:rPr>
          <w:rFonts w:ascii="Arial" w:hAnsi="Arial" w:cs="Arial"/>
          <w:spacing w:val="11"/>
          <w:sz w:val="22"/>
          <w:szCs w:val="22"/>
        </w:rPr>
        <w:t xml:space="preserve"> </w:t>
      </w:r>
      <w:r w:rsidR="00155476" w:rsidRPr="00A64175">
        <w:rPr>
          <w:rFonts w:ascii="Arial" w:hAnsi="Arial" w:cs="Arial"/>
          <w:sz w:val="22"/>
          <w:szCs w:val="22"/>
        </w:rPr>
        <w:t>interne de la so</w:t>
      </w:r>
      <w:r w:rsidR="00155476" w:rsidRPr="00A64175">
        <w:rPr>
          <w:rFonts w:ascii="Arial" w:hAnsi="Arial" w:cs="Arial"/>
          <w:spacing w:val="-1"/>
          <w:sz w:val="22"/>
          <w:szCs w:val="22"/>
        </w:rPr>
        <w:t>c</w:t>
      </w:r>
      <w:r w:rsidR="00155476" w:rsidRPr="00A64175">
        <w:rPr>
          <w:rFonts w:ascii="Arial" w:hAnsi="Arial" w:cs="Arial"/>
          <w:sz w:val="22"/>
          <w:szCs w:val="22"/>
        </w:rPr>
        <w:t>iété</w:t>
      </w:r>
      <w:r w:rsidR="00155476" w:rsidRPr="00A64175">
        <w:rPr>
          <w:rFonts w:ascii="Arial" w:hAnsi="Arial" w:cs="Arial"/>
          <w:spacing w:val="-1"/>
          <w:sz w:val="22"/>
          <w:szCs w:val="22"/>
        </w:rPr>
        <w:t xml:space="preserve"> </w:t>
      </w:r>
      <w:r w:rsidR="00155476" w:rsidRPr="00A64175">
        <w:rPr>
          <w:rFonts w:ascii="Arial" w:hAnsi="Arial" w:cs="Arial"/>
          <w:sz w:val="22"/>
          <w:szCs w:val="22"/>
        </w:rPr>
        <w:t xml:space="preserve">et des </w:t>
      </w:r>
      <w:r w:rsidR="00155476" w:rsidRPr="00A64175">
        <w:rPr>
          <w:rFonts w:ascii="Arial" w:hAnsi="Arial" w:cs="Arial"/>
          <w:spacing w:val="-1"/>
          <w:sz w:val="22"/>
          <w:szCs w:val="22"/>
        </w:rPr>
        <w:t>d</w:t>
      </w:r>
      <w:r w:rsidR="00155476" w:rsidRPr="00A64175">
        <w:rPr>
          <w:rFonts w:ascii="Arial" w:hAnsi="Arial" w:cs="Arial"/>
          <w:sz w:val="22"/>
          <w:szCs w:val="22"/>
        </w:rPr>
        <w:t>ili</w:t>
      </w:r>
      <w:r w:rsidR="00155476" w:rsidRPr="00A64175">
        <w:rPr>
          <w:rFonts w:ascii="Arial" w:hAnsi="Arial" w:cs="Arial"/>
          <w:spacing w:val="-1"/>
          <w:sz w:val="22"/>
          <w:szCs w:val="22"/>
        </w:rPr>
        <w:t>ge</w:t>
      </w:r>
      <w:r w:rsidR="00155476" w:rsidRPr="00A64175">
        <w:rPr>
          <w:rFonts w:ascii="Arial" w:hAnsi="Arial" w:cs="Arial"/>
          <w:sz w:val="22"/>
          <w:szCs w:val="22"/>
        </w:rPr>
        <w:t>nces acco</w:t>
      </w:r>
      <w:r w:rsidR="00155476" w:rsidRPr="00A64175">
        <w:rPr>
          <w:rFonts w:ascii="Arial" w:hAnsi="Arial" w:cs="Arial"/>
          <w:spacing w:val="-2"/>
          <w:sz w:val="22"/>
          <w:szCs w:val="22"/>
        </w:rPr>
        <w:t>m</w:t>
      </w:r>
      <w:r w:rsidR="00155476" w:rsidRPr="00A64175">
        <w:rPr>
          <w:rFonts w:ascii="Arial" w:hAnsi="Arial" w:cs="Arial"/>
          <w:sz w:val="22"/>
          <w:szCs w:val="22"/>
        </w:rPr>
        <w:t>plies.</w:t>
      </w:r>
    </w:p>
    <w:p w14:paraId="55D2EC8B" w14:textId="77777777" w:rsidR="00155476" w:rsidRPr="00A64175" w:rsidRDefault="00155476" w:rsidP="00A64175">
      <w:pPr>
        <w:widowControl w:val="0"/>
        <w:autoSpaceDE w:val="0"/>
        <w:adjustRightInd w:val="0"/>
        <w:ind w:right="68"/>
        <w:jc w:val="both"/>
        <w:rPr>
          <w:rFonts w:ascii="Arial" w:hAnsi="Arial" w:cs="Arial"/>
          <w:sz w:val="22"/>
          <w:szCs w:val="22"/>
        </w:rPr>
      </w:pPr>
      <w:r w:rsidRPr="00A64175">
        <w:rPr>
          <w:rFonts w:ascii="Arial" w:hAnsi="Arial" w:cs="Arial"/>
          <w:sz w:val="22"/>
          <w:szCs w:val="22"/>
        </w:rPr>
        <w:t>Le</w:t>
      </w:r>
      <w:r w:rsidRPr="00A64175">
        <w:rPr>
          <w:rFonts w:ascii="Arial" w:hAnsi="Arial" w:cs="Arial"/>
          <w:spacing w:val="1"/>
          <w:sz w:val="22"/>
          <w:szCs w:val="22"/>
        </w:rPr>
        <w:t xml:space="preserve"> </w:t>
      </w:r>
      <w:r w:rsidRPr="00A64175">
        <w:rPr>
          <w:rFonts w:ascii="Arial" w:hAnsi="Arial" w:cs="Arial"/>
          <w:sz w:val="22"/>
          <w:szCs w:val="22"/>
        </w:rPr>
        <w:t>rapport</w:t>
      </w:r>
      <w:r w:rsidRPr="00A64175">
        <w:rPr>
          <w:rFonts w:ascii="Arial" w:hAnsi="Arial" w:cs="Arial"/>
          <w:spacing w:val="1"/>
          <w:sz w:val="22"/>
          <w:szCs w:val="22"/>
        </w:rPr>
        <w:t xml:space="preserve"> </w:t>
      </w:r>
      <w:r w:rsidRPr="00A64175">
        <w:rPr>
          <w:rFonts w:ascii="Arial" w:hAnsi="Arial" w:cs="Arial"/>
          <w:sz w:val="22"/>
          <w:szCs w:val="22"/>
        </w:rPr>
        <w:t>visé</w:t>
      </w:r>
      <w:r w:rsidRPr="00A64175">
        <w:rPr>
          <w:rFonts w:ascii="Arial" w:hAnsi="Arial" w:cs="Arial"/>
          <w:spacing w:val="1"/>
          <w:sz w:val="22"/>
          <w:szCs w:val="22"/>
        </w:rPr>
        <w:t xml:space="preserve"> </w:t>
      </w:r>
      <w:r w:rsidRPr="00A64175">
        <w:rPr>
          <w:rFonts w:ascii="Arial" w:hAnsi="Arial" w:cs="Arial"/>
          <w:sz w:val="22"/>
          <w:szCs w:val="22"/>
        </w:rPr>
        <w:t>au</w:t>
      </w:r>
      <w:r w:rsidRPr="00A64175">
        <w:rPr>
          <w:rFonts w:ascii="Arial" w:hAnsi="Arial" w:cs="Arial"/>
          <w:spacing w:val="1"/>
          <w:sz w:val="22"/>
          <w:szCs w:val="22"/>
        </w:rPr>
        <w:t xml:space="preserve"> </w:t>
      </w:r>
      <w:r w:rsidRPr="00A64175">
        <w:rPr>
          <w:rFonts w:ascii="Arial" w:hAnsi="Arial" w:cs="Arial"/>
          <w:sz w:val="22"/>
          <w:szCs w:val="22"/>
        </w:rPr>
        <w:t>présent</w:t>
      </w:r>
      <w:r w:rsidRPr="00A64175">
        <w:rPr>
          <w:rFonts w:ascii="Arial" w:hAnsi="Arial" w:cs="Arial"/>
          <w:spacing w:val="1"/>
          <w:sz w:val="22"/>
          <w:szCs w:val="22"/>
        </w:rPr>
        <w:t xml:space="preserve"> </w:t>
      </w:r>
      <w:r w:rsidRPr="00A64175">
        <w:rPr>
          <w:rFonts w:ascii="Arial" w:hAnsi="Arial" w:cs="Arial"/>
          <w:sz w:val="22"/>
          <w:szCs w:val="22"/>
        </w:rPr>
        <w:t>article</w:t>
      </w:r>
      <w:r w:rsidRPr="00A64175">
        <w:rPr>
          <w:rFonts w:ascii="Arial" w:hAnsi="Arial" w:cs="Arial"/>
          <w:spacing w:val="1"/>
          <w:sz w:val="22"/>
          <w:szCs w:val="22"/>
        </w:rPr>
        <w:t xml:space="preserve"> </w:t>
      </w:r>
      <w:r w:rsidRPr="00A64175">
        <w:rPr>
          <w:rFonts w:ascii="Arial" w:hAnsi="Arial" w:cs="Arial"/>
          <w:sz w:val="22"/>
          <w:szCs w:val="22"/>
        </w:rPr>
        <w:t>est</w:t>
      </w:r>
      <w:r w:rsidRPr="00A64175">
        <w:rPr>
          <w:rFonts w:ascii="Arial" w:hAnsi="Arial" w:cs="Arial"/>
          <w:spacing w:val="1"/>
          <w:sz w:val="22"/>
          <w:szCs w:val="22"/>
        </w:rPr>
        <w:t xml:space="preserve"> </w:t>
      </w:r>
      <w:r w:rsidRPr="00A64175">
        <w:rPr>
          <w:rFonts w:ascii="Arial" w:hAnsi="Arial" w:cs="Arial"/>
          <w:sz w:val="22"/>
          <w:szCs w:val="22"/>
        </w:rPr>
        <w:t>adressé</w:t>
      </w:r>
      <w:r w:rsidRPr="00A64175">
        <w:rPr>
          <w:rFonts w:ascii="Arial" w:hAnsi="Arial" w:cs="Arial"/>
          <w:spacing w:val="1"/>
          <w:sz w:val="22"/>
          <w:szCs w:val="22"/>
        </w:rPr>
        <w:t xml:space="preserve"> </w:t>
      </w:r>
      <w:r w:rsidRPr="00A64175">
        <w:rPr>
          <w:rFonts w:ascii="Arial" w:hAnsi="Arial" w:cs="Arial"/>
          <w:sz w:val="22"/>
          <w:szCs w:val="22"/>
        </w:rPr>
        <w:t>à</w:t>
      </w:r>
      <w:r w:rsidRPr="00A64175">
        <w:rPr>
          <w:rFonts w:ascii="Arial" w:hAnsi="Arial" w:cs="Arial"/>
          <w:spacing w:val="1"/>
          <w:sz w:val="22"/>
          <w:szCs w:val="22"/>
        </w:rPr>
        <w:t xml:space="preserve"> </w:t>
      </w:r>
      <w:r w:rsidRPr="00A64175">
        <w:rPr>
          <w:rFonts w:ascii="Arial" w:hAnsi="Arial" w:cs="Arial"/>
          <w:sz w:val="22"/>
          <w:szCs w:val="22"/>
        </w:rPr>
        <w:t>la COSU</w:t>
      </w:r>
      <w:r w:rsidRPr="00A64175">
        <w:rPr>
          <w:rFonts w:ascii="Arial" w:hAnsi="Arial" w:cs="Arial"/>
          <w:spacing w:val="1"/>
          <w:sz w:val="22"/>
          <w:szCs w:val="22"/>
        </w:rPr>
        <w:t>M</w:t>
      </w:r>
      <w:r w:rsidRPr="00A64175">
        <w:rPr>
          <w:rFonts w:ascii="Arial" w:hAnsi="Arial" w:cs="Arial"/>
          <w:sz w:val="22"/>
          <w:szCs w:val="22"/>
        </w:rPr>
        <w:t>AF</w:t>
      </w:r>
      <w:r w:rsidRPr="00A64175">
        <w:rPr>
          <w:rFonts w:ascii="Arial" w:hAnsi="Arial" w:cs="Arial"/>
          <w:spacing w:val="1"/>
          <w:sz w:val="22"/>
          <w:szCs w:val="22"/>
        </w:rPr>
        <w:t xml:space="preserve"> </w:t>
      </w:r>
      <w:r w:rsidRPr="00A64175">
        <w:rPr>
          <w:rFonts w:ascii="Arial" w:hAnsi="Arial" w:cs="Arial"/>
          <w:sz w:val="22"/>
          <w:szCs w:val="22"/>
        </w:rPr>
        <w:t>au</w:t>
      </w:r>
      <w:r w:rsidRPr="00A64175">
        <w:rPr>
          <w:rFonts w:ascii="Arial" w:hAnsi="Arial" w:cs="Arial"/>
          <w:spacing w:val="1"/>
          <w:sz w:val="22"/>
          <w:szCs w:val="22"/>
        </w:rPr>
        <w:t xml:space="preserve"> </w:t>
      </w:r>
      <w:r w:rsidRPr="00A64175">
        <w:rPr>
          <w:rFonts w:ascii="Arial" w:hAnsi="Arial" w:cs="Arial"/>
          <w:sz w:val="22"/>
          <w:szCs w:val="22"/>
        </w:rPr>
        <w:t>plus</w:t>
      </w:r>
      <w:r w:rsidRPr="00A64175">
        <w:rPr>
          <w:rFonts w:ascii="Arial" w:hAnsi="Arial" w:cs="Arial"/>
          <w:spacing w:val="1"/>
          <w:sz w:val="22"/>
          <w:szCs w:val="22"/>
        </w:rPr>
        <w:t xml:space="preserve"> </w:t>
      </w:r>
      <w:r w:rsidRPr="00A64175">
        <w:rPr>
          <w:rFonts w:ascii="Arial" w:hAnsi="Arial" w:cs="Arial"/>
          <w:sz w:val="22"/>
          <w:szCs w:val="22"/>
        </w:rPr>
        <w:t>tard</w:t>
      </w:r>
      <w:r w:rsidRPr="00A64175">
        <w:rPr>
          <w:rFonts w:ascii="Arial" w:hAnsi="Arial" w:cs="Arial"/>
          <w:spacing w:val="1"/>
          <w:sz w:val="22"/>
          <w:szCs w:val="22"/>
        </w:rPr>
        <w:t xml:space="preserve"> </w:t>
      </w:r>
      <w:r w:rsidRPr="00A64175">
        <w:rPr>
          <w:rFonts w:ascii="Arial" w:hAnsi="Arial" w:cs="Arial"/>
          <w:sz w:val="22"/>
          <w:szCs w:val="22"/>
        </w:rPr>
        <w:t>90</w:t>
      </w:r>
      <w:r w:rsidRPr="00A64175">
        <w:rPr>
          <w:rFonts w:ascii="Arial" w:hAnsi="Arial" w:cs="Arial"/>
          <w:spacing w:val="1"/>
          <w:sz w:val="22"/>
          <w:szCs w:val="22"/>
        </w:rPr>
        <w:t xml:space="preserve"> </w:t>
      </w:r>
      <w:r w:rsidRPr="00A64175">
        <w:rPr>
          <w:rFonts w:ascii="Arial" w:hAnsi="Arial" w:cs="Arial"/>
          <w:sz w:val="22"/>
          <w:szCs w:val="22"/>
        </w:rPr>
        <w:t>jours</w:t>
      </w:r>
      <w:r w:rsidRPr="00A64175">
        <w:rPr>
          <w:rFonts w:ascii="Arial" w:hAnsi="Arial" w:cs="Arial"/>
          <w:spacing w:val="1"/>
          <w:sz w:val="22"/>
          <w:szCs w:val="22"/>
        </w:rPr>
        <w:t xml:space="preserve"> </w:t>
      </w:r>
      <w:r w:rsidRPr="00A64175">
        <w:rPr>
          <w:rFonts w:ascii="Arial" w:hAnsi="Arial" w:cs="Arial"/>
          <w:sz w:val="22"/>
          <w:szCs w:val="22"/>
        </w:rPr>
        <w:t>après</w:t>
      </w:r>
      <w:r w:rsidRPr="00A64175">
        <w:rPr>
          <w:rFonts w:ascii="Arial" w:hAnsi="Arial" w:cs="Arial"/>
          <w:spacing w:val="1"/>
          <w:sz w:val="22"/>
          <w:szCs w:val="22"/>
        </w:rPr>
        <w:t xml:space="preserve"> </w:t>
      </w:r>
      <w:r w:rsidRPr="00A64175">
        <w:rPr>
          <w:rFonts w:ascii="Arial" w:hAnsi="Arial" w:cs="Arial"/>
          <w:sz w:val="22"/>
          <w:szCs w:val="22"/>
        </w:rPr>
        <w:t>la</w:t>
      </w:r>
      <w:r w:rsidRPr="00A64175">
        <w:rPr>
          <w:rFonts w:ascii="Arial" w:hAnsi="Arial" w:cs="Arial"/>
          <w:spacing w:val="1"/>
          <w:sz w:val="22"/>
          <w:szCs w:val="22"/>
        </w:rPr>
        <w:t xml:space="preserve"> </w:t>
      </w:r>
      <w:r w:rsidRPr="00A64175">
        <w:rPr>
          <w:rFonts w:ascii="Arial" w:hAnsi="Arial" w:cs="Arial"/>
          <w:sz w:val="22"/>
          <w:szCs w:val="22"/>
        </w:rPr>
        <w:t>clôture</w:t>
      </w:r>
      <w:r w:rsidRPr="00A64175">
        <w:rPr>
          <w:rFonts w:ascii="Arial" w:hAnsi="Arial" w:cs="Arial"/>
          <w:spacing w:val="1"/>
          <w:sz w:val="22"/>
          <w:szCs w:val="22"/>
        </w:rPr>
        <w:t xml:space="preserve"> </w:t>
      </w:r>
      <w:r w:rsidRPr="00A64175">
        <w:rPr>
          <w:rFonts w:ascii="Arial" w:hAnsi="Arial" w:cs="Arial"/>
          <w:sz w:val="22"/>
          <w:szCs w:val="22"/>
        </w:rPr>
        <w:t>de l’exercice.</w:t>
      </w:r>
    </w:p>
    <w:p w14:paraId="17C983BD" w14:textId="77777777" w:rsidR="00155476" w:rsidRPr="00A64175" w:rsidRDefault="00155476" w:rsidP="00A64175">
      <w:pPr>
        <w:widowControl w:val="0"/>
        <w:autoSpaceDE w:val="0"/>
        <w:adjustRightInd w:val="0"/>
        <w:spacing w:line="274" w:lineRule="exact"/>
        <w:ind w:right="68"/>
        <w:jc w:val="both"/>
        <w:rPr>
          <w:rFonts w:ascii="Arial" w:hAnsi="Arial" w:cs="Arial"/>
          <w:sz w:val="22"/>
          <w:szCs w:val="22"/>
        </w:rPr>
      </w:pPr>
      <w:r w:rsidRPr="00A64175">
        <w:rPr>
          <w:rFonts w:ascii="Arial" w:hAnsi="Arial" w:cs="Arial"/>
          <w:sz w:val="22"/>
          <w:szCs w:val="22"/>
        </w:rPr>
        <w:t>Le</w:t>
      </w:r>
      <w:r w:rsidRPr="00A64175">
        <w:rPr>
          <w:rFonts w:ascii="Arial" w:hAnsi="Arial" w:cs="Arial"/>
          <w:spacing w:val="2"/>
          <w:sz w:val="22"/>
          <w:szCs w:val="22"/>
        </w:rPr>
        <w:t xml:space="preserve"> </w:t>
      </w:r>
      <w:r w:rsidRPr="00A64175">
        <w:rPr>
          <w:rFonts w:ascii="Arial" w:hAnsi="Arial" w:cs="Arial"/>
          <w:sz w:val="22"/>
          <w:szCs w:val="22"/>
        </w:rPr>
        <w:t>com</w:t>
      </w:r>
      <w:r w:rsidRPr="00A64175">
        <w:rPr>
          <w:rFonts w:ascii="Arial" w:hAnsi="Arial" w:cs="Arial"/>
          <w:spacing w:val="-2"/>
          <w:sz w:val="22"/>
          <w:szCs w:val="22"/>
        </w:rPr>
        <w:t>m</w:t>
      </w:r>
      <w:r w:rsidRPr="00A64175">
        <w:rPr>
          <w:rFonts w:ascii="Arial" w:hAnsi="Arial" w:cs="Arial"/>
          <w:sz w:val="22"/>
          <w:szCs w:val="22"/>
        </w:rPr>
        <w:t>issaire</w:t>
      </w:r>
      <w:r w:rsidRPr="00A64175">
        <w:rPr>
          <w:rFonts w:ascii="Arial" w:hAnsi="Arial" w:cs="Arial"/>
          <w:spacing w:val="1"/>
          <w:sz w:val="22"/>
          <w:szCs w:val="22"/>
        </w:rPr>
        <w:t xml:space="preserve"> </w:t>
      </w:r>
      <w:r w:rsidRPr="00A64175">
        <w:rPr>
          <w:rFonts w:ascii="Arial" w:hAnsi="Arial" w:cs="Arial"/>
          <w:sz w:val="22"/>
          <w:szCs w:val="22"/>
        </w:rPr>
        <w:t>aux</w:t>
      </w:r>
      <w:r w:rsidRPr="00A64175">
        <w:rPr>
          <w:rFonts w:ascii="Arial" w:hAnsi="Arial" w:cs="Arial"/>
          <w:spacing w:val="2"/>
          <w:sz w:val="22"/>
          <w:szCs w:val="22"/>
        </w:rPr>
        <w:t xml:space="preserve"> </w:t>
      </w:r>
      <w:r w:rsidRPr="00A64175">
        <w:rPr>
          <w:rFonts w:ascii="Arial" w:hAnsi="Arial" w:cs="Arial"/>
          <w:sz w:val="22"/>
          <w:szCs w:val="22"/>
        </w:rPr>
        <w:t>c</w:t>
      </w:r>
      <w:r w:rsidRPr="00A64175">
        <w:rPr>
          <w:rFonts w:ascii="Arial" w:hAnsi="Arial" w:cs="Arial"/>
          <w:spacing w:val="-1"/>
          <w:sz w:val="22"/>
          <w:szCs w:val="22"/>
        </w:rPr>
        <w:t>o</w:t>
      </w:r>
      <w:r w:rsidRPr="00A64175">
        <w:rPr>
          <w:rFonts w:ascii="Arial" w:hAnsi="Arial" w:cs="Arial"/>
          <w:sz w:val="22"/>
          <w:szCs w:val="22"/>
        </w:rPr>
        <w:t>mptes</w:t>
      </w:r>
      <w:r w:rsidRPr="00A64175">
        <w:rPr>
          <w:rFonts w:ascii="Arial" w:hAnsi="Arial" w:cs="Arial"/>
          <w:spacing w:val="2"/>
          <w:sz w:val="22"/>
          <w:szCs w:val="22"/>
        </w:rPr>
        <w:t xml:space="preserve"> </w:t>
      </w:r>
      <w:r w:rsidRPr="00A64175">
        <w:rPr>
          <w:rFonts w:ascii="Arial" w:hAnsi="Arial" w:cs="Arial"/>
          <w:sz w:val="22"/>
          <w:szCs w:val="22"/>
        </w:rPr>
        <w:t>app</w:t>
      </w:r>
      <w:r w:rsidRPr="00A64175">
        <w:rPr>
          <w:rFonts w:ascii="Arial" w:hAnsi="Arial" w:cs="Arial"/>
          <w:spacing w:val="-1"/>
          <w:sz w:val="22"/>
          <w:szCs w:val="22"/>
        </w:rPr>
        <w:t>ré</w:t>
      </w:r>
      <w:r w:rsidRPr="00A64175">
        <w:rPr>
          <w:rFonts w:ascii="Arial" w:hAnsi="Arial" w:cs="Arial"/>
          <w:sz w:val="22"/>
          <w:szCs w:val="22"/>
        </w:rPr>
        <w:t>cie</w:t>
      </w:r>
      <w:r w:rsidRPr="00A64175">
        <w:rPr>
          <w:rFonts w:ascii="Arial" w:hAnsi="Arial" w:cs="Arial"/>
          <w:spacing w:val="2"/>
          <w:sz w:val="22"/>
          <w:szCs w:val="22"/>
        </w:rPr>
        <w:t xml:space="preserve"> </w:t>
      </w:r>
      <w:r w:rsidRPr="00A64175">
        <w:rPr>
          <w:rFonts w:ascii="Arial" w:hAnsi="Arial" w:cs="Arial"/>
          <w:sz w:val="22"/>
          <w:szCs w:val="22"/>
        </w:rPr>
        <w:t>l’</w:t>
      </w:r>
      <w:r w:rsidRPr="00A64175">
        <w:rPr>
          <w:rFonts w:ascii="Arial" w:hAnsi="Arial" w:cs="Arial"/>
          <w:spacing w:val="-1"/>
          <w:sz w:val="22"/>
          <w:szCs w:val="22"/>
        </w:rPr>
        <w:t>o</w:t>
      </w:r>
      <w:r w:rsidRPr="00A64175">
        <w:rPr>
          <w:rFonts w:ascii="Arial" w:hAnsi="Arial" w:cs="Arial"/>
          <w:sz w:val="22"/>
          <w:szCs w:val="22"/>
        </w:rPr>
        <w:t>rgani</w:t>
      </w:r>
      <w:r w:rsidRPr="00A64175">
        <w:rPr>
          <w:rFonts w:ascii="Arial" w:hAnsi="Arial" w:cs="Arial"/>
          <w:spacing w:val="-1"/>
          <w:sz w:val="22"/>
          <w:szCs w:val="22"/>
        </w:rPr>
        <w:t>s</w:t>
      </w:r>
      <w:r w:rsidRPr="00A64175">
        <w:rPr>
          <w:rFonts w:ascii="Arial" w:hAnsi="Arial" w:cs="Arial"/>
          <w:sz w:val="22"/>
          <w:szCs w:val="22"/>
        </w:rPr>
        <w:t>ation</w:t>
      </w:r>
      <w:r w:rsidRPr="00A64175">
        <w:rPr>
          <w:rFonts w:ascii="Arial" w:hAnsi="Arial" w:cs="Arial"/>
          <w:spacing w:val="2"/>
          <w:sz w:val="22"/>
          <w:szCs w:val="22"/>
        </w:rPr>
        <w:t xml:space="preserve"> </w:t>
      </w:r>
      <w:r w:rsidRPr="00A64175">
        <w:rPr>
          <w:rFonts w:ascii="Arial" w:hAnsi="Arial" w:cs="Arial"/>
          <w:sz w:val="22"/>
          <w:szCs w:val="22"/>
        </w:rPr>
        <w:t>et</w:t>
      </w:r>
      <w:r w:rsidRPr="00A64175">
        <w:rPr>
          <w:rFonts w:ascii="Arial" w:hAnsi="Arial" w:cs="Arial"/>
          <w:spacing w:val="2"/>
          <w:sz w:val="22"/>
          <w:szCs w:val="22"/>
        </w:rPr>
        <w:t xml:space="preserve"> </w:t>
      </w:r>
      <w:r w:rsidRPr="00A64175">
        <w:rPr>
          <w:rFonts w:ascii="Arial" w:hAnsi="Arial" w:cs="Arial"/>
          <w:sz w:val="22"/>
          <w:szCs w:val="22"/>
        </w:rPr>
        <w:t>les</w:t>
      </w:r>
      <w:r w:rsidRPr="00A64175">
        <w:rPr>
          <w:rFonts w:ascii="Arial" w:hAnsi="Arial" w:cs="Arial"/>
          <w:spacing w:val="2"/>
          <w:sz w:val="22"/>
          <w:szCs w:val="22"/>
        </w:rPr>
        <w:t xml:space="preserve"> </w:t>
      </w:r>
      <w:r w:rsidRPr="00A64175">
        <w:rPr>
          <w:rFonts w:ascii="Arial" w:hAnsi="Arial" w:cs="Arial"/>
          <w:sz w:val="22"/>
          <w:szCs w:val="22"/>
        </w:rPr>
        <w:t>procédures</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contrôle</w:t>
      </w:r>
      <w:r w:rsidRPr="00A64175">
        <w:rPr>
          <w:rFonts w:ascii="Arial" w:hAnsi="Arial" w:cs="Arial"/>
          <w:spacing w:val="2"/>
          <w:sz w:val="22"/>
          <w:szCs w:val="22"/>
        </w:rPr>
        <w:t xml:space="preserve"> </w:t>
      </w:r>
      <w:r w:rsidRPr="00A64175">
        <w:rPr>
          <w:rFonts w:ascii="Arial" w:hAnsi="Arial" w:cs="Arial"/>
          <w:sz w:val="22"/>
          <w:szCs w:val="22"/>
        </w:rPr>
        <w:t>i</w:t>
      </w:r>
      <w:r w:rsidRPr="00A64175">
        <w:rPr>
          <w:rFonts w:ascii="Arial" w:hAnsi="Arial" w:cs="Arial"/>
          <w:spacing w:val="1"/>
          <w:sz w:val="22"/>
          <w:szCs w:val="22"/>
        </w:rPr>
        <w:t>n</w:t>
      </w:r>
      <w:r w:rsidRPr="00A64175">
        <w:rPr>
          <w:rFonts w:ascii="Arial" w:hAnsi="Arial" w:cs="Arial"/>
          <w:sz w:val="22"/>
          <w:szCs w:val="22"/>
        </w:rPr>
        <w:t>terne de</w:t>
      </w:r>
      <w:r w:rsidRPr="00A64175">
        <w:rPr>
          <w:rFonts w:ascii="Arial" w:hAnsi="Arial" w:cs="Arial"/>
          <w:spacing w:val="2"/>
          <w:sz w:val="22"/>
          <w:szCs w:val="22"/>
        </w:rPr>
        <w:t xml:space="preserve"> </w:t>
      </w:r>
      <w:r w:rsidRPr="00A64175">
        <w:rPr>
          <w:rFonts w:ascii="Arial" w:hAnsi="Arial" w:cs="Arial"/>
          <w:sz w:val="22"/>
          <w:szCs w:val="22"/>
        </w:rPr>
        <w:t>la</w:t>
      </w:r>
      <w:r w:rsidRPr="00A64175">
        <w:rPr>
          <w:rFonts w:ascii="Arial" w:hAnsi="Arial" w:cs="Arial"/>
          <w:spacing w:val="2"/>
          <w:sz w:val="22"/>
          <w:szCs w:val="22"/>
        </w:rPr>
        <w:t xml:space="preserve"> </w:t>
      </w:r>
      <w:r w:rsidRPr="00A64175">
        <w:rPr>
          <w:rFonts w:ascii="Arial" w:hAnsi="Arial" w:cs="Arial"/>
          <w:sz w:val="22"/>
          <w:szCs w:val="22"/>
        </w:rPr>
        <w:t>soci</w:t>
      </w:r>
      <w:r w:rsidRPr="00A64175">
        <w:rPr>
          <w:rFonts w:ascii="Arial" w:hAnsi="Arial" w:cs="Arial"/>
          <w:spacing w:val="-1"/>
          <w:sz w:val="22"/>
          <w:szCs w:val="22"/>
        </w:rPr>
        <w:t>é</w:t>
      </w:r>
      <w:r w:rsidRPr="00A64175">
        <w:rPr>
          <w:rFonts w:ascii="Arial" w:hAnsi="Arial" w:cs="Arial"/>
          <w:sz w:val="22"/>
          <w:szCs w:val="22"/>
        </w:rPr>
        <w:t>té.</w:t>
      </w:r>
      <w:r w:rsidRPr="00A64175">
        <w:rPr>
          <w:rFonts w:ascii="Arial" w:hAnsi="Arial" w:cs="Arial"/>
          <w:spacing w:val="2"/>
          <w:sz w:val="22"/>
          <w:szCs w:val="22"/>
        </w:rPr>
        <w:t xml:space="preserve"> </w:t>
      </w:r>
      <w:r w:rsidRPr="00A64175">
        <w:rPr>
          <w:rFonts w:ascii="Arial" w:hAnsi="Arial" w:cs="Arial"/>
          <w:sz w:val="22"/>
          <w:szCs w:val="22"/>
        </w:rPr>
        <w:t>Il porte égale</w:t>
      </w:r>
      <w:r w:rsidRPr="00A64175">
        <w:rPr>
          <w:rFonts w:ascii="Arial" w:hAnsi="Arial" w:cs="Arial"/>
          <w:spacing w:val="-2"/>
          <w:sz w:val="22"/>
          <w:szCs w:val="22"/>
        </w:rPr>
        <w:t>m</w:t>
      </w:r>
      <w:r w:rsidRPr="00A64175">
        <w:rPr>
          <w:rFonts w:ascii="Arial" w:hAnsi="Arial" w:cs="Arial"/>
          <w:sz w:val="22"/>
          <w:szCs w:val="22"/>
        </w:rPr>
        <w:t>ent une appréciation</w:t>
      </w:r>
      <w:r w:rsidRPr="00A64175">
        <w:rPr>
          <w:rFonts w:ascii="Arial" w:hAnsi="Arial" w:cs="Arial"/>
          <w:spacing w:val="-1"/>
          <w:sz w:val="22"/>
          <w:szCs w:val="22"/>
        </w:rPr>
        <w:t xml:space="preserve"> </w:t>
      </w:r>
      <w:r w:rsidRPr="00A64175">
        <w:rPr>
          <w:rFonts w:ascii="Arial" w:hAnsi="Arial" w:cs="Arial"/>
          <w:sz w:val="22"/>
          <w:szCs w:val="22"/>
        </w:rPr>
        <w:t>sur le gouverne</w:t>
      </w:r>
      <w:r w:rsidRPr="00A64175">
        <w:rPr>
          <w:rFonts w:ascii="Arial" w:hAnsi="Arial" w:cs="Arial"/>
          <w:spacing w:val="-2"/>
          <w:sz w:val="22"/>
          <w:szCs w:val="22"/>
        </w:rPr>
        <w:t>m</w:t>
      </w:r>
      <w:r w:rsidRPr="00A64175">
        <w:rPr>
          <w:rFonts w:ascii="Arial" w:hAnsi="Arial" w:cs="Arial"/>
          <w:sz w:val="22"/>
          <w:szCs w:val="22"/>
        </w:rPr>
        <w:t>ent d’entreprise.</w:t>
      </w:r>
    </w:p>
    <w:p w14:paraId="28CFAB13" w14:textId="77777777" w:rsidR="00155476" w:rsidRPr="00A64175" w:rsidRDefault="00155476" w:rsidP="00A64175">
      <w:pPr>
        <w:widowControl w:val="0"/>
        <w:autoSpaceDE w:val="0"/>
        <w:adjustRightInd w:val="0"/>
        <w:ind w:right="70"/>
        <w:jc w:val="both"/>
        <w:rPr>
          <w:rFonts w:ascii="Arial" w:hAnsi="Arial" w:cs="Arial"/>
          <w:sz w:val="22"/>
          <w:szCs w:val="22"/>
        </w:rPr>
      </w:pPr>
      <w:r w:rsidRPr="00A64175">
        <w:rPr>
          <w:rFonts w:ascii="Arial" w:hAnsi="Arial" w:cs="Arial"/>
          <w:sz w:val="22"/>
          <w:szCs w:val="22"/>
        </w:rPr>
        <w:t>Au rapport du président de la soc</w:t>
      </w:r>
      <w:r w:rsidRPr="00A64175">
        <w:rPr>
          <w:rFonts w:ascii="Arial" w:hAnsi="Arial" w:cs="Arial"/>
          <w:spacing w:val="2"/>
          <w:sz w:val="22"/>
          <w:szCs w:val="22"/>
        </w:rPr>
        <w:t>i</w:t>
      </w:r>
      <w:r w:rsidRPr="00A64175">
        <w:rPr>
          <w:rFonts w:ascii="Arial" w:hAnsi="Arial" w:cs="Arial"/>
          <w:sz w:val="22"/>
          <w:szCs w:val="22"/>
        </w:rPr>
        <w:t>été est joint un rapport du com</w:t>
      </w:r>
      <w:r w:rsidRPr="00A64175">
        <w:rPr>
          <w:rFonts w:ascii="Arial" w:hAnsi="Arial" w:cs="Arial"/>
          <w:spacing w:val="-2"/>
          <w:sz w:val="22"/>
          <w:szCs w:val="22"/>
        </w:rPr>
        <w:t>m</w:t>
      </w:r>
      <w:r w:rsidRPr="00A64175">
        <w:rPr>
          <w:rFonts w:ascii="Arial" w:hAnsi="Arial" w:cs="Arial"/>
          <w:sz w:val="22"/>
          <w:szCs w:val="22"/>
        </w:rPr>
        <w:t>is</w:t>
      </w:r>
      <w:r w:rsidRPr="00A64175">
        <w:rPr>
          <w:rFonts w:ascii="Arial" w:hAnsi="Arial" w:cs="Arial"/>
          <w:spacing w:val="1"/>
          <w:sz w:val="22"/>
          <w:szCs w:val="22"/>
        </w:rPr>
        <w:t>s</w:t>
      </w:r>
      <w:r w:rsidRPr="00A64175">
        <w:rPr>
          <w:rFonts w:ascii="Arial" w:hAnsi="Arial" w:cs="Arial"/>
          <w:sz w:val="22"/>
          <w:szCs w:val="22"/>
        </w:rPr>
        <w:t>aire aux comptes, présentant ses observations sur les procédures</w:t>
      </w:r>
      <w:r w:rsidRPr="00A64175">
        <w:rPr>
          <w:rFonts w:ascii="Arial" w:hAnsi="Arial" w:cs="Arial"/>
          <w:spacing w:val="-1"/>
          <w:sz w:val="22"/>
          <w:szCs w:val="22"/>
        </w:rPr>
        <w:t xml:space="preserve"> </w:t>
      </w:r>
      <w:r w:rsidRPr="00A64175">
        <w:rPr>
          <w:rFonts w:ascii="Arial" w:hAnsi="Arial" w:cs="Arial"/>
          <w:sz w:val="22"/>
          <w:szCs w:val="22"/>
        </w:rPr>
        <w:t>de contrôle interne et l</w:t>
      </w:r>
      <w:r w:rsidRPr="00A64175">
        <w:rPr>
          <w:rFonts w:ascii="Arial" w:hAnsi="Arial" w:cs="Arial"/>
          <w:spacing w:val="1"/>
          <w:sz w:val="22"/>
          <w:szCs w:val="22"/>
        </w:rPr>
        <w:t>e</w:t>
      </w:r>
      <w:r w:rsidRPr="00A64175">
        <w:rPr>
          <w:rFonts w:ascii="Arial" w:hAnsi="Arial" w:cs="Arial"/>
          <w:sz w:val="22"/>
          <w:szCs w:val="22"/>
        </w:rPr>
        <w:t>s a</w:t>
      </w:r>
      <w:r w:rsidRPr="00A64175">
        <w:rPr>
          <w:rFonts w:ascii="Arial" w:hAnsi="Arial" w:cs="Arial"/>
          <w:spacing w:val="-2"/>
          <w:sz w:val="22"/>
          <w:szCs w:val="22"/>
        </w:rPr>
        <w:t>m</w:t>
      </w:r>
      <w:r w:rsidRPr="00A64175">
        <w:rPr>
          <w:rFonts w:ascii="Arial" w:hAnsi="Arial" w:cs="Arial"/>
          <w:sz w:val="22"/>
          <w:szCs w:val="22"/>
        </w:rPr>
        <w:t>éliorations à envisager.</w:t>
      </w:r>
    </w:p>
    <w:p w14:paraId="76E395E9" w14:textId="77777777" w:rsidR="00155476" w:rsidRPr="00A64175" w:rsidRDefault="00155476" w:rsidP="00A64175">
      <w:pPr>
        <w:widowControl w:val="0"/>
        <w:autoSpaceDE w:val="0"/>
        <w:adjustRightInd w:val="0"/>
        <w:ind w:right="70"/>
        <w:jc w:val="both"/>
        <w:rPr>
          <w:rFonts w:ascii="Arial" w:hAnsi="Arial" w:cs="Arial"/>
          <w:sz w:val="22"/>
          <w:szCs w:val="22"/>
        </w:rPr>
      </w:pPr>
    </w:p>
    <w:p w14:paraId="41E2C155" w14:textId="77777777" w:rsidR="00155476" w:rsidRPr="00A64175" w:rsidRDefault="00155476" w:rsidP="00A64175">
      <w:pPr>
        <w:widowControl w:val="0"/>
        <w:autoSpaceDE w:val="0"/>
        <w:adjustRightInd w:val="0"/>
        <w:ind w:right="69"/>
        <w:jc w:val="both"/>
        <w:rPr>
          <w:rFonts w:ascii="Arial" w:hAnsi="Arial" w:cs="Arial"/>
          <w:sz w:val="22"/>
          <w:szCs w:val="22"/>
        </w:rPr>
      </w:pPr>
      <w:r w:rsidRPr="00A64175">
        <w:rPr>
          <w:rFonts w:ascii="Arial" w:hAnsi="Arial" w:cs="Arial"/>
          <w:sz w:val="22"/>
          <w:szCs w:val="22"/>
        </w:rPr>
        <w:t>En  tout  état  de  cause,  il  se  pron</w:t>
      </w:r>
      <w:r w:rsidRPr="00A64175">
        <w:rPr>
          <w:rFonts w:ascii="Arial" w:hAnsi="Arial" w:cs="Arial"/>
          <w:spacing w:val="-2"/>
          <w:sz w:val="22"/>
          <w:szCs w:val="22"/>
        </w:rPr>
        <w:t>o</w:t>
      </w:r>
      <w:r w:rsidRPr="00A64175">
        <w:rPr>
          <w:rFonts w:ascii="Arial" w:hAnsi="Arial" w:cs="Arial"/>
          <w:sz w:val="22"/>
          <w:szCs w:val="22"/>
        </w:rPr>
        <w:t>nce  sur  celles  des  procédures  se</w:t>
      </w:r>
      <w:r w:rsidRPr="00A64175">
        <w:rPr>
          <w:rFonts w:ascii="Arial" w:hAnsi="Arial" w:cs="Arial"/>
          <w:spacing w:val="58"/>
          <w:sz w:val="22"/>
          <w:szCs w:val="22"/>
        </w:rPr>
        <w:t xml:space="preserve"> </w:t>
      </w:r>
      <w:r w:rsidRPr="00A64175">
        <w:rPr>
          <w:rFonts w:ascii="Arial" w:hAnsi="Arial" w:cs="Arial"/>
          <w:sz w:val="22"/>
          <w:szCs w:val="22"/>
        </w:rPr>
        <w:t>rapportant  à  l’élaboration  et  au traite</w:t>
      </w:r>
      <w:r w:rsidRPr="00A64175">
        <w:rPr>
          <w:rFonts w:ascii="Arial" w:hAnsi="Arial" w:cs="Arial"/>
          <w:spacing w:val="-2"/>
          <w:sz w:val="22"/>
          <w:szCs w:val="22"/>
        </w:rPr>
        <w:t>m</w:t>
      </w:r>
      <w:r w:rsidRPr="00A64175">
        <w:rPr>
          <w:rFonts w:ascii="Arial" w:hAnsi="Arial" w:cs="Arial"/>
          <w:sz w:val="22"/>
          <w:szCs w:val="22"/>
        </w:rPr>
        <w:t>ent de l’infor</w:t>
      </w:r>
      <w:r w:rsidRPr="00A64175">
        <w:rPr>
          <w:rFonts w:ascii="Arial" w:hAnsi="Arial" w:cs="Arial"/>
          <w:spacing w:val="-2"/>
          <w:sz w:val="22"/>
          <w:szCs w:val="22"/>
        </w:rPr>
        <w:t>m</w:t>
      </w:r>
      <w:r w:rsidRPr="00A64175">
        <w:rPr>
          <w:rFonts w:ascii="Arial" w:hAnsi="Arial" w:cs="Arial"/>
          <w:sz w:val="22"/>
          <w:szCs w:val="22"/>
        </w:rPr>
        <w:t>ation co</w:t>
      </w:r>
      <w:r w:rsidRPr="00A64175">
        <w:rPr>
          <w:rFonts w:ascii="Arial" w:hAnsi="Arial" w:cs="Arial"/>
          <w:spacing w:val="-2"/>
          <w:sz w:val="22"/>
          <w:szCs w:val="22"/>
        </w:rPr>
        <w:t>m</w:t>
      </w:r>
      <w:r w:rsidRPr="00A64175">
        <w:rPr>
          <w:rFonts w:ascii="Arial" w:hAnsi="Arial" w:cs="Arial"/>
          <w:sz w:val="22"/>
          <w:szCs w:val="22"/>
        </w:rPr>
        <w:t>ptable et financière.</w:t>
      </w:r>
    </w:p>
    <w:p w14:paraId="331FB405" w14:textId="77777777" w:rsidR="00155476" w:rsidRPr="00A64175" w:rsidRDefault="00155476" w:rsidP="00A64175">
      <w:pPr>
        <w:widowControl w:val="0"/>
        <w:autoSpaceDE w:val="0"/>
        <w:adjustRightInd w:val="0"/>
        <w:ind w:right="69"/>
        <w:jc w:val="both"/>
        <w:rPr>
          <w:rFonts w:ascii="Arial" w:hAnsi="Arial" w:cs="Arial"/>
          <w:sz w:val="22"/>
          <w:szCs w:val="22"/>
        </w:rPr>
      </w:pPr>
    </w:p>
    <w:p w14:paraId="48C927E8" w14:textId="3EE51360" w:rsidR="00155476" w:rsidRPr="00A64175" w:rsidRDefault="00F30BDF" w:rsidP="00A64175">
      <w:pPr>
        <w:widowControl w:val="0"/>
        <w:autoSpaceDE w:val="0"/>
        <w:adjustRightInd w:val="0"/>
        <w:ind w:left="111" w:right="64"/>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6</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Le com</w:t>
      </w:r>
      <w:r w:rsidR="00155476" w:rsidRPr="00A64175">
        <w:rPr>
          <w:rFonts w:ascii="Arial" w:hAnsi="Arial" w:cs="Arial"/>
          <w:spacing w:val="-2"/>
          <w:sz w:val="22"/>
          <w:szCs w:val="22"/>
        </w:rPr>
        <w:t>m</w:t>
      </w:r>
      <w:r w:rsidR="00155476" w:rsidRPr="00A64175">
        <w:rPr>
          <w:rFonts w:ascii="Arial" w:hAnsi="Arial" w:cs="Arial"/>
          <w:sz w:val="22"/>
          <w:szCs w:val="22"/>
        </w:rPr>
        <w:t>is</w:t>
      </w:r>
      <w:r w:rsidR="00155476" w:rsidRPr="00A64175">
        <w:rPr>
          <w:rFonts w:ascii="Arial" w:hAnsi="Arial" w:cs="Arial"/>
          <w:spacing w:val="1"/>
          <w:sz w:val="22"/>
          <w:szCs w:val="22"/>
        </w:rPr>
        <w:t>s</w:t>
      </w:r>
      <w:r w:rsidR="00155476" w:rsidRPr="00A64175">
        <w:rPr>
          <w:rFonts w:ascii="Arial" w:hAnsi="Arial" w:cs="Arial"/>
          <w:sz w:val="22"/>
          <w:szCs w:val="22"/>
        </w:rPr>
        <w:t>aire aux comptes doit s’assurer que les infor</w:t>
      </w:r>
      <w:r w:rsidR="00155476" w:rsidRPr="00A64175">
        <w:rPr>
          <w:rFonts w:ascii="Arial" w:hAnsi="Arial" w:cs="Arial"/>
          <w:spacing w:val="-2"/>
          <w:sz w:val="22"/>
          <w:szCs w:val="22"/>
        </w:rPr>
        <w:t>m</w:t>
      </w:r>
      <w:r w:rsidR="00155476" w:rsidRPr="00A64175">
        <w:rPr>
          <w:rFonts w:ascii="Arial" w:hAnsi="Arial" w:cs="Arial"/>
          <w:sz w:val="22"/>
          <w:szCs w:val="22"/>
        </w:rPr>
        <w:t>ations contenu</w:t>
      </w:r>
      <w:r w:rsidR="00155476" w:rsidRPr="00A64175">
        <w:rPr>
          <w:rFonts w:ascii="Arial" w:hAnsi="Arial" w:cs="Arial"/>
          <w:spacing w:val="-1"/>
          <w:sz w:val="22"/>
          <w:szCs w:val="22"/>
        </w:rPr>
        <w:t>e</w:t>
      </w:r>
      <w:r w:rsidR="00155476" w:rsidRPr="00A64175">
        <w:rPr>
          <w:rFonts w:ascii="Arial" w:hAnsi="Arial" w:cs="Arial"/>
          <w:sz w:val="22"/>
          <w:szCs w:val="22"/>
        </w:rPr>
        <w:t>s dans le rapport du président de la</w:t>
      </w:r>
      <w:r w:rsidR="00155476" w:rsidRPr="00A64175">
        <w:rPr>
          <w:rFonts w:ascii="Arial" w:hAnsi="Arial" w:cs="Arial"/>
          <w:spacing w:val="1"/>
          <w:sz w:val="22"/>
          <w:szCs w:val="22"/>
        </w:rPr>
        <w:t xml:space="preserve"> </w:t>
      </w:r>
      <w:r w:rsidR="00155476" w:rsidRPr="00A64175">
        <w:rPr>
          <w:rFonts w:ascii="Arial" w:hAnsi="Arial" w:cs="Arial"/>
          <w:sz w:val="22"/>
          <w:szCs w:val="22"/>
        </w:rPr>
        <w:t>société</w:t>
      </w:r>
      <w:r w:rsidR="00155476" w:rsidRPr="00A64175">
        <w:rPr>
          <w:rFonts w:ascii="Arial" w:hAnsi="Arial" w:cs="Arial"/>
          <w:spacing w:val="1"/>
          <w:sz w:val="22"/>
          <w:szCs w:val="22"/>
        </w:rPr>
        <w:t xml:space="preserve"> </w:t>
      </w:r>
      <w:r w:rsidR="00155476" w:rsidRPr="00A64175">
        <w:rPr>
          <w:rFonts w:ascii="Arial" w:hAnsi="Arial" w:cs="Arial"/>
          <w:sz w:val="22"/>
          <w:szCs w:val="22"/>
        </w:rPr>
        <w:t>s</w:t>
      </w:r>
      <w:r w:rsidR="00155476" w:rsidRPr="00A64175">
        <w:rPr>
          <w:rFonts w:ascii="Arial" w:hAnsi="Arial" w:cs="Arial"/>
          <w:spacing w:val="-1"/>
          <w:sz w:val="22"/>
          <w:szCs w:val="22"/>
        </w:rPr>
        <w:t>u</w:t>
      </w:r>
      <w:r w:rsidR="00155476" w:rsidRPr="00A64175">
        <w:rPr>
          <w:rFonts w:ascii="Arial" w:hAnsi="Arial" w:cs="Arial"/>
          <w:sz w:val="22"/>
          <w:szCs w:val="22"/>
        </w:rPr>
        <w:t>r</w:t>
      </w:r>
      <w:r w:rsidR="00155476" w:rsidRPr="00A64175">
        <w:rPr>
          <w:rFonts w:ascii="Arial" w:hAnsi="Arial" w:cs="Arial"/>
          <w:spacing w:val="1"/>
          <w:sz w:val="22"/>
          <w:szCs w:val="22"/>
        </w:rPr>
        <w:t xml:space="preserve"> </w:t>
      </w:r>
      <w:r w:rsidR="00155476" w:rsidRPr="00A64175">
        <w:rPr>
          <w:rFonts w:ascii="Arial" w:hAnsi="Arial" w:cs="Arial"/>
          <w:sz w:val="22"/>
          <w:szCs w:val="22"/>
        </w:rPr>
        <w:t>les</w:t>
      </w:r>
      <w:r w:rsidR="00155476" w:rsidRPr="00A64175">
        <w:rPr>
          <w:rFonts w:ascii="Arial" w:hAnsi="Arial" w:cs="Arial"/>
          <w:spacing w:val="1"/>
          <w:sz w:val="22"/>
          <w:szCs w:val="22"/>
        </w:rPr>
        <w:t xml:space="preserve"> </w:t>
      </w:r>
      <w:r w:rsidR="00155476" w:rsidRPr="00A64175">
        <w:rPr>
          <w:rFonts w:ascii="Arial" w:hAnsi="Arial" w:cs="Arial"/>
          <w:sz w:val="22"/>
          <w:szCs w:val="22"/>
        </w:rPr>
        <w:t>pr</w:t>
      </w:r>
      <w:r w:rsidR="00155476" w:rsidRPr="00A64175">
        <w:rPr>
          <w:rFonts w:ascii="Arial" w:hAnsi="Arial" w:cs="Arial"/>
          <w:spacing w:val="-1"/>
          <w:sz w:val="22"/>
          <w:szCs w:val="22"/>
        </w:rPr>
        <w:t>o</w:t>
      </w:r>
      <w:r w:rsidR="00155476" w:rsidRPr="00A64175">
        <w:rPr>
          <w:rFonts w:ascii="Arial" w:hAnsi="Arial" w:cs="Arial"/>
          <w:sz w:val="22"/>
          <w:szCs w:val="22"/>
        </w:rPr>
        <w:t>cé</w:t>
      </w:r>
      <w:r w:rsidR="00155476" w:rsidRPr="00A64175">
        <w:rPr>
          <w:rFonts w:ascii="Arial" w:hAnsi="Arial" w:cs="Arial"/>
          <w:spacing w:val="-1"/>
          <w:sz w:val="22"/>
          <w:szCs w:val="22"/>
        </w:rPr>
        <w:t>d</w:t>
      </w:r>
      <w:r w:rsidR="00155476" w:rsidRPr="00A64175">
        <w:rPr>
          <w:rFonts w:ascii="Arial" w:hAnsi="Arial" w:cs="Arial"/>
          <w:sz w:val="22"/>
          <w:szCs w:val="22"/>
        </w:rPr>
        <w:t>ures</w:t>
      </w:r>
      <w:r w:rsidR="00155476" w:rsidRPr="00A64175">
        <w:rPr>
          <w:rFonts w:ascii="Arial" w:hAnsi="Arial" w:cs="Arial"/>
          <w:spacing w:val="1"/>
          <w:sz w:val="22"/>
          <w:szCs w:val="22"/>
        </w:rPr>
        <w:t xml:space="preserve"> </w:t>
      </w:r>
      <w:r w:rsidR="00155476" w:rsidRPr="00A64175">
        <w:rPr>
          <w:rFonts w:ascii="Arial" w:hAnsi="Arial" w:cs="Arial"/>
          <w:sz w:val="22"/>
          <w:szCs w:val="22"/>
        </w:rPr>
        <w:t>de</w:t>
      </w:r>
      <w:r w:rsidR="00155476" w:rsidRPr="00A64175">
        <w:rPr>
          <w:rFonts w:ascii="Arial" w:hAnsi="Arial" w:cs="Arial"/>
          <w:spacing w:val="1"/>
          <w:sz w:val="22"/>
          <w:szCs w:val="22"/>
        </w:rPr>
        <w:t xml:space="preserve"> </w:t>
      </w:r>
      <w:r w:rsidR="00155476" w:rsidRPr="00A64175">
        <w:rPr>
          <w:rFonts w:ascii="Arial" w:hAnsi="Arial" w:cs="Arial"/>
          <w:sz w:val="22"/>
          <w:szCs w:val="22"/>
        </w:rPr>
        <w:t>contrôle</w:t>
      </w:r>
      <w:r w:rsidR="00155476" w:rsidRPr="00A64175">
        <w:rPr>
          <w:rFonts w:ascii="Arial" w:hAnsi="Arial" w:cs="Arial"/>
          <w:spacing w:val="1"/>
          <w:sz w:val="22"/>
          <w:szCs w:val="22"/>
        </w:rPr>
        <w:t xml:space="preserve"> </w:t>
      </w:r>
      <w:r w:rsidR="00155476" w:rsidRPr="00A64175">
        <w:rPr>
          <w:rFonts w:ascii="Arial" w:hAnsi="Arial" w:cs="Arial"/>
          <w:sz w:val="22"/>
          <w:szCs w:val="22"/>
        </w:rPr>
        <w:t>i</w:t>
      </w:r>
      <w:r w:rsidR="00155476" w:rsidRPr="00A64175">
        <w:rPr>
          <w:rFonts w:ascii="Arial" w:hAnsi="Arial" w:cs="Arial"/>
          <w:spacing w:val="-1"/>
          <w:sz w:val="22"/>
          <w:szCs w:val="22"/>
        </w:rPr>
        <w:t>n</w:t>
      </w:r>
      <w:r w:rsidR="00155476" w:rsidRPr="00A64175">
        <w:rPr>
          <w:rFonts w:ascii="Arial" w:hAnsi="Arial" w:cs="Arial"/>
          <w:sz w:val="22"/>
          <w:szCs w:val="22"/>
        </w:rPr>
        <w:t>ter</w:t>
      </w:r>
      <w:r w:rsidR="00155476" w:rsidRPr="00A64175">
        <w:rPr>
          <w:rFonts w:ascii="Arial" w:hAnsi="Arial" w:cs="Arial"/>
          <w:spacing w:val="-1"/>
          <w:sz w:val="22"/>
          <w:szCs w:val="22"/>
        </w:rPr>
        <w:t>n</w:t>
      </w:r>
      <w:r w:rsidR="00155476" w:rsidRPr="00A64175">
        <w:rPr>
          <w:rFonts w:ascii="Arial" w:hAnsi="Arial" w:cs="Arial"/>
          <w:sz w:val="22"/>
          <w:szCs w:val="22"/>
        </w:rPr>
        <w:t>e</w:t>
      </w:r>
      <w:r w:rsidR="00155476" w:rsidRPr="00A64175">
        <w:rPr>
          <w:rFonts w:ascii="Arial" w:hAnsi="Arial" w:cs="Arial"/>
          <w:spacing w:val="1"/>
          <w:sz w:val="22"/>
          <w:szCs w:val="22"/>
        </w:rPr>
        <w:t xml:space="preserve"> </w:t>
      </w:r>
      <w:r w:rsidR="00155476" w:rsidRPr="00A64175">
        <w:rPr>
          <w:rFonts w:ascii="Arial" w:hAnsi="Arial" w:cs="Arial"/>
          <w:sz w:val="22"/>
          <w:szCs w:val="22"/>
        </w:rPr>
        <w:t>sont</w:t>
      </w:r>
      <w:r w:rsidR="00155476" w:rsidRPr="00A64175">
        <w:rPr>
          <w:rFonts w:ascii="Arial" w:hAnsi="Arial" w:cs="Arial"/>
          <w:spacing w:val="-4"/>
          <w:sz w:val="22"/>
          <w:szCs w:val="22"/>
        </w:rPr>
        <w:t xml:space="preserve"> </w:t>
      </w:r>
      <w:r w:rsidR="00155476" w:rsidRPr="00A64175">
        <w:rPr>
          <w:rFonts w:ascii="Arial" w:hAnsi="Arial" w:cs="Arial"/>
          <w:sz w:val="22"/>
          <w:szCs w:val="22"/>
        </w:rPr>
        <w:t>pré</w:t>
      </w:r>
      <w:r w:rsidR="00155476" w:rsidRPr="00A64175">
        <w:rPr>
          <w:rFonts w:ascii="Arial" w:hAnsi="Arial" w:cs="Arial"/>
          <w:spacing w:val="-1"/>
          <w:sz w:val="22"/>
          <w:szCs w:val="22"/>
        </w:rPr>
        <w:t>s</w:t>
      </w:r>
      <w:r w:rsidR="00155476" w:rsidRPr="00A64175">
        <w:rPr>
          <w:rFonts w:ascii="Arial" w:hAnsi="Arial" w:cs="Arial"/>
          <w:sz w:val="22"/>
          <w:szCs w:val="22"/>
        </w:rPr>
        <w:t>entées</w:t>
      </w:r>
      <w:r w:rsidR="00155476" w:rsidRPr="00A64175">
        <w:rPr>
          <w:rFonts w:ascii="Arial" w:hAnsi="Arial" w:cs="Arial"/>
          <w:spacing w:val="1"/>
          <w:sz w:val="22"/>
          <w:szCs w:val="22"/>
        </w:rPr>
        <w:t xml:space="preserve"> </w:t>
      </w:r>
      <w:r w:rsidR="00155476" w:rsidRPr="00A64175">
        <w:rPr>
          <w:rFonts w:ascii="Arial" w:hAnsi="Arial" w:cs="Arial"/>
          <w:sz w:val="22"/>
          <w:szCs w:val="22"/>
        </w:rPr>
        <w:t>de</w:t>
      </w:r>
      <w:r w:rsidR="00155476" w:rsidRPr="00A64175">
        <w:rPr>
          <w:rFonts w:ascii="Arial" w:hAnsi="Arial" w:cs="Arial"/>
          <w:spacing w:val="1"/>
          <w:sz w:val="22"/>
          <w:szCs w:val="22"/>
        </w:rPr>
        <w:t xml:space="preserve"> </w:t>
      </w:r>
      <w:r w:rsidR="00155476" w:rsidRPr="00A64175">
        <w:rPr>
          <w:rFonts w:ascii="Arial" w:hAnsi="Arial" w:cs="Arial"/>
          <w:spacing w:val="-2"/>
          <w:sz w:val="22"/>
          <w:szCs w:val="22"/>
        </w:rPr>
        <w:t>m</w:t>
      </w:r>
      <w:r w:rsidR="00155476" w:rsidRPr="00A64175">
        <w:rPr>
          <w:rFonts w:ascii="Arial" w:hAnsi="Arial" w:cs="Arial"/>
          <w:sz w:val="22"/>
          <w:szCs w:val="22"/>
        </w:rPr>
        <w:t>anière</w:t>
      </w:r>
      <w:r w:rsidR="00155476" w:rsidRPr="00A64175">
        <w:rPr>
          <w:rFonts w:ascii="Arial" w:hAnsi="Arial" w:cs="Arial"/>
          <w:spacing w:val="1"/>
          <w:sz w:val="22"/>
          <w:szCs w:val="22"/>
        </w:rPr>
        <w:t xml:space="preserve"> </w:t>
      </w:r>
      <w:r w:rsidR="00155476" w:rsidRPr="00A64175">
        <w:rPr>
          <w:rFonts w:ascii="Arial" w:hAnsi="Arial" w:cs="Arial"/>
          <w:sz w:val="22"/>
          <w:szCs w:val="22"/>
        </w:rPr>
        <w:t>si</w:t>
      </w:r>
      <w:r w:rsidR="00155476" w:rsidRPr="00A64175">
        <w:rPr>
          <w:rFonts w:ascii="Arial" w:hAnsi="Arial" w:cs="Arial"/>
          <w:spacing w:val="-1"/>
          <w:sz w:val="22"/>
          <w:szCs w:val="22"/>
        </w:rPr>
        <w:t>n</w:t>
      </w:r>
      <w:r w:rsidR="00155476" w:rsidRPr="00A64175">
        <w:rPr>
          <w:rFonts w:ascii="Arial" w:hAnsi="Arial" w:cs="Arial"/>
          <w:sz w:val="22"/>
          <w:szCs w:val="22"/>
        </w:rPr>
        <w:t>cère</w:t>
      </w:r>
      <w:r w:rsidR="00155476" w:rsidRPr="00A64175">
        <w:rPr>
          <w:rFonts w:ascii="Arial" w:hAnsi="Arial" w:cs="Arial"/>
          <w:spacing w:val="1"/>
          <w:sz w:val="22"/>
          <w:szCs w:val="22"/>
        </w:rPr>
        <w:t xml:space="preserve"> </w:t>
      </w:r>
      <w:r w:rsidR="00155476" w:rsidRPr="00A64175">
        <w:rPr>
          <w:rFonts w:ascii="Arial" w:hAnsi="Arial" w:cs="Arial"/>
          <w:sz w:val="22"/>
          <w:szCs w:val="22"/>
        </w:rPr>
        <w:t>et</w:t>
      </w:r>
      <w:r w:rsidR="00155476" w:rsidRPr="00A64175">
        <w:rPr>
          <w:rFonts w:ascii="Arial" w:hAnsi="Arial" w:cs="Arial"/>
          <w:spacing w:val="1"/>
          <w:sz w:val="22"/>
          <w:szCs w:val="22"/>
        </w:rPr>
        <w:t xml:space="preserve"> </w:t>
      </w:r>
      <w:r w:rsidR="00155476" w:rsidRPr="00A64175">
        <w:rPr>
          <w:rFonts w:ascii="Arial" w:hAnsi="Arial" w:cs="Arial"/>
          <w:sz w:val="22"/>
          <w:szCs w:val="22"/>
        </w:rPr>
        <w:t>sont</w:t>
      </w:r>
      <w:r w:rsidR="00155476" w:rsidRPr="00A64175">
        <w:rPr>
          <w:rFonts w:ascii="Arial" w:hAnsi="Arial" w:cs="Arial"/>
          <w:spacing w:val="1"/>
          <w:sz w:val="22"/>
          <w:szCs w:val="22"/>
        </w:rPr>
        <w:t xml:space="preserve"> </w:t>
      </w:r>
      <w:r w:rsidR="00155476" w:rsidRPr="00A64175">
        <w:rPr>
          <w:rFonts w:ascii="Arial" w:hAnsi="Arial" w:cs="Arial"/>
          <w:sz w:val="22"/>
          <w:szCs w:val="22"/>
        </w:rPr>
        <w:t>corro</w:t>
      </w:r>
      <w:r w:rsidR="00155476" w:rsidRPr="00A64175">
        <w:rPr>
          <w:rFonts w:ascii="Arial" w:hAnsi="Arial" w:cs="Arial"/>
          <w:spacing w:val="-1"/>
          <w:sz w:val="22"/>
          <w:szCs w:val="22"/>
        </w:rPr>
        <w:t>b</w:t>
      </w:r>
      <w:r w:rsidR="00155476" w:rsidRPr="00A64175">
        <w:rPr>
          <w:rFonts w:ascii="Arial" w:hAnsi="Arial" w:cs="Arial"/>
          <w:sz w:val="22"/>
          <w:szCs w:val="22"/>
        </w:rPr>
        <w:t>orées</w:t>
      </w:r>
      <w:r w:rsidR="00155476" w:rsidRPr="00A64175">
        <w:rPr>
          <w:rFonts w:ascii="Arial" w:hAnsi="Arial" w:cs="Arial"/>
          <w:spacing w:val="1"/>
          <w:sz w:val="22"/>
          <w:szCs w:val="22"/>
        </w:rPr>
        <w:t xml:space="preserve"> </w:t>
      </w:r>
      <w:r w:rsidR="00155476" w:rsidRPr="00A64175">
        <w:rPr>
          <w:rFonts w:ascii="Arial" w:hAnsi="Arial" w:cs="Arial"/>
          <w:sz w:val="22"/>
          <w:szCs w:val="22"/>
        </w:rPr>
        <w:t>par ses</w:t>
      </w:r>
      <w:r w:rsidR="00155476" w:rsidRPr="00A64175">
        <w:rPr>
          <w:rFonts w:ascii="Arial" w:hAnsi="Arial" w:cs="Arial"/>
          <w:spacing w:val="-1"/>
          <w:sz w:val="22"/>
          <w:szCs w:val="22"/>
        </w:rPr>
        <w:t xml:space="preserve"> </w:t>
      </w:r>
      <w:r w:rsidR="00155476" w:rsidRPr="00A64175">
        <w:rPr>
          <w:rFonts w:ascii="Arial" w:hAnsi="Arial" w:cs="Arial"/>
          <w:sz w:val="22"/>
          <w:szCs w:val="22"/>
        </w:rPr>
        <w:t>propres</w:t>
      </w:r>
      <w:r w:rsidR="00155476" w:rsidRPr="00A64175">
        <w:rPr>
          <w:rFonts w:ascii="Arial" w:hAnsi="Arial" w:cs="Arial"/>
          <w:spacing w:val="-1"/>
          <w:sz w:val="22"/>
          <w:szCs w:val="22"/>
        </w:rPr>
        <w:t xml:space="preserve"> </w:t>
      </w:r>
      <w:r w:rsidR="00155476" w:rsidRPr="00A64175">
        <w:rPr>
          <w:rFonts w:ascii="Arial" w:hAnsi="Arial" w:cs="Arial"/>
          <w:sz w:val="22"/>
          <w:szCs w:val="22"/>
        </w:rPr>
        <w:t>constatations.</w:t>
      </w:r>
    </w:p>
    <w:p w14:paraId="680CBF01" w14:textId="77777777" w:rsidR="00155476" w:rsidRPr="00A64175" w:rsidRDefault="00155476" w:rsidP="00A64175">
      <w:pPr>
        <w:widowControl w:val="0"/>
        <w:autoSpaceDE w:val="0"/>
        <w:adjustRightInd w:val="0"/>
        <w:ind w:left="111" w:right="64"/>
        <w:jc w:val="both"/>
        <w:rPr>
          <w:rFonts w:ascii="Arial" w:hAnsi="Arial" w:cs="Arial"/>
          <w:sz w:val="22"/>
          <w:szCs w:val="22"/>
        </w:rPr>
      </w:pPr>
    </w:p>
    <w:p w14:paraId="7A5981F9" w14:textId="752530F9" w:rsidR="00155476" w:rsidRPr="00A64175" w:rsidRDefault="00F30BDF" w:rsidP="00A64175">
      <w:pPr>
        <w:widowControl w:val="0"/>
        <w:autoSpaceDE w:val="0"/>
        <w:adjustRightInd w:val="0"/>
        <w:spacing w:before="29"/>
        <w:ind w:left="111" w:right="68"/>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7</w:t>
      </w:r>
      <w:r w:rsidR="00155476" w:rsidRPr="00A64175">
        <w:rPr>
          <w:rFonts w:ascii="Arial" w:hAnsi="Arial" w:cs="Arial"/>
          <w:b/>
          <w:bCs/>
          <w:sz w:val="22"/>
          <w:szCs w:val="22"/>
        </w:rPr>
        <w:t>. –</w:t>
      </w:r>
      <w:r w:rsidR="00155476" w:rsidRPr="00A64175">
        <w:rPr>
          <w:rFonts w:ascii="Arial" w:hAnsi="Arial" w:cs="Arial"/>
          <w:bCs/>
          <w:sz w:val="22"/>
          <w:szCs w:val="22"/>
        </w:rPr>
        <w:t xml:space="preserve"> </w:t>
      </w:r>
      <w:r w:rsidR="00155476" w:rsidRPr="00A64175">
        <w:rPr>
          <w:rFonts w:ascii="Arial" w:hAnsi="Arial" w:cs="Arial"/>
          <w:sz w:val="22"/>
          <w:szCs w:val="22"/>
        </w:rPr>
        <w:t>Les</w:t>
      </w:r>
      <w:r w:rsidR="00155476" w:rsidRPr="00A64175">
        <w:rPr>
          <w:rFonts w:ascii="Arial" w:hAnsi="Arial" w:cs="Arial"/>
          <w:spacing w:val="1"/>
          <w:sz w:val="22"/>
          <w:szCs w:val="22"/>
        </w:rPr>
        <w:t xml:space="preserve"> </w:t>
      </w:r>
      <w:r w:rsidR="00155476" w:rsidRPr="00A64175">
        <w:rPr>
          <w:rFonts w:ascii="Arial" w:hAnsi="Arial" w:cs="Arial"/>
          <w:sz w:val="22"/>
          <w:szCs w:val="22"/>
        </w:rPr>
        <w:t>com</w:t>
      </w:r>
      <w:r w:rsidR="00155476" w:rsidRPr="00A64175">
        <w:rPr>
          <w:rFonts w:ascii="Arial" w:hAnsi="Arial" w:cs="Arial"/>
          <w:spacing w:val="-2"/>
          <w:sz w:val="22"/>
          <w:szCs w:val="22"/>
        </w:rPr>
        <w:t>m</w:t>
      </w:r>
      <w:r w:rsidR="00155476" w:rsidRPr="00A64175">
        <w:rPr>
          <w:rFonts w:ascii="Arial" w:hAnsi="Arial" w:cs="Arial"/>
          <w:sz w:val="22"/>
          <w:szCs w:val="22"/>
        </w:rPr>
        <w:t>issair</w:t>
      </w:r>
      <w:r w:rsidR="00155476" w:rsidRPr="00A64175">
        <w:rPr>
          <w:rFonts w:ascii="Arial" w:hAnsi="Arial" w:cs="Arial"/>
          <w:spacing w:val="-1"/>
          <w:sz w:val="22"/>
          <w:szCs w:val="22"/>
        </w:rPr>
        <w:t>e</w:t>
      </w:r>
      <w:r w:rsidR="00155476" w:rsidRPr="00A64175">
        <w:rPr>
          <w:rFonts w:ascii="Arial" w:hAnsi="Arial" w:cs="Arial"/>
          <w:sz w:val="22"/>
          <w:szCs w:val="22"/>
        </w:rPr>
        <w:t>s</w:t>
      </w:r>
      <w:r w:rsidR="00155476" w:rsidRPr="00A64175">
        <w:rPr>
          <w:rFonts w:ascii="Arial" w:hAnsi="Arial" w:cs="Arial"/>
          <w:spacing w:val="1"/>
          <w:sz w:val="22"/>
          <w:szCs w:val="22"/>
        </w:rPr>
        <w:t xml:space="preserve"> </w:t>
      </w:r>
      <w:r w:rsidR="00155476" w:rsidRPr="00A64175">
        <w:rPr>
          <w:rFonts w:ascii="Arial" w:hAnsi="Arial" w:cs="Arial"/>
          <w:sz w:val="22"/>
          <w:szCs w:val="22"/>
        </w:rPr>
        <w:t>aux</w:t>
      </w:r>
      <w:r w:rsidR="00155476" w:rsidRPr="00A64175">
        <w:rPr>
          <w:rFonts w:ascii="Arial" w:hAnsi="Arial" w:cs="Arial"/>
          <w:spacing w:val="1"/>
          <w:sz w:val="22"/>
          <w:szCs w:val="22"/>
        </w:rPr>
        <w:t xml:space="preserve"> </w:t>
      </w:r>
      <w:r w:rsidR="00155476" w:rsidRPr="00A64175">
        <w:rPr>
          <w:rFonts w:ascii="Arial" w:hAnsi="Arial" w:cs="Arial"/>
          <w:spacing w:val="-1"/>
          <w:sz w:val="22"/>
          <w:szCs w:val="22"/>
        </w:rPr>
        <w:t>c</w:t>
      </w:r>
      <w:r w:rsidR="00155476" w:rsidRPr="00A64175">
        <w:rPr>
          <w:rFonts w:ascii="Arial" w:hAnsi="Arial" w:cs="Arial"/>
          <w:spacing w:val="1"/>
          <w:sz w:val="22"/>
          <w:szCs w:val="22"/>
        </w:rPr>
        <w:t>o</w:t>
      </w:r>
      <w:r w:rsidR="00155476" w:rsidRPr="00A64175">
        <w:rPr>
          <w:rFonts w:ascii="Arial" w:hAnsi="Arial" w:cs="Arial"/>
          <w:spacing w:val="-2"/>
          <w:sz w:val="22"/>
          <w:szCs w:val="22"/>
        </w:rPr>
        <w:t>m</w:t>
      </w:r>
      <w:r w:rsidR="00155476" w:rsidRPr="00A64175">
        <w:rPr>
          <w:rFonts w:ascii="Arial" w:hAnsi="Arial" w:cs="Arial"/>
          <w:sz w:val="22"/>
          <w:szCs w:val="22"/>
        </w:rPr>
        <w:t>ptes</w:t>
      </w:r>
      <w:r w:rsidR="00155476" w:rsidRPr="00A64175">
        <w:rPr>
          <w:rFonts w:ascii="Arial" w:hAnsi="Arial" w:cs="Arial"/>
          <w:spacing w:val="1"/>
          <w:sz w:val="22"/>
          <w:szCs w:val="22"/>
        </w:rPr>
        <w:t xml:space="preserve"> </w:t>
      </w:r>
      <w:r w:rsidR="00155476" w:rsidRPr="00A64175">
        <w:rPr>
          <w:rFonts w:ascii="Arial" w:hAnsi="Arial" w:cs="Arial"/>
          <w:sz w:val="22"/>
          <w:szCs w:val="22"/>
        </w:rPr>
        <w:t>des</w:t>
      </w:r>
      <w:r w:rsidR="00155476" w:rsidRPr="00A64175">
        <w:rPr>
          <w:rFonts w:ascii="Arial" w:hAnsi="Arial" w:cs="Arial"/>
          <w:spacing w:val="1"/>
          <w:sz w:val="22"/>
          <w:szCs w:val="22"/>
        </w:rPr>
        <w:t xml:space="preserve"> </w:t>
      </w:r>
      <w:r w:rsidR="00155476" w:rsidRPr="00A64175">
        <w:rPr>
          <w:rFonts w:ascii="Arial" w:hAnsi="Arial" w:cs="Arial"/>
          <w:sz w:val="22"/>
          <w:szCs w:val="22"/>
        </w:rPr>
        <w:t>é</w:t>
      </w:r>
      <w:r w:rsidR="00155476" w:rsidRPr="00A64175">
        <w:rPr>
          <w:rFonts w:ascii="Arial" w:hAnsi="Arial" w:cs="Arial"/>
          <w:spacing w:val="-2"/>
          <w:sz w:val="22"/>
          <w:szCs w:val="22"/>
        </w:rPr>
        <w:t>m</w:t>
      </w:r>
      <w:r w:rsidR="00155476" w:rsidRPr="00A64175">
        <w:rPr>
          <w:rFonts w:ascii="Arial" w:hAnsi="Arial" w:cs="Arial"/>
          <w:sz w:val="22"/>
          <w:szCs w:val="22"/>
        </w:rPr>
        <w:t>etteurs</w:t>
      </w:r>
      <w:r w:rsidR="00155476" w:rsidRPr="00A64175">
        <w:rPr>
          <w:rFonts w:ascii="Arial" w:hAnsi="Arial" w:cs="Arial"/>
          <w:spacing w:val="1"/>
          <w:sz w:val="22"/>
          <w:szCs w:val="22"/>
        </w:rPr>
        <w:t xml:space="preserve"> </w:t>
      </w:r>
      <w:r w:rsidR="00155476" w:rsidRPr="00A64175">
        <w:rPr>
          <w:rFonts w:ascii="Arial" w:hAnsi="Arial" w:cs="Arial"/>
          <w:sz w:val="22"/>
          <w:szCs w:val="22"/>
        </w:rPr>
        <w:t>i</w:t>
      </w:r>
      <w:r w:rsidR="00155476" w:rsidRPr="00A64175">
        <w:rPr>
          <w:rFonts w:ascii="Arial" w:hAnsi="Arial" w:cs="Arial"/>
          <w:spacing w:val="-1"/>
          <w:sz w:val="22"/>
          <w:szCs w:val="22"/>
        </w:rPr>
        <w:t>nf</w:t>
      </w:r>
      <w:r w:rsidR="00155476" w:rsidRPr="00A64175">
        <w:rPr>
          <w:rFonts w:ascii="Arial" w:hAnsi="Arial" w:cs="Arial"/>
          <w:sz w:val="22"/>
          <w:szCs w:val="22"/>
        </w:rPr>
        <w:t>or</w:t>
      </w:r>
      <w:r w:rsidR="00155476" w:rsidRPr="00A64175">
        <w:rPr>
          <w:rFonts w:ascii="Arial" w:hAnsi="Arial" w:cs="Arial"/>
          <w:spacing w:val="-2"/>
          <w:sz w:val="22"/>
          <w:szCs w:val="22"/>
        </w:rPr>
        <w:t>m</w:t>
      </w:r>
      <w:r w:rsidR="00155476" w:rsidRPr="00A64175">
        <w:rPr>
          <w:rFonts w:ascii="Arial" w:hAnsi="Arial" w:cs="Arial"/>
          <w:sz w:val="22"/>
          <w:szCs w:val="22"/>
        </w:rPr>
        <w:t>e</w:t>
      </w:r>
      <w:r w:rsidR="00155476" w:rsidRPr="00A64175">
        <w:rPr>
          <w:rFonts w:ascii="Arial" w:hAnsi="Arial" w:cs="Arial"/>
          <w:spacing w:val="-1"/>
          <w:sz w:val="22"/>
          <w:szCs w:val="22"/>
        </w:rPr>
        <w:t>n</w:t>
      </w:r>
      <w:r w:rsidR="00155476" w:rsidRPr="00A64175">
        <w:rPr>
          <w:rFonts w:ascii="Arial" w:hAnsi="Arial" w:cs="Arial"/>
          <w:sz w:val="22"/>
          <w:szCs w:val="22"/>
        </w:rPr>
        <w:t>t</w:t>
      </w:r>
      <w:r w:rsidR="00155476" w:rsidRPr="00A64175">
        <w:rPr>
          <w:rFonts w:ascii="Arial" w:hAnsi="Arial" w:cs="Arial"/>
          <w:spacing w:val="1"/>
          <w:sz w:val="22"/>
          <w:szCs w:val="22"/>
        </w:rPr>
        <w:t xml:space="preserve"> </w:t>
      </w:r>
      <w:r w:rsidR="00155476" w:rsidRPr="00A64175">
        <w:rPr>
          <w:rFonts w:ascii="Arial" w:hAnsi="Arial" w:cs="Arial"/>
          <w:sz w:val="22"/>
          <w:szCs w:val="22"/>
        </w:rPr>
        <w:t>sans</w:t>
      </w:r>
      <w:r w:rsidR="00155476" w:rsidRPr="00A64175">
        <w:rPr>
          <w:rFonts w:ascii="Arial" w:hAnsi="Arial" w:cs="Arial"/>
          <w:spacing w:val="1"/>
          <w:sz w:val="22"/>
          <w:szCs w:val="22"/>
        </w:rPr>
        <w:t xml:space="preserve"> </w:t>
      </w:r>
      <w:r w:rsidR="00155476" w:rsidRPr="00A64175">
        <w:rPr>
          <w:rFonts w:ascii="Arial" w:hAnsi="Arial" w:cs="Arial"/>
          <w:sz w:val="22"/>
          <w:szCs w:val="22"/>
        </w:rPr>
        <w:t>dél</w:t>
      </w:r>
      <w:r w:rsidR="00155476" w:rsidRPr="00A64175">
        <w:rPr>
          <w:rFonts w:ascii="Arial" w:hAnsi="Arial" w:cs="Arial"/>
          <w:spacing w:val="-1"/>
          <w:sz w:val="22"/>
          <w:szCs w:val="22"/>
        </w:rPr>
        <w:t>a</w:t>
      </w:r>
      <w:r w:rsidR="00155476" w:rsidRPr="00A64175">
        <w:rPr>
          <w:rFonts w:ascii="Arial" w:hAnsi="Arial" w:cs="Arial"/>
          <w:sz w:val="22"/>
          <w:szCs w:val="22"/>
        </w:rPr>
        <w:t>i</w:t>
      </w:r>
      <w:r w:rsidR="00155476" w:rsidRPr="00A64175">
        <w:rPr>
          <w:rFonts w:ascii="Arial" w:hAnsi="Arial" w:cs="Arial"/>
          <w:spacing w:val="1"/>
          <w:sz w:val="22"/>
          <w:szCs w:val="22"/>
        </w:rPr>
        <w:t xml:space="preserve"> </w:t>
      </w:r>
      <w:r w:rsidR="00155476" w:rsidRPr="00A64175">
        <w:rPr>
          <w:rFonts w:ascii="Arial" w:hAnsi="Arial" w:cs="Arial"/>
          <w:sz w:val="22"/>
          <w:szCs w:val="22"/>
        </w:rPr>
        <w:t>la COSUMAF de tout acte, de toute o</w:t>
      </w:r>
      <w:r w:rsidR="00155476" w:rsidRPr="00A64175">
        <w:rPr>
          <w:rFonts w:ascii="Arial" w:hAnsi="Arial" w:cs="Arial"/>
          <w:spacing w:val="-2"/>
          <w:sz w:val="22"/>
          <w:szCs w:val="22"/>
        </w:rPr>
        <w:t>m</w:t>
      </w:r>
      <w:r w:rsidR="00155476" w:rsidRPr="00A64175">
        <w:rPr>
          <w:rFonts w:ascii="Arial" w:hAnsi="Arial" w:cs="Arial"/>
          <w:sz w:val="22"/>
          <w:szCs w:val="22"/>
        </w:rPr>
        <w:t>ission</w:t>
      </w:r>
      <w:r w:rsidR="00155476" w:rsidRPr="00A64175">
        <w:rPr>
          <w:rFonts w:ascii="Arial" w:hAnsi="Arial" w:cs="Arial"/>
          <w:spacing w:val="24"/>
          <w:sz w:val="22"/>
          <w:szCs w:val="22"/>
        </w:rPr>
        <w:t xml:space="preserve"> </w:t>
      </w:r>
      <w:r w:rsidR="00155476" w:rsidRPr="00A64175">
        <w:rPr>
          <w:rFonts w:ascii="Arial" w:hAnsi="Arial" w:cs="Arial"/>
          <w:sz w:val="22"/>
          <w:szCs w:val="22"/>
        </w:rPr>
        <w:t>ou</w:t>
      </w:r>
      <w:r w:rsidR="00155476" w:rsidRPr="00A64175">
        <w:rPr>
          <w:rFonts w:ascii="Arial" w:hAnsi="Arial" w:cs="Arial"/>
          <w:spacing w:val="24"/>
          <w:sz w:val="22"/>
          <w:szCs w:val="22"/>
        </w:rPr>
        <w:t xml:space="preserve"> </w:t>
      </w:r>
      <w:r w:rsidR="00155476" w:rsidRPr="00A64175">
        <w:rPr>
          <w:rFonts w:ascii="Arial" w:hAnsi="Arial" w:cs="Arial"/>
          <w:sz w:val="22"/>
          <w:szCs w:val="22"/>
        </w:rPr>
        <w:t>de</w:t>
      </w:r>
      <w:r w:rsidR="00155476" w:rsidRPr="00A64175">
        <w:rPr>
          <w:rFonts w:ascii="Arial" w:hAnsi="Arial" w:cs="Arial"/>
          <w:spacing w:val="24"/>
          <w:sz w:val="22"/>
          <w:szCs w:val="22"/>
        </w:rPr>
        <w:t xml:space="preserve"> </w:t>
      </w:r>
      <w:r w:rsidR="00155476" w:rsidRPr="00A64175">
        <w:rPr>
          <w:rFonts w:ascii="Arial" w:hAnsi="Arial" w:cs="Arial"/>
          <w:sz w:val="22"/>
          <w:szCs w:val="22"/>
        </w:rPr>
        <w:t>toute</w:t>
      </w:r>
      <w:r w:rsidR="00155476" w:rsidRPr="00A64175">
        <w:rPr>
          <w:rFonts w:ascii="Arial" w:hAnsi="Arial" w:cs="Arial"/>
          <w:spacing w:val="24"/>
          <w:sz w:val="22"/>
          <w:szCs w:val="22"/>
        </w:rPr>
        <w:t xml:space="preserve"> </w:t>
      </w:r>
      <w:r w:rsidR="00155476" w:rsidRPr="00A64175">
        <w:rPr>
          <w:rFonts w:ascii="Arial" w:hAnsi="Arial" w:cs="Arial"/>
          <w:sz w:val="22"/>
          <w:szCs w:val="22"/>
        </w:rPr>
        <w:t>irrégularité</w:t>
      </w:r>
      <w:r w:rsidR="00155476" w:rsidRPr="00A64175">
        <w:rPr>
          <w:rFonts w:ascii="Arial" w:hAnsi="Arial" w:cs="Arial"/>
          <w:spacing w:val="24"/>
          <w:sz w:val="22"/>
          <w:szCs w:val="22"/>
        </w:rPr>
        <w:t xml:space="preserve"> </w:t>
      </w:r>
      <w:r w:rsidR="00155476" w:rsidRPr="00A64175">
        <w:rPr>
          <w:rFonts w:ascii="Arial" w:hAnsi="Arial" w:cs="Arial"/>
          <w:sz w:val="22"/>
          <w:szCs w:val="22"/>
        </w:rPr>
        <w:t>dont</w:t>
      </w:r>
      <w:r w:rsidR="00155476" w:rsidRPr="00A64175">
        <w:rPr>
          <w:rFonts w:ascii="Arial" w:hAnsi="Arial" w:cs="Arial"/>
          <w:spacing w:val="24"/>
          <w:sz w:val="22"/>
          <w:szCs w:val="22"/>
        </w:rPr>
        <w:t xml:space="preserve"> </w:t>
      </w:r>
      <w:r w:rsidR="00155476" w:rsidRPr="00A64175">
        <w:rPr>
          <w:rFonts w:ascii="Arial" w:hAnsi="Arial" w:cs="Arial"/>
          <w:sz w:val="22"/>
          <w:szCs w:val="22"/>
        </w:rPr>
        <w:t>ils</w:t>
      </w:r>
      <w:r w:rsidR="00155476" w:rsidRPr="00A64175">
        <w:rPr>
          <w:rFonts w:ascii="Arial" w:hAnsi="Arial" w:cs="Arial"/>
          <w:spacing w:val="24"/>
          <w:sz w:val="22"/>
          <w:szCs w:val="22"/>
        </w:rPr>
        <w:t xml:space="preserve"> </w:t>
      </w:r>
      <w:r w:rsidR="00155476" w:rsidRPr="00A64175">
        <w:rPr>
          <w:rFonts w:ascii="Arial" w:hAnsi="Arial" w:cs="Arial"/>
          <w:sz w:val="22"/>
          <w:szCs w:val="22"/>
        </w:rPr>
        <w:t>prennent</w:t>
      </w:r>
      <w:r w:rsidR="00155476" w:rsidRPr="00A64175">
        <w:rPr>
          <w:rFonts w:ascii="Arial" w:hAnsi="Arial" w:cs="Arial"/>
          <w:spacing w:val="22"/>
          <w:sz w:val="22"/>
          <w:szCs w:val="22"/>
        </w:rPr>
        <w:t xml:space="preserve"> </w:t>
      </w:r>
      <w:r w:rsidR="00155476" w:rsidRPr="00A64175">
        <w:rPr>
          <w:rFonts w:ascii="Arial" w:hAnsi="Arial" w:cs="Arial"/>
          <w:sz w:val="22"/>
          <w:szCs w:val="22"/>
        </w:rPr>
        <w:t>connaissance</w:t>
      </w:r>
      <w:r w:rsidR="00155476" w:rsidRPr="00A64175">
        <w:rPr>
          <w:rFonts w:ascii="Arial" w:hAnsi="Arial" w:cs="Arial"/>
          <w:spacing w:val="24"/>
          <w:sz w:val="22"/>
          <w:szCs w:val="22"/>
        </w:rPr>
        <w:t xml:space="preserve"> </w:t>
      </w:r>
      <w:r w:rsidR="00155476" w:rsidRPr="00A64175">
        <w:rPr>
          <w:rFonts w:ascii="Arial" w:hAnsi="Arial" w:cs="Arial"/>
          <w:sz w:val="22"/>
          <w:szCs w:val="22"/>
        </w:rPr>
        <w:t>dans</w:t>
      </w:r>
      <w:r w:rsidR="00155476" w:rsidRPr="00A64175">
        <w:rPr>
          <w:rFonts w:ascii="Arial" w:hAnsi="Arial" w:cs="Arial"/>
          <w:spacing w:val="24"/>
          <w:sz w:val="22"/>
          <w:szCs w:val="22"/>
        </w:rPr>
        <w:t xml:space="preserve"> </w:t>
      </w:r>
      <w:r w:rsidR="00155476" w:rsidRPr="00A64175">
        <w:rPr>
          <w:rFonts w:ascii="Arial" w:hAnsi="Arial" w:cs="Arial"/>
          <w:sz w:val="22"/>
          <w:szCs w:val="22"/>
        </w:rPr>
        <w:t>le</w:t>
      </w:r>
      <w:r w:rsidR="00155476" w:rsidRPr="00A64175">
        <w:rPr>
          <w:rFonts w:ascii="Arial" w:hAnsi="Arial" w:cs="Arial"/>
          <w:spacing w:val="24"/>
          <w:sz w:val="22"/>
          <w:szCs w:val="22"/>
        </w:rPr>
        <w:t xml:space="preserve"> </w:t>
      </w:r>
      <w:r w:rsidR="00155476" w:rsidRPr="00A64175">
        <w:rPr>
          <w:rFonts w:ascii="Arial" w:hAnsi="Arial" w:cs="Arial"/>
          <w:sz w:val="22"/>
          <w:szCs w:val="22"/>
        </w:rPr>
        <w:t>cadre</w:t>
      </w:r>
      <w:r w:rsidR="00155476" w:rsidRPr="00A64175">
        <w:rPr>
          <w:rFonts w:ascii="Arial" w:hAnsi="Arial" w:cs="Arial"/>
          <w:spacing w:val="24"/>
          <w:sz w:val="22"/>
          <w:szCs w:val="22"/>
        </w:rPr>
        <w:t xml:space="preserve"> </w:t>
      </w:r>
      <w:r w:rsidR="00155476" w:rsidRPr="00A64175">
        <w:rPr>
          <w:rFonts w:ascii="Arial" w:hAnsi="Arial" w:cs="Arial"/>
          <w:sz w:val="22"/>
          <w:szCs w:val="22"/>
        </w:rPr>
        <w:t>de</w:t>
      </w:r>
      <w:r w:rsidR="00155476" w:rsidRPr="00A64175">
        <w:rPr>
          <w:rFonts w:ascii="Arial" w:hAnsi="Arial" w:cs="Arial"/>
          <w:spacing w:val="24"/>
          <w:sz w:val="22"/>
          <w:szCs w:val="22"/>
        </w:rPr>
        <w:t xml:space="preserve"> </w:t>
      </w:r>
      <w:r w:rsidR="00155476" w:rsidRPr="00A64175">
        <w:rPr>
          <w:rFonts w:ascii="Arial" w:hAnsi="Arial" w:cs="Arial"/>
          <w:sz w:val="22"/>
          <w:szCs w:val="22"/>
        </w:rPr>
        <w:t>leur</w:t>
      </w:r>
      <w:r w:rsidR="00155476" w:rsidRPr="00A64175">
        <w:rPr>
          <w:rFonts w:ascii="Arial" w:hAnsi="Arial" w:cs="Arial"/>
          <w:spacing w:val="24"/>
          <w:sz w:val="22"/>
          <w:szCs w:val="22"/>
        </w:rPr>
        <w:t xml:space="preserve"> </w:t>
      </w:r>
      <w:r w:rsidR="00155476" w:rsidRPr="00A64175">
        <w:rPr>
          <w:rFonts w:ascii="Arial" w:hAnsi="Arial" w:cs="Arial"/>
          <w:spacing w:val="-2"/>
          <w:sz w:val="22"/>
          <w:szCs w:val="22"/>
        </w:rPr>
        <w:t>m</w:t>
      </w:r>
      <w:r w:rsidR="00155476" w:rsidRPr="00A64175">
        <w:rPr>
          <w:rFonts w:ascii="Arial" w:hAnsi="Arial" w:cs="Arial"/>
          <w:spacing w:val="1"/>
          <w:sz w:val="22"/>
          <w:szCs w:val="22"/>
        </w:rPr>
        <w:t>i</w:t>
      </w:r>
      <w:r w:rsidR="00155476" w:rsidRPr="00A64175">
        <w:rPr>
          <w:rFonts w:ascii="Arial" w:hAnsi="Arial" w:cs="Arial"/>
          <w:sz w:val="22"/>
          <w:szCs w:val="22"/>
        </w:rPr>
        <w:t>ssion,</w:t>
      </w:r>
      <w:r w:rsidR="00155476" w:rsidRPr="00A64175">
        <w:rPr>
          <w:rFonts w:ascii="Arial" w:hAnsi="Arial" w:cs="Arial"/>
          <w:spacing w:val="24"/>
          <w:sz w:val="22"/>
          <w:szCs w:val="22"/>
        </w:rPr>
        <w:t xml:space="preserve"> </w:t>
      </w:r>
      <w:r w:rsidR="00155476" w:rsidRPr="00A64175">
        <w:rPr>
          <w:rFonts w:ascii="Arial" w:hAnsi="Arial" w:cs="Arial"/>
          <w:sz w:val="22"/>
          <w:szCs w:val="22"/>
        </w:rPr>
        <w:t>dès</w:t>
      </w:r>
      <w:r w:rsidR="00155476" w:rsidRPr="00A64175">
        <w:rPr>
          <w:rFonts w:ascii="Arial" w:hAnsi="Arial" w:cs="Arial"/>
          <w:spacing w:val="24"/>
          <w:sz w:val="22"/>
          <w:szCs w:val="22"/>
        </w:rPr>
        <w:t xml:space="preserve"> </w:t>
      </w:r>
      <w:r w:rsidR="00155476" w:rsidRPr="00A64175">
        <w:rPr>
          <w:rFonts w:ascii="Arial" w:hAnsi="Arial" w:cs="Arial"/>
          <w:sz w:val="22"/>
          <w:szCs w:val="22"/>
        </w:rPr>
        <w:t>lors que cet acte, cette o</w:t>
      </w:r>
      <w:r w:rsidR="00155476" w:rsidRPr="00A64175">
        <w:rPr>
          <w:rFonts w:ascii="Arial" w:hAnsi="Arial" w:cs="Arial"/>
          <w:spacing w:val="-2"/>
          <w:sz w:val="22"/>
          <w:szCs w:val="22"/>
        </w:rPr>
        <w:t>m</w:t>
      </w:r>
      <w:r w:rsidR="00155476" w:rsidRPr="00A64175">
        <w:rPr>
          <w:rFonts w:ascii="Arial" w:hAnsi="Arial" w:cs="Arial"/>
          <w:sz w:val="22"/>
          <w:szCs w:val="22"/>
        </w:rPr>
        <w:t>iss</w:t>
      </w:r>
      <w:r w:rsidR="00155476" w:rsidRPr="00A64175">
        <w:rPr>
          <w:rFonts w:ascii="Arial" w:hAnsi="Arial" w:cs="Arial"/>
          <w:spacing w:val="1"/>
          <w:sz w:val="22"/>
          <w:szCs w:val="22"/>
        </w:rPr>
        <w:t>i</w:t>
      </w:r>
      <w:r w:rsidR="00155476" w:rsidRPr="00A64175">
        <w:rPr>
          <w:rFonts w:ascii="Arial" w:hAnsi="Arial" w:cs="Arial"/>
          <w:sz w:val="22"/>
          <w:szCs w:val="22"/>
        </w:rPr>
        <w:t>on ou cette irrégularité :</w:t>
      </w:r>
    </w:p>
    <w:p w14:paraId="56DC15D5" w14:textId="77777777" w:rsidR="00155476" w:rsidRPr="00A64175" w:rsidRDefault="00155476" w:rsidP="00A64175">
      <w:pPr>
        <w:widowControl w:val="0"/>
        <w:autoSpaceDE w:val="0"/>
        <w:adjustRightInd w:val="0"/>
        <w:spacing w:before="16" w:line="260" w:lineRule="exact"/>
        <w:jc w:val="both"/>
        <w:rPr>
          <w:rFonts w:ascii="Arial" w:hAnsi="Arial" w:cs="Arial"/>
          <w:sz w:val="22"/>
          <w:szCs w:val="22"/>
        </w:rPr>
      </w:pPr>
    </w:p>
    <w:p w14:paraId="543E6744" w14:textId="77777777" w:rsidR="00155476" w:rsidRPr="00A64175" w:rsidRDefault="00155476"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 xml:space="preserve">est de nature à affecter </w:t>
      </w:r>
      <w:r w:rsidRPr="00A64175">
        <w:rPr>
          <w:rFonts w:ascii="Arial" w:hAnsi="Arial" w:cs="Arial"/>
          <w:spacing w:val="-1"/>
          <w:sz w:val="22"/>
          <w:szCs w:val="22"/>
        </w:rPr>
        <w:t>d</w:t>
      </w:r>
      <w:r w:rsidRPr="00A64175">
        <w:rPr>
          <w:rFonts w:ascii="Arial" w:hAnsi="Arial" w:cs="Arial"/>
          <w:sz w:val="22"/>
          <w:szCs w:val="22"/>
        </w:rPr>
        <w:t xml:space="preserve">e </w:t>
      </w:r>
      <w:r w:rsidRPr="00A64175">
        <w:rPr>
          <w:rFonts w:ascii="Arial" w:hAnsi="Arial" w:cs="Arial"/>
          <w:spacing w:val="-2"/>
          <w:sz w:val="22"/>
          <w:szCs w:val="22"/>
        </w:rPr>
        <w:t>m</w:t>
      </w:r>
      <w:r w:rsidRPr="00A64175">
        <w:rPr>
          <w:rFonts w:ascii="Arial" w:hAnsi="Arial" w:cs="Arial"/>
          <w:sz w:val="22"/>
          <w:szCs w:val="22"/>
        </w:rPr>
        <w:t>anière significa</w:t>
      </w:r>
      <w:r w:rsidRPr="00A64175">
        <w:rPr>
          <w:rFonts w:ascii="Arial" w:hAnsi="Arial" w:cs="Arial"/>
          <w:spacing w:val="-2"/>
          <w:sz w:val="22"/>
          <w:szCs w:val="22"/>
        </w:rPr>
        <w:t>t</w:t>
      </w:r>
      <w:r w:rsidRPr="00A64175">
        <w:rPr>
          <w:rFonts w:ascii="Arial" w:hAnsi="Arial" w:cs="Arial"/>
          <w:sz w:val="22"/>
          <w:szCs w:val="22"/>
        </w:rPr>
        <w:t>ive la situation financière de l’é</w:t>
      </w:r>
      <w:r w:rsidRPr="00A64175">
        <w:rPr>
          <w:rFonts w:ascii="Arial" w:hAnsi="Arial" w:cs="Arial"/>
          <w:spacing w:val="-2"/>
          <w:sz w:val="22"/>
          <w:szCs w:val="22"/>
        </w:rPr>
        <w:t>m</w:t>
      </w:r>
      <w:r w:rsidRPr="00A64175">
        <w:rPr>
          <w:rFonts w:ascii="Arial" w:hAnsi="Arial" w:cs="Arial"/>
          <w:sz w:val="22"/>
          <w:szCs w:val="22"/>
        </w:rPr>
        <w:t>etteur ;</w:t>
      </w:r>
    </w:p>
    <w:p w14:paraId="790C8234" w14:textId="77777777" w:rsidR="00155476" w:rsidRPr="00A64175" w:rsidRDefault="00155476" w:rsidP="00A64175">
      <w:pPr>
        <w:widowControl w:val="0"/>
        <w:autoSpaceDE w:val="0"/>
        <w:adjustRightInd w:val="0"/>
        <w:ind w:left="111" w:right="64"/>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constitue une violation de la régle</w:t>
      </w:r>
      <w:r w:rsidRPr="00A64175">
        <w:rPr>
          <w:rFonts w:ascii="Arial" w:hAnsi="Arial" w:cs="Arial"/>
          <w:spacing w:val="-2"/>
          <w:sz w:val="22"/>
          <w:szCs w:val="22"/>
        </w:rPr>
        <w:t>m</w:t>
      </w:r>
      <w:r w:rsidRPr="00A64175">
        <w:rPr>
          <w:rFonts w:ascii="Arial" w:hAnsi="Arial" w:cs="Arial"/>
          <w:sz w:val="22"/>
          <w:szCs w:val="22"/>
        </w:rPr>
        <w:t>entation du marché financier.</w:t>
      </w:r>
    </w:p>
    <w:p w14:paraId="52B2D6F4" w14:textId="77777777" w:rsidR="006D7CF0" w:rsidRPr="00A64175" w:rsidRDefault="006D7CF0" w:rsidP="00A64175">
      <w:pPr>
        <w:widowControl w:val="0"/>
        <w:autoSpaceDE w:val="0"/>
        <w:autoSpaceDN w:val="0"/>
        <w:adjustRightInd w:val="0"/>
        <w:jc w:val="both"/>
        <w:rPr>
          <w:rFonts w:ascii="Arial" w:hAnsi="Arial" w:cs="Arial"/>
          <w:color w:val="000000"/>
          <w:kern w:val="1"/>
          <w:sz w:val="22"/>
          <w:szCs w:val="22"/>
        </w:rPr>
      </w:pPr>
    </w:p>
    <w:p w14:paraId="70FCA971" w14:textId="77777777" w:rsidR="003C4F40" w:rsidRPr="00A64175" w:rsidRDefault="003C4F40" w:rsidP="00A64175">
      <w:pPr>
        <w:widowControl w:val="0"/>
        <w:autoSpaceDE w:val="0"/>
        <w:autoSpaceDN w:val="0"/>
        <w:adjustRightInd w:val="0"/>
        <w:jc w:val="both"/>
        <w:rPr>
          <w:rFonts w:ascii="Arial" w:hAnsi="Arial" w:cs="Arial"/>
          <w:color w:val="000000"/>
          <w:kern w:val="1"/>
          <w:sz w:val="22"/>
          <w:szCs w:val="22"/>
        </w:rPr>
      </w:pPr>
    </w:p>
    <w:p w14:paraId="3B17C4A3" w14:textId="4993D682" w:rsidR="003C4F40" w:rsidRPr="00A64175" w:rsidRDefault="003C4F40"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color w:val="000000"/>
          <w:kern w:val="1"/>
          <w:sz w:val="22"/>
          <w:szCs w:val="22"/>
        </w:rPr>
        <w:t>Section</w:t>
      </w:r>
      <w:r w:rsidRPr="00A64175">
        <w:rPr>
          <w:rFonts w:ascii="Arial" w:hAnsi="Arial" w:cs="Arial"/>
          <w:b/>
          <w:bCs/>
          <w:color w:val="000000"/>
          <w:sz w:val="22"/>
          <w:szCs w:val="22"/>
        </w:rPr>
        <w:t xml:space="preserve"> V : Placement</w:t>
      </w:r>
    </w:p>
    <w:p w14:paraId="19DF6D32" w14:textId="77777777" w:rsidR="003C4F40" w:rsidRPr="00A64175" w:rsidRDefault="003C4F40" w:rsidP="00A64175">
      <w:pPr>
        <w:widowControl w:val="0"/>
        <w:autoSpaceDE w:val="0"/>
        <w:autoSpaceDN w:val="0"/>
        <w:adjustRightInd w:val="0"/>
        <w:jc w:val="both"/>
        <w:rPr>
          <w:rFonts w:ascii="Arial" w:hAnsi="Arial" w:cs="Arial"/>
          <w:color w:val="000000"/>
          <w:kern w:val="1"/>
          <w:sz w:val="22"/>
          <w:szCs w:val="22"/>
        </w:rPr>
      </w:pPr>
    </w:p>
    <w:p w14:paraId="17BE24CC" w14:textId="2ED4BE43" w:rsidR="00B41214" w:rsidRPr="00A64175" w:rsidRDefault="00F30BDF" w:rsidP="00A64175">
      <w:pPr>
        <w:widowControl w:val="0"/>
        <w:autoSpaceDE w:val="0"/>
        <w:adjustRightInd w:val="0"/>
        <w:spacing w:before="29"/>
        <w:ind w:right="67"/>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8</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La</w:t>
      </w:r>
      <w:r w:rsidR="00B41214" w:rsidRPr="00A64175">
        <w:rPr>
          <w:rFonts w:ascii="Arial" w:hAnsi="Arial" w:cs="Arial"/>
          <w:spacing w:val="1"/>
          <w:sz w:val="22"/>
          <w:szCs w:val="22"/>
        </w:rPr>
        <w:t xml:space="preserve"> </w:t>
      </w:r>
      <w:r w:rsidR="00B41214" w:rsidRPr="00A64175">
        <w:rPr>
          <w:rFonts w:ascii="Arial" w:hAnsi="Arial" w:cs="Arial"/>
          <w:sz w:val="22"/>
          <w:szCs w:val="22"/>
        </w:rPr>
        <w:t>diffusion</w:t>
      </w:r>
      <w:r w:rsidR="00B41214" w:rsidRPr="00A64175">
        <w:rPr>
          <w:rFonts w:ascii="Arial" w:hAnsi="Arial" w:cs="Arial"/>
          <w:spacing w:val="1"/>
          <w:sz w:val="22"/>
          <w:szCs w:val="22"/>
        </w:rPr>
        <w:t xml:space="preserve"> </w:t>
      </w:r>
      <w:r w:rsidR="00B41214" w:rsidRPr="00A64175">
        <w:rPr>
          <w:rFonts w:ascii="Arial" w:hAnsi="Arial" w:cs="Arial"/>
          <w:sz w:val="22"/>
          <w:szCs w:val="22"/>
        </w:rPr>
        <w:t>du</w:t>
      </w:r>
      <w:r w:rsidR="00B41214" w:rsidRPr="00A64175">
        <w:rPr>
          <w:rFonts w:ascii="Arial" w:hAnsi="Arial" w:cs="Arial"/>
          <w:spacing w:val="1"/>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pacing w:val="1"/>
          <w:sz w:val="22"/>
          <w:szCs w:val="22"/>
        </w:rPr>
        <w:t>e</w:t>
      </w:r>
      <w:r w:rsidR="00B41214" w:rsidRPr="00A64175">
        <w:rPr>
          <w:rFonts w:ascii="Arial" w:hAnsi="Arial" w:cs="Arial"/>
          <w:sz w:val="22"/>
          <w:szCs w:val="22"/>
        </w:rPr>
        <w:t>nt</w:t>
      </w:r>
      <w:r w:rsidR="00B41214" w:rsidRPr="00A64175">
        <w:rPr>
          <w:rFonts w:ascii="Arial" w:hAnsi="Arial" w:cs="Arial"/>
          <w:spacing w:val="1"/>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pacing w:val="1"/>
          <w:sz w:val="22"/>
          <w:szCs w:val="22"/>
        </w:rPr>
        <w:t>a</w:t>
      </w:r>
      <w:r w:rsidR="00B41214" w:rsidRPr="00A64175">
        <w:rPr>
          <w:rFonts w:ascii="Arial" w:hAnsi="Arial" w:cs="Arial"/>
          <w:sz w:val="22"/>
          <w:szCs w:val="22"/>
        </w:rPr>
        <w:t>tion</w:t>
      </w:r>
      <w:r w:rsidR="00B41214" w:rsidRPr="00A64175">
        <w:rPr>
          <w:rFonts w:ascii="Arial" w:hAnsi="Arial" w:cs="Arial"/>
          <w:spacing w:val="1"/>
          <w:sz w:val="22"/>
          <w:szCs w:val="22"/>
        </w:rPr>
        <w:t xml:space="preserve"> </w:t>
      </w:r>
      <w:r w:rsidR="00B41214" w:rsidRPr="00A64175">
        <w:rPr>
          <w:rFonts w:ascii="Arial" w:hAnsi="Arial" w:cs="Arial"/>
          <w:sz w:val="22"/>
          <w:szCs w:val="22"/>
        </w:rPr>
        <w:t>dans</w:t>
      </w:r>
      <w:r w:rsidR="00B41214" w:rsidRPr="00A64175">
        <w:rPr>
          <w:rFonts w:ascii="Arial" w:hAnsi="Arial" w:cs="Arial"/>
          <w:spacing w:val="1"/>
          <w:sz w:val="22"/>
          <w:szCs w:val="22"/>
        </w:rPr>
        <w:t xml:space="preserve"> </w:t>
      </w:r>
      <w:r w:rsidR="00B41214" w:rsidRPr="00A64175">
        <w:rPr>
          <w:rFonts w:ascii="Arial" w:hAnsi="Arial" w:cs="Arial"/>
          <w:sz w:val="22"/>
          <w:szCs w:val="22"/>
        </w:rPr>
        <w:t>le</w:t>
      </w:r>
      <w:r w:rsidR="00B41214" w:rsidRPr="00A64175">
        <w:rPr>
          <w:rFonts w:ascii="Arial" w:hAnsi="Arial" w:cs="Arial"/>
          <w:spacing w:val="1"/>
          <w:sz w:val="22"/>
          <w:szCs w:val="22"/>
        </w:rPr>
        <w:t xml:space="preserve"> </w:t>
      </w:r>
      <w:r w:rsidR="00B41214" w:rsidRPr="00A64175">
        <w:rPr>
          <w:rFonts w:ascii="Arial" w:hAnsi="Arial" w:cs="Arial"/>
          <w:sz w:val="22"/>
          <w:szCs w:val="22"/>
        </w:rPr>
        <w:t>public</w:t>
      </w:r>
      <w:r w:rsidR="00B41214" w:rsidRPr="00A64175">
        <w:rPr>
          <w:rFonts w:ascii="Arial" w:hAnsi="Arial" w:cs="Arial"/>
          <w:spacing w:val="1"/>
          <w:sz w:val="22"/>
          <w:szCs w:val="22"/>
        </w:rPr>
        <w:t xml:space="preserve"> </w:t>
      </w:r>
      <w:r w:rsidR="00B41214" w:rsidRPr="00A64175">
        <w:rPr>
          <w:rFonts w:ascii="Arial" w:hAnsi="Arial" w:cs="Arial"/>
          <w:sz w:val="22"/>
          <w:szCs w:val="22"/>
        </w:rPr>
        <w:t>ne peut</w:t>
      </w:r>
      <w:r w:rsidR="00B41214" w:rsidRPr="00A64175">
        <w:rPr>
          <w:rFonts w:ascii="Arial" w:hAnsi="Arial" w:cs="Arial"/>
          <w:spacing w:val="1"/>
          <w:sz w:val="22"/>
          <w:szCs w:val="22"/>
        </w:rPr>
        <w:t xml:space="preserve"> </w:t>
      </w:r>
      <w:r w:rsidR="00B41214" w:rsidRPr="00A64175">
        <w:rPr>
          <w:rFonts w:ascii="Arial" w:hAnsi="Arial" w:cs="Arial"/>
          <w:sz w:val="22"/>
          <w:szCs w:val="22"/>
        </w:rPr>
        <w:t>avoir</w:t>
      </w:r>
      <w:r w:rsidR="00B41214" w:rsidRPr="00A64175">
        <w:rPr>
          <w:rFonts w:ascii="Arial" w:hAnsi="Arial" w:cs="Arial"/>
          <w:spacing w:val="1"/>
          <w:sz w:val="22"/>
          <w:szCs w:val="22"/>
        </w:rPr>
        <w:t xml:space="preserve"> </w:t>
      </w:r>
      <w:r w:rsidR="00B41214" w:rsidRPr="00A64175">
        <w:rPr>
          <w:rFonts w:ascii="Arial" w:hAnsi="Arial" w:cs="Arial"/>
          <w:sz w:val="22"/>
          <w:szCs w:val="22"/>
        </w:rPr>
        <w:t>lieu</w:t>
      </w:r>
      <w:r w:rsidR="00B41214" w:rsidRPr="00A64175">
        <w:rPr>
          <w:rFonts w:ascii="Arial" w:hAnsi="Arial" w:cs="Arial"/>
          <w:spacing w:val="1"/>
          <w:sz w:val="22"/>
          <w:szCs w:val="22"/>
        </w:rPr>
        <w:t xml:space="preserve"> </w:t>
      </w:r>
      <w:r w:rsidR="00B41214" w:rsidRPr="00A64175">
        <w:rPr>
          <w:rFonts w:ascii="Arial" w:hAnsi="Arial" w:cs="Arial"/>
          <w:sz w:val="22"/>
          <w:szCs w:val="22"/>
        </w:rPr>
        <w:t>avant l’obtention</w:t>
      </w:r>
      <w:r w:rsidR="00B41214" w:rsidRPr="00A64175">
        <w:rPr>
          <w:rFonts w:ascii="Arial" w:hAnsi="Arial" w:cs="Arial"/>
          <w:spacing w:val="1"/>
          <w:sz w:val="22"/>
          <w:szCs w:val="22"/>
        </w:rPr>
        <w:t xml:space="preserve"> </w:t>
      </w:r>
      <w:r w:rsidR="00B41214" w:rsidRPr="00A64175">
        <w:rPr>
          <w:rFonts w:ascii="Arial" w:hAnsi="Arial" w:cs="Arial"/>
          <w:sz w:val="22"/>
          <w:szCs w:val="22"/>
        </w:rPr>
        <w:t>du</w:t>
      </w:r>
      <w:r w:rsidR="00B41214" w:rsidRPr="00A64175">
        <w:rPr>
          <w:rFonts w:ascii="Arial" w:hAnsi="Arial" w:cs="Arial"/>
          <w:spacing w:val="1"/>
          <w:sz w:val="22"/>
          <w:szCs w:val="22"/>
        </w:rPr>
        <w:t xml:space="preserve"> </w:t>
      </w:r>
      <w:r w:rsidR="00B41214" w:rsidRPr="00A64175">
        <w:rPr>
          <w:rFonts w:ascii="Arial" w:hAnsi="Arial" w:cs="Arial"/>
          <w:sz w:val="22"/>
          <w:szCs w:val="22"/>
        </w:rPr>
        <w:t>visa</w:t>
      </w:r>
      <w:r w:rsidR="00B41214" w:rsidRPr="00A64175">
        <w:rPr>
          <w:rFonts w:ascii="Arial" w:hAnsi="Arial" w:cs="Arial"/>
          <w:spacing w:val="1"/>
          <w:sz w:val="22"/>
          <w:szCs w:val="22"/>
        </w:rPr>
        <w:t xml:space="preserve"> </w:t>
      </w:r>
      <w:r w:rsidR="00B41214" w:rsidRPr="00A64175">
        <w:rPr>
          <w:rFonts w:ascii="Arial" w:hAnsi="Arial" w:cs="Arial"/>
          <w:sz w:val="22"/>
          <w:szCs w:val="22"/>
        </w:rPr>
        <w:t>et</w:t>
      </w:r>
      <w:r w:rsidR="00B41214" w:rsidRPr="00A64175">
        <w:rPr>
          <w:rFonts w:ascii="Arial" w:hAnsi="Arial" w:cs="Arial"/>
          <w:spacing w:val="1"/>
          <w:sz w:val="22"/>
          <w:szCs w:val="22"/>
        </w:rPr>
        <w:t xml:space="preserve"> </w:t>
      </w:r>
      <w:r w:rsidR="00B41214" w:rsidRPr="00A64175">
        <w:rPr>
          <w:rFonts w:ascii="Arial" w:hAnsi="Arial" w:cs="Arial"/>
          <w:sz w:val="22"/>
          <w:szCs w:val="22"/>
        </w:rPr>
        <w:t>le dépôt</w:t>
      </w:r>
      <w:r w:rsidR="00B41214" w:rsidRPr="00A64175">
        <w:rPr>
          <w:rFonts w:ascii="Arial" w:hAnsi="Arial" w:cs="Arial"/>
          <w:spacing w:val="1"/>
          <w:sz w:val="22"/>
          <w:szCs w:val="22"/>
        </w:rPr>
        <w:t xml:space="preserve"> </w:t>
      </w:r>
      <w:r w:rsidR="00B41214" w:rsidRPr="00A64175">
        <w:rPr>
          <w:rFonts w:ascii="Arial" w:hAnsi="Arial" w:cs="Arial"/>
          <w:sz w:val="22"/>
          <w:szCs w:val="22"/>
        </w:rPr>
        <w:t>à</w:t>
      </w:r>
      <w:r w:rsidR="00B41214" w:rsidRPr="00A64175">
        <w:rPr>
          <w:rFonts w:ascii="Arial" w:hAnsi="Arial" w:cs="Arial"/>
          <w:spacing w:val="1"/>
          <w:sz w:val="22"/>
          <w:szCs w:val="22"/>
        </w:rPr>
        <w:t xml:space="preserve"> </w:t>
      </w:r>
      <w:r w:rsidR="00B41214" w:rsidRPr="00A64175">
        <w:rPr>
          <w:rFonts w:ascii="Arial" w:hAnsi="Arial" w:cs="Arial"/>
          <w:sz w:val="22"/>
          <w:szCs w:val="22"/>
        </w:rPr>
        <w:t>la</w:t>
      </w:r>
      <w:r w:rsidR="00B41214" w:rsidRPr="00A64175">
        <w:rPr>
          <w:rFonts w:ascii="Arial" w:hAnsi="Arial" w:cs="Arial"/>
          <w:spacing w:val="1"/>
          <w:sz w:val="22"/>
          <w:szCs w:val="22"/>
        </w:rPr>
        <w:t xml:space="preserve"> </w:t>
      </w:r>
      <w:r w:rsidR="00B41214" w:rsidRPr="00A64175">
        <w:rPr>
          <w:rFonts w:ascii="Arial" w:hAnsi="Arial" w:cs="Arial"/>
          <w:sz w:val="22"/>
          <w:szCs w:val="22"/>
        </w:rPr>
        <w:t>COSU</w:t>
      </w:r>
      <w:r w:rsidR="00B41214" w:rsidRPr="00A64175">
        <w:rPr>
          <w:rFonts w:ascii="Arial" w:hAnsi="Arial" w:cs="Arial"/>
          <w:spacing w:val="1"/>
          <w:sz w:val="22"/>
          <w:szCs w:val="22"/>
        </w:rPr>
        <w:t>M</w:t>
      </w:r>
      <w:r w:rsidR="00B41214" w:rsidRPr="00A64175">
        <w:rPr>
          <w:rFonts w:ascii="Arial" w:hAnsi="Arial" w:cs="Arial"/>
          <w:spacing w:val="-1"/>
          <w:sz w:val="22"/>
          <w:szCs w:val="22"/>
        </w:rPr>
        <w:t>A</w:t>
      </w:r>
      <w:r w:rsidR="00B41214" w:rsidRPr="00A64175">
        <w:rPr>
          <w:rFonts w:ascii="Arial" w:hAnsi="Arial" w:cs="Arial"/>
          <w:sz w:val="22"/>
          <w:szCs w:val="22"/>
        </w:rPr>
        <w:t>F</w:t>
      </w:r>
      <w:r w:rsidR="00B41214" w:rsidRPr="00A64175">
        <w:rPr>
          <w:rFonts w:ascii="Arial" w:hAnsi="Arial" w:cs="Arial"/>
          <w:spacing w:val="1"/>
          <w:sz w:val="22"/>
          <w:szCs w:val="22"/>
        </w:rPr>
        <w:t xml:space="preserve"> </w:t>
      </w:r>
      <w:r w:rsidR="00B41214" w:rsidRPr="00A64175">
        <w:rPr>
          <w:rFonts w:ascii="Arial" w:hAnsi="Arial" w:cs="Arial"/>
          <w:sz w:val="22"/>
          <w:szCs w:val="22"/>
        </w:rPr>
        <w:t>du docu</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1"/>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z w:val="22"/>
          <w:szCs w:val="22"/>
        </w:rPr>
        <w:t>ation</w:t>
      </w:r>
      <w:r w:rsidR="00B41214" w:rsidRPr="00A64175">
        <w:rPr>
          <w:rFonts w:ascii="Arial" w:hAnsi="Arial" w:cs="Arial"/>
          <w:spacing w:val="1"/>
          <w:sz w:val="22"/>
          <w:szCs w:val="22"/>
        </w:rPr>
        <w:t xml:space="preserve"> </w:t>
      </w:r>
      <w:r w:rsidR="00B41214" w:rsidRPr="00A64175">
        <w:rPr>
          <w:rFonts w:ascii="Arial" w:hAnsi="Arial" w:cs="Arial"/>
          <w:sz w:val="22"/>
          <w:szCs w:val="22"/>
        </w:rPr>
        <w:t>visé,</w:t>
      </w:r>
      <w:r w:rsidR="00B41214" w:rsidRPr="00A64175">
        <w:rPr>
          <w:rFonts w:ascii="Arial" w:hAnsi="Arial" w:cs="Arial"/>
          <w:spacing w:val="1"/>
          <w:sz w:val="22"/>
          <w:szCs w:val="22"/>
        </w:rPr>
        <w:t xml:space="preserve"> </w:t>
      </w:r>
      <w:r w:rsidR="006D22F7" w:rsidRPr="00A64175">
        <w:rPr>
          <w:rFonts w:ascii="Arial" w:hAnsi="Arial" w:cs="Arial"/>
          <w:sz w:val="22"/>
          <w:szCs w:val="22"/>
        </w:rPr>
        <w:t>rédigé</w:t>
      </w:r>
      <w:r w:rsidR="00B41214" w:rsidRPr="00A64175">
        <w:rPr>
          <w:rFonts w:ascii="Arial" w:hAnsi="Arial" w:cs="Arial"/>
          <w:spacing w:val="1"/>
          <w:sz w:val="22"/>
          <w:szCs w:val="22"/>
        </w:rPr>
        <w:t xml:space="preserve"> </w:t>
      </w:r>
      <w:r w:rsidR="00E1367F">
        <w:rPr>
          <w:rFonts w:ascii="Arial" w:hAnsi="Arial" w:cs="Arial"/>
          <w:spacing w:val="1"/>
          <w:sz w:val="22"/>
          <w:szCs w:val="22"/>
        </w:rPr>
        <w:t>en</w:t>
      </w:r>
      <w:r w:rsidR="00E1367F" w:rsidRPr="00A64175">
        <w:rPr>
          <w:rFonts w:ascii="Arial" w:hAnsi="Arial" w:cs="Arial"/>
          <w:spacing w:val="1"/>
          <w:sz w:val="22"/>
          <w:szCs w:val="22"/>
        </w:rPr>
        <w:t xml:space="preserve"> </w:t>
      </w:r>
      <w:r w:rsidR="00E1367F" w:rsidRPr="00E1367F">
        <w:rPr>
          <w:rFonts w:ascii="Arial" w:hAnsi="Arial" w:cs="Arial"/>
          <w:sz w:val="22"/>
          <w:szCs w:val="22"/>
        </w:rPr>
        <w:t xml:space="preserve"> </w:t>
      </w:r>
      <w:r w:rsidR="00E1367F" w:rsidRPr="00A64175">
        <w:rPr>
          <w:rFonts w:ascii="Arial" w:hAnsi="Arial" w:cs="Arial"/>
          <w:sz w:val="22"/>
          <w:szCs w:val="22"/>
        </w:rPr>
        <w:t>langue française</w:t>
      </w:r>
      <w:r w:rsidR="00E1367F">
        <w:rPr>
          <w:rFonts w:ascii="Arial" w:hAnsi="Arial" w:cs="Arial"/>
          <w:sz w:val="22"/>
          <w:szCs w:val="22"/>
        </w:rPr>
        <w:t xml:space="preserve"> et le cas échéant, dans une autre langue de travail de la CEMAC</w:t>
      </w:r>
      <w:r w:rsidR="00B41214" w:rsidRPr="00A64175">
        <w:rPr>
          <w:rFonts w:ascii="Arial" w:hAnsi="Arial" w:cs="Arial"/>
          <w:sz w:val="22"/>
          <w:szCs w:val="22"/>
        </w:rPr>
        <w:t>. Le docu</w:t>
      </w:r>
      <w:r w:rsidR="00B41214" w:rsidRPr="00A64175">
        <w:rPr>
          <w:rFonts w:ascii="Arial" w:hAnsi="Arial" w:cs="Arial"/>
          <w:spacing w:val="-2"/>
          <w:sz w:val="22"/>
          <w:szCs w:val="22"/>
        </w:rPr>
        <w:t>m</w:t>
      </w:r>
      <w:r w:rsidR="00B41214" w:rsidRPr="00A64175">
        <w:rPr>
          <w:rFonts w:ascii="Arial" w:hAnsi="Arial" w:cs="Arial"/>
          <w:sz w:val="22"/>
          <w:szCs w:val="22"/>
        </w:rPr>
        <w:t>ent d’infor</w:t>
      </w:r>
      <w:r w:rsidR="00B41214" w:rsidRPr="00A64175">
        <w:rPr>
          <w:rFonts w:ascii="Arial" w:hAnsi="Arial" w:cs="Arial"/>
          <w:spacing w:val="-2"/>
          <w:sz w:val="22"/>
          <w:szCs w:val="22"/>
        </w:rPr>
        <w:t>m</w:t>
      </w:r>
      <w:r w:rsidR="00B41214" w:rsidRPr="00A64175">
        <w:rPr>
          <w:rFonts w:ascii="Arial" w:hAnsi="Arial" w:cs="Arial"/>
          <w:sz w:val="22"/>
          <w:szCs w:val="22"/>
        </w:rPr>
        <w:t>ation diffusé dans le public d</w:t>
      </w:r>
      <w:r w:rsidR="00B41214" w:rsidRPr="00A64175">
        <w:rPr>
          <w:rFonts w:ascii="Arial" w:hAnsi="Arial" w:cs="Arial"/>
          <w:spacing w:val="-1"/>
          <w:sz w:val="22"/>
          <w:szCs w:val="22"/>
        </w:rPr>
        <w:t>o</w:t>
      </w:r>
      <w:r w:rsidR="00B41214" w:rsidRPr="00A64175">
        <w:rPr>
          <w:rFonts w:ascii="Arial" w:hAnsi="Arial" w:cs="Arial"/>
          <w:sz w:val="22"/>
          <w:szCs w:val="22"/>
        </w:rPr>
        <w:t>it être confo</w:t>
      </w:r>
      <w:r w:rsidR="00B41214" w:rsidRPr="00A64175">
        <w:rPr>
          <w:rFonts w:ascii="Arial" w:hAnsi="Arial" w:cs="Arial"/>
          <w:spacing w:val="2"/>
          <w:sz w:val="22"/>
          <w:szCs w:val="22"/>
        </w:rPr>
        <w:t>r</w:t>
      </w:r>
      <w:r w:rsidR="00B41214" w:rsidRPr="00A64175">
        <w:rPr>
          <w:rFonts w:ascii="Arial" w:hAnsi="Arial" w:cs="Arial"/>
          <w:spacing w:val="-2"/>
          <w:sz w:val="22"/>
          <w:szCs w:val="22"/>
        </w:rPr>
        <w:t>m</w:t>
      </w:r>
      <w:r w:rsidR="00B41214" w:rsidRPr="00A64175">
        <w:rPr>
          <w:rFonts w:ascii="Arial" w:hAnsi="Arial" w:cs="Arial"/>
          <w:sz w:val="22"/>
          <w:szCs w:val="22"/>
        </w:rPr>
        <w:t>e à celui visé par la COSUMAF.</w:t>
      </w:r>
    </w:p>
    <w:p w14:paraId="74965696" w14:textId="77777777" w:rsidR="00B41214" w:rsidRPr="00A64175" w:rsidRDefault="00B41214" w:rsidP="00A64175">
      <w:pPr>
        <w:widowControl w:val="0"/>
        <w:autoSpaceDE w:val="0"/>
        <w:adjustRightInd w:val="0"/>
        <w:spacing w:before="29"/>
        <w:ind w:right="67"/>
        <w:jc w:val="both"/>
        <w:rPr>
          <w:rFonts w:ascii="Arial" w:hAnsi="Arial" w:cs="Arial"/>
          <w:sz w:val="22"/>
          <w:szCs w:val="22"/>
        </w:rPr>
      </w:pPr>
    </w:p>
    <w:p w14:paraId="69EE162B" w14:textId="32E06A4E" w:rsidR="00B41214" w:rsidRPr="00A64175" w:rsidRDefault="00F30BDF" w:rsidP="00A64175">
      <w:pPr>
        <w:widowControl w:val="0"/>
        <w:autoSpaceDE w:val="0"/>
        <w:adjustRightInd w:val="0"/>
        <w:ind w:right="68"/>
        <w:jc w:val="both"/>
        <w:rPr>
          <w:rFonts w:ascii="Arial" w:hAnsi="Arial" w:cs="Arial"/>
          <w:sz w:val="22"/>
          <w:szCs w:val="22"/>
        </w:rPr>
      </w:pPr>
      <w:r w:rsidRPr="00A64175">
        <w:rPr>
          <w:rFonts w:ascii="Arial" w:hAnsi="Arial" w:cs="Arial"/>
          <w:b/>
          <w:bCs/>
          <w:sz w:val="22"/>
          <w:szCs w:val="22"/>
        </w:rPr>
        <w:t>Article 15</w:t>
      </w:r>
      <w:r w:rsidR="004F08BD">
        <w:rPr>
          <w:rFonts w:ascii="Arial" w:hAnsi="Arial" w:cs="Arial"/>
          <w:b/>
          <w:bCs/>
          <w:sz w:val="22"/>
          <w:szCs w:val="22"/>
        </w:rPr>
        <w:t>9</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La</w:t>
      </w:r>
      <w:r w:rsidR="00B41214" w:rsidRPr="00A64175">
        <w:rPr>
          <w:rFonts w:ascii="Arial" w:hAnsi="Arial" w:cs="Arial"/>
          <w:spacing w:val="43"/>
          <w:sz w:val="22"/>
          <w:szCs w:val="22"/>
        </w:rPr>
        <w:t xml:space="preserve"> </w:t>
      </w:r>
      <w:r w:rsidR="00B41214" w:rsidRPr="00A64175">
        <w:rPr>
          <w:rFonts w:ascii="Arial" w:hAnsi="Arial" w:cs="Arial"/>
          <w:sz w:val="22"/>
          <w:szCs w:val="22"/>
        </w:rPr>
        <w:t>diffusion</w:t>
      </w:r>
      <w:r w:rsidR="00B41214" w:rsidRPr="00A64175">
        <w:rPr>
          <w:rFonts w:ascii="Arial" w:hAnsi="Arial" w:cs="Arial"/>
          <w:spacing w:val="43"/>
          <w:sz w:val="22"/>
          <w:szCs w:val="22"/>
        </w:rPr>
        <w:t xml:space="preserve"> </w:t>
      </w:r>
      <w:r w:rsidR="00B41214" w:rsidRPr="00A64175">
        <w:rPr>
          <w:rFonts w:ascii="Arial" w:hAnsi="Arial" w:cs="Arial"/>
          <w:sz w:val="22"/>
          <w:szCs w:val="22"/>
        </w:rPr>
        <w:t>du</w:t>
      </w:r>
      <w:r w:rsidR="00B41214" w:rsidRPr="00A64175">
        <w:rPr>
          <w:rFonts w:ascii="Arial" w:hAnsi="Arial" w:cs="Arial"/>
          <w:spacing w:val="43"/>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pacing w:val="2"/>
          <w:sz w:val="22"/>
          <w:szCs w:val="22"/>
        </w:rPr>
        <w:t>e</w:t>
      </w:r>
      <w:r w:rsidR="00B41214" w:rsidRPr="00A64175">
        <w:rPr>
          <w:rFonts w:ascii="Arial" w:hAnsi="Arial" w:cs="Arial"/>
          <w:sz w:val="22"/>
          <w:szCs w:val="22"/>
        </w:rPr>
        <w:t>nt</w:t>
      </w:r>
      <w:r w:rsidR="00B41214" w:rsidRPr="00A64175">
        <w:rPr>
          <w:rFonts w:ascii="Arial" w:hAnsi="Arial" w:cs="Arial"/>
          <w:spacing w:val="43"/>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z w:val="22"/>
          <w:szCs w:val="22"/>
        </w:rPr>
        <w:t>ation</w:t>
      </w:r>
      <w:r w:rsidR="00B41214" w:rsidRPr="00A64175">
        <w:rPr>
          <w:rFonts w:ascii="Arial" w:hAnsi="Arial" w:cs="Arial"/>
          <w:spacing w:val="43"/>
          <w:sz w:val="22"/>
          <w:szCs w:val="22"/>
        </w:rPr>
        <w:t xml:space="preserve"> </w:t>
      </w:r>
      <w:r w:rsidR="00B41214" w:rsidRPr="00A64175">
        <w:rPr>
          <w:rFonts w:ascii="Arial" w:hAnsi="Arial" w:cs="Arial"/>
          <w:sz w:val="22"/>
          <w:szCs w:val="22"/>
        </w:rPr>
        <w:t>dans</w:t>
      </w:r>
      <w:r w:rsidR="00B41214" w:rsidRPr="00A64175">
        <w:rPr>
          <w:rFonts w:ascii="Arial" w:hAnsi="Arial" w:cs="Arial"/>
          <w:spacing w:val="43"/>
          <w:sz w:val="22"/>
          <w:szCs w:val="22"/>
        </w:rPr>
        <w:t xml:space="preserve"> </w:t>
      </w:r>
      <w:r w:rsidR="00B41214" w:rsidRPr="00A64175">
        <w:rPr>
          <w:rFonts w:ascii="Arial" w:hAnsi="Arial" w:cs="Arial"/>
          <w:sz w:val="22"/>
          <w:szCs w:val="22"/>
        </w:rPr>
        <w:t>le</w:t>
      </w:r>
      <w:r w:rsidR="00B41214" w:rsidRPr="00A64175">
        <w:rPr>
          <w:rFonts w:ascii="Arial" w:hAnsi="Arial" w:cs="Arial"/>
          <w:spacing w:val="43"/>
          <w:sz w:val="22"/>
          <w:szCs w:val="22"/>
        </w:rPr>
        <w:t xml:space="preserve"> </w:t>
      </w:r>
      <w:r w:rsidR="00B41214" w:rsidRPr="00A64175">
        <w:rPr>
          <w:rFonts w:ascii="Arial" w:hAnsi="Arial" w:cs="Arial"/>
          <w:sz w:val="22"/>
          <w:szCs w:val="22"/>
        </w:rPr>
        <w:t>public</w:t>
      </w:r>
      <w:r w:rsidR="00B41214" w:rsidRPr="00A64175">
        <w:rPr>
          <w:rFonts w:ascii="Arial" w:hAnsi="Arial" w:cs="Arial"/>
          <w:spacing w:val="41"/>
          <w:sz w:val="22"/>
          <w:szCs w:val="22"/>
        </w:rPr>
        <w:t xml:space="preserve"> </w:t>
      </w:r>
      <w:r w:rsidR="00B41214" w:rsidRPr="00A64175">
        <w:rPr>
          <w:rFonts w:ascii="Arial" w:hAnsi="Arial" w:cs="Arial"/>
          <w:sz w:val="22"/>
          <w:szCs w:val="22"/>
        </w:rPr>
        <w:t>doit</w:t>
      </w:r>
      <w:r w:rsidR="00B41214" w:rsidRPr="00A64175">
        <w:rPr>
          <w:rFonts w:ascii="Arial" w:hAnsi="Arial" w:cs="Arial"/>
          <w:spacing w:val="43"/>
          <w:sz w:val="22"/>
          <w:szCs w:val="22"/>
        </w:rPr>
        <w:t xml:space="preserve"> </w:t>
      </w:r>
      <w:r w:rsidR="00B41214" w:rsidRPr="00A64175">
        <w:rPr>
          <w:rFonts w:ascii="Arial" w:hAnsi="Arial" w:cs="Arial"/>
          <w:sz w:val="22"/>
          <w:szCs w:val="22"/>
        </w:rPr>
        <w:t>être</w:t>
      </w:r>
      <w:r w:rsidR="00B41214" w:rsidRPr="00A64175">
        <w:rPr>
          <w:rFonts w:ascii="Arial" w:hAnsi="Arial" w:cs="Arial"/>
          <w:spacing w:val="43"/>
          <w:sz w:val="22"/>
          <w:szCs w:val="22"/>
        </w:rPr>
        <w:t xml:space="preserve"> </w:t>
      </w:r>
      <w:r w:rsidR="00B41214" w:rsidRPr="00A64175">
        <w:rPr>
          <w:rFonts w:ascii="Arial" w:hAnsi="Arial" w:cs="Arial"/>
          <w:sz w:val="22"/>
          <w:szCs w:val="22"/>
        </w:rPr>
        <w:t>réalisée</w:t>
      </w:r>
      <w:r w:rsidR="00B41214" w:rsidRPr="00A64175">
        <w:rPr>
          <w:rFonts w:ascii="Arial" w:hAnsi="Arial" w:cs="Arial"/>
          <w:spacing w:val="43"/>
          <w:sz w:val="22"/>
          <w:szCs w:val="22"/>
        </w:rPr>
        <w:t xml:space="preserve"> </w:t>
      </w:r>
      <w:r w:rsidR="00B41214" w:rsidRPr="00A64175">
        <w:rPr>
          <w:rFonts w:ascii="Arial" w:hAnsi="Arial" w:cs="Arial"/>
          <w:sz w:val="22"/>
          <w:szCs w:val="22"/>
        </w:rPr>
        <w:t>dans</w:t>
      </w:r>
      <w:r w:rsidR="00B41214" w:rsidRPr="00A64175">
        <w:rPr>
          <w:rFonts w:ascii="Arial" w:hAnsi="Arial" w:cs="Arial"/>
          <w:spacing w:val="43"/>
          <w:sz w:val="22"/>
          <w:szCs w:val="22"/>
        </w:rPr>
        <w:t xml:space="preserve"> </w:t>
      </w:r>
      <w:r w:rsidR="00B41214" w:rsidRPr="00A64175">
        <w:rPr>
          <w:rFonts w:ascii="Arial" w:hAnsi="Arial" w:cs="Arial"/>
          <w:sz w:val="22"/>
          <w:szCs w:val="22"/>
        </w:rPr>
        <w:t>le</w:t>
      </w:r>
      <w:r w:rsidR="00B41214" w:rsidRPr="00A64175">
        <w:rPr>
          <w:rFonts w:ascii="Arial" w:hAnsi="Arial" w:cs="Arial"/>
          <w:spacing w:val="42"/>
          <w:sz w:val="22"/>
          <w:szCs w:val="22"/>
        </w:rPr>
        <w:t xml:space="preserve"> </w:t>
      </w:r>
      <w:r w:rsidR="00B41214" w:rsidRPr="00A64175">
        <w:rPr>
          <w:rFonts w:ascii="Arial" w:hAnsi="Arial" w:cs="Arial"/>
          <w:sz w:val="22"/>
          <w:szCs w:val="22"/>
        </w:rPr>
        <w:t>délai</w:t>
      </w:r>
      <w:r w:rsidR="00B41214" w:rsidRPr="00A64175">
        <w:rPr>
          <w:rFonts w:ascii="Arial" w:hAnsi="Arial" w:cs="Arial"/>
          <w:spacing w:val="43"/>
          <w:sz w:val="22"/>
          <w:szCs w:val="22"/>
        </w:rPr>
        <w:t xml:space="preserve"> </w:t>
      </w:r>
      <w:r w:rsidR="00B41214" w:rsidRPr="00A64175">
        <w:rPr>
          <w:rFonts w:ascii="Arial" w:hAnsi="Arial" w:cs="Arial"/>
          <w:sz w:val="22"/>
          <w:szCs w:val="22"/>
        </w:rPr>
        <w:t>précisé</w:t>
      </w:r>
      <w:r w:rsidR="00B41214" w:rsidRPr="00A64175">
        <w:rPr>
          <w:rFonts w:ascii="Arial" w:hAnsi="Arial" w:cs="Arial"/>
          <w:spacing w:val="43"/>
          <w:sz w:val="22"/>
          <w:szCs w:val="22"/>
        </w:rPr>
        <w:t xml:space="preserve"> </w:t>
      </w:r>
      <w:r w:rsidR="00B41214" w:rsidRPr="00A64175">
        <w:rPr>
          <w:rFonts w:ascii="Arial" w:hAnsi="Arial" w:cs="Arial"/>
          <w:sz w:val="22"/>
          <w:szCs w:val="22"/>
        </w:rPr>
        <w:t>par</w:t>
      </w:r>
      <w:r w:rsidR="00B41214" w:rsidRPr="00A64175">
        <w:rPr>
          <w:rFonts w:ascii="Arial" w:hAnsi="Arial" w:cs="Arial"/>
          <w:spacing w:val="43"/>
          <w:sz w:val="22"/>
          <w:szCs w:val="22"/>
        </w:rPr>
        <w:t xml:space="preserve"> </w:t>
      </w:r>
      <w:r w:rsidR="00B41214" w:rsidRPr="00A64175">
        <w:rPr>
          <w:rFonts w:ascii="Arial" w:hAnsi="Arial" w:cs="Arial"/>
          <w:sz w:val="22"/>
          <w:szCs w:val="22"/>
        </w:rPr>
        <w:t>la COSU</w:t>
      </w:r>
      <w:r w:rsidR="00B41214" w:rsidRPr="00A64175">
        <w:rPr>
          <w:rFonts w:ascii="Arial" w:hAnsi="Arial" w:cs="Arial"/>
          <w:spacing w:val="1"/>
          <w:sz w:val="22"/>
          <w:szCs w:val="22"/>
        </w:rPr>
        <w:t>M</w:t>
      </w:r>
      <w:r w:rsidR="00B41214" w:rsidRPr="00A64175">
        <w:rPr>
          <w:rFonts w:ascii="Arial" w:hAnsi="Arial" w:cs="Arial"/>
          <w:spacing w:val="-1"/>
          <w:sz w:val="22"/>
          <w:szCs w:val="22"/>
        </w:rPr>
        <w:t>A</w:t>
      </w:r>
      <w:r w:rsidR="00B41214" w:rsidRPr="00A64175">
        <w:rPr>
          <w:rFonts w:ascii="Arial" w:hAnsi="Arial" w:cs="Arial"/>
          <w:sz w:val="22"/>
          <w:szCs w:val="22"/>
        </w:rPr>
        <w:t>F dans sa décision d’octroi du visa.</w:t>
      </w:r>
      <w:r w:rsidR="00121534" w:rsidRPr="00A64175">
        <w:rPr>
          <w:rFonts w:ascii="Arial" w:hAnsi="Arial" w:cs="Arial"/>
          <w:sz w:val="22"/>
          <w:szCs w:val="22"/>
        </w:rPr>
        <w:t xml:space="preserve"> Ce délai ne peut pas dépasser </w:t>
      </w:r>
      <w:r w:rsidR="00772B5D" w:rsidRPr="00A64175">
        <w:rPr>
          <w:rFonts w:ascii="Arial" w:hAnsi="Arial" w:cs="Arial"/>
          <w:sz w:val="22"/>
          <w:szCs w:val="22"/>
        </w:rPr>
        <w:t>quatre-vingt-dix</w:t>
      </w:r>
      <w:r w:rsidR="00121534" w:rsidRPr="00A64175">
        <w:rPr>
          <w:rFonts w:ascii="Arial" w:hAnsi="Arial" w:cs="Arial"/>
          <w:sz w:val="22"/>
          <w:szCs w:val="22"/>
        </w:rPr>
        <w:t xml:space="preserve"> (90) jours calendaires.</w:t>
      </w:r>
    </w:p>
    <w:p w14:paraId="6DD56328" w14:textId="77777777" w:rsidR="00B41214" w:rsidRPr="00A64175" w:rsidRDefault="00B41214" w:rsidP="00A64175">
      <w:pPr>
        <w:widowControl w:val="0"/>
        <w:autoSpaceDE w:val="0"/>
        <w:adjustRightInd w:val="0"/>
        <w:spacing w:before="16" w:line="260" w:lineRule="exact"/>
        <w:jc w:val="both"/>
        <w:rPr>
          <w:rFonts w:ascii="Arial" w:hAnsi="Arial" w:cs="Arial"/>
          <w:sz w:val="22"/>
          <w:szCs w:val="22"/>
        </w:rPr>
      </w:pPr>
    </w:p>
    <w:p w14:paraId="2E49F92F" w14:textId="2AB158B0" w:rsidR="00B41214" w:rsidRPr="00A64175" w:rsidRDefault="00772B5D" w:rsidP="00A64175">
      <w:pPr>
        <w:widowControl w:val="0"/>
        <w:autoSpaceDE w:val="0"/>
        <w:adjustRightInd w:val="0"/>
        <w:ind w:left="111" w:right="70"/>
        <w:jc w:val="both"/>
        <w:rPr>
          <w:rFonts w:ascii="Arial" w:hAnsi="Arial" w:cs="Arial"/>
          <w:sz w:val="22"/>
          <w:szCs w:val="22"/>
        </w:rPr>
      </w:pPr>
      <w:r w:rsidRPr="00A64175">
        <w:rPr>
          <w:rFonts w:ascii="Arial" w:hAnsi="Arial" w:cs="Arial"/>
          <w:sz w:val="22"/>
          <w:szCs w:val="22"/>
        </w:rPr>
        <w:t xml:space="preserve">Le </w:t>
      </w:r>
      <w:r w:rsidRPr="00A64175">
        <w:rPr>
          <w:rFonts w:ascii="Arial" w:hAnsi="Arial" w:cs="Arial"/>
          <w:spacing w:val="1"/>
          <w:sz w:val="22"/>
          <w:szCs w:val="22"/>
        </w:rPr>
        <w:t>document</w:t>
      </w:r>
      <w:r w:rsidR="00B41214" w:rsidRPr="00A64175">
        <w:rPr>
          <w:rFonts w:ascii="Arial" w:hAnsi="Arial" w:cs="Arial"/>
          <w:sz w:val="22"/>
          <w:szCs w:val="22"/>
        </w:rPr>
        <w:t xml:space="preserve"> </w:t>
      </w:r>
      <w:r w:rsidR="00B41214" w:rsidRPr="00A64175">
        <w:rPr>
          <w:rFonts w:ascii="Arial" w:hAnsi="Arial" w:cs="Arial"/>
          <w:spacing w:val="1"/>
          <w:sz w:val="22"/>
          <w:szCs w:val="22"/>
        </w:rPr>
        <w:t xml:space="preserve"> </w:t>
      </w:r>
      <w:r w:rsidR="00B41214" w:rsidRPr="00A64175">
        <w:rPr>
          <w:rFonts w:ascii="Arial" w:hAnsi="Arial" w:cs="Arial"/>
          <w:sz w:val="22"/>
          <w:szCs w:val="22"/>
        </w:rPr>
        <w:t xml:space="preserve">d’information </w:t>
      </w:r>
      <w:r w:rsidR="00B41214" w:rsidRPr="00A64175">
        <w:rPr>
          <w:rFonts w:ascii="Arial" w:hAnsi="Arial" w:cs="Arial"/>
          <w:spacing w:val="1"/>
          <w:sz w:val="22"/>
          <w:szCs w:val="22"/>
        </w:rPr>
        <w:t xml:space="preserve"> </w:t>
      </w:r>
      <w:r w:rsidR="00B41214" w:rsidRPr="00A64175">
        <w:rPr>
          <w:rFonts w:ascii="Arial" w:hAnsi="Arial" w:cs="Arial"/>
          <w:sz w:val="22"/>
          <w:szCs w:val="22"/>
        </w:rPr>
        <w:t xml:space="preserve">visé </w:t>
      </w:r>
      <w:r w:rsidR="00B41214" w:rsidRPr="00A64175">
        <w:rPr>
          <w:rFonts w:ascii="Arial" w:hAnsi="Arial" w:cs="Arial"/>
          <w:spacing w:val="1"/>
          <w:sz w:val="22"/>
          <w:szCs w:val="22"/>
        </w:rPr>
        <w:t xml:space="preserve"> </w:t>
      </w:r>
      <w:r w:rsidR="00B41214" w:rsidRPr="00A64175">
        <w:rPr>
          <w:rFonts w:ascii="Arial" w:hAnsi="Arial" w:cs="Arial"/>
          <w:sz w:val="22"/>
          <w:szCs w:val="22"/>
        </w:rPr>
        <w:t xml:space="preserve">doit </w:t>
      </w:r>
      <w:r w:rsidR="00B41214" w:rsidRPr="00A64175">
        <w:rPr>
          <w:rFonts w:ascii="Arial" w:hAnsi="Arial" w:cs="Arial"/>
          <w:spacing w:val="1"/>
          <w:sz w:val="22"/>
          <w:szCs w:val="22"/>
        </w:rPr>
        <w:t xml:space="preserve"> </w:t>
      </w:r>
      <w:r w:rsidR="00B41214" w:rsidRPr="00A64175">
        <w:rPr>
          <w:rFonts w:ascii="Arial" w:hAnsi="Arial" w:cs="Arial"/>
          <w:sz w:val="22"/>
          <w:szCs w:val="22"/>
        </w:rPr>
        <w:t xml:space="preserve">faire </w:t>
      </w:r>
      <w:r w:rsidR="00B41214" w:rsidRPr="00A64175">
        <w:rPr>
          <w:rFonts w:ascii="Arial" w:hAnsi="Arial" w:cs="Arial"/>
          <w:spacing w:val="1"/>
          <w:sz w:val="22"/>
          <w:szCs w:val="22"/>
        </w:rPr>
        <w:t xml:space="preserve"> </w:t>
      </w:r>
      <w:r w:rsidR="00B41214" w:rsidRPr="00A64175">
        <w:rPr>
          <w:rFonts w:ascii="Arial" w:hAnsi="Arial" w:cs="Arial"/>
          <w:sz w:val="22"/>
          <w:szCs w:val="22"/>
        </w:rPr>
        <w:t xml:space="preserve">l’objet  d’une </w:t>
      </w:r>
      <w:r w:rsidR="00B41214" w:rsidRPr="00A64175">
        <w:rPr>
          <w:rFonts w:ascii="Arial" w:hAnsi="Arial" w:cs="Arial"/>
          <w:spacing w:val="2"/>
          <w:sz w:val="22"/>
          <w:szCs w:val="22"/>
        </w:rPr>
        <w:t xml:space="preserve"> </w:t>
      </w:r>
      <w:r w:rsidR="00B41214" w:rsidRPr="00A64175">
        <w:rPr>
          <w:rFonts w:ascii="Arial" w:hAnsi="Arial" w:cs="Arial"/>
          <w:sz w:val="22"/>
          <w:szCs w:val="22"/>
        </w:rPr>
        <w:t xml:space="preserve">diffusion </w:t>
      </w:r>
      <w:r w:rsidR="00B41214" w:rsidRPr="00A64175">
        <w:rPr>
          <w:rFonts w:ascii="Arial" w:hAnsi="Arial" w:cs="Arial"/>
          <w:spacing w:val="2"/>
          <w:sz w:val="22"/>
          <w:szCs w:val="22"/>
        </w:rPr>
        <w:t xml:space="preserve"> </w:t>
      </w:r>
      <w:r w:rsidR="00B41214" w:rsidRPr="00A64175">
        <w:rPr>
          <w:rFonts w:ascii="Arial" w:hAnsi="Arial" w:cs="Arial"/>
          <w:sz w:val="22"/>
          <w:szCs w:val="22"/>
        </w:rPr>
        <w:t xml:space="preserve">effective </w:t>
      </w:r>
      <w:r w:rsidR="00B41214" w:rsidRPr="00A64175">
        <w:rPr>
          <w:rFonts w:ascii="Arial" w:hAnsi="Arial" w:cs="Arial"/>
          <w:spacing w:val="2"/>
          <w:sz w:val="22"/>
          <w:szCs w:val="22"/>
        </w:rPr>
        <w:t xml:space="preserve"> </w:t>
      </w:r>
      <w:r w:rsidR="00B41214" w:rsidRPr="00A64175">
        <w:rPr>
          <w:rFonts w:ascii="Arial" w:hAnsi="Arial" w:cs="Arial"/>
          <w:sz w:val="22"/>
          <w:szCs w:val="22"/>
        </w:rPr>
        <w:t xml:space="preserve">sous </w:t>
      </w:r>
      <w:r w:rsidR="00B41214" w:rsidRPr="00A64175">
        <w:rPr>
          <w:rFonts w:ascii="Arial" w:hAnsi="Arial" w:cs="Arial"/>
          <w:spacing w:val="2"/>
          <w:sz w:val="22"/>
          <w:szCs w:val="22"/>
        </w:rPr>
        <w:t xml:space="preserve"> </w:t>
      </w:r>
      <w:r w:rsidR="00B41214" w:rsidRPr="00A64175">
        <w:rPr>
          <w:rFonts w:ascii="Arial" w:hAnsi="Arial" w:cs="Arial"/>
          <w:sz w:val="22"/>
          <w:szCs w:val="22"/>
        </w:rPr>
        <w:t>l’une</w:t>
      </w:r>
      <w:r w:rsidR="00121534" w:rsidRPr="00A64175">
        <w:rPr>
          <w:rFonts w:ascii="Arial" w:hAnsi="Arial" w:cs="Arial"/>
          <w:sz w:val="22"/>
          <w:szCs w:val="22"/>
        </w:rPr>
        <w:t xml:space="preserve"> ou plusieurs</w:t>
      </w:r>
      <w:r w:rsidR="00B41214" w:rsidRPr="00A64175">
        <w:rPr>
          <w:rFonts w:ascii="Arial" w:hAnsi="Arial" w:cs="Arial"/>
          <w:sz w:val="22"/>
          <w:szCs w:val="22"/>
        </w:rPr>
        <w:t xml:space="preserve"> </w:t>
      </w:r>
      <w:r w:rsidR="00B41214" w:rsidRPr="00A64175">
        <w:rPr>
          <w:rFonts w:ascii="Arial" w:hAnsi="Arial" w:cs="Arial"/>
          <w:spacing w:val="2"/>
          <w:sz w:val="22"/>
          <w:szCs w:val="22"/>
        </w:rPr>
        <w:t xml:space="preserve"> </w:t>
      </w:r>
      <w:r w:rsidR="00B41214" w:rsidRPr="00A64175">
        <w:rPr>
          <w:rFonts w:ascii="Arial" w:hAnsi="Arial" w:cs="Arial"/>
          <w:sz w:val="22"/>
          <w:szCs w:val="22"/>
        </w:rPr>
        <w:t xml:space="preserve">des </w:t>
      </w:r>
      <w:r w:rsidR="00B41214" w:rsidRPr="00A64175">
        <w:rPr>
          <w:rFonts w:ascii="Arial" w:hAnsi="Arial" w:cs="Arial"/>
          <w:spacing w:val="2"/>
          <w:sz w:val="22"/>
          <w:szCs w:val="22"/>
        </w:rPr>
        <w:t xml:space="preserve"> </w:t>
      </w:r>
      <w:r w:rsidR="00B41214" w:rsidRPr="00A64175">
        <w:rPr>
          <w:rFonts w:ascii="Arial" w:hAnsi="Arial" w:cs="Arial"/>
          <w:sz w:val="22"/>
          <w:szCs w:val="22"/>
        </w:rPr>
        <w:t>fo</w:t>
      </w:r>
      <w:r w:rsidR="00B41214" w:rsidRPr="00A64175">
        <w:rPr>
          <w:rFonts w:ascii="Arial" w:hAnsi="Arial" w:cs="Arial"/>
          <w:spacing w:val="2"/>
          <w:sz w:val="22"/>
          <w:szCs w:val="22"/>
        </w:rPr>
        <w:t>r</w:t>
      </w:r>
      <w:r w:rsidR="00B41214" w:rsidRPr="00A64175">
        <w:rPr>
          <w:rFonts w:ascii="Arial" w:hAnsi="Arial" w:cs="Arial"/>
          <w:spacing w:val="-2"/>
          <w:sz w:val="22"/>
          <w:szCs w:val="22"/>
        </w:rPr>
        <w:t>m</w:t>
      </w:r>
      <w:r w:rsidR="00B41214" w:rsidRPr="00A64175">
        <w:rPr>
          <w:rFonts w:ascii="Arial" w:hAnsi="Arial" w:cs="Arial"/>
          <w:sz w:val="22"/>
          <w:szCs w:val="22"/>
        </w:rPr>
        <w:t>es suivantes :</w:t>
      </w:r>
    </w:p>
    <w:p w14:paraId="66E93918" w14:textId="77777777" w:rsidR="00B41214" w:rsidRPr="00A64175" w:rsidRDefault="00B41214" w:rsidP="00A64175">
      <w:pPr>
        <w:widowControl w:val="0"/>
        <w:autoSpaceDE w:val="0"/>
        <w:adjustRightInd w:val="0"/>
        <w:spacing w:before="15" w:line="260" w:lineRule="exact"/>
        <w:jc w:val="both"/>
        <w:rPr>
          <w:rFonts w:ascii="Arial" w:hAnsi="Arial" w:cs="Arial"/>
          <w:sz w:val="22"/>
          <w:szCs w:val="22"/>
        </w:rPr>
      </w:pPr>
    </w:p>
    <w:p w14:paraId="39B73F60" w14:textId="77777777" w:rsidR="00121534" w:rsidRPr="00A64175" w:rsidRDefault="00B41214"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 xml:space="preserve">publication dans un ou plusieurs journaux de diffusion nationale dans </w:t>
      </w:r>
      <w:r w:rsidR="00121534" w:rsidRPr="00A64175">
        <w:rPr>
          <w:rFonts w:ascii="Arial" w:hAnsi="Arial" w:cs="Arial"/>
          <w:sz w:val="22"/>
          <w:szCs w:val="22"/>
        </w:rPr>
        <w:t xml:space="preserve">  </w:t>
      </w:r>
    </w:p>
    <w:p w14:paraId="1C403054" w14:textId="1AE27AF2" w:rsidR="00B41214" w:rsidRPr="00A64175" w:rsidRDefault="00121534"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00B41214" w:rsidRPr="00A64175">
        <w:rPr>
          <w:rFonts w:ascii="Arial" w:hAnsi="Arial" w:cs="Arial"/>
          <w:sz w:val="22"/>
          <w:szCs w:val="22"/>
        </w:rPr>
        <w:t>chaque Etat de la CEMAC ;</w:t>
      </w:r>
    </w:p>
    <w:p w14:paraId="658ABB7D" w14:textId="08BFACBB" w:rsidR="00B41214" w:rsidRPr="00A64175" w:rsidRDefault="00B41214" w:rsidP="00A64175">
      <w:pPr>
        <w:widowControl w:val="0"/>
        <w:tabs>
          <w:tab w:val="left" w:pos="820"/>
        </w:tabs>
        <w:autoSpaceDE w:val="0"/>
        <w:adjustRightInd w:val="0"/>
        <w:ind w:left="831" w:right="66" w:hanging="360"/>
        <w:jc w:val="both"/>
        <w:rPr>
          <w:rFonts w:ascii="Arial" w:hAnsi="Arial" w:cs="Arial"/>
          <w:sz w:val="22"/>
          <w:szCs w:val="22"/>
        </w:rPr>
      </w:pPr>
      <w:r w:rsidRPr="00A64175">
        <w:rPr>
          <w:rFonts w:ascii="Arial" w:hAnsi="Arial" w:cs="Arial"/>
          <w:sz w:val="22"/>
          <w:szCs w:val="22"/>
        </w:rPr>
        <w:t>-</w:t>
      </w:r>
      <w:r w:rsidRPr="00A64175">
        <w:rPr>
          <w:rFonts w:ascii="Arial" w:hAnsi="Arial" w:cs="Arial"/>
          <w:sz w:val="22"/>
          <w:szCs w:val="22"/>
        </w:rPr>
        <w:tab/>
      </w:r>
      <w:r w:rsidRPr="00A64175">
        <w:rPr>
          <w:rFonts w:ascii="Arial" w:hAnsi="Arial" w:cs="Arial"/>
          <w:spacing w:val="-2"/>
          <w:sz w:val="22"/>
          <w:szCs w:val="22"/>
        </w:rPr>
        <w:t>m</w:t>
      </w:r>
      <w:r w:rsidRPr="00A64175">
        <w:rPr>
          <w:rFonts w:ascii="Arial" w:hAnsi="Arial" w:cs="Arial"/>
          <w:sz w:val="22"/>
          <w:szCs w:val="22"/>
        </w:rPr>
        <w:t>ise</w:t>
      </w:r>
      <w:r w:rsidRPr="00A64175">
        <w:rPr>
          <w:rFonts w:ascii="Arial" w:hAnsi="Arial" w:cs="Arial"/>
          <w:spacing w:val="5"/>
          <w:sz w:val="22"/>
          <w:szCs w:val="22"/>
        </w:rPr>
        <w:t xml:space="preserve"> </w:t>
      </w:r>
      <w:r w:rsidRPr="00A64175">
        <w:rPr>
          <w:rFonts w:ascii="Arial" w:hAnsi="Arial" w:cs="Arial"/>
          <w:sz w:val="22"/>
          <w:szCs w:val="22"/>
        </w:rPr>
        <w:t>à</w:t>
      </w:r>
      <w:r w:rsidRPr="00A64175">
        <w:rPr>
          <w:rFonts w:ascii="Arial" w:hAnsi="Arial" w:cs="Arial"/>
          <w:spacing w:val="5"/>
          <w:sz w:val="22"/>
          <w:szCs w:val="22"/>
        </w:rPr>
        <w:t xml:space="preserve"> </w:t>
      </w:r>
      <w:r w:rsidRPr="00A64175">
        <w:rPr>
          <w:rFonts w:ascii="Arial" w:hAnsi="Arial" w:cs="Arial"/>
          <w:sz w:val="22"/>
          <w:szCs w:val="22"/>
        </w:rPr>
        <w:t>la</w:t>
      </w:r>
      <w:r w:rsidRPr="00A64175">
        <w:rPr>
          <w:rFonts w:ascii="Arial" w:hAnsi="Arial" w:cs="Arial"/>
          <w:spacing w:val="5"/>
          <w:sz w:val="22"/>
          <w:szCs w:val="22"/>
        </w:rPr>
        <w:t xml:space="preserve"> </w:t>
      </w:r>
      <w:r w:rsidRPr="00A64175">
        <w:rPr>
          <w:rFonts w:ascii="Arial" w:hAnsi="Arial" w:cs="Arial"/>
          <w:sz w:val="22"/>
          <w:szCs w:val="22"/>
        </w:rPr>
        <w:t>di</w:t>
      </w:r>
      <w:r w:rsidRPr="00A64175">
        <w:rPr>
          <w:rFonts w:ascii="Arial" w:hAnsi="Arial" w:cs="Arial"/>
          <w:spacing w:val="-1"/>
          <w:sz w:val="22"/>
          <w:szCs w:val="22"/>
        </w:rPr>
        <w:t>s</w:t>
      </w:r>
      <w:r w:rsidRPr="00A64175">
        <w:rPr>
          <w:rFonts w:ascii="Arial" w:hAnsi="Arial" w:cs="Arial"/>
          <w:sz w:val="22"/>
          <w:szCs w:val="22"/>
        </w:rPr>
        <w:t>position</w:t>
      </w:r>
      <w:r w:rsidRPr="00A64175">
        <w:rPr>
          <w:rFonts w:ascii="Arial" w:hAnsi="Arial" w:cs="Arial"/>
          <w:spacing w:val="4"/>
          <w:sz w:val="22"/>
          <w:szCs w:val="22"/>
        </w:rPr>
        <w:t xml:space="preserve"> </w:t>
      </w:r>
      <w:r w:rsidRPr="00A64175">
        <w:rPr>
          <w:rFonts w:ascii="Arial" w:hAnsi="Arial" w:cs="Arial"/>
          <w:sz w:val="22"/>
          <w:szCs w:val="22"/>
        </w:rPr>
        <w:t>gratuite</w:t>
      </w:r>
      <w:r w:rsidRPr="00A64175">
        <w:rPr>
          <w:rFonts w:ascii="Arial" w:hAnsi="Arial" w:cs="Arial"/>
          <w:spacing w:val="5"/>
          <w:sz w:val="22"/>
          <w:szCs w:val="22"/>
        </w:rPr>
        <w:t xml:space="preserve"> </w:t>
      </w:r>
      <w:r w:rsidRPr="00A64175">
        <w:rPr>
          <w:rFonts w:ascii="Arial" w:hAnsi="Arial" w:cs="Arial"/>
          <w:sz w:val="22"/>
          <w:szCs w:val="22"/>
        </w:rPr>
        <w:t>du</w:t>
      </w:r>
      <w:r w:rsidRPr="00A64175">
        <w:rPr>
          <w:rFonts w:ascii="Arial" w:hAnsi="Arial" w:cs="Arial"/>
          <w:spacing w:val="5"/>
          <w:sz w:val="22"/>
          <w:szCs w:val="22"/>
        </w:rPr>
        <w:t xml:space="preserve"> </w:t>
      </w:r>
      <w:r w:rsidRPr="00A64175">
        <w:rPr>
          <w:rFonts w:ascii="Arial" w:hAnsi="Arial" w:cs="Arial"/>
          <w:sz w:val="22"/>
          <w:szCs w:val="22"/>
        </w:rPr>
        <w:t>d</w:t>
      </w:r>
      <w:r w:rsidRPr="00A64175">
        <w:rPr>
          <w:rFonts w:ascii="Arial" w:hAnsi="Arial" w:cs="Arial"/>
          <w:spacing w:val="-1"/>
          <w:sz w:val="22"/>
          <w:szCs w:val="22"/>
        </w:rPr>
        <w:t>o</w:t>
      </w:r>
      <w:r w:rsidRPr="00A64175">
        <w:rPr>
          <w:rFonts w:ascii="Arial" w:hAnsi="Arial" w:cs="Arial"/>
          <w:sz w:val="22"/>
          <w:szCs w:val="22"/>
        </w:rPr>
        <w:t>c</w:t>
      </w:r>
      <w:r w:rsidRPr="00A64175">
        <w:rPr>
          <w:rFonts w:ascii="Arial" w:hAnsi="Arial" w:cs="Arial"/>
          <w:spacing w:val="-1"/>
          <w:sz w:val="22"/>
          <w:szCs w:val="22"/>
        </w:rPr>
        <w:t>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5"/>
          <w:sz w:val="22"/>
          <w:szCs w:val="22"/>
        </w:rPr>
        <w:t xml:space="preserve"> </w:t>
      </w:r>
      <w:r w:rsidRPr="00A64175">
        <w:rPr>
          <w:rFonts w:ascii="Arial" w:hAnsi="Arial" w:cs="Arial"/>
          <w:sz w:val="22"/>
          <w:szCs w:val="22"/>
        </w:rPr>
        <w:t>d’infor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5"/>
          <w:sz w:val="22"/>
          <w:szCs w:val="22"/>
        </w:rPr>
        <w:t xml:space="preserve"> </w:t>
      </w:r>
      <w:r w:rsidRPr="00A64175">
        <w:rPr>
          <w:rFonts w:ascii="Arial" w:hAnsi="Arial" w:cs="Arial"/>
          <w:sz w:val="22"/>
          <w:szCs w:val="22"/>
        </w:rPr>
        <w:t>pour</w:t>
      </w:r>
      <w:r w:rsidRPr="00A64175">
        <w:rPr>
          <w:rFonts w:ascii="Arial" w:hAnsi="Arial" w:cs="Arial"/>
          <w:spacing w:val="5"/>
          <w:sz w:val="22"/>
          <w:szCs w:val="22"/>
        </w:rPr>
        <w:t xml:space="preserve"> </w:t>
      </w:r>
      <w:r w:rsidRPr="00A64175">
        <w:rPr>
          <w:rFonts w:ascii="Arial" w:hAnsi="Arial" w:cs="Arial"/>
          <w:sz w:val="22"/>
          <w:szCs w:val="22"/>
        </w:rPr>
        <w:t>consultati</w:t>
      </w:r>
      <w:r w:rsidRPr="00A64175">
        <w:rPr>
          <w:rFonts w:ascii="Arial" w:hAnsi="Arial" w:cs="Arial"/>
          <w:spacing w:val="-1"/>
          <w:sz w:val="22"/>
          <w:szCs w:val="22"/>
        </w:rPr>
        <w:t>o</w:t>
      </w:r>
      <w:r w:rsidRPr="00A64175">
        <w:rPr>
          <w:rFonts w:ascii="Arial" w:hAnsi="Arial" w:cs="Arial"/>
          <w:sz w:val="22"/>
          <w:szCs w:val="22"/>
        </w:rPr>
        <w:t>n</w:t>
      </w:r>
      <w:r w:rsidRPr="00A64175">
        <w:rPr>
          <w:rFonts w:ascii="Arial" w:hAnsi="Arial" w:cs="Arial"/>
          <w:spacing w:val="5"/>
          <w:sz w:val="22"/>
          <w:szCs w:val="22"/>
        </w:rPr>
        <w:t xml:space="preserve"> </w:t>
      </w:r>
      <w:r w:rsidRPr="00A64175">
        <w:rPr>
          <w:rFonts w:ascii="Arial" w:hAnsi="Arial" w:cs="Arial"/>
          <w:sz w:val="22"/>
          <w:szCs w:val="22"/>
        </w:rPr>
        <w:t>au</w:t>
      </w:r>
      <w:r w:rsidRPr="00A64175">
        <w:rPr>
          <w:rFonts w:ascii="Arial" w:hAnsi="Arial" w:cs="Arial"/>
          <w:spacing w:val="5"/>
          <w:sz w:val="22"/>
          <w:szCs w:val="22"/>
        </w:rPr>
        <w:t xml:space="preserve"> </w:t>
      </w:r>
      <w:r w:rsidRPr="00A64175">
        <w:rPr>
          <w:rFonts w:ascii="Arial" w:hAnsi="Arial" w:cs="Arial"/>
          <w:sz w:val="22"/>
          <w:szCs w:val="22"/>
        </w:rPr>
        <w:t>siè</w:t>
      </w:r>
      <w:r w:rsidRPr="00A64175">
        <w:rPr>
          <w:rFonts w:ascii="Arial" w:hAnsi="Arial" w:cs="Arial"/>
          <w:spacing w:val="-1"/>
          <w:sz w:val="22"/>
          <w:szCs w:val="22"/>
        </w:rPr>
        <w:t>g</w:t>
      </w:r>
      <w:r w:rsidRPr="00A64175">
        <w:rPr>
          <w:rFonts w:ascii="Arial" w:hAnsi="Arial" w:cs="Arial"/>
          <w:sz w:val="22"/>
          <w:szCs w:val="22"/>
        </w:rPr>
        <w:t>e</w:t>
      </w:r>
      <w:r w:rsidRPr="00A64175">
        <w:rPr>
          <w:rFonts w:ascii="Arial" w:hAnsi="Arial" w:cs="Arial"/>
          <w:spacing w:val="5"/>
          <w:sz w:val="22"/>
          <w:szCs w:val="22"/>
        </w:rPr>
        <w:t xml:space="preserve"> </w:t>
      </w:r>
      <w:r w:rsidRPr="00A64175">
        <w:rPr>
          <w:rFonts w:ascii="Arial" w:hAnsi="Arial" w:cs="Arial"/>
          <w:spacing w:val="-1"/>
          <w:sz w:val="22"/>
          <w:szCs w:val="22"/>
        </w:rPr>
        <w:t>d</w:t>
      </w:r>
      <w:r w:rsidRPr="00A64175">
        <w:rPr>
          <w:rFonts w:ascii="Arial" w:hAnsi="Arial" w:cs="Arial"/>
          <w:sz w:val="22"/>
          <w:szCs w:val="22"/>
        </w:rPr>
        <w:t>e</w:t>
      </w:r>
      <w:r w:rsidRPr="00A64175">
        <w:rPr>
          <w:rFonts w:ascii="Arial" w:hAnsi="Arial" w:cs="Arial"/>
          <w:spacing w:val="5"/>
          <w:sz w:val="22"/>
          <w:szCs w:val="22"/>
        </w:rPr>
        <w:t xml:space="preserve"> </w:t>
      </w:r>
      <w:r w:rsidRPr="00A64175">
        <w:rPr>
          <w:rFonts w:ascii="Arial" w:hAnsi="Arial" w:cs="Arial"/>
          <w:sz w:val="22"/>
          <w:szCs w:val="22"/>
        </w:rPr>
        <w:t>l’é</w:t>
      </w:r>
      <w:r w:rsidRPr="00A64175">
        <w:rPr>
          <w:rFonts w:ascii="Arial" w:hAnsi="Arial" w:cs="Arial"/>
          <w:spacing w:val="-2"/>
          <w:sz w:val="22"/>
          <w:szCs w:val="22"/>
        </w:rPr>
        <w:t>m</w:t>
      </w:r>
      <w:r w:rsidRPr="00A64175">
        <w:rPr>
          <w:rFonts w:ascii="Arial" w:hAnsi="Arial" w:cs="Arial"/>
          <w:sz w:val="22"/>
          <w:szCs w:val="22"/>
        </w:rPr>
        <w:t>ette</w:t>
      </w:r>
      <w:r w:rsidRPr="00A64175">
        <w:rPr>
          <w:rFonts w:ascii="Arial" w:hAnsi="Arial" w:cs="Arial"/>
          <w:spacing w:val="-1"/>
          <w:sz w:val="22"/>
          <w:szCs w:val="22"/>
        </w:rPr>
        <w:t>u</w:t>
      </w:r>
      <w:r w:rsidRPr="00A64175">
        <w:rPr>
          <w:rFonts w:ascii="Arial" w:hAnsi="Arial" w:cs="Arial"/>
          <w:sz w:val="22"/>
          <w:szCs w:val="22"/>
        </w:rPr>
        <w:t>r, auprès des inter</w:t>
      </w:r>
      <w:r w:rsidRPr="00A64175">
        <w:rPr>
          <w:rFonts w:ascii="Arial" w:hAnsi="Arial" w:cs="Arial"/>
          <w:spacing w:val="-2"/>
          <w:sz w:val="22"/>
          <w:szCs w:val="22"/>
        </w:rPr>
        <w:t>m</w:t>
      </w:r>
      <w:r w:rsidRPr="00A64175">
        <w:rPr>
          <w:rFonts w:ascii="Arial" w:hAnsi="Arial" w:cs="Arial"/>
          <w:sz w:val="22"/>
          <w:szCs w:val="22"/>
        </w:rPr>
        <w:t xml:space="preserve">édiaires chargés </w:t>
      </w:r>
      <w:r w:rsidRPr="00A64175">
        <w:rPr>
          <w:rFonts w:ascii="Arial" w:hAnsi="Arial" w:cs="Arial"/>
          <w:spacing w:val="-1"/>
          <w:sz w:val="22"/>
          <w:szCs w:val="22"/>
        </w:rPr>
        <w:t>d</w:t>
      </w:r>
      <w:r w:rsidRPr="00A64175">
        <w:rPr>
          <w:rFonts w:ascii="Arial" w:hAnsi="Arial" w:cs="Arial"/>
          <w:sz w:val="22"/>
          <w:szCs w:val="22"/>
        </w:rPr>
        <w:t>u place</w:t>
      </w:r>
      <w:r w:rsidRPr="00A64175">
        <w:rPr>
          <w:rFonts w:ascii="Arial" w:hAnsi="Arial" w:cs="Arial"/>
          <w:spacing w:val="-2"/>
          <w:sz w:val="22"/>
          <w:szCs w:val="22"/>
        </w:rPr>
        <w:t>m</w:t>
      </w:r>
      <w:r w:rsidR="00121534" w:rsidRPr="00A64175">
        <w:rPr>
          <w:rFonts w:ascii="Arial" w:hAnsi="Arial" w:cs="Arial"/>
          <w:sz w:val="22"/>
          <w:szCs w:val="22"/>
        </w:rPr>
        <w:t>ent ou auprès des structur</w:t>
      </w:r>
      <w:r w:rsidRPr="00A64175">
        <w:rPr>
          <w:rFonts w:ascii="Arial" w:hAnsi="Arial" w:cs="Arial"/>
          <w:sz w:val="22"/>
          <w:szCs w:val="22"/>
        </w:rPr>
        <w:t>es</w:t>
      </w:r>
      <w:r w:rsidR="00121534" w:rsidRPr="00A64175">
        <w:rPr>
          <w:rFonts w:ascii="Arial" w:hAnsi="Arial" w:cs="Arial"/>
          <w:sz w:val="22"/>
          <w:szCs w:val="22"/>
        </w:rPr>
        <w:t xml:space="preserve"> ou organismes </w:t>
      </w:r>
      <w:r w:rsidRPr="00A64175">
        <w:rPr>
          <w:rFonts w:ascii="Arial" w:hAnsi="Arial" w:cs="Arial"/>
          <w:sz w:val="22"/>
          <w:szCs w:val="22"/>
        </w:rPr>
        <w:t xml:space="preserve"> chargés d’assur</w:t>
      </w:r>
      <w:r w:rsidRPr="00A64175">
        <w:rPr>
          <w:rFonts w:ascii="Arial" w:hAnsi="Arial" w:cs="Arial"/>
          <w:spacing w:val="-1"/>
          <w:sz w:val="22"/>
          <w:szCs w:val="22"/>
        </w:rPr>
        <w:t>e</w:t>
      </w:r>
      <w:r w:rsidRPr="00A64175">
        <w:rPr>
          <w:rFonts w:ascii="Arial" w:hAnsi="Arial" w:cs="Arial"/>
          <w:sz w:val="22"/>
          <w:szCs w:val="22"/>
        </w:rPr>
        <w:t xml:space="preserve">r </w:t>
      </w:r>
      <w:r w:rsidRPr="00A64175">
        <w:rPr>
          <w:rFonts w:ascii="Arial" w:hAnsi="Arial" w:cs="Arial"/>
          <w:spacing w:val="-2"/>
          <w:sz w:val="22"/>
          <w:szCs w:val="22"/>
        </w:rPr>
        <w:t>l</w:t>
      </w:r>
      <w:r w:rsidRPr="00A64175">
        <w:rPr>
          <w:rFonts w:ascii="Arial" w:hAnsi="Arial" w:cs="Arial"/>
          <w:sz w:val="22"/>
          <w:szCs w:val="22"/>
        </w:rPr>
        <w:t>e servi</w:t>
      </w:r>
      <w:r w:rsidRPr="00A64175">
        <w:rPr>
          <w:rFonts w:ascii="Arial" w:hAnsi="Arial" w:cs="Arial"/>
          <w:spacing w:val="-1"/>
          <w:sz w:val="22"/>
          <w:szCs w:val="22"/>
        </w:rPr>
        <w:t>c</w:t>
      </w:r>
      <w:r w:rsidRPr="00A64175">
        <w:rPr>
          <w:rFonts w:ascii="Arial" w:hAnsi="Arial" w:cs="Arial"/>
          <w:sz w:val="22"/>
          <w:szCs w:val="22"/>
        </w:rPr>
        <w:t xml:space="preserve">e </w:t>
      </w:r>
      <w:r w:rsidRPr="00A64175">
        <w:rPr>
          <w:rFonts w:ascii="Arial" w:hAnsi="Arial" w:cs="Arial"/>
          <w:spacing w:val="-1"/>
          <w:sz w:val="22"/>
          <w:szCs w:val="22"/>
        </w:rPr>
        <w:t>f</w:t>
      </w:r>
      <w:r w:rsidRPr="00A64175">
        <w:rPr>
          <w:rFonts w:ascii="Arial" w:hAnsi="Arial" w:cs="Arial"/>
          <w:spacing w:val="1"/>
          <w:sz w:val="22"/>
          <w:szCs w:val="22"/>
        </w:rPr>
        <w:t>i</w:t>
      </w:r>
      <w:r w:rsidRPr="00A64175">
        <w:rPr>
          <w:rFonts w:ascii="Arial" w:hAnsi="Arial" w:cs="Arial"/>
          <w:sz w:val="22"/>
          <w:szCs w:val="22"/>
        </w:rPr>
        <w:t>n</w:t>
      </w:r>
      <w:r w:rsidRPr="00A64175">
        <w:rPr>
          <w:rFonts w:ascii="Arial" w:hAnsi="Arial" w:cs="Arial"/>
          <w:spacing w:val="-1"/>
          <w:sz w:val="22"/>
          <w:szCs w:val="22"/>
        </w:rPr>
        <w:t>a</w:t>
      </w:r>
      <w:r w:rsidRPr="00A64175">
        <w:rPr>
          <w:rFonts w:ascii="Arial" w:hAnsi="Arial" w:cs="Arial"/>
          <w:sz w:val="22"/>
          <w:szCs w:val="22"/>
        </w:rPr>
        <w:t xml:space="preserve">ncier </w:t>
      </w:r>
      <w:r w:rsidRPr="00A64175">
        <w:rPr>
          <w:rFonts w:ascii="Arial" w:hAnsi="Arial" w:cs="Arial"/>
          <w:spacing w:val="-1"/>
          <w:sz w:val="22"/>
          <w:szCs w:val="22"/>
        </w:rPr>
        <w:t>d</w:t>
      </w:r>
      <w:r w:rsidRPr="00A64175">
        <w:rPr>
          <w:rFonts w:ascii="Arial" w:hAnsi="Arial" w:cs="Arial"/>
          <w:sz w:val="22"/>
          <w:szCs w:val="22"/>
        </w:rPr>
        <w:t>es tit</w:t>
      </w:r>
      <w:r w:rsidRPr="00A64175">
        <w:rPr>
          <w:rFonts w:ascii="Arial" w:hAnsi="Arial" w:cs="Arial"/>
          <w:spacing w:val="-1"/>
          <w:sz w:val="22"/>
          <w:szCs w:val="22"/>
        </w:rPr>
        <w:t>r</w:t>
      </w:r>
      <w:r w:rsidRPr="00A64175">
        <w:rPr>
          <w:rFonts w:ascii="Arial" w:hAnsi="Arial" w:cs="Arial"/>
          <w:sz w:val="22"/>
          <w:szCs w:val="22"/>
        </w:rPr>
        <w:t>es ;</w:t>
      </w:r>
    </w:p>
    <w:p w14:paraId="1647945D" w14:textId="77777777" w:rsidR="00B41214" w:rsidRPr="00A64175" w:rsidRDefault="00B41214" w:rsidP="00A64175">
      <w:pPr>
        <w:widowControl w:val="0"/>
        <w:tabs>
          <w:tab w:val="left" w:pos="820"/>
        </w:tabs>
        <w:autoSpaceDE w:val="0"/>
        <w:adjustRightInd w:val="0"/>
        <w:ind w:left="831" w:right="68" w:hanging="360"/>
        <w:jc w:val="both"/>
        <w:rPr>
          <w:rFonts w:ascii="Arial" w:hAnsi="Arial" w:cs="Arial"/>
          <w:sz w:val="22"/>
          <w:szCs w:val="22"/>
        </w:rPr>
      </w:pPr>
      <w:r w:rsidRPr="00A64175">
        <w:rPr>
          <w:rFonts w:ascii="Arial" w:hAnsi="Arial" w:cs="Arial"/>
          <w:sz w:val="22"/>
          <w:szCs w:val="22"/>
        </w:rPr>
        <w:t>-</w:t>
      </w:r>
      <w:r w:rsidRPr="00A64175">
        <w:rPr>
          <w:rFonts w:ascii="Arial" w:hAnsi="Arial" w:cs="Arial"/>
          <w:sz w:val="22"/>
          <w:szCs w:val="22"/>
        </w:rPr>
        <w:tab/>
      </w:r>
      <w:r w:rsidRPr="00A64175">
        <w:rPr>
          <w:rFonts w:ascii="Arial" w:hAnsi="Arial" w:cs="Arial"/>
          <w:spacing w:val="-2"/>
          <w:sz w:val="22"/>
          <w:szCs w:val="22"/>
        </w:rPr>
        <w:t>m</w:t>
      </w:r>
      <w:r w:rsidRPr="00A64175">
        <w:rPr>
          <w:rFonts w:ascii="Arial" w:hAnsi="Arial" w:cs="Arial"/>
          <w:sz w:val="22"/>
          <w:szCs w:val="22"/>
        </w:rPr>
        <w:t>ise</w:t>
      </w:r>
      <w:r w:rsidRPr="00A64175">
        <w:rPr>
          <w:rFonts w:ascii="Arial" w:hAnsi="Arial" w:cs="Arial"/>
          <w:spacing w:val="22"/>
          <w:sz w:val="22"/>
          <w:szCs w:val="22"/>
        </w:rPr>
        <w:t xml:space="preserve"> </w:t>
      </w:r>
      <w:r w:rsidRPr="00A64175">
        <w:rPr>
          <w:rFonts w:ascii="Arial" w:hAnsi="Arial" w:cs="Arial"/>
          <w:sz w:val="22"/>
          <w:szCs w:val="22"/>
        </w:rPr>
        <w:t>en</w:t>
      </w:r>
      <w:r w:rsidRPr="00A64175">
        <w:rPr>
          <w:rFonts w:ascii="Arial" w:hAnsi="Arial" w:cs="Arial"/>
          <w:spacing w:val="22"/>
          <w:sz w:val="22"/>
          <w:szCs w:val="22"/>
        </w:rPr>
        <w:t xml:space="preserve"> </w:t>
      </w:r>
      <w:r w:rsidRPr="00A64175">
        <w:rPr>
          <w:rFonts w:ascii="Arial" w:hAnsi="Arial" w:cs="Arial"/>
          <w:sz w:val="22"/>
          <w:szCs w:val="22"/>
        </w:rPr>
        <w:t>ligne</w:t>
      </w:r>
      <w:r w:rsidRPr="00A64175">
        <w:rPr>
          <w:rFonts w:ascii="Arial" w:hAnsi="Arial" w:cs="Arial"/>
          <w:spacing w:val="22"/>
          <w:sz w:val="22"/>
          <w:szCs w:val="22"/>
        </w:rPr>
        <w:t xml:space="preserve"> </w:t>
      </w:r>
      <w:r w:rsidRPr="00A64175">
        <w:rPr>
          <w:rFonts w:ascii="Arial" w:hAnsi="Arial" w:cs="Arial"/>
          <w:sz w:val="22"/>
          <w:szCs w:val="22"/>
        </w:rPr>
        <w:t>sur</w:t>
      </w:r>
      <w:r w:rsidRPr="00A64175">
        <w:rPr>
          <w:rFonts w:ascii="Arial" w:hAnsi="Arial" w:cs="Arial"/>
          <w:spacing w:val="22"/>
          <w:sz w:val="22"/>
          <w:szCs w:val="22"/>
        </w:rPr>
        <w:t xml:space="preserve"> </w:t>
      </w:r>
      <w:r w:rsidRPr="00A64175">
        <w:rPr>
          <w:rFonts w:ascii="Arial" w:hAnsi="Arial" w:cs="Arial"/>
          <w:sz w:val="22"/>
          <w:szCs w:val="22"/>
        </w:rPr>
        <w:t>le</w:t>
      </w:r>
      <w:r w:rsidRPr="00A64175">
        <w:rPr>
          <w:rFonts w:ascii="Arial" w:hAnsi="Arial" w:cs="Arial"/>
          <w:spacing w:val="22"/>
          <w:sz w:val="22"/>
          <w:szCs w:val="22"/>
        </w:rPr>
        <w:t xml:space="preserve"> </w:t>
      </w:r>
      <w:r w:rsidRPr="00A64175">
        <w:rPr>
          <w:rFonts w:ascii="Arial" w:hAnsi="Arial" w:cs="Arial"/>
          <w:sz w:val="22"/>
          <w:szCs w:val="22"/>
        </w:rPr>
        <w:t>site</w:t>
      </w:r>
      <w:r w:rsidRPr="00A64175">
        <w:rPr>
          <w:rFonts w:ascii="Arial" w:hAnsi="Arial" w:cs="Arial"/>
          <w:spacing w:val="21"/>
          <w:sz w:val="22"/>
          <w:szCs w:val="22"/>
        </w:rPr>
        <w:t xml:space="preserve"> </w:t>
      </w:r>
      <w:r w:rsidRPr="00A64175">
        <w:rPr>
          <w:rFonts w:ascii="Arial" w:hAnsi="Arial" w:cs="Arial"/>
          <w:sz w:val="22"/>
          <w:szCs w:val="22"/>
        </w:rPr>
        <w:t>intern</w:t>
      </w:r>
      <w:r w:rsidRPr="00A64175">
        <w:rPr>
          <w:rFonts w:ascii="Arial" w:hAnsi="Arial" w:cs="Arial"/>
          <w:spacing w:val="-1"/>
          <w:sz w:val="22"/>
          <w:szCs w:val="22"/>
        </w:rPr>
        <w:t>e</w:t>
      </w:r>
      <w:r w:rsidRPr="00A64175">
        <w:rPr>
          <w:rFonts w:ascii="Arial" w:hAnsi="Arial" w:cs="Arial"/>
          <w:sz w:val="22"/>
          <w:szCs w:val="22"/>
        </w:rPr>
        <w:t>t</w:t>
      </w:r>
      <w:r w:rsidRPr="00A64175">
        <w:rPr>
          <w:rFonts w:ascii="Arial" w:hAnsi="Arial" w:cs="Arial"/>
          <w:spacing w:val="22"/>
          <w:sz w:val="22"/>
          <w:szCs w:val="22"/>
        </w:rPr>
        <w:t xml:space="preserve"> </w:t>
      </w:r>
      <w:r w:rsidRPr="00A64175">
        <w:rPr>
          <w:rFonts w:ascii="Arial" w:hAnsi="Arial" w:cs="Arial"/>
          <w:sz w:val="22"/>
          <w:szCs w:val="22"/>
        </w:rPr>
        <w:t>de</w:t>
      </w:r>
      <w:r w:rsidRPr="00A64175">
        <w:rPr>
          <w:rFonts w:ascii="Arial" w:hAnsi="Arial" w:cs="Arial"/>
          <w:spacing w:val="22"/>
          <w:sz w:val="22"/>
          <w:szCs w:val="22"/>
        </w:rPr>
        <w:t xml:space="preserve"> </w:t>
      </w:r>
      <w:r w:rsidRPr="00A64175">
        <w:rPr>
          <w:rFonts w:ascii="Arial" w:hAnsi="Arial" w:cs="Arial"/>
          <w:sz w:val="22"/>
          <w:szCs w:val="22"/>
        </w:rPr>
        <w:t>l’é</w:t>
      </w:r>
      <w:r w:rsidRPr="00A64175">
        <w:rPr>
          <w:rFonts w:ascii="Arial" w:hAnsi="Arial" w:cs="Arial"/>
          <w:spacing w:val="-2"/>
          <w:sz w:val="22"/>
          <w:szCs w:val="22"/>
        </w:rPr>
        <w:t>m</w:t>
      </w:r>
      <w:r w:rsidRPr="00A64175">
        <w:rPr>
          <w:rFonts w:ascii="Arial" w:hAnsi="Arial" w:cs="Arial"/>
          <w:sz w:val="22"/>
          <w:szCs w:val="22"/>
        </w:rPr>
        <w:t>etteur</w:t>
      </w:r>
      <w:r w:rsidRPr="00A64175">
        <w:rPr>
          <w:rFonts w:ascii="Arial" w:hAnsi="Arial" w:cs="Arial"/>
          <w:spacing w:val="22"/>
          <w:sz w:val="22"/>
          <w:szCs w:val="22"/>
        </w:rPr>
        <w:t xml:space="preserve"> </w:t>
      </w:r>
      <w:r w:rsidRPr="00A64175">
        <w:rPr>
          <w:rFonts w:ascii="Arial" w:hAnsi="Arial" w:cs="Arial"/>
          <w:spacing w:val="-1"/>
          <w:sz w:val="22"/>
          <w:szCs w:val="22"/>
        </w:rPr>
        <w:t>e</w:t>
      </w:r>
      <w:r w:rsidRPr="00A64175">
        <w:rPr>
          <w:rFonts w:ascii="Arial" w:hAnsi="Arial" w:cs="Arial"/>
          <w:sz w:val="22"/>
          <w:szCs w:val="22"/>
        </w:rPr>
        <w:t>t,</w:t>
      </w:r>
      <w:r w:rsidRPr="00A64175">
        <w:rPr>
          <w:rFonts w:ascii="Arial" w:hAnsi="Arial" w:cs="Arial"/>
          <w:spacing w:val="22"/>
          <w:sz w:val="22"/>
          <w:szCs w:val="22"/>
        </w:rPr>
        <w:t xml:space="preserve"> </w:t>
      </w:r>
      <w:r w:rsidRPr="00A64175">
        <w:rPr>
          <w:rFonts w:ascii="Arial" w:hAnsi="Arial" w:cs="Arial"/>
          <w:sz w:val="22"/>
          <w:szCs w:val="22"/>
        </w:rPr>
        <w:t>le</w:t>
      </w:r>
      <w:r w:rsidRPr="00A64175">
        <w:rPr>
          <w:rFonts w:ascii="Arial" w:hAnsi="Arial" w:cs="Arial"/>
          <w:spacing w:val="22"/>
          <w:sz w:val="22"/>
          <w:szCs w:val="22"/>
        </w:rPr>
        <w:t xml:space="preserve"> </w:t>
      </w:r>
      <w:r w:rsidRPr="00A64175">
        <w:rPr>
          <w:rFonts w:ascii="Arial" w:hAnsi="Arial" w:cs="Arial"/>
          <w:sz w:val="22"/>
          <w:szCs w:val="22"/>
        </w:rPr>
        <w:t>cas</w:t>
      </w:r>
      <w:r w:rsidRPr="00A64175">
        <w:rPr>
          <w:rFonts w:ascii="Arial" w:hAnsi="Arial" w:cs="Arial"/>
          <w:spacing w:val="22"/>
          <w:sz w:val="22"/>
          <w:szCs w:val="22"/>
        </w:rPr>
        <w:t xml:space="preserve"> </w:t>
      </w:r>
      <w:r w:rsidRPr="00A64175">
        <w:rPr>
          <w:rFonts w:ascii="Arial" w:hAnsi="Arial" w:cs="Arial"/>
          <w:sz w:val="22"/>
          <w:szCs w:val="22"/>
        </w:rPr>
        <w:t>éc</w:t>
      </w:r>
      <w:r w:rsidRPr="00A64175">
        <w:rPr>
          <w:rFonts w:ascii="Arial" w:hAnsi="Arial" w:cs="Arial"/>
          <w:spacing w:val="-1"/>
          <w:sz w:val="22"/>
          <w:szCs w:val="22"/>
        </w:rPr>
        <w:t>h</w:t>
      </w:r>
      <w:r w:rsidRPr="00A64175">
        <w:rPr>
          <w:rFonts w:ascii="Arial" w:hAnsi="Arial" w:cs="Arial"/>
          <w:sz w:val="22"/>
          <w:szCs w:val="22"/>
        </w:rPr>
        <w:t>éant,</w:t>
      </w:r>
      <w:r w:rsidRPr="00A64175">
        <w:rPr>
          <w:rFonts w:ascii="Arial" w:hAnsi="Arial" w:cs="Arial"/>
          <w:spacing w:val="22"/>
          <w:sz w:val="22"/>
          <w:szCs w:val="22"/>
        </w:rPr>
        <w:t xml:space="preserve"> </w:t>
      </w:r>
      <w:r w:rsidRPr="00A64175">
        <w:rPr>
          <w:rFonts w:ascii="Arial" w:hAnsi="Arial" w:cs="Arial"/>
          <w:sz w:val="22"/>
          <w:szCs w:val="22"/>
        </w:rPr>
        <w:t>sur</w:t>
      </w:r>
      <w:r w:rsidRPr="00A64175">
        <w:rPr>
          <w:rFonts w:ascii="Arial" w:hAnsi="Arial" w:cs="Arial"/>
          <w:spacing w:val="22"/>
          <w:sz w:val="22"/>
          <w:szCs w:val="22"/>
        </w:rPr>
        <w:t xml:space="preserve"> </w:t>
      </w:r>
      <w:r w:rsidRPr="00A64175">
        <w:rPr>
          <w:rFonts w:ascii="Arial" w:hAnsi="Arial" w:cs="Arial"/>
          <w:sz w:val="22"/>
          <w:szCs w:val="22"/>
        </w:rPr>
        <w:t>c</w:t>
      </w:r>
      <w:r w:rsidRPr="00A64175">
        <w:rPr>
          <w:rFonts w:ascii="Arial" w:hAnsi="Arial" w:cs="Arial"/>
          <w:spacing w:val="-1"/>
          <w:sz w:val="22"/>
          <w:szCs w:val="22"/>
        </w:rPr>
        <w:t>e</w:t>
      </w:r>
      <w:r w:rsidRPr="00A64175">
        <w:rPr>
          <w:rFonts w:ascii="Arial" w:hAnsi="Arial" w:cs="Arial"/>
          <w:sz w:val="22"/>
          <w:szCs w:val="22"/>
        </w:rPr>
        <w:t>lui</w:t>
      </w:r>
      <w:r w:rsidRPr="00A64175">
        <w:rPr>
          <w:rFonts w:ascii="Arial" w:hAnsi="Arial" w:cs="Arial"/>
          <w:spacing w:val="22"/>
          <w:sz w:val="22"/>
          <w:szCs w:val="22"/>
        </w:rPr>
        <w:t xml:space="preserve"> </w:t>
      </w:r>
      <w:r w:rsidRPr="00A64175">
        <w:rPr>
          <w:rFonts w:ascii="Arial" w:hAnsi="Arial" w:cs="Arial"/>
          <w:sz w:val="22"/>
          <w:szCs w:val="22"/>
        </w:rPr>
        <w:t>des</w:t>
      </w:r>
      <w:r w:rsidRPr="00A64175">
        <w:rPr>
          <w:rFonts w:ascii="Arial" w:hAnsi="Arial" w:cs="Arial"/>
          <w:spacing w:val="22"/>
          <w:sz w:val="22"/>
          <w:szCs w:val="22"/>
        </w:rPr>
        <w:t xml:space="preserve"> </w:t>
      </w:r>
      <w:r w:rsidRPr="00A64175">
        <w:rPr>
          <w:rFonts w:ascii="Arial" w:hAnsi="Arial" w:cs="Arial"/>
          <w:sz w:val="22"/>
          <w:szCs w:val="22"/>
        </w:rPr>
        <w:t>int</w:t>
      </w:r>
      <w:r w:rsidRPr="00A64175">
        <w:rPr>
          <w:rFonts w:ascii="Arial" w:hAnsi="Arial" w:cs="Arial"/>
          <w:spacing w:val="-1"/>
          <w:sz w:val="22"/>
          <w:szCs w:val="22"/>
        </w:rPr>
        <w:t>er</w:t>
      </w:r>
      <w:r w:rsidRPr="00A64175">
        <w:rPr>
          <w:rFonts w:ascii="Arial" w:hAnsi="Arial" w:cs="Arial"/>
          <w:spacing w:val="-2"/>
          <w:sz w:val="22"/>
          <w:szCs w:val="22"/>
        </w:rPr>
        <w:t>m</w:t>
      </w:r>
      <w:r w:rsidRPr="00A64175">
        <w:rPr>
          <w:rFonts w:ascii="Arial" w:hAnsi="Arial" w:cs="Arial"/>
          <w:sz w:val="22"/>
          <w:szCs w:val="22"/>
        </w:rPr>
        <w:t>édiaires</w:t>
      </w:r>
      <w:r w:rsidRPr="00A64175">
        <w:rPr>
          <w:rFonts w:ascii="Arial" w:hAnsi="Arial" w:cs="Arial"/>
          <w:spacing w:val="22"/>
          <w:sz w:val="22"/>
          <w:szCs w:val="22"/>
        </w:rPr>
        <w:t xml:space="preserve"> </w:t>
      </w:r>
      <w:r w:rsidRPr="00A64175">
        <w:rPr>
          <w:rFonts w:ascii="Arial" w:hAnsi="Arial" w:cs="Arial"/>
          <w:sz w:val="22"/>
          <w:szCs w:val="22"/>
        </w:rPr>
        <w:t xml:space="preserve">de </w:t>
      </w:r>
      <w:r w:rsidRPr="00A64175">
        <w:rPr>
          <w:rFonts w:ascii="Arial" w:hAnsi="Arial" w:cs="Arial"/>
          <w:spacing w:val="-2"/>
          <w:sz w:val="22"/>
          <w:szCs w:val="22"/>
        </w:rPr>
        <w:t>m</w:t>
      </w:r>
      <w:r w:rsidRPr="00A64175">
        <w:rPr>
          <w:rFonts w:ascii="Arial" w:hAnsi="Arial" w:cs="Arial"/>
          <w:sz w:val="22"/>
          <w:szCs w:val="22"/>
        </w:rPr>
        <w:t>arché qui assure</w:t>
      </w:r>
      <w:r w:rsidRPr="00A64175">
        <w:rPr>
          <w:rFonts w:ascii="Arial" w:hAnsi="Arial" w:cs="Arial"/>
          <w:spacing w:val="-1"/>
          <w:sz w:val="22"/>
          <w:szCs w:val="22"/>
        </w:rPr>
        <w:t>n</w:t>
      </w:r>
      <w:r w:rsidRPr="00A64175">
        <w:rPr>
          <w:rFonts w:ascii="Arial" w:hAnsi="Arial" w:cs="Arial"/>
          <w:sz w:val="22"/>
          <w:szCs w:val="22"/>
        </w:rPr>
        <w:t>t le place</w:t>
      </w:r>
      <w:r w:rsidRPr="00A64175">
        <w:rPr>
          <w:rFonts w:ascii="Arial" w:hAnsi="Arial" w:cs="Arial"/>
          <w:spacing w:val="-2"/>
          <w:sz w:val="22"/>
          <w:szCs w:val="22"/>
        </w:rPr>
        <w:t>m</w:t>
      </w:r>
      <w:r w:rsidRPr="00A64175">
        <w:rPr>
          <w:rFonts w:ascii="Arial" w:hAnsi="Arial" w:cs="Arial"/>
          <w:sz w:val="22"/>
          <w:szCs w:val="22"/>
        </w:rPr>
        <w:t>ent ou la négociation des titres, y co</w:t>
      </w:r>
      <w:r w:rsidRPr="00A64175">
        <w:rPr>
          <w:rFonts w:ascii="Arial" w:hAnsi="Arial" w:cs="Arial"/>
          <w:spacing w:val="-2"/>
          <w:sz w:val="22"/>
          <w:szCs w:val="22"/>
        </w:rPr>
        <w:t>m</w:t>
      </w:r>
      <w:r w:rsidRPr="00A64175">
        <w:rPr>
          <w:rFonts w:ascii="Arial" w:hAnsi="Arial" w:cs="Arial"/>
          <w:sz w:val="22"/>
          <w:szCs w:val="22"/>
        </w:rPr>
        <w:t>pris ceux ch</w:t>
      </w:r>
      <w:r w:rsidRPr="00A64175">
        <w:rPr>
          <w:rFonts w:ascii="Arial" w:hAnsi="Arial" w:cs="Arial"/>
          <w:spacing w:val="-1"/>
          <w:sz w:val="22"/>
          <w:szCs w:val="22"/>
        </w:rPr>
        <w:t>ar</w:t>
      </w:r>
      <w:r w:rsidRPr="00A64175">
        <w:rPr>
          <w:rFonts w:ascii="Arial" w:hAnsi="Arial" w:cs="Arial"/>
          <w:sz w:val="22"/>
          <w:szCs w:val="22"/>
        </w:rPr>
        <w:t>gés du ser</w:t>
      </w:r>
      <w:r w:rsidRPr="00A64175">
        <w:rPr>
          <w:rFonts w:ascii="Arial" w:hAnsi="Arial" w:cs="Arial"/>
          <w:spacing w:val="-1"/>
          <w:sz w:val="22"/>
          <w:szCs w:val="22"/>
        </w:rPr>
        <w:t>v</w:t>
      </w:r>
      <w:r w:rsidRPr="00A64175">
        <w:rPr>
          <w:rFonts w:ascii="Arial" w:hAnsi="Arial" w:cs="Arial"/>
          <w:sz w:val="22"/>
          <w:szCs w:val="22"/>
        </w:rPr>
        <w:t xml:space="preserve">ice </w:t>
      </w:r>
      <w:r w:rsidRPr="00A64175">
        <w:rPr>
          <w:rFonts w:ascii="Arial" w:hAnsi="Arial" w:cs="Arial"/>
          <w:spacing w:val="-1"/>
          <w:sz w:val="22"/>
          <w:szCs w:val="22"/>
        </w:rPr>
        <w:t>f</w:t>
      </w:r>
      <w:r w:rsidRPr="00A64175">
        <w:rPr>
          <w:rFonts w:ascii="Arial" w:hAnsi="Arial" w:cs="Arial"/>
          <w:spacing w:val="1"/>
          <w:sz w:val="22"/>
          <w:szCs w:val="22"/>
        </w:rPr>
        <w:t>i</w:t>
      </w:r>
      <w:r w:rsidRPr="00A64175">
        <w:rPr>
          <w:rFonts w:ascii="Arial" w:hAnsi="Arial" w:cs="Arial"/>
          <w:sz w:val="22"/>
          <w:szCs w:val="22"/>
        </w:rPr>
        <w:t xml:space="preserve">nancier </w:t>
      </w:r>
      <w:r w:rsidRPr="00A64175">
        <w:rPr>
          <w:rFonts w:ascii="Arial" w:hAnsi="Arial" w:cs="Arial"/>
          <w:spacing w:val="-1"/>
          <w:sz w:val="22"/>
          <w:szCs w:val="22"/>
        </w:rPr>
        <w:t>de</w:t>
      </w:r>
      <w:r w:rsidRPr="00A64175">
        <w:rPr>
          <w:rFonts w:ascii="Arial" w:hAnsi="Arial" w:cs="Arial"/>
          <w:sz w:val="22"/>
          <w:szCs w:val="22"/>
        </w:rPr>
        <w:t>s titres ;</w:t>
      </w:r>
    </w:p>
    <w:p w14:paraId="5313611E" w14:textId="4E006D08" w:rsidR="00B41214" w:rsidRPr="00A64175" w:rsidRDefault="00B41214" w:rsidP="00A64175">
      <w:pPr>
        <w:widowControl w:val="0"/>
        <w:tabs>
          <w:tab w:val="left" w:pos="820"/>
        </w:tabs>
        <w:autoSpaceDE w:val="0"/>
        <w:adjustRightInd w:val="0"/>
        <w:ind w:left="831" w:right="69" w:hanging="360"/>
        <w:jc w:val="both"/>
        <w:rPr>
          <w:rFonts w:ascii="Arial" w:hAnsi="Arial" w:cs="Arial"/>
          <w:sz w:val="22"/>
          <w:szCs w:val="22"/>
        </w:rPr>
      </w:pPr>
      <w:r w:rsidRPr="00A64175">
        <w:rPr>
          <w:rFonts w:ascii="Arial" w:hAnsi="Arial" w:cs="Arial"/>
          <w:sz w:val="22"/>
          <w:szCs w:val="22"/>
        </w:rPr>
        <w:t>-</w:t>
      </w:r>
      <w:r w:rsidRPr="00A64175">
        <w:rPr>
          <w:rFonts w:ascii="Arial" w:hAnsi="Arial" w:cs="Arial"/>
          <w:sz w:val="22"/>
          <w:szCs w:val="22"/>
        </w:rPr>
        <w:tab/>
      </w:r>
      <w:r w:rsidRPr="00A64175">
        <w:rPr>
          <w:rFonts w:ascii="Arial" w:hAnsi="Arial" w:cs="Arial"/>
          <w:spacing w:val="-2"/>
          <w:sz w:val="22"/>
          <w:szCs w:val="22"/>
        </w:rPr>
        <w:t>m</w:t>
      </w:r>
      <w:r w:rsidRPr="00A64175">
        <w:rPr>
          <w:rFonts w:ascii="Arial" w:hAnsi="Arial" w:cs="Arial"/>
          <w:spacing w:val="1"/>
          <w:sz w:val="22"/>
          <w:szCs w:val="22"/>
        </w:rPr>
        <w:t>i</w:t>
      </w:r>
      <w:r w:rsidRPr="00A64175">
        <w:rPr>
          <w:rFonts w:ascii="Arial" w:hAnsi="Arial" w:cs="Arial"/>
          <w:sz w:val="22"/>
          <w:szCs w:val="22"/>
        </w:rPr>
        <w:t>se</w:t>
      </w:r>
      <w:r w:rsidRPr="00A64175">
        <w:rPr>
          <w:rFonts w:ascii="Arial" w:hAnsi="Arial" w:cs="Arial"/>
          <w:spacing w:val="12"/>
          <w:sz w:val="22"/>
          <w:szCs w:val="22"/>
        </w:rPr>
        <w:t xml:space="preserve"> </w:t>
      </w:r>
      <w:r w:rsidRPr="00A64175">
        <w:rPr>
          <w:rFonts w:ascii="Arial" w:hAnsi="Arial" w:cs="Arial"/>
          <w:sz w:val="22"/>
          <w:szCs w:val="22"/>
        </w:rPr>
        <w:t>en</w:t>
      </w:r>
      <w:r w:rsidRPr="00A64175">
        <w:rPr>
          <w:rFonts w:ascii="Arial" w:hAnsi="Arial" w:cs="Arial"/>
          <w:spacing w:val="12"/>
          <w:sz w:val="22"/>
          <w:szCs w:val="22"/>
        </w:rPr>
        <w:t xml:space="preserve"> </w:t>
      </w:r>
      <w:r w:rsidRPr="00A64175">
        <w:rPr>
          <w:rFonts w:ascii="Arial" w:hAnsi="Arial" w:cs="Arial"/>
          <w:sz w:val="22"/>
          <w:szCs w:val="22"/>
        </w:rPr>
        <w:t>ligne</w:t>
      </w:r>
      <w:r w:rsidRPr="00A64175">
        <w:rPr>
          <w:rFonts w:ascii="Arial" w:hAnsi="Arial" w:cs="Arial"/>
          <w:spacing w:val="12"/>
          <w:sz w:val="22"/>
          <w:szCs w:val="22"/>
        </w:rPr>
        <w:t xml:space="preserve"> </w:t>
      </w:r>
      <w:r w:rsidRPr="00A64175">
        <w:rPr>
          <w:rFonts w:ascii="Arial" w:hAnsi="Arial" w:cs="Arial"/>
          <w:sz w:val="22"/>
          <w:szCs w:val="22"/>
        </w:rPr>
        <w:t>sur</w:t>
      </w:r>
      <w:r w:rsidRPr="00A64175">
        <w:rPr>
          <w:rFonts w:ascii="Arial" w:hAnsi="Arial" w:cs="Arial"/>
          <w:spacing w:val="12"/>
          <w:sz w:val="22"/>
          <w:szCs w:val="22"/>
        </w:rPr>
        <w:t xml:space="preserve"> </w:t>
      </w:r>
      <w:r w:rsidRPr="00A64175">
        <w:rPr>
          <w:rFonts w:ascii="Arial" w:hAnsi="Arial" w:cs="Arial"/>
          <w:sz w:val="22"/>
          <w:szCs w:val="22"/>
        </w:rPr>
        <w:t>le</w:t>
      </w:r>
      <w:r w:rsidRPr="00A64175">
        <w:rPr>
          <w:rFonts w:ascii="Arial" w:hAnsi="Arial" w:cs="Arial"/>
          <w:spacing w:val="12"/>
          <w:sz w:val="22"/>
          <w:szCs w:val="22"/>
        </w:rPr>
        <w:t xml:space="preserve"> </w:t>
      </w:r>
      <w:r w:rsidRPr="00A64175">
        <w:rPr>
          <w:rFonts w:ascii="Arial" w:hAnsi="Arial" w:cs="Arial"/>
          <w:sz w:val="22"/>
          <w:szCs w:val="22"/>
        </w:rPr>
        <w:t>site</w:t>
      </w:r>
      <w:r w:rsidRPr="00A64175">
        <w:rPr>
          <w:rFonts w:ascii="Arial" w:hAnsi="Arial" w:cs="Arial"/>
          <w:spacing w:val="12"/>
          <w:sz w:val="22"/>
          <w:szCs w:val="22"/>
        </w:rPr>
        <w:t xml:space="preserve"> </w:t>
      </w:r>
      <w:r w:rsidRPr="00A64175">
        <w:rPr>
          <w:rFonts w:ascii="Arial" w:hAnsi="Arial" w:cs="Arial"/>
          <w:sz w:val="22"/>
          <w:szCs w:val="22"/>
        </w:rPr>
        <w:t>int</w:t>
      </w:r>
      <w:r w:rsidRPr="00A64175">
        <w:rPr>
          <w:rFonts w:ascii="Arial" w:hAnsi="Arial" w:cs="Arial"/>
          <w:spacing w:val="-1"/>
          <w:sz w:val="22"/>
          <w:szCs w:val="22"/>
        </w:rPr>
        <w:t>e</w:t>
      </w:r>
      <w:r w:rsidRPr="00A64175">
        <w:rPr>
          <w:rFonts w:ascii="Arial" w:hAnsi="Arial" w:cs="Arial"/>
          <w:sz w:val="22"/>
          <w:szCs w:val="22"/>
        </w:rPr>
        <w:t>rnet</w:t>
      </w:r>
      <w:r w:rsidRPr="00A64175">
        <w:rPr>
          <w:rFonts w:ascii="Arial" w:hAnsi="Arial" w:cs="Arial"/>
          <w:spacing w:val="12"/>
          <w:sz w:val="22"/>
          <w:szCs w:val="22"/>
        </w:rPr>
        <w:t xml:space="preserve"> </w:t>
      </w:r>
      <w:r w:rsidRPr="00A64175">
        <w:rPr>
          <w:rFonts w:ascii="Arial" w:hAnsi="Arial" w:cs="Arial"/>
          <w:sz w:val="22"/>
          <w:szCs w:val="22"/>
        </w:rPr>
        <w:t>de</w:t>
      </w:r>
      <w:r w:rsidRPr="00A64175">
        <w:rPr>
          <w:rFonts w:ascii="Arial" w:hAnsi="Arial" w:cs="Arial"/>
          <w:spacing w:val="12"/>
          <w:sz w:val="22"/>
          <w:szCs w:val="22"/>
        </w:rPr>
        <w:t xml:space="preserve"> </w:t>
      </w:r>
      <w:r w:rsidRPr="00A64175">
        <w:rPr>
          <w:rFonts w:ascii="Arial" w:hAnsi="Arial" w:cs="Arial"/>
          <w:sz w:val="22"/>
          <w:szCs w:val="22"/>
        </w:rPr>
        <w:t>la</w:t>
      </w:r>
      <w:r w:rsidRPr="00A64175">
        <w:rPr>
          <w:rFonts w:ascii="Arial" w:hAnsi="Arial" w:cs="Arial"/>
          <w:spacing w:val="12"/>
          <w:sz w:val="22"/>
          <w:szCs w:val="22"/>
        </w:rPr>
        <w:t xml:space="preserve"> </w:t>
      </w:r>
      <w:r w:rsidRPr="00A64175">
        <w:rPr>
          <w:rFonts w:ascii="Arial" w:hAnsi="Arial" w:cs="Arial"/>
          <w:sz w:val="22"/>
          <w:szCs w:val="22"/>
        </w:rPr>
        <w:t>BVMAC</w:t>
      </w:r>
      <w:r w:rsidRPr="00A64175">
        <w:rPr>
          <w:rFonts w:ascii="Arial" w:hAnsi="Arial" w:cs="Arial"/>
          <w:spacing w:val="12"/>
          <w:sz w:val="22"/>
          <w:szCs w:val="22"/>
        </w:rPr>
        <w:t xml:space="preserve"> </w:t>
      </w:r>
      <w:r w:rsidRPr="00A64175">
        <w:rPr>
          <w:rFonts w:ascii="Arial" w:hAnsi="Arial" w:cs="Arial"/>
          <w:sz w:val="22"/>
          <w:szCs w:val="22"/>
        </w:rPr>
        <w:t>et</w:t>
      </w:r>
      <w:r w:rsidRPr="00A64175">
        <w:rPr>
          <w:rFonts w:ascii="Arial" w:hAnsi="Arial" w:cs="Arial"/>
          <w:spacing w:val="12"/>
          <w:sz w:val="22"/>
          <w:szCs w:val="22"/>
        </w:rPr>
        <w:t xml:space="preserve"> </w:t>
      </w:r>
      <w:r w:rsidRPr="00A64175">
        <w:rPr>
          <w:rFonts w:ascii="Arial" w:hAnsi="Arial" w:cs="Arial"/>
          <w:spacing w:val="-2"/>
          <w:sz w:val="22"/>
          <w:szCs w:val="22"/>
        </w:rPr>
        <w:t>m</w:t>
      </w:r>
      <w:r w:rsidRPr="00A64175">
        <w:rPr>
          <w:rFonts w:ascii="Arial" w:hAnsi="Arial" w:cs="Arial"/>
          <w:spacing w:val="1"/>
          <w:sz w:val="22"/>
          <w:szCs w:val="22"/>
        </w:rPr>
        <w:t>i</w:t>
      </w:r>
      <w:r w:rsidRPr="00A64175">
        <w:rPr>
          <w:rFonts w:ascii="Arial" w:hAnsi="Arial" w:cs="Arial"/>
          <w:sz w:val="22"/>
          <w:szCs w:val="22"/>
        </w:rPr>
        <w:t>se</w:t>
      </w:r>
      <w:r w:rsidRPr="00A64175">
        <w:rPr>
          <w:rFonts w:ascii="Arial" w:hAnsi="Arial" w:cs="Arial"/>
          <w:spacing w:val="12"/>
          <w:sz w:val="22"/>
          <w:szCs w:val="22"/>
        </w:rPr>
        <w:t xml:space="preserve"> </w:t>
      </w:r>
      <w:r w:rsidRPr="00A64175">
        <w:rPr>
          <w:rFonts w:ascii="Arial" w:hAnsi="Arial" w:cs="Arial"/>
          <w:sz w:val="22"/>
          <w:szCs w:val="22"/>
        </w:rPr>
        <w:t>à</w:t>
      </w:r>
      <w:r w:rsidRPr="00A64175">
        <w:rPr>
          <w:rFonts w:ascii="Arial" w:hAnsi="Arial" w:cs="Arial"/>
          <w:spacing w:val="12"/>
          <w:sz w:val="22"/>
          <w:szCs w:val="22"/>
        </w:rPr>
        <w:t xml:space="preserve"> </w:t>
      </w:r>
      <w:r w:rsidRPr="00A64175">
        <w:rPr>
          <w:rFonts w:ascii="Arial" w:hAnsi="Arial" w:cs="Arial"/>
          <w:sz w:val="22"/>
          <w:szCs w:val="22"/>
        </w:rPr>
        <w:t>disposition</w:t>
      </w:r>
      <w:r w:rsidRPr="00A64175">
        <w:rPr>
          <w:rFonts w:ascii="Arial" w:hAnsi="Arial" w:cs="Arial"/>
          <w:spacing w:val="12"/>
          <w:sz w:val="22"/>
          <w:szCs w:val="22"/>
        </w:rPr>
        <w:t xml:space="preserve"> </w:t>
      </w:r>
      <w:r w:rsidRPr="00A64175">
        <w:rPr>
          <w:rFonts w:ascii="Arial" w:hAnsi="Arial" w:cs="Arial"/>
          <w:sz w:val="22"/>
          <w:szCs w:val="22"/>
        </w:rPr>
        <w:t>des</w:t>
      </w:r>
      <w:r w:rsidRPr="00A64175">
        <w:rPr>
          <w:rFonts w:ascii="Arial" w:hAnsi="Arial" w:cs="Arial"/>
          <w:spacing w:val="12"/>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ents</w:t>
      </w:r>
      <w:r w:rsidRPr="00A64175">
        <w:rPr>
          <w:rFonts w:ascii="Arial" w:hAnsi="Arial" w:cs="Arial"/>
          <w:spacing w:val="12"/>
          <w:sz w:val="22"/>
          <w:szCs w:val="22"/>
        </w:rPr>
        <w:t xml:space="preserve"> </w:t>
      </w:r>
      <w:r w:rsidRPr="00A64175">
        <w:rPr>
          <w:rFonts w:ascii="Arial" w:hAnsi="Arial" w:cs="Arial"/>
          <w:sz w:val="22"/>
          <w:szCs w:val="22"/>
        </w:rPr>
        <w:t>gratuite</w:t>
      </w:r>
      <w:r w:rsidRPr="00A64175">
        <w:rPr>
          <w:rFonts w:ascii="Arial" w:hAnsi="Arial" w:cs="Arial"/>
          <w:spacing w:val="-2"/>
          <w:sz w:val="22"/>
          <w:szCs w:val="22"/>
        </w:rPr>
        <w:t>m</w:t>
      </w:r>
      <w:r w:rsidRPr="00A64175">
        <w:rPr>
          <w:rFonts w:ascii="Arial" w:hAnsi="Arial" w:cs="Arial"/>
          <w:sz w:val="22"/>
          <w:szCs w:val="22"/>
        </w:rPr>
        <w:t>ent au lieu de son siège social lorsque l’ad</w:t>
      </w:r>
      <w:r w:rsidRPr="00A64175">
        <w:rPr>
          <w:rFonts w:ascii="Arial" w:hAnsi="Arial" w:cs="Arial"/>
          <w:spacing w:val="-2"/>
          <w:sz w:val="22"/>
          <w:szCs w:val="22"/>
        </w:rPr>
        <w:t>m</w:t>
      </w:r>
      <w:r w:rsidRPr="00A64175">
        <w:rPr>
          <w:rFonts w:ascii="Arial" w:hAnsi="Arial" w:cs="Arial"/>
          <w:spacing w:val="1"/>
          <w:sz w:val="22"/>
          <w:szCs w:val="22"/>
        </w:rPr>
        <w:t>i</w:t>
      </w:r>
      <w:r w:rsidRPr="00A64175">
        <w:rPr>
          <w:rFonts w:ascii="Arial" w:hAnsi="Arial" w:cs="Arial"/>
          <w:sz w:val="22"/>
          <w:szCs w:val="22"/>
        </w:rPr>
        <w:t>ss</w:t>
      </w:r>
      <w:r w:rsidRPr="00A64175">
        <w:rPr>
          <w:rFonts w:ascii="Arial" w:hAnsi="Arial" w:cs="Arial"/>
          <w:spacing w:val="-1"/>
          <w:sz w:val="22"/>
          <w:szCs w:val="22"/>
        </w:rPr>
        <w:t>i</w:t>
      </w:r>
      <w:r w:rsidRPr="00A64175">
        <w:rPr>
          <w:rFonts w:ascii="Arial" w:hAnsi="Arial" w:cs="Arial"/>
          <w:sz w:val="22"/>
          <w:szCs w:val="22"/>
        </w:rPr>
        <w:t>on des titres aux négociat</w:t>
      </w:r>
      <w:r w:rsidRPr="00A64175">
        <w:rPr>
          <w:rFonts w:ascii="Arial" w:hAnsi="Arial" w:cs="Arial"/>
          <w:spacing w:val="-1"/>
          <w:sz w:val="22"/>
          <w:szCs w:val="22"/>
        </w:rPr>
        <w:t>i</w:t>
      </w:r>
      <w:r w:rsidRPr="00A64175">
        <w:rPr>
          <w:rFonts w:ascii="Arial" w:hAnsi="Arial" w:cs="Arial"/>
          <w:sz w:val="22"/>
          <w:szCs w:val="22"/>
        </w:rPr>
        <w:t xml:space="preserve">ons </w:t>
      </w:r>
      <w:r w:rsidR="00121534" w:rsidRPr="00A64175">
        <w:rPr>
          <w:rFonts w:ascii="Arial" w:hAnsi="Arial" w:cs="Arial"/>
          <w:sz w:val="22"/>
          <w:szCs w:val="22"/>
        </w:rPr>
        <w:t>est envisagée</w:t>
      </w:r>
      <w:r w:rsidRPr="00A64175">
        <w:rPr>
          <w:rFonts w:ascii="Arial" w:hAnsi="Arial" w:cs="Arial"/>
          <w:sz w:val="22"/>
          <w:szCs w:val="22"/>
        </w:rPr>
        <w:t xml:space="preserve"> ;</w:t>
      </w:r>
    </w:p>
    <w:p w14:paraId="2981919E" w14:textId="77777777" w:rsidR="00B41214" w:rsidRPr="00A64175" w:rsidRDefault="00B41214" w:rsidP="00A64175">
      <w:pPr>
        <w:widowControl w:val="0"/>
        <w:autoSpaceDE w:val="0"/>
        <w:adjustRightInd w:val="0"/>
        <w:ind w:left="471"/>
        <w:jc w:val="both"/>
        <w:rPr>
          <w:rFonts w:ascii="Arial" w:hAnsi="Arial" w:cs="Arial"/>
          <w:sz w:val="22"/>
          <w:szCs w:val="22"/>
        </w:rPr>
      </w:pPr>
      <w:r w:rsidRPr="00A64175">
        <w:rPr>
          <w:rFonts w:ascii="Arial" w:hAnsi="Arial" w:cs="Arial"/>
          <w:sz w:val="22"/>
          <w:szCs w:val="22"/>
        </w:rPr>
        <w:t xml:space="preserve">-   </w:t>
      </w:r>
      <w:r w:rsidRPr="00A64175">
        <w:rPr>
          <w:rFonts w:ascii="Arial" w:hAnsi="Arial" w:cs="Arial"/>
          <w:spacing w:val="40"/>
          <w:sz w:val="22"/>
          <w:szCs w:val="22"/>
        </w:rPr>
        <w:t xml:space="preserve"> </w:t>
      </w:r>
      <w:r w:rsidRPr="00A64175">
        <w:rPr>
          <w:rFonts w:ascii="Arial" w:hAnsi="Arial" w:cs="Arial"/>
          <w:sz w:val="22"/>
          <w:szCs w:val="22"/>
        </w:rPr>
        <w:t>envoi sans frais d’une copie du docu</w:t>
      </w:r>
      <w:r w:rsidRPr="00A64175">
        <w:rPr>
          <w:rFonts w:ascii="Arial" w:hAnsi="Arial" w:cs="Arial"/>
          <w:spacing w:val="-2"/>
          <w:sz w:val="22"/>
          <w:szCs w:val="22"/>
        </w:rPr>
        <w:t>m</w:t>
      </w:r>
      <w:r w:rsidRPr="00A64175">
        <w:rPr>
          <w:rFonts w:ascii="Arial" w:hAnsi="Arial" w:cs="Arial"/>
          <w:sz w:val="22"/>
          <w:szCs w:val="22"/>
        </w:rPr>
        <w:t>ent d’infor</w:t>
      </w:r>
      <w:r w:rsidRPr="00A64175">
        <w:rPr>
          <w:rFonts w:ascii="Arial" w:hAnsi="Arial" w:cs="Arial"/>
          <w:spacing w:val="-1"/>
          <w:sz w:val="22"/>
          <w:szCs w:val="22"/>
        </w:rPr>
        <w:t>m</w:t>
      </w:r>
      <w:r w:rsidRPr="00A64175">
        <w:rPr>
          <w:rFonts w:ascii="Arial" w:hAnsi="Arial" w:cs="Arial"/>
          <w:sz w:val="22"/>
          <w:szCs w:val="22"/>
        </w:rPr>
        <w:t>ation à tout intéressé qui en fait la de</w:t>
      </w:r>
      <w:r w:rsidRPr="00A64175">
        <w:rPr>
          <w:rFonts w:ascii="Arial" w:hAnsi="Arial" w:cs="Arial"/>
          <w:spacing w:val="-2"/>
          <w:sz w:val="22"/>
          <w:szCs w:val="22"/>
        </w:rPr>
        <w:t>m</w:t>
      </w:r>
      <w:r w:rsidRPr="00A64175">
        <w:rPr>
          <w:rFonts w:ascii="Arial" w:hAnsi="Arial" w:cs="Arial"/>
          <w:sz w:val="22"/>
          <w:szCs w:val="22"/>
        </w:rPr>
        <w:t>ande.</w:t>
      </w:r>
    </w:p>
    <w:p w14:paraId="6ABC2C71" w14:textId="77777777" w:rsidR="00B41214" w:rsidRPr="00A64175" w:rsidRDefault="00B41214" w:rsidP="00A64175">
      <w:pPr>
        <w:widowControl w:val="0"/>
        <w:autoSpaceDE w:val="0"/>
        <w:adjustRightInd w:val="0"/>
        <w:spacing w:before="16" w:line="260" w:lineRule="exact"/>
        <w:jc w:val="both"/>
        <w:rPr>
          <w:rFonts w:ascii="Arial" w:hAnsi="Arial" w:cs="Arial"/>
          <w:sz w:val="22"/>
          <w:szCs w:val="22"/>
        </w:rPr>
      </w:pPr>
    </w:p>
    <w:p w14:paraId="5001E748" w14:textId="0163B87B" w:rsidR="00B41214" w:rsidRPr="00A64175" w:rsidRDefault="00B41214"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L’é</w:t>
      </w:r>
      <w:r w:rsidRPr="00A64175">
        <w:rPr>
          <w:rFonts w:ascii="Arial" w:hAnsi="Arial" w:cs="Arial"/>
          <w:spacing w:val="-2"/>
          <w:sz w:val="22"/>
          <w:szCs w:val="22"/>
        </w:rPr>
        <w:t>m</w:t>
      </w:r>
      <w:r w:rsidRPr="00A64175">
        <w:rPr>
          <w:rFonts w:ascii="Arial" w:hAnsi="Arial" w:cs="Arial"/>
          <w:sz w:val="22"/>
          <w:szCs w:val="22"/>
        </w:rPr>
        <w:t>etteur</w:t>
      </w:r>
      <w:r w:rsidRPr="00A64175">
        <w:rPr>
          <w:rFonts w:ascii="Arial" w:hAnsi="Arial" w:cs="Arial"/>
          <w:spacing w:val="2"/>
          <w:sz w:val="22"/>
          <w:szCs w:val="22"/>
        </w:rPr>
        <w:t xml:space="preserve"> </w:t>
      </w:r>
      <w:r w:rsidRPr="00A64175">
        <w:rPr>
          <w:rFonts w:ascii="Arial" w:hAnsi="Arial" w:cs="Arial"/>
          <w:sz w:val="22"/>
          <w:szCs w:val="22"/>
        </w:rPr>
        <w:t>est</w:t>
      </w:r>
      <w:r w:rsidRPr="00A64175">
        <w:rPr>
          <w:rFonts w:ascii="Arial" w:hAnsi="Arial" w:cs="Arial"/>
          <w:spacing w:val="2"/>
          <w:sz w:val="22"/>
          <w:szCs w:val="22"/>
        </w:rPr>
        <w:t xml:space="preserve"> </w:t>
      </w:r>
      <w:r w:rsidRPr="00A64175">
        <w:rPr>
          <w:rFonts w:ascii="Arial" w:hAnsi="Arial" w:cs="Arial"/>
          <w:sz w:val="22"/>
          <w:szCs w:val="22"/>
        </w:rPr>
        <w:t>tenu</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publier</w:t>
      </w:r>
      <w:r w:rsidRPr="00A64175">
        <w:rPr>
          <w:rFonts w:ascii="Arial" w:hAnsi="Arial" w:cs="Arial"/>
          <w:spacing w:val="2"/>
          <w:sz w:val="22"/>
          <w:szCs w:val="22"/>
        </w:rPr>
        <w:t xml:space="preserve"> </w:t>
      </w:r>
      <w:r w:rsidRPr="00A64175">
        <w:rPr>
          <w:rFonts w:ascii="Arial" w:hAnsi="Arial" w:cs="Arial"/>
          <w:sz w:val="22"/>
          <w:szCs w:val="22"/>
        </w:rPr>
        <w:t>un</w:t>
      </w:r>
      <w:r w:rsidRPr="00A64175">
        <w:rPr>
          <w:rFonts w:ascii="Arial" w:hAnsi="Arial" w:cs="Arial"/>
          <w:spacing w:val="2"/>
          <w:sz w:val="22"/>
          <w:szCs w:val="22"/>
        </w:rPr>
        <w:t xml:space="preserve"> </w:t>
      </w:r>
      <w:r w:rsidRPr="00A64175">
        <w:rPr>
          <w:rFonts w:ascii="Arial" w:hAnsi="Arial" w:cs="Arial"/>
          <w:sz w:val="22"/>
          <w:szCs w:val="22"/>
        </w:rPr>
        <w:t>avis</w:t>
      </w:r>
      <w:r w:rsidRPr="00A64175">
        <w:rPr>
          <w:rFonts w:ascii="Arial" w:hAnsi="Arial" w:cs="Arial"/>
          <w:spacing w:val="1"/>
          <w:sz w:val="22"/>
          <w:szCs w:val="22"/>
        </w:rPr>
        <w:t xml:space="preserve"> </w:t>
      </w:r>
      <w:r w:rsidRPr="00A64175">
        <w:rPr>
          <w:rFonts w:ascii="Arial" w:hAnsi="Arial" w:cs="Arial"/>
          <w:sz w:val="22"/>
          <w:szCs w:val="22"/>
        </w:rPr>
        <w:t>dans</w:t>
      </w:r>
      <w:r w:rsidRPr="00A64175">
        <w:rPr>
          <w:rFonts w:ascii="Arial" w:hAnsi="Arial" w:cs="Arial"/>
          <w:spacing w:val="3"/>
          <w:sz w:val="22"/>
          <w:szCs w:val="22"/>
        </w:rPr>
        <w:t xml:space="preserve"> </w:t>
      </w:r>
      <w:r w:rsidRPr="00A64175">
        <w:rPr>
          <w:rFonts w:ascii="Arial" w:hAnsi="Arial" w:cs="Arial"/>
          <w:sz w:val="22"/>
          <w:szCs w:val="22"/>
        </w:rPr>
        <w:t>un</w:t>
      </w:r>
      <w:r w:rsidRPr="00A64175">
        <w:rPr>
          <w:rFonts w:ascii="Arial" w:hAnsi="Arial" w:cs="Arial"/>
          <w:spacing w:val="3"/>
          <w:sz w:val="22"/>
          <w:szCs w:val="22"/>
        </w:rPr>
        <w:t xml:space="preserve"> </w:t>
      </w:r>
      <w:r w:rsidRPr="00A64175">
        <w:rPr>
          <w:rFonts w:ascii="Arial" w:hAnsi="Arial" w:cs="Arial"/>
          <w:sz w:val="22"/>
          <w:szCs w:val="22"/>
        </w:rPr>
        <w:t>journal</w:t>
      </w:r>
      <w:r w:rsidRPr="00A64175">
        <w:rPr>
          <w:rFonts w:ascii="Arial" w:hAnsi="Arial" w:cs="Arial"/>
          <w:spacing w:val="3"/>
          <w:sz w:val="22"/>
          <w:szCs w:val="22"/>
        </w:rPr>
        <w:t xml:space="preserve"> </w:t>
      </w:r>
      <w:r w:rsidRPr="00A64175">
        <w:rPr>
          <w:rFonts w:ascii="Arial" w:hAnsi="Arial" w:cs="Arial"/>
          <w:sz w:val="22"/>
          <w:szCs w:val="22"/>
        </w:rPr>
        <w:t>de diffusion</w:t>
      </w:r>
      <w:r w:rsidRPr="00A64175">
        <w:rPr>
          <w:rFonts w:ascii="Arial" w:hAnsi="Arial" w:cs="Arial"/>
          <w:spacing w:val="3"/>
          <w:sz w:val="22"/>
          <w:szCs w:val="22"/>
        </w:rPr>
        <w:t xml:space="preserve"> </w:t>
      </w:r>
      <w:r w:rsidRPr="00A64175">
        <w:rPr>
          <w:rFonts w:ascii="Arial" w:hAnsi="Arial" w:cs="Arial"/>
          <w:sz w:val="22"/>
          <w:szCs w:val="22"/>
        </w:rPr>
        <w:t>nationale</w:t>
      </w:r>
      <w:r w:rsidRPr="00A64175">
        <w:rPr>
          <w:rFonts w:ascii="Arial" w:hAnsi="Arial" w:cs="Arial"/>
          <w:spacing w:val="3"/>
          <w:sz w:val="22"/>
          <w:szCs w:val="22"/>
        </w:rPr>
        <w:t xml:space="preserve"> </w:t>
      </w:r>
      <w:r w:rsidRPr="00A64175">
        <w:rPr>
          <w:rFonts w:ascii="Arial" w:hAnsi="Arial" w:cs="Arial"/>
          <w:sz w:val="22"/>
          <w:szCs w:val="22"/>
        </w:rPr>
        <w:t>dans</w:t>
      </w:r>
      <w:r w:rsidRPr="00A64175">
        <w:rPr>
          <w:rFonts w:ascii="Arial" w:hAnsi="Arial" w:cs="Arial"/>
          <w:spacing w:val="2"/>
          <w:sz w:val="22"/>
          <w:szCs w:val="22"/>
        </w:rPr>
        <w:t xml:space="preserve"> </w:t>
      </w:r>
      <w:r w:rsidRPr="00A64175">
        <w:rPr>
          <w:rFonts w:ascii="Arial" w:hAnsi="Arial" w:cs="Arial"/>
          <w:sz w:val="22"/>
          <w:szCs w:val="22"/>
        </w:rPr>
        <w:t>chaque</w:t>
      </w:r>
      <w:r w:rsidRPr="00A64175">
        <w:rPr>
          <w:rFonts w:ascii="Arial" w:hAnsi="Arial" w:cs="Arial"/>
          <w:spacing w:val="2"/>
          <w:sz w:val="22"/>
          <w:szCs w:val="22"/>
        </w:rPr>
        <w:t xml:space="preserve"> </w:t>
      </w:r>
      <w:r w:rsidRPr="00A64175">
        <w:rPr>
          <w:rFonts w:ascii="Arial" w:hAnsi="Arial" w:cs="Arial"/>
          <w:spacing w:val="-1"/>
          <w:sz w:val="22"/>
          <w:szCs w:val="22"/>
        </w:rPr>
        <w:t>E</w:t>
      </w:r>
      <w:r w:rsidRPr="00A64175">
        <w:rPr>
          <w:rFonts w:ascii="Arial" w:hAnsi="Arial" w:cs="Arial"/>
          <w:spacing w:val="1"/>
          <w:sz w:val="22"/>
          <w:szCs w:val="22"/>
        </w:rPr>
        <w:t>t</w:t>
      </w:r>
      <w:r w:rsidRPr="00A64175">
        <w:rPr>
          <w:rFonts w:ascii="Arial" w:hAnsi="Arial" w:cs="Arial"/>
          <w:sz w:val="22"/>
          <w:szCs w:val="22"/>
        </w:rPr>
        <w:t>at</w:t>
      </w:r>
      <w:r w:rsidR="00121534" w:rsidRPr="00A64175">
        <w:rPr>
          <w:rFonts w:ascii="Arial" w:hAnsi="Arial" w:cs="Arial"/>
          <w:sz w:val="22"/>
          <w:szCs w:val="22"/>
        </w:rPr>
        <w:t xml:space="preserve"> membre</w:t>
      </w:r>
      <w:r w:rsidRPr="00A64175">
        <w:rPr>
          <w:rFonts w:ascii="Arial" w:hAnsi="Arial" w:cs="Arial"/>
          <w:spacing w:val="2"/>
          <w:sz w:val="22"/>
          <w:szCs w:val="22"/>
        </w:rPr>
        <w:t xml:space="preserve"> </w:t>
      </w:r>
      <w:r w:rsidRPr="00A64175">
        <w:rPr>
          <w:rFonts w:ascii="Arial" w:hAnsi="Arial" w:cs="Arial"/>
          <w:sz w:val="22"/>
          <w:szCs w:val="22"/>
        </w:rPr>
        <w:t>de</w:t>
      </w:r>
      <w:r w:rsidRPr="00A64175">
        <w:rPr>
          <w:rFonts w:ascii="Arial" w:hAnsi="Arial" w:cs="Arial"/>
          <w:spacing w:val="2"/>
          <w:sz w:val="22"/>
          <w:szCs w:val="22"/>
        </w:rPr>
        <w:t xml:space="preserve"> </w:t>
      </w:r>
      <w:r w:rsidRPr="00A64175">
        <w:rPr>
          <w:rFonts w:ascii="Arial" w:hAnsi="Arial" w:cs="Arial"/>
          <w:sz w:val="22"/>
          <w:szCs w:val="22"/>
        </w:rPr>
        <w:t>la CEMAC</w:t>
      </w:r>
      <w:r w:rsidRPr="00A64175">
        <w:rPr>
          <w:rFonts w:ascii="Arial" w:hAnsi="Arial" w:cs="Arial"/>
          <w:spacing w:val="56"/>
          <w:sz w:val="22"/>
          <w:szCs w:val="22"/>
        </w:rPr>
        <w:t xml:space="preserve"> </w:t>
      </w:r>
      <w:r w:rsidRPr="00A64175">
        <w:rPr>
          <w:rFonts w:ascii="Arial" w:hAnsi="Arial" w:cs="Arial"/>
          <w:sz w:val="22"/>
          <w:szCs w:val="22"/>
        </w:rPr>
        <w:t>pour</w:t>
      </w:r>
      <w:r w:rsidRPr="00A64175">
        <w:rPr>
          <w:rFonts w:ascii="Arial" w:hAnsi="Arial" w:cs="Arial"/>
          <w:spacing w:val="56"/>
          <w:sz w:val="22"/>
          <w:szCs w:val="22"/>
        </w:rPr>
        <w:t xml:space="preserve"> </w:t>
      </w:r>
      <w:r w:rsidRPr="00A64175">
        <w:rPr>
          <w:rFonts w:ascii="Arial" w:hAnsi="Arial" w:cs="Arial"/>
          <w:sz w:val="22"/>
          <w:szCs w:val="22"/>
        </w:rPr>
        <w:t>porter</w:t>
      </w:r>
      <w:r w:rsidRPr="00A64175">
        <w:rPr>
          <w:rFonts w:ascii="Arial" w:hAnsi="Arial" w:cs="Arial"/>
          <w:spacing w:val="56"/>
          <w:sz w:val="22"/>
          <w:szCs w:val="22"/>
        </w:rPr>
        <w:t xml:space="preserve"> </w:t>
      </w:r>
      <w:r w:rsidRPr="00A64175">
        <w:rPr>
          <w:rFonts w:ascii="Arial" w:hAnsi="Arial" w:cs="Arial"/>
          <w:sz w:val="22"/>
          <w:szCs w:val="22"/>
        </w:rPr>
        <w:t>à</w:t>
      </w:r>
      <w:r w:rsidRPr="00A64175">
        <w:rPr>
          <w:rFonts w:ascii="Arial" w:hAnsi="Arial" w:cs="Arial"/>
          <w:spacing w:val="56"/>
          <w:sz w:val="22"/>
          <w:szCs w:val="22"/>
        </w:rPr>
        <w:t xml:space="preserve"> </w:t>
      </w:r>
      <w:r w:rsidRPr="00A64175">
        <w:rPr>
          <w:rFonts w:ascii="Arial" w:hAnsi="Arial" w:cs="Arial"/>
          <w:sz w:val="22"/>
          <w:szCs w:val="22"/>
        </w:rPr>
        <w:t>la</w:t>
      </w:r>
      <w:r w:rsidRPr="00A64175">
        <w:rPr>
          <w:rFonts w:ascii="Arial" w:hAnsi="Arial" w:cs="Arial"/>
          <w:spacing w:val="56"/>
          <w:sz w:val="22"/>
          <w:szCs w:val="22"/>
        </w:rPr>
        <w:t xml:space="preserve"> </w:t>
      </w:r>
      <w:r w:rsidRPr="00A64175">
        <w:rPr>
          <w:rFonts w:ascii="Arial" w:hAnsi="Arial" w:cs="Arial"/>
          <w:sz w:val="22"/>
          <w:szCs w:val="22"/>
        </w:rPr>
        <w:t>connaissance</w:t>
      </w:r>
      <w:r w:rsidRPr="00A64175">
        <w:rPr>
          <w:rFonts w:ascii="Arial" w:hAnsi="Arial" w:cs="Arial"/>
          <w:spacing w:val="56"/>
          <w:sz w:val="22"/>
          <w:szCs w:val="22"/>
        </w:rPr>
        <w:t xml:space="preserve"> </w:t>
      </w:r>
      <w:r w:rsidRPr="00A64175">
        <w:rPr>
          <w:rFonts w:ascii="Arial" w:hAnsi="Arial" w:cs="Arial"/>
          <w:sz w:val="22"/>
          <w:szCs w:val="22"/>
        </w:rPr>
        <w:t>du</w:t>
      </w:r>
      <w:r w:rsidRPr="00A64175">
        <w:rPr>
          <w:rFonts w:ascii="Arial" w:hAnsi="Arial" w:cs="Arial"/>
          <w:spacing w:val="56"/>
          <w:sz w:val="22"/>
          <w:szCs w:val="22"/>
        </w:rPr>
        <w:t xml:space="preserve"> </w:t>
      </w:r>
      <w:r w:rsidRPr="00A64175">
        <w:rPr>
          <w:rFonts w:ascii="Arial" w:hAnsi="Arial" w:cs="Arial"/>
          <w:sz w:val="22"/>
          <w:szCs w:val="22"/>
        </w:rPr>
        <w:t>public</w:t>
      </w:r>
      <w:r w:rsidRPr="00A64175">
        <w:rPr>
          <w:rFonts w:ascii="Arial" w:hAnsi="Arial" w:cs="Arial"/>
          <w:spacing w:val="56"/>
          <w:sz w:val="22"/>
          <w:szCs w:val="22"/>
        </w:rPr>
        <w:t xml:space="preserve"> </w:t>
      </w:r>
      <w:r w:rsidRPr="00A64175">
        <w:rPr>
          <w:rFonts w:ascii="Arial" w:hAnsi="Arial" w:cs="Arial"/>
          <w:sz w:val="22"/>
          <w:szCs w:val="22"/>
        </w:rPr>
        <w:t>l’adresse</w:t>
      </w:r>
      <w:r w:rsidRPr="00A64175">
        <w:rPr>
          <w:rFonts w:ascii="Arial" w:hAnsi="Arial" w:cs="Arial"/>
          <w:spacing w:val="56"/>
          <w:sz w:val="22"/>
          <w:szCs w:val="22"/>
        </w:rPr>
        <w:t xml:space="preserve"> </w:t>
      </w:r>
      <w:r w:rsidRPr="00A64175">
        <w:rPr>
          <w:rFonts w:ascii="Arial" w:hAnsi="Arial" w:cs="Arial"/>
          <w:sz w:val="22"/>
          <w:szCs w:val="22"/>
        </w:rPr>
        <w:t>où</w:t>
      </w:r>
      <w:r w:rsidRPr="00A64175">
        <w:rPr>
          <w:rFonts w:ascii="Arial" w:hAnsi="Arial" w:cs="Arial"/>
          <w:spacing w:val="56"/>
          <w:sz w:val="22"/>
          <w:szCs w:val="22"/>
        </w:rPr>
        <w:t xml:space="preserve"> </w:t>
      </w:r>
      <w:r w:rsidRPr="00A64175">
        <w:rPr>
          <w:rFonts w:ascii="Arial" w:hAnsi="Arial" w:cs="Arial"/>
          <w:sz w:val="22"/>
          <w:szCs w:val="22"/>
        </w:rPr>
        <w:t>le</w:t>
      </w:r>
      <w:r w:rsidRPr="00A64175">
        <w:rPr>
          <w:rFonts w:ascii="Arial" w:hAnsi="Arial" w:cs="Arial"/>
          <w:spacing w:val="56"/>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56"/>
          <w:sz w:val="22"/>
          <w:szCs w:val="22"/>
        </w:rPr>
        <w:t xml:space="preserve"> </w:t>
      </w:r>
      <w:r w:rsidRPr="00A64175">
        <w:rPr>
          <w:rFonts w:ascii="Arial" w:hAnsi="Arial" w:cs="Arial"/>
          <w:sz w:val="22"/>
          <w:szCs w:val="22"/>
        </w:rPr>
        <w:t>d’info</w:t>
      </w:r>
      <w:r w:rsidRPr="00A64175">
        <w:rPr>
          <w:rFonts w:ascii="Arial" w:hAnsi="Arial" w:cs="Arial"/>
          <w:spacing w:val="2"/>
          <w:sz w:val="22"/>
          <w:szCs w:val="22"/>
        </w:rPr>
        <w:t>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56"/>
          <w:sz w:val="22"/>
          <w:szCs w:val="22"/>
        </w:rPr>
        <w:t xml:space="preserve"> </w:t>
      </w:r>
      <w:r w:rsidRPr="00A64175">
        <w:rPr>
          <w:rFonts w:ascii="Arial" w:hAnsi="Arial" w:cs="Arial"/>
          <w:sz w:val="22"/>
          <w:szCs w:val="22"/>
        </w:rPr>
        <w:t>peut</w:t>
      </w:r>
      <w:r w:rsidRPr="00A64175">
        <w:rPr>
          <w:rFonts w:ascii="Arial" w:hAnsi="Arial" w:cs="Arial"/>
          <w:spacing w:val="56"/>
          <w:sz w:val="22"/>
          <w:szCs w:val="22"/>
        </w:rPr>
        <w:t xml:space="preserve"> </w:t>
      </w:r>
      <w:r w:rsidRPr="00A64175">
        <w:rPr>
          <w:rFonts w:ascii="Arial" w:hAnsi="Arial" w:cs="Arial"/>
          <w:sz w:val="22"/>
          <w:szCs w:val="22"/>
        </w:rPr>
        <w:t>être consulté</w:t>
      </w:r>
      <w:r w:rsidRPr="00A64175">
        <w:rPr>
          <w:rFonts w:ascii="Arial" w:hAnsi="Arial" w:cs="Arial"/>
          <w:spacing w:val="12"/>
          <w:sz w:val="22"/>
          <w:szCs w:val="22"/>
        </w:rPr>
        <w:t xml:space="preserve"> </w:t>
      </w:r>
      <w:r w:rsidRPr="00A64175">
        <w:rPr>
          <w:rFonts w:ascii="Arial" w:hAnsi="Arial" w:cs="Arial"/>
          <w:sz w:val="22"/>
          <w:szCs w:val="22"/>
        </w:rPr>
        <w:t>et</w:t>
      </w:r>
      <w:r w:rsidRPr="00A64175">
        <w:rPr>
          <w:rFonts w:ascii="Arial" w:hAnsi="Arial" w:cs="Arial"/>
          <w:spacing w:val="12"/>
          <w:sz w:val="22"/>
          <w:szCs w:val="22"/>
        </w:rPr>
        <w:t xml:space="preserve"> </w:t>
      </w:r>
      <w:r w:rsidRPr="00A64175">
        <w:rPr>
          <w:rFonts w:ascii="Arial" w:hAnsi="Arial" w:cs="Arial"/>
          <w:sz w:val="22"/>
          <w:szCs w:val="22"/>
        </w:rPr>
        <w:t>où</w:t>
      </w:r>
      <w:r w:rsidRPr="00A64175">
        <w:rPr>
          <w:rFonts w:ascii="Arial" w:hAnsi="Arial" w:cs="Arial"/>
          <w:spacing w:val="12"/>
          <w:sz w:val="22"/>
          <w:szCs w:val="22"/>
        </w:rPr>
        <w:t xml:space="preserve"> </w:t>
      </w:r>
      <w:r w:rsidRPr="00A64175">
        <w:rPr>
          <w:rFonts w:ascii="Arial" w:hAnsi="Arial" w:cs="Arial"/>
          <w:sz w:val="22"/>
          <w:szCs w:val="22"/>
        </w:rPr>
        <w:t>une</w:t>
      </w:r>
      <w:r w:rsidRPr="00A64175">
        <w:rPr>
          <w:rFonts w:ascii="Arial" w:hAnsi="Arial" w:cs="Arial"/>
          <w:spacing w:val="12"/>
          <w:sz w:val="22"/>
          <w:szCs w:val="22"/>
        </w:rPr>
        <w:t xml:space="preserve"> </w:t>
      </w:r>
      <w:r w:rsidRPr="00A64175">
        <w:rPr>
          <w:rFonts w:ascii="Arial" w:hAnsi="Arial" w:cs="Arial"/>
          <w:sz w:val="22"/>
          <w:szCs w:val="22"/>
        </w:rPr>
        <w:t>copie</w:t>
      </w:r>
      <w:r w:rsidRPr="00A64175">
        <w:rPr>
          <w:rFonts w:ascii="Arial" w:hAnsi="Arial" w:cs="Arial"/>
          <w:spacing w:val="12"/>
          <w:sz w:val="22"/>
          <w:szCs w:val="22"/>
        </w:rPr>
        <w:t xml:space="preserve"> </w:t>
      </w:r>
      <w:r w:rsidRPr="00A64175">
        <w:rPr>
          <w:rFonts w:ascii="Arial" w:hAnsi="Arial" w:cs="Arial"/>
          <w:sz w:val="22"/>
          <w:szCs w:val="22"/>
        </w:rPr>
        <w:t>peut</w:t>
      </w:r>
      <w:r w:rsidRPr="00A64175">
        <w:rPr>
          <w:rFonts w:ascii="Arial" w:hAnsi="Arial" w:cs="Arial"/>
          <w:spacing w:val="12"/>
          <w:sz w:val="22"/>
          <w:szCs w:val="22"/>
        </w:rPr>
        <w:t xml:space="preserve"> </w:t>
      </w:r>
      <w:r w:rsidRPr="00A64175">
        <w:rPr>
          <w:rFonts w:ascii="Arial" w:hAnsi="Arial" w:cs="Arial"/>
          <w:sz w:val="22"/>
          <w:szCs w:val="22"/>
        </w:rPr>
        <w:t>être</w:t>
      </w:r>
      <w:r w:rsidRPr="00A64175">
        <w:rPr>
          <w:rFonts w:ascii="Arial" w:hAnsi="Arial" w:cs="Arial"/>
          <w:spacing w:val="11"/>
          <w:sz w:val="22"/>
          <w:szCs w:val="22"/>
        </w:rPr>
        <w:t xml:space="preserve"> </w:t>
      </w:r>
      <w:r w:rsidRPr="00A64175">
        <w:rPr>
          <w:rFonts w:ascii="Arial" w:hAnsi="Arial" w:cs="Arial"/>
          <w:sz w:val="22"/>
          <w:szCs w:val="22"/>
        </w:rPr>
        <w:t>obtenue</w:t>
      </w:r>
      <w:r w:rsidRPr="00A64175">
        <w:rPr>
          <w:rFonts w:ascii="Arial" w:hAnsi="Arial" w:cs="Arial"/>
          <w:spacing w:val="11"/>
          <w:sz w:val="22"/>
          <w:szCs w:val="22"/>
        </w:rPr>
        <w:t xml:space="preserve"> </w:t>
      </w:r>
      <w:r w:rsidRPr="00A64175">
        <w:rPr>
          <w:rFonts w:ascii="Arial" w:hAnsi="Arial" w:cs="Arial"/>
          <w:sz w:val="22"/>
          <w:szCs w:val="22"/>
        </w:rPr>
        <w:t>ainsi</w:t>
      </w:r>
      <w:r w:rsidRPr="00A64175">
        <w:rPr>
          <w:rFonts w:ascii="Arial" w:hAnsi="Arial" w:cs="Arial"/>
          <w:spacing w:val="11"/>
          <w:sz w:val="22"/>
          <w:szCs w:val="22"/>
        </w:rPr>
        <w:t xml:space="preserve"> </w:t>
      </w:r>
      <w:r w:rsidRPr="00A64175">
        <w:rPr>
          <w:rFonts w:ascii="Arial" w:hAnsi="Arial" w:cs="Arial"/>
          <w:sz w:val="22"/>
          <w:szCs w:val="22"/>
        </w:rPr>
        <w:t>que,</w:t>
      </w:r>
      <w:r w:rsidRPr="00A64175">
        <w:rPr>
          <w:rFonts w:ascii="Arial" w:hAnsi="Arial" w:cs="Arial"/>
          <w:spacing w:val="11"/>
          <w:sz w:val="22"/>
          <w:szCs w:val="22"/>
        </w:rPr>
        <w:t xml:space="preserve"> </w:t>
      </w:r>
      <w:r w:rsidRPr="00A64175">
        <w:rPr>
          <w:rFonts w:ascii="Arial" w:hAnsi="Arial" w:cs="Arial"/>
          <w:sz w:val="22"/>
          <w:szCs w:val="22"/>
        </w:rPr>
        <w:t>le</w:t>
      </w:r>
      <w:r w:rsidRPr="00A64175">
        <w:rPr>
          <w:rFonts w:ascii="Arial" w:hAnsi="Arial" w:cs="Arial"/>
          <w:spacing w:val="11"/>
          <w:sz w:val="22"/>
          <w:szCs w:val="22"/>
        </w:rPr>
        <w:t xml:space="preserve"> </w:t>
      </w:r>
      <w:r w:rsidRPr="00A64175">
        <w:rPr>
          <w:rFonts w:ascii="Arial" w:hAnsi="Arial" w:cs="Arial"/>
          <w:sz w:val="22"/>
          <w:szCs w:val="22"/>
        </w:rPr>
        <w:t>cas</w:t>
      </w:r>
      <w:r w:rsidRPr="00A64175">
        <w:rPr>
          <w:rFonts w:ascii="Arial" w:hAnsi="Arial" w:cs="Arial"/>
          <w:spacing w:val="11"/>
          <w:sz w:val="22"/>
          <w:szCs w:val="22"/>
        </w:rPr>
        <w:t xml:space="preserve"> </w:t>
      </w:r>
      <w:r w:rsidRPr="00A64175">
        <w:rPr>
          <w:rFonts w:ascii="Arial" w:hAnsi="Arial" w:cs="Arial"/>
          <w:sz w:val="22"/>
          <w:szCs w:val="22"/>
        </w:rPr>
        <w:t>échéant,</w:t>
      </w:r>
      <w:r w:rsidRPr="00A64175">
        <w:rPr>
          <w:rFonts w:ascii="Arial" w:hAnsi="Arial" w:cs="Arial"/>
          <w:spacing w:val="11"/>
          <w:sz w:val="22"/>
          <w:szCs w:val="22"/>
        </w:rPr>
        <w:t xml:space="preserve"> </w:t>
      </w:r>
      <w:r w:rsidRPr="00A64175">
        <w:rPr>
          <w:rFonts w:ascii="Arial" w:hAnsi="Arial" w:cs="Arial"/>
          <w:sz w:val="22"/>
          <w:szCs w:val="22"/>
        </w:rPr>
        <w:t>l</w:t>
      </w:r>
      <w:r w:rsidRPr="00A64175">
        <w:rPr>
          <w:rFonts w:ascii="Arial" w:hAnsi="Arial" w:cs="Arial"/>
          <w:spacing w:val="-2"/>
          <w:sz w:val="22"/>
          <w:szCs w:val="22"/>
        </w:rPr>
        <w:t>e</w:t>
      </w:r>
      <w:r w:rsidRPr="00A64175">
        <w:rPr>
          <w:rFonts w:ascii="Arial" w:hAnsi="Arial" w:cs="Arial"/>
          <w:sz w:val="22"/>
          <w:szCs w:val="22"/>
        </w:rPr>
        <w:t>s</w:t>
      </w:r>
      <w:r w:rsidRPr="00A64175">
        <w:rPr>
          <w:rFonts w:ascii="Arial" w:hAnsi="Arial" w:cs="Arial"/>
          <w:spacing w:val="12"/>
          <w:sz w:val="22"/>
          <w:szCs w:val="22"/>
        </w:rPr>
        <w:t xml:space="preserve"> </w:t>
      </w:r>
      <w:r w:rsidRPr="00A64175">
        <w:rPr>
          <w:rFonts w:ascii="Arial" w:hAnsi="Arial" w:cs="Arial"/>
          <w:sz w:val="22"/>
          <w:szCs w:val="22"/>
        </w:rPr>
        <w:t>no</w:t>
      </w:r>
      <w:r w:rsidRPr="00A64175">
        <w:rPr>
          <w:rFonts w:ascii="Arial" w:hAnsi="Arial" w:cs="Arial"/>
          <w:spacing w:val="-2"/>
          <w:sz w:val="22"/>
          <w:szCs w:val="22"/>
        </w:rPr>
        <w:t>m</w:t>
      </w:r>
      <w:r w:rsidRPr="00A64175">
        <w:rPr>
          <w:rFonts w:ascii="Arial" w:hAnsi="Arial" w:cs="Arial"/>
          <w:sz w:val="22"/>
          <w:szCs w:val="22"/>
        </w:rPr>
        <w:t>s</w:t>
      </w:r>
      <w:r w:rsidRPr="00A64175">
        <w:rPr>
          <w:rFonts w:ascii="Arial" w:hAnsi="Arial" w:cs="Arial"/>
          <w:spacing w:val="12"/>
          <w:sz w:val="22"/>
          <w:szCs w:val="22"/>
        </w:rPr>
        <w:t xml:space="preserve"> </w:t>
      </w:r>
      <w:r w:rsidRPr="00A64175">
        <w:rPr>
          <w:rFonts w:ascii="Arial" w:hAnsi="Arial" w:cs="Arial"/>
          <w:sz w:val="22"/>
          <w:szCs w:val="22"/>
        </w:rPr>
        <w:t>des</w:t>
      </w:r>
      <w:r w:rsidRPr="00A64175">
        <w:rPr>
          <w:rFonts w:ascii="Arial" w:hAnsi="Arial" w:cs="Arial"/>
          <w:spacing w:val="12"/>
          <w:sz w:val="22"/>
          <w:szCs w:val="22"/>
        </w:rPr>
        <w:t xml:space="preserve"> </w:t>
      </w:r>
      <w:r w:rsidRPr="00A64175">
        <w:rPr>
          <w:rFonts w:ascii="Arial" w:hAnsi="Arial" w:cs="Arial"/>
          <w:sz w:val="22"/>
          <w:szCs w:val="22"/>
        </w:rPr>
        <w:t>journaux</w:t>
      </w:r>
      <w:r w:rsidRPr="00A64175">
        <w:rPr>
          <w:rFonts w:ascii="Arial" w:hAnsi="Arial" w:cs="Arial"/>
          <w:spacing w:val="12"/>
          <w:sz w:val="22"/>
          <w:szCs w:val="22"/>
        </w:rPr>
        <w:t xml:space="preserve"> </w:t>
      </w:r>
      <w:r w:rsidRPr="00A64175">
        <w:rPr>
          <w:rFonts w:ascii="Arial" w:hAnsi="Arial" w:cs="Arial"/>
          <w:sz w:val="22"/>
          <w:szCs w:val="22"/>
        </w:rPr>
        <w:t>dans</w:t>
      </w:r>
      <w:r w:rsidRPr="00A64175">
        <w:rPr>
          <w:rFonts w:ascii="Arial" w:hAnsi="Arial" w:cs="Arial"/>
          <w:spacing w:val="12"/>
          <w:sz w:val="22"/>
          <w:szCs w:val="22"/>
        </w:rPr>
        <w:t xml:space="preserve"> </w:t>
      </w:r>
      <w:r w:rsidRPr="00A64175">
        <w:rPr>
          <w:rFonts w:ascii="Arial" w:hAnsi="Arial" w:cs="Arial"/>
          <w:sz w:val="22"/>
          <w:szCs w:val="22"/>
        </w:rPr>
        <w:t>lesquels le docu</w:t>
      </w:r>
      <w:r w:rsidRPr="00A64175">
        <w:rPr>
          <w:rFonts w:ascii="Arial" w:hAnsi="Arial" w:cs="Arial"/>
          <w:spacing w:val="-2"/>
          <w:sz w:val="22"/>
          <w:szCs w:val="22"/>
        </w:rPr>
        <w:t>m</w:t>
      </w:r>
      <w:r w:rsidRPr="00A64175">
        <w:rPr>
          <w:rFonts w:ascii="Arial" w:hAnsi="Arial" w:cs="Arial"/>
          <w:sz w:val="22"/>
          <w:szCs w:val="22"/>
        </w:rPr>
        <w:t>ent d’infor</w:t>
      </w:r>
      <w:r w:rsidRPr="00A64175">
        <w:rPr>
          <w:rFonts w:ascii="Arial" w:hAnsi="Arial" w:cs="Arial"/>
          <w:spacing w:val="-2"/>
          <w:sz w:val="22"/>
          <w:szCs w:val="22"/>
        </w:rPr>
        <w:t>m</w:t>
      </w:r>
      <w:r w:rsidRPr="00A64175">
        <w:rPr>
          <w:rFonts w:ascii="Arial" w:hAnsi="Arial" w:cs="Arial"/>
          <w:sz w:val="22"/>
          <w:szCs w:val="22"/>
        </w:rPr>
        <w:t>ation co</w:t>
      </w:r>
      <w:r w:rsidRPr="00A64175">
        <w:rPr>
          <w:rFonts w:ascii="Arial" w:hAnsi="Arial" w:cs="Arial"/>
          <w:spacing w:val="-2"/>
          <w:sz w:val="22"/>
          <w:szCs w:val="22"/>
        </w:rPr>
        <w:t>m</w:t>
      </w:r>
      <w:r w:rsidRPr="00A64175">
        <w:rPr>
          <w:rFonts w:ascii="Arial" w:hAnsi="Arial" w:cs="Arial"/>
          <w:sz w:val="22"/>
          <w:szCs w:val="22"/>
        </w:rPr>
        <w:t>plet est diffusé.</w:t>
      </w:r>
    </w:p>
    <w:p w14:paraId="29C80120" w14:textId="77777777" w:rsidR="00B41214" w:rsidRPr="00A64175" w:rsidRDefault="00B41214" w:rsidP="00A64175">
      <w:pPr>
        <w:widowControl w:val="0"/>
        <w:autoSpaceDE w:val="0"/>
        <w:adjustRightInd w:val="0"/>
        <w:spacing w:before="12" w:line="240" w:lineRule="exact"/>
        <w:jc w:val="both"/>
        <w:rPr>
          <w:rFonts w:ascii="Arial" w:hAnsi="Arial" w:cs="Arial"/>
          <w:sz w:val="22"/>
          <w:szCs w:val="22"/>
        </w:rPr>
      </w:pPr>
    </w:p>
    <w:p w14:paraId="230E5622" w14:textId="648F828D" w:rsidR="006D22F7" w:rsidRPr="00A64175" w:rsidRDefault="006D22F7"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w:t>
      </w:r>
      <w:r w:rsidR="00F30BDF" w:rsidRPr="00A64175">
        <w:rPr>
          <w:rFonts w:ascii="Arial" w:hAnsi="Arial" w:cs="Arial"/>
          <w:b/>
          <w:bCs/>
          <w:sz w:val="22"/>
          <w:szCs w:val="22"/>
        </w:rPr>
        <w:t>icle 1</w:t>
      </w:r>
      <w:r w:rsidR="001A0152">
        <w:rPr>
          <w:rFonts w:ascii="Arial" w:hAnsi="Arial" w:cs="Arial"/>
          <w:b/>
          <w:bCs/>
          <w:sz w:val="22"/>
          <w:szCs w:val="22"/>
        </w:rPr>
        <w:t>60</w:t>
      </w:r>
      <w:r w:rsidRPr="00A64175">
        <w:rPr>
          <w:rFonts w:ascii="Arial" w:hAnsi="Arial" w:cs="Arial"/>
          <w:b/>
          <w:bCs/>
          <w:sz w:val="22"/>
          <w:szCs w:val="22"/>
        </w:rPr>
        <w:t>. –</w:t>
      </w:r>
      <w:r w:rsidRPr="00A64175">
        <w:rPr>
          <w:rFonts w:ascii="Arial" w:hAnsi="Arial" w:cs="Arial"/>
          <w:bCs/>
          <w:sz w:val="22"/>
          <w:szCs w:val="22"/>
        </w:rPr>
        <w:t xml:space="preserve"> </w:t>
      </w:r>
      <w:r w:rsidRPr="00A64175">
        <w:rPr>
          <w:rFonts w:ascii="Arial" w:hAnsi="Arial" w:cs="Arial"/>
          <w:sz w:val="22"/>
          <w:szCs w:val="22"/>
        </w:rPr>
        <w:t>L’opération de placement ne peut débuter qu’à la date prévue</w:t>
      </w:r>
      <w:r w:rsidR="00527A50" w:rsidRPr="00A64175">
        <w:rPr>
          <w:rFonts w:ascii="Arial" w:hAnsi="Arial" w:cs="Arial"/>
          <w:sz w:val="22"/>
          <w:szCs w:val="22"/>
        </w:rPr>
        <w:t xml:space="preserve"> dans</w:t>
      </w:r>
      <w:r w:rsidR="00661D09">
        <w:rPr>
          <w:rFonts w:ascii="Arial" w:hAnsi="Arial" w:cs="Arial"/>
          <w:sz w:val="22"/>
          <w:szCs w:val="22"/>
        </w:rPr>
        <w:t xml:space="preserve"> la décision de la COSUMAF et mentionné</w:t>
      </w:r>
      <w:r w:rsidR="005403FC">
        <w:rPr>
          <w:rFonts w:ascii="Arial" w:hAnsi="Arial" w:cs="Arial"/>
          <w:sz w:val="22"/>
          <w:szCs w:val="22"/>
        </w:rPr>
        <w:t>e</w:t>
      </w:r>
      <w:r w:rsidR="00661D09">
        <w:rPr>
          <w:rFonts w:ascii="Arial" w:hAnsi="Arial" w:cs="Arial"/>
          <w:sz w:val="22"/>
          <w:szCs w:val="22"/>
        </w:rPr>
        <w:t xml:space="preserve"> dans le document d’information</w:t>
      </w:r>
      <w:r w:rsidRPr="00A64175">
        <w:rPr>
          <w:rFonts w:ascii="Arial" w:hAnsi="Arial" w:cs="Arial"/>
          <w:sz w:val="22"/>
          <w:szCs w:val="22"/>
        </w:rPr>
        <w:t xml:space="preserve"> pour l’ouverture des souscriptions.</w:t>
      </w:r>
      <w:r w:rsidR="00E1367F">
        <w:rPr>
          <w:rFonts w:ascii="Arial" w:hAnsi="Arial" w:cs="Arial"/>
          <w:sz w:val="22"/>
          <w:szCs w:val="22"/>
        </w:rPr>
        <w:t xml:space="preserve"> </w:t>
      </w:r>
    </w:p>
    <w:p w14:paraId="27445CA5" w14:textId="77777777" w:rsidR="006D22F7" w:rsidRPr="00A64175" w:rsidRDefault="006D22F7" w:rsidP="00A64175">
      <w:pPr>
        <w:autoSpaceDE w:val="0"/>
        <w:autoSpaceDN w:val="0"/>
        <w:adjustRightInd w:val="0"/>
        <w:jc w:val="both"/>
        <w:rPr>
          <w:rFonts w:ascii="Arial" w:hAnsi="Arial" w:cs="Arial"/>
          <w:sz w:val="22"/>
          <w:szCs w:val="22"/>
        </w:rPr>
      </w:pPr>
    </w:p>
    <w:p w14:paraId="780B2BD8" w14:textId="77777777" w:rsidR="006D22F7" w:rsidRPr="00A64175" w:rsidRDefault="006D22F7" w:rsidP="00A64175">
      <w:pPr>
        <w:autoSpaceDE w:val="0"/>
        <w:autoSpaceDN w:val="0"/>
        <w:adjustRightInd w:val="0"/>
        <w:jc w:val="both"/>
        <w:rPr>
          <w:rFonts w:ascii="Arial" w:hAnsi="Arial" w:cs="Arial"/>
          <w:sz w:val="22"/>
          <w:szCs w:val="22"/>
        </w:rPr>
      </w:pPr>
      <w:r w:rsidRPr="00A64175">
        <w:rPr>
          <w:rFonts w:ascii="Arial" w:hAnsi="Arial" w:cs="Arial"/>
          <w:sz w:val="22"/>
          <w:szCs w:val="22"/>
        </w:rPr>
        <w:t>Elle peut être précédée d’un période de « pré-placement », expirant à l’ouverture des souscriptions.</w:t>
      </w:r>
    </w:p>
    <w:p w14:paraId="04A2FE83" w14:textId="77777777" w:rsidR="006D22F7" w:rsidRPr="00A64175" w:rsidRDefault="006D22F7" w:rsidP="00A64175">
      <w:pPr>
        <w:autoSpaceDE w:val="0"/>
        <w:autoSpaceDN w:val="0"/>
        <w:adjustRightInd w:val="0"/>
        <w:jc w:val="both"/>
        <w:rPr>
          <w:rFonts w:ascii="Arial" w:hAnsi="Arial" w:cs="Arial"/>
          <w:sz w:val="22"/>
          <w:szCs w:val="22"/>
        </w:rPr>
      </w:pPr>
    </w:p>
    <w:p w14:paraId="7C0D478C" w14:textId="510F0664" w:rsidR="006D22F7" w:rsidRPr="00A64175" w:rsidRDefault="006D22F7" w:rsidP="00A64175">
      <w:pPr>
        <w:autoSpaceDE w:val="0"/>
        <w:autoSpaceDN w:val="0"/>
        <w:adjustRightInd w:val="0"/>
        <w:jc w:val="both"/>
        <w:rPr>
          <w:rFonts w:ascii="Arial" w:hAnsi="Arial" w:cs="Arial"/>
          <w:sz w:val="22"/>
          <w:szCs w:val="22"/>
        </w:rPr>
      </w:pPr>
      <w:r w:rsidRPr="00A64175">
        <w:rPr>
          <w:rFonts w:ascii="Arial" w:hAnsi="Arial" w:cs="Arial"/>
          <w:sz w:val="22"/>
          <w:szCs w:val="22"/>
        </w:rPr>
        <w:t>Durant cette période de « pré-placement », les intermédiaires chargés du placement des titres ne peuvent prendre des ordres fermes d’achat ou de souscription de titres. Toutefois, ils peuvent recevoir des déclarations d’intention de souscripteurs ou d’acheteurs potentiels.</w:t>
      </w:r>
    </w:p>
    <w:p w14:paraId="247EADC9" w14:textId="77777777" w:rsidR="006D22F7" w:rsidRPr="00A64175" w:rsidRDefault="006D22F7" w:rsidP="00A64175">
      <w:pPr>
        <w:widowControl w:val="0"/>
        <w:autoSpaceDE w:val="0"/>
        <w:adjustRightInd w:val="0"/>
        <w:spacing w:before="70" w:line="271" w:lineRule="exact"/>
        <w:ind w:left="111"/>
        <w:jc w:val="both"/>
        <w:rPr>
          <w:rFonts w:ascii="Arial" w:hAnsi="Arial" w:cs="Arial"/>
          <w:b/>
          <w:position w:val="-1"/>
          <w:sz w:val="22"/>
          <w:szCs w:val="22"/>
          <w:u w:val="single"/>
        </w:rPr>
      </w:pPr>
    </w:p>
    <w:p w14:paraId="2ADDCF76" w14:textId="77777777" w:rsidR="006D22F7" w:rsidRPr="00A64175" w:rsidRDefault="006D22F7" w:rsidP="00A64175">
      <w:pPr>
        <w:widowControl w:val="0"/>
        <w:autoSpaceDE w:val="0"/>
        <w:adjustRightInd w:val="0"/>
        <w:spacing w:before="70" w:line="271" w:lineRule="exact"/>
        <w:ind w:left="111"/>
        <w:jc w:val="both"/>
        <w:rPr>
          <w:rFonts w:ascii="Arial" w:hAnsi="Arial" w:cs="Arial"/>
          <w:b/>
          <w:position w:val="-1"/>
          <w:sz w:val="22"/>
          <w:szCs w:val="22"/>
          <w:u w:val="single"/>
        </w:rPr>
      </w:pPr>
    </w:p>
    <w:p w14:paraId="14A1097C" w14:textId="70904C23" w:rsidR="00B41214" w:rsidRPr="00A64175" w:rsidRDefault="00F30BDF" w:rsidP="00A64175">
      <w:pPr>
        <w:widowControl w:val="0"/>
        <w:autoSpaceDE w:val="0"/>
        <w:adjustRightInd w:val="0"/>
        <w:spacing w:before="29"/>
        <w:ind w:left="111" w:right="69"/>
        <w:jc w:val="both"/>
        <w:rPr>
          <w:rFonts w:ascii="Arial" w:hAnsi="Arial" w:cs="Arial"/>
          <w:sz w:val="22"/>
          <w:szCs w:val="22"/>
        </w:rPr>
      </w:pPr>
      <w:r w:rsidRPr="00A64175">
        <w:rPr>
          <w:rFonts w:ascii="Arial" w:hAnsi="Arial" w:cs="Arial"/>
          <w:b/>
          <w:bCs/>
          <w:sz w:val="22"/>
          <w:szCs w:val="22"/>
        </w:rPr>
        <w:t>Article 1</w:t>
      </w:r>
      <w:r w:rsidR="008F56E4">
        <w:rPr>
          <w:rFonts w:ascii="Arial" w:hAnsi="Arial" w:cs="Arial"/>
          <w:b/>
          <w:bCs/>
          <w:sz w:val="22"/>
          <w:szCs w:val="22"/>
        </w:rPr>
        <w:t>6</w:t>
      </w:r>
      <w:r w:rsidR="001A0152">
        <w:rPr>
          <w:rFonts w:ascii="Arial" w:hAnsi="Arial" w:cs="Arial"/>
          <w:b/>
          <w:bCs/>
          <w:sz w:val="22"/>
          <w:szCs w:val="22"/>
        </w:rPr>
        <w:t>1</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L’é</w:t>
      </w:r>
      <w:r w:rsidR="00B41214" w:rsidRPr="00A64175">
        <w:rPr>
          <w:rFonts w:ascii="Arial" w:hAnsi="Arial" w:cs="Arial"/>
          <w:spacing w:val="-2"/>
          <w:sz w:val="22"/>
          <w:szCs w:val="22"/>
        </w:rPr>
        <w:t>m</w:t>
      </w:r>
      <w:r w:rsidR="00B41214" w:rsidRPr="00A64175">
        <w:rPr>
          <w:rFonts w:ascii="Arial" w:hAnsi="Arial" w:cs="Arial"/>
          <w:sz w:val="22"/>
          <w:szCs w:val="22"/>
        </w:rPr>
        <w:t>etteur est ten</w:t>
      </w:r>
      <w:r w:rsidR="00000DB7" w:rsidRPr="00A64175">
        <w:rPr>
          <w:rFonts w:ascii="Arial" w:hAnsi="Arial" w:cs="Arial"/>
          <w:sz w:val="22"/>
          <w:szCs w:val="22"/>
        </w:rPr>
        <w:t>u de désigner une ou</w:t>
      </w:r>
      <w:r w:rsidR="00552FD6" w:rsidRPr="00A64175">
        <w:rPr>
          <w:rFonts w:ascii="Arial" w:hAnsi="Arial" w:cs="Arial"/>
          <w:sz w:val="22"/>
          <w:szCs w:val="22"/>
        </w:rPr>
        <w:t xml:space="preserve"> deux</w:t>
      </w:r>
      <w:r w:rsidR="00000DB7" w:rsidRPr="00A64175">
        <w:rPr>
          <w:rFonts w:ascii="Arial" w:hAnsi="Arial" w:cs="Arial"/>
          <w:sz w:val="22"/>
          <w:szCs w:val="22"/>
        </w:rPr>
        <w:t xml:space="preserve"> sociétés de b</w:t>
      </w:r>
      <w:r w:rsidR="00B41214" w:rsidRPr="00A64175">
        <w:rPr>
          <w:rFonts w:ascii="Arial" w:hAnsi="Arial" w:cs="Arial"/>
          <w:sz w:val="22"/>
          <w:szCs w:val="22"/>
        </w:rPr>
        <w:t>ourse chargées d’assurer</w:t>
      </w:r>
      <w:r w:rsidR="00552FD6" w:rsidRPr="00A64175">
        <w:rPr>
          <w:rFonts w:ascii="Arial" w:hAnsi="Arial" w:cs="Arial"/>
          <w:sz w:val="22"/>
          <w:szCs w:val="22"/>
        </w:rPr>
        <w:t xml:space="preserve"> la supervision et l’exécution</w:t>
      </w:r>
      <w:r w:rsidR="00B41214" w:rsidRPr="00A64175">
        <w:rPr>
          <w:rFonts w:ascii="Arial" w:hAnsi="Arial" w:cs="Arial"/>
          <w:sz w:val="22"/>
          <w:szCs w:val="22"/>
        </w:rPr>
        <w:t xml:space="preserve"> des opérations </w:t>
      </w:r>
      <w:r w:rsidR="00B41214" w:rsidRPr="00A64175">
        <w:rPr>
          <w:rFonts w:ascii="Arial" w:hAnsi="Arial" w:cs="Arial"/>
          <w:spacing w:val="-1"/>
          <w:sz w:val="22"/>
          <w:szCs w:val="22"/>
        </w:rPr>
        <w:t>d</w:t>
      </w:r>
      <w:r w:rsidR="00B41214" w:rsidRPr="00A64175">
        <w:rPr>
          <w:rFonts w:ascii="Arial" w:hAnsi="Arial" w:cs="Arial"/>
          <w:sz w:val="22"/>
          <w:szCs w:val="22"/>
        </w:rPr>
        <w:t>e place</w:t>
      </w:r>
      <w:r w:rsidR="00B41214" w:rsidRPr="00A64175">
        <w:rPr>
          <w:rFonts w:ascii="Arial" w:hAnsi="Arial" w:cs="Arial"/>
          <w:spacing w:val="-2"/>
          <w:sz w:val="22"/>
          <w:szCs w:val="22"/>
        </w:rPr>
        <w:t>m</w:t>
      </w:r>
      <w:r w:rsidR="00B41214" w:rsidRPr="00A64175">
        <w:rPr>
          <w:rFonts w:ascii="Arial" w:hAnsi="Arial" w:cs="Arial"/>
          <w:sz w:val="22"/>
          <w:szCs w:val="22"/>
        </w:rPr>
        <w:t xml:space="preserve">ent des titres sur le Marché </w:t>
      </w:r>
      <w:r w:rsidR="00B41214" w:rsidRPr="00A64175">
        <w:rPr>
          <w:rFonts w:ascii="Arial" w:hAnsi="Arial" w:cs="Arial"/>
          <w:spacing w:val="-2"/>
          <w:sz w:val="22"/>
          <w:szCs w:val="22"/>
        </w:rPr>
        <w:t>F</w:t>
      </w:r>
      <w:r w:rsidR="00B41214" w:rsidRPr="00A64175">
        <w:rPr>
          <w:rFonts w:ascii="Arial" w:hAnsi="Arial" w:cs="Arial"/>
          <w:spacing w:val="1"/>
          <w:sz w:val="22"/>
          <w:szCs w:val="22"/>
        </w:rPr>
        <w:t>i</w:t>
      </w:r>
      <w:r w:rsidR="00B41214" w:rsidRPr="00A64175">
        <w:rPr>
          <w:rFonts w:ascii="Arial" w:hAnsi="Arial" w:cs="Arial"/>
          <w:sz w:val="22"/>
          <w:szCs w:val="22"/>
        </w:rPr>
        <w:t>nancier Ré</w:t>
      </w:r>
      <w:r w:rsidR="00B41214" w:rsidRPr="00A64175">
        <w:rPr>
          <w:rFonts w:ascii="Arial" w:hAnsi="Arial" w:cs="Arial"/>
          <w:spacing w:val="-1"/>
          <w:sz w:val="22"/>
          <w:szCs w:val="22"/>
        </w:rPr>
        <w:t>g</w:t>
      </w:r>
      <w:r w:rsidR="00B41214" w:rsidRPr="00A64175">
        <w:rPr>
          <w:rFonts w:ascii="Arial" w:hAnsi="Arial" w:cs="Arial"/>
          <w:spacing w:val="1"/>
          <w:sz w:val="22"/>
          <w:szCs w:val="22"/>
        </w:rPr>
        <w:t>i</w:t>
      </w:r>
      <w:r w:rsidR="00B41214" w:rsidRPr="00A64175">
        <w:rPr>
          <w:rFonts w:ascii="Arial" w:hAnsi="Arial" w:cs="Arial"/>
          <w:sz w:val="22"/>
          <w:szCs w:val="22"/>
        </w:rPr>
        <w:t>onal.</w:t>
      </w:r>
    </w:p>
    <w:p w14:paraId="2DEEA79A" w14:textId="77777777" w:rsidR="00527A50" w:rsidRPr="00A64175" w:rsidRDefault="00527A50" w:rsidP="00A64175">
      <w:pPr>
        <w:widowControl w:val="0"/>
        <w:autoSpaceDE w:val="0"/>
        <w:adjustRightInd w:val="0"/>
        <w:ind w:left="111" w:right="69"/>
        <w:jc w:val="both"/>
        <w:rPr>
          <w:rFonts w:ascii="Arial" w:hAnsi="Arial" w:cs="Arial"/>
          <w:sz w:val="22"/>
          <w:szCs w:val="22"/>
        </w:rPr>
      </w:pPr>
    </w:p>
    <w:p w14:paraId="696266E8" w14:textId="244E603E" w:rsidR="00B41214" w:rsidRPr="00A64175" w:rsidRDefault="00B41214" w:rsidP="00A64175">
      <w:pPr>
        <w:widowControl w:val="0"/>
        <w:autoSpaceDE w:val="0"/>
        <w:adjustRightInd w:val="0"/>
        <w:ind w:left="111" w:right="69"/>
        <w:jc w:val="both"/>
        <w:rPr>
          <w:rFonts w:ascii="Arial" w:hAnsi="Arial" w:cs="Arial"/>
          <w:sz w:val="22"/>
          <w:szCs w:val="22"/>
        </w:rPr>
      </w:pPr>
      <w:r w:rsidRPr="00A64175">
        <w:rPr>
          <w:rFonts w:ascii="Arial" w:hAnsi="Arial" w:cs="Arial"/>
          <w:sz w:val="22"/>
          <w:szCs w:val="22"/>
        </w:rPr>
        <w:t>La</w:t>
      </w:r>
      <w:r w:rsidRPr="00A64175">
        <w:rPr>
          <w:rFonts w:ascii="Arial" w:hAnsi="Arial" w:cs="Arial"/>
          <w:spacing w:val="28"/>
          <w:sz w:val="22"/>
          <w:szCs w:val="22"/>
        </w:rPr>
        <w:t xml:space="preserve"> </w:t>
      </w:r>
      <w:r w:rsidR="00000DB7" w:rsidRPr="00A64175">
        <w:rPr>
          <w:rFonts w:ascii="Arial" w:hAnsi="Arial" w:cs="Arial"/>
          <w:sz w:val="22"/>
          <w:szCs w:val="22"/>
        </w:rPr>
        <w:t>s</w:t>
      </w:r>
      <w:r w:rsidRPr="00A64175">
        <w:rPr>
          <w:rFonts w:ascii="Arial" w:hAnsi="Arial" w:cs="Arial"/>
          <w:sz w:val="22"/>
          <w:szCs w:val="22"/>
        </w:rPr>
        <w:t>ociété</w:t>
      </w:r>
      <w:r w:rsidRPr="00A64175">
        <w:rPr>
          <w:rFonts w:ascii="Arial" w:hAnsi="Arial" w:cs="Arial"/>
          <w:spacing w:val="28"/>
          <w:sz w:val="22"/>
          <w:szCs w:val="22"/>
        </w:rPr>
        <w:t xml:space="preserve"> </w:t>
      </w:r>
      <w:r w:rsidRPr="00A64175">
        <w:rPr>
          <w:rFonts w:ascii="Arial" w:hAnsi="Arial" w:cs="Arial"/>
          <w:sz w:val="22"/>
          <w:szCs w:val="22"/>
        </w:rPr>
        <w:t>de</w:t>
      </w:r>
      <w:r w:rsidRPr="00A64175">
        <w:rPr>
          <w:rFonts w:ascii="Arial" w:hAnsi="Arial" w:cs="Arial"/>
          <w:spacing w:val="28"/>
          <w:sz w:val="22"/>
          <w:szCs w:val="22"/>
        </w:rPr>
        <w:t xml:space="preserve"> </w:t>
      </w:r>
      <w:r w:rsidR="00000DB7" w:rsidRPr="00A64175">
        <w:rPr>
          <w:rFonts w:ascii="Arial" w:hAnsi="Arial" w:cs="Arial"/>
          <w:sz w:val="22"/>
          <w:szCs w:val="22"/>
        </w:rPr>
        <w:t>b</w:t>
      </w:r>
      <w:r w:rsidRPr="00A64175">
        <w:rPr>
          <w:rFonts w:ascii="Arial" w:hAnsi="Arial" w:cs="Arial"/>
          <w:sz w:val="22"/>
          <w:szCs w:val="22"/>
        </w:rPr>
        <w:t>ourse</w:t>
      </w:r>
      <w:r w:rsidRPr="00A64175">
        <w:rPr>
          <w:rFonts w:ascii="Arial" w:hAnsi="Arial" w:cs="Arial"/>
          <w:spacing w:val="28"/>
          <w:sz w:val="22"/>
          <w:szCs w:val="22"/>
        </w:rPr>
        <w:t xml:space="preserve"> </w:t>
      </w:r>
      <w:r w:rsidRPr="00A64175">
        <w:rPr>
          <w:rFonts w:ascii="Arial" w:hAnsi="Arial" w:cs="Arial"/>
          <w:sz w:val="22"/>
          <w:szCs w:val="22"/>
        </w:rPr>
        <w:t>désignée</w:t>
      </w:r>
      <w:r w:rsidRPr="00A64175">
        <w:rPr>
          <w:rFonts w:ascii="Arial" w:hAnsi="Arial" w:cs="Arial"/>
          <w:spacing w:val="28"/>
          <w:sz w:val="22"/>
          <w:szCs w:val="22"/>
        </w:rPr>
        <w:t xml:space="preserve"> </w:t>
      </w:r>
      <w:r w:rsidRPr="00A64175">
        <w:rPr>
          <w:rFonts w:ascii="Arial" w:hAnsi="Arial" w:cs="Arial"/>
          <w:sz w:val="22"/>
          <w:szCs w:val="22"/>
        </w:rPr>
        <w:t>pe</w:t>
      </w:r>
      <w:r w:rsidRPr="00A64175">
        <w:rPr>
          <w:rFonts w:ascii="Arial" w:hAnsi="Arial" w:cs="Arial"/>
          <w:spacing w:val="-1"/>
          <w:sz w:val="22"/>
          <w:szCs w:val="22"/>
        </w:rPr>
        <w:t>u</w:t>
      </w:r>
      <w:r w:rsidRPr="00A64175">
        <w:rPr>
          <w:rFonts w:ascii="Arial" w:hAnsi="Arial" w:cs="Arial"/>
          <w:sz w:val="22"/>
          <w:szCs w:val="22"/>
        </w:rPr>
        <w:t>t</w:t>
      </w:r>
      <w:r w:rsidRPr="00A64175">
        <w:rPr>
          <w:rFonts w:ascii="Arial" w:hAnsi="Arial" w:cs="Arial"/>
          <w:spacing w:val="27"/>
          <w:sz w:val="22"/>
          <w:szCs w:val="22"/>
        </w:rPr>
        <w:t xml:space="preserve"> </w:t>
      </w:r>
      <w:r w:rsidRPr="00A64175">
        <w:rPr>
          <w:rFonts w:ascii="Arial" w:hAnsi="Arial" w:cs="Arial"/>
          <w:sz w:val="22"/>
          <w:szCs w:val="22"/>
        </w:rPr>
        <w:t>constit</w:t>
      </w:r>
      <w:r w:rsidRPr="00A64175">
        <w:rPr>
          <w:rFonts w:ascii="Arial" w:hAnsi="Arial" w:cs="Arial"/>
          <w:spacing w:val="-1"/>
          <w:sz w:val="22"/>
          <w:szCs w:val="22"/>
        </w:rPr>
        <w:t>u</w:t>
      </w:r>
      <w:r w:rsidRPr="00A64175">
        <w:rPr>
          <w:rFonts w:ascii="Arial" w:hAnsi="Arial" w:cs="Arial"/>
          <w:sz w:val="22"/>
          <w:szCs w:val="22"/>
        </w:rPr>
        <w:t>er</w:t>
      </w:r>
      <w:r w:rsidRPr="00A64175">
        <w:rPr>
          <w:rFonts w:ascii="Arial" w:hAnsi="Arial" w:cs="Arial"/>
          <w:spacing w:val="28"/>
          <w:sz w:val="22"/>
          <w:szCs w:val="22"/>
        </w:rPr>
        <w:t xml:space="preserve"> </w:t>
      </w:r>
      <w:r w:rsidRPr="00A64175">
        <w:rPr>
          <w:rFonts w:ascii="Arial" w:hAnsi="Arial" w:cs="Arial"/>
          <w:sz w:val="22"/>
          <w:szCs w:val="22"/>
        </w:rPr>
        <w:t>un</w:t>
      </w:r>
      <w:r w:rsidRPr="00A64175">
        <w:rPr>
          <w:rFonts w:ascii="Arial" w:hAnsi="Arial" w:cs="Arial"/>
          <w:spacing w:val="28"/>
          <w:sz w:val="22"/>
          <w:szCs w:val="22"/>
        </w:rPr>
        <w:t xml:space="preserve"> </w:t>
      </w:r>
      <w:r w:rsidRPr="00A64175">
        <w:rPr>
          <w:rFonts w:ascii="Arial" w:hAnsi="Arial" w:cs="Arial"/>
          <w:sz w:val="22"/>
          <w:szCs w:val="22"/>
        </w:rPr>
        <w:t>syndicat</w:t>
      </w:r>
      <w:r w:rsidRPr="00A64175">
        <w:rPr>
          <w:rFonts w:ascii="Arial" w:hAnsi="Arial" w:cs="Arial"/>
          <w:spacing w:val="28"/>
          <w:sz w:val="22"/>
          <w:szCs w:val="22"/>
        </w:rPr>
        <w:t xml:space="preserve"> </w:t>
      </w:r>
      <w:r w:rsidRPr="00A64175">
        <w:rPr>
          <w:rFonts w:ascii="Arial" w:hAnsi="Arial" w:cs="Arial"/>
          <w:sz w:val="22"/>
          <w:szCs w:val="22"/>
        </w:rPr>
        <w:t>de</w:t>
      </w:r>
      <w:r w:rsidRPr="00A64175">
        <w:rPr>
          <w:rFonts w:ascii="Arial" w:hAnsi="Arial" w:cs="Arial"/>
          <w:spacing w:val="28"/>
          <w:sz w:val="22"/>
          <w:szCs w:val="22"/>
        </w:rPr>
        <w:t xml:space="preserve"> </w:t>
      </w:r>
      <w:r w:rsidRPr="00A64175">
        <w:rPr>
          <w:rFonts w:ascii="Arial" w:hAnsi="Arial" w:cs="Arial"/>
          <w:sz w:val="22"/>
          <w:szCs w:val="22"/>
        </w:rPr>
        <w:t>place</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28"/>
          <w:sz w:val="22"/>
          <w:szCs w:val="22"/>
        </w:rPr>
        <w:t xml:space="preserve"> </w:t>
      </w:r>
      <w:r w:rsidRPr="00A64175">
        <w:rPr>
          <w:rFonts w:ascii="Arial" w:hAnsi="Arial" w:cs="Arial"/>
          <w:sz w:val="22"/>
          <w:szCs w:val="22"/>
        </w:rPr>
        <w:t>co</w:t>
      </w:r>
      <w:r w:rsidRPr="00A64175">
        <w:rPr>
          <w:rFonts w:ascii="Arial" w:hAnsi="Arial" w:cs="Arial"/>
          <w:spacing w:val="-2"/>
          <w:sz w:val="22"/>
          <w:szCs w:val="22"/>
        </w:rPr>
        <w:t>m</w:t>
      </w:r>
      <w:r w:rsidRPr="00A64175">
        <w:rPr>
          <w:rFonts w:ascii="Arial" w:hAnsi="Arial" w:cs="Arial"/>
          <w:sz w:val="22"/>
          <w:szCs w:val="22"/>
        </w:rPr>
        <w:t>posé</w:t>
      </w:r>
      <w:r w:rsidRPr="00A64175">
        <w:rPr>
          <w:rFonts w:ascii="Arial" w:hAnsi="Arial" w:cs="Arial"/>
          <w:spacing w:val="28"/>
          <w:sz w:val="22"/>
          <w:szCs w:val="22"/>
        </w:rPr>
        <w:t xml:space="preserve"> </w:t>
      </w:r>
      <w:r w:rsidRPr="00A64175">
        <w:rPr>
          <w:rFonts w:ascii="Arial" w:hAnsi="Arial" w:cs="Arial"/>
          <w:sz w:val="22"/>
          <w:szCs w:val="22"/>
        </w:rPr>
        <w:t>d’autres</w:t>
      </w:r>
      <w:r w:rsidRPr="00A64175">
        <w:rPr>
          <w:rFonts w:ascii="Arial" w:hAnsi="Arial" w:cs="Arial"/>
          <w:spacing w:val="28"/>
          <w:sz w:val="22"/>
          <w:szCs w:val="22"/>
        </w:rPr>
        <w:t xml:space="preserve"> </w:t>
      </w:r>
      <w:r w:rsidR="00000DB7" w:rsidRPr="00A64175">
        <w:rPr>
          <w:rFonts w:ascii="Arial" w:hAnsi="Arial" w:cs="Arial"/>
          <w:sz w:val="22"/>
          <w:szCs w:val="22"/>
        </w:rPr>
        <w:t>s</w:t>
      </w:r>
      <w:r w:rsidRPr="00A64175">
        <w:rPr>
          <w:rFonts w:ascii="Arial" w:hAnsi="Arial" w:cs="Arial"/>
          <w:sz w:val="22"/>
          <w:szCs w:val="22"/>
        </w:rPr>
        <w:t>ociétés</w:t>
      </w:r>
      <w:r w:rsidRPr="00A64175">
        <w:rPr>
          <w:rFonts w:ascii="Arial" w:hAnsi="Arial" w:cs="Arial"/>
          <w:spacing w:val="28"/>
          <w:sz w:val="22"/>
          <w:szCs w:val="22"/>
        </w:rPr>
        <w:t xml:space="preserve"> </w:t>
      </w:r>
      <w:r w:rsidR="00000DB7" w:rsidRPr="00A64175">
        <w:rPr>
          <w:rFonts w:ascii="Arial" w:hAnsi="Arial" w:cs="Arial"/>
          <w:sz w:val="22"/>
          <w:szCs w:val="22"/>
        </w:rPr>
        <w:t>de b</w:t>
      </w:r>
      <w:r w:rsidRPr="00A64175">
        <w:rPr>
          <w:rFonts w:ascii="Arial" w:hAnsi="Arial" w:cs="Arial"/>
          <w:sz w:val="22"/>
          <w:szCs w:val="22"/>
        </w:rPr>
        <w:t>ourse et d’un ou plusieurs éta</w:t>
      </w:r>
      <w:r w:rsidRPr="00A64175">
        <w:rPr>
          <w:rFonts w:ascii="Arial" w:hAnsi="Arial" w:cs="Arial"/>
          <w:spacing w:val="-1"/>
          <w:sz w:val="22"/>
          <w:szCs w:val="22"/>
        </w:rPr>
        <w:t>b</w:t>
      </w:r>
      <w:r w:rsidRPr="00A64175">
        <w:rPr>
          <w:rFonts w:ascii="Arial" w:hAnsi="Arial" w:cs="Arial"/>
          <w:sz w:val="22"/>
          <w:szCs w:val="22"/>
        </w:rPr>
        <w:t>lisse</w:t>
      </w:r>
      <w:r w:rsidRPr="00A64175">
        <w:rPr>
          <w:rFonts w:ascii="Arial" w:hAnsi="Arial" w:cs="Arial"/>
          <w:spacing w:val="-2"/>
          <w:sz w:val="22"/>
          <w:szCs w:val="22"/>
        </w:rPr>
        <w:t>m</w:t>
      </w:r>
      <w:r w:rsidRPr="00A64175">
        <w:rPr>
          <w:rFonts w:ascii="Arial" w:hAnsi="Arial" w:cs="Arial"/>
          <w:sz w:val="22"/>
          <w:szCs w:val="22"/>
        </w:rPr>
        <w:t>ents de crédit.</w:t>
      </w:r>
    </w:p>
    <w:p w14:paraId="45D0FB29" w14:textId="77777777" w:rsidR="00000DB7" w:rsidRPr="00A64175" w:rsidRDefault="00000DB7" w:rsidP="00A64175">
      <w:pPr>
        <w:widowControl w:val="0"/>
        <w:autoSpaceDE w:val="0"/>
        <w:adjustRightInd w:val="0"/>
        <w:ind w:left="111" w:right="67"/>
        <w:jc w:val="both"/>
        <w:rPr>
          <w:rFonts w:ascii="Arial" w:hAnsi="Arial" w:cs="Arial"/>
          <w:sz w:val="22"/>
          <w:szCs w:val="22"/>
        </w:rPr>
      </w:pPr>
    </w:p>
    <w:p w14:paraId="6ECA8A67" w14:textId="77777777" w:rsidR="00F04120" w:rsidRPr="00A64175" w:rsidRDefault="00B41214" w:rsidP="00A64175">
      <w:pPr>
        <w:widowControl w:val="0"/>
        <w:autoSpaceDE w:val="0"/>
        <w:adjustRightInd w:val="0"/>
        <w:ind w:left="111" w:right="67"/>
        <w:jc w:val="both"/>
        <w:rPr>
          <w:rFonts w:ascii="Arial" w:hAnsi="Arial" w:cs="Arial"/>
          <w:spacing w:val="10"/>
          <w:sz w:val="22"/>
          <w:szCs w:val="22"/>
        </w:rPr>
      </w:pPr>
      <w:r w:rsidRPr="00A64175">
        <w:rPr>
          <w:rFonts w:ascii="Arial" w:hAnsi="Arial" w:cs="Arial"/>
          <w:sz w:val="22"/>
          <w:szCs w:val="22"/>
        </w:rPr>
        <w:t xml:space="preserve">La </w:t>
      </w:r>
      <w:r w:rsidR="00000DB7" w:rsidRPr="00A64175">
        <w:rPr>
          <w:rFonts w:ascii="Arial" w:hAnsi="Arial" w:cs="Arial"/>
          <w:sz w:val="22"/>
          <w:szCs w:val="22"/>
        </w:rPr>
        <w:t>société de b</w:t>
      </w:r>
      <w:r w:rsidR="00552FD6" w:rsidRPr="00A64175">
        <w:rPr>
          <w:rFonts w:ascii="Arial" w:hAnsi="Arial" w:cs="Arial"/>
          <w:sz w:val="22"/>
          <w:szCs w:val="22"/>
        </w:rPr>
        <w:t>ourse chef de file est tenue</w:t>
      </w:r>
      <w:r w:rsidRPr="00A64175">
        <w:rPr>
          <w:rFonts w:ascii="Arial" w:hAnsi="Arial" w:cs="Arial"/>
          <w:sz w:val="22"/>
          <w:szCs w:val="22"/>
        </w:rPr>
        <w:t xml:space="preserve"> </w:t>
      </w:r>
      <w:r w:rsidR="00552FD6" w:rsidRPr="00A64175">
        <w:rPr>
          <w:rFonts w:ascii="Arial" w:hAnsi="Arial" w:cs="Arial"/>
          <w:sz w:val="22"/>
          <w:szCs w:val="22"/>
        </w:rPr>
        <w:t>d’</w:t>
      </w:r>
      <w:r w:rsidRPr="00A64175">
        <w:rPr>
          <w:rFonts w:ascii="Arial" w:hAnsi="Arial" w:cs="Arial"/>
          <w:sz w:val="22"/>
          <w:szCs w:val="22"/>
        </w:rPr>
        <w:t>i</w:t>
      </w:r>
      <w:r w:rsidRPr="00A64175">
        <w:rPr>
          <w:rFonts w:ascii="Arial" w:hAnsi="Arial" w:cs="Arial"/>
          <w:spacing w:val="-1"/>
          <w:sz w:val="22"/>
          <w:szCs w:val="22"/>
        </w:rPr>
        <w:t>n</w:t>
      </w:r>
      <w:r w:rsidRPr="00A64175">
        <w:rPr>
          <w:rFonts w:ascii="Arial" w:hAnsi="Arial" w:cs="Arial"/>
          <w:sz w:val="22"/>
          <w:szCs w:val="22"/>
        </w:rPr>
        <w:t>fo</w:t>
      </w:r>
      <w:r w:rsidRPr="00A64175">
        <w:rPr>
          <w:rFonts w:ascii="Arial" w:hAnsi="Arial" w:cs="Arial"/>
          <w:spacing w:val="2"/>
          <w:sz w:val="22"/>
          <w:szCs w:val="22"/>
        </w:rPr>
        <w:t>r</w:t>
      </w:r>
      <w:r w:rsidRPr="00A64175">
        <w:rPr>
          <w:rFonts w:ascii="Arial" w:hAnsi="Arial" w:cs="Arial"/>
          <w:spacing w:val="-2"/>
          <w:sz w:val="22"/>
          <w:szCs w:val="22"/>
        </w:rPr>
        <w:t>m</w:t>
      </w:r>
      <w:r w:rsidRPr="00A64175">
        <w:rPr>
          <w:rFonts w:ascii="Arial" w:hAnsi="Arial" w:cs="Arial"/>
          <w:sz w:val="22"/>
          <w:szCs w:val="22"/>
        </w:rPr>
        <w:t>er la COSUMAF pour le co</w:t>
      </w:r>
      <w:r w:rsidRPr="00A64175">
        <w:rPr>
          <w:rFonts w:ascii="Arial" w:hAnsi="Arial" w:cs="Arial"/>
          <w:spacing w:val="-2"/>
          <w:sz w:val="22"/>
          <w:szCs w:val="22"/>
        </w:rPr>
        <w:t>m</w:t>
      </w:r>
      <w:r w:rsidRPr="00A64175">
        <w:rPr>
          <w:rFonts w:ascii="Arial" w:hAnsi="Arial" w:cs="Arial"/>
          <w:spacing w:val="1"/>
          <w:sz w:val="22"/>
          <w:szCs w:val="22"/>
        </w:rPr>
        <w:t>p</w:t>
      </w:r>
      <w:r w:rsidRPr="00A64175">
        <w:rPr>
          <w:rFonts w:ascii="Arial" w:hAnsi="Arial" w:cs="Arial"/>
          <w:sz w:val="22"/>
          <w:szCs w:val="22"/>
        </w:rPr>
        <w:t>te de l’é</w:t>
      </w:r>
      <w:r w:rsidRPr="00A64175">
        <w:rPr>
          <w:rFonts w:ascii="Arial" w:hAnsi="Arial" w:cs="Arial"/>
          <w:spacing w:val="-2"/>
          <w:sz w:val="22"/>
          <w:szCs w:val="22"/>
        </w:rPr>
        <w:t>m</w:t>
      </w:r>
      <w:r w:rsidRPr="00A64175">
        <w:rPr>
          <w:rFonts w:ascii="Arial" w:hAnsi="Arial" w:cs="Arial"/>
          <w:sz w:val="22"/>
          <w:szCs w:val="22"/>
        </w:rPr>
        <w:t>etteur, du déroule</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58"/>
          <w:sz w:val="22"/>
          <w:szCs w:val="22"/>
        </w:rPr>
        <w:t xml:space="preserve"> </w:t>
      </w:r>
      <w:r w:rsidRPr="00A64175">
        <w:rPr>
          <w:rFonts w:ascii="Arial" w:hAnsi="Arial" w:cs="Arial"/>
          <w:sz w:val="22"/>
          <w:szCs w:val="22"/>
        </w:rPr>
        <w:t>des</w:t>
      </w:r>
      <w:r w:rsidRPr="00A64175">
        <w:rPr>
          <w:rFonts w:ascii="Arial" w:hAnsi="Arial" w:cs="Arial"/>
          <w:spacing w:val="58"/>
          <w:sz w:val="22"/>
          <w:szCs w:val="22"/>
        </w:rPr>
        <w:t xml:space="preserve"> </w:t>
      </w:r>
      <w:r w:rsidRPr="00A64175">
        <w:rPr>
          <w:rFonts w:ascii="Arial" w:hAnsi="Arial" w:cs="Arial"/>
          <w:sz w:val="22"/>
          <w:szCs w:val="22"/>
        </w:rPr>
        <w:t>opérations</w:t>
      </w:r>
      <w:r w:rsidRPr="00A64175">
        <w:rPr>
          <w:rFonts w:ascii="Arial" w:hAnsi="Arial" w:cs="Arial"/>
          <w:spacing w:val="58"/>
          <w:sz w:val="22"/>
          <w:szCs w:val="22"/>
        </w:rPr>
        <w:t xml:space="preserve"> </w:t>
      </w:r>
      <w:r w:rsidRPr="00A64175">
        <w:rPr>
          <w:rFonts w:ascii="Arial" w:hAnsi="Arial" w:cs="Arial"/>
          <w:sz w:val="22"/>
          <w:szCs w:val="22"/>
        </w:rPr>
        <w:t>de</w:t>
      </w:r>
      <w:r w:rsidRPr="00A64175">
        <w:rPr>
          <w:rFonts w:ascii="Arial" w:hAnsi="Arial" w:cs="Arial"/>
          <w:spacing w:val="58"/>
          <w:sz w:val="22"/>
          <w:szCs w:val="22"/>
        </w:rPr>
        <w:t xml:space="preserve"> </w:t>
      </w:r>
      <w:r w:rsidRPr="00A64175">
        <w:rPr>
          <w:rFonts w:ascii="Arial" w:hAnsi="Arial" w:cs="Arial"/>
          <w:sz w:val="22"/>
          <w:szCs w:val="22"/>
        </w:rPr>
        <w:t>souscription</w:t>
      </w:r>
      <w:r w:rsidR="00F04120" w:rsidRPr="00A64175">
        <w:rPr>
          <w:rFonts w:ascii="Arial" w:hAnsi="Arial" w:cs="Arial"/>
          <w:sz w:val="22"/>
          <w:szCs w:val="22"/>
        </w:rPr>
        <w:t>. Elle établit un rapport hebdomadaire qui est adressé à la COSUMAF le vendredi de chaque semaine pendant toute la durée du placement</w:t>
      </w:r>
      <w:r w:rsidRPr="00A64175">
        <w:rPr>
          <w:rFonts w:ascii="Arial" w:hAnsi="Arial" w:cs="Arial"/>
          <w:sz w:val="22"/>
          <w:szCs w:val="22"/>
        </w:rPr>
        <w:t>.</w:t>
      </w:r>
      <w:r w:rsidRPr="00A64175">
        <w:rPr>
          <w:rFonts w:ascii="Arial" w:hAnsi="Arial" w:cs="Arial"/>
          <w:spacing w:val="10"/>
          <w:sz w:val="22"/>
          <w:szCs w:val="22"/>
        </w:rPr>
        <w:t xml:space="preserve"> </w:t>
      </w:r>
    </w:p>
    <w:p w14:paraId="2534F108" w14:textId="77777777" w:rsidR="00F04120" w:rsidRPr="00A64175" w:rsidRDefault="00F04120" w:rsidP="00A64175">
      <w:pPr>
        <w:widowControl w:val="0"/>
        <w:autoSpaceDE w:val="0"/>
        <w:adjustRightInd w:val="0"/>
        <w:ind w:left="111" w:right="67"/>
        <w:jc w:val="both"/>
        <w:rPr>
          <w:rFonts w:ascii="Arial" w:hAnsi="Arial" w:cs="Arial"/>
          <w:spacing w:val="10"/>
          <w:sz w:val="22"/>
          <w:szCs w:val="22"/>
        </w:rPr>
      </w:pPr>
    </w:p>
    <w:p w14:paraId="0E52F102" w14:textId="77777777" w:rsidR="00B41214" w:rsidRPr="00A64175" w:rsidRDefault="00B41214" w:rsidP="00405642">
      <w:pPr>
        <w:widowControl w:val="0"/>
        <w:autoSpaceDE w:val="0"/>
        <w:adjustRightInd w:val="0"/>
        <w:ind w:right="67"/>
        <w:jc w:val="both"/>
        <w:rPr>
          <w:rFonts w:ascii="Arial" w:hAnsi="Arial" w:cs="Arial"/>
          <w:sz w:val="22"/>
          <w:szCs w:val="22"/>
        </w:rPr>
      </w:pPr>
    </w:p>
    <w:p w14:paraId="075F5B5D" w14:textId="6AC5D0A6" w:rsidR="0037740E" w:rsidRPr="00A64175" w:rsidRDefault="00F30BDF" w:rsidP="00A64175">
      <w:pPr>
        <w:widowControl w:val="0"/>
        <w:autoSpaceDE w:val="0"/>
        <w:adjustRightInd w:val="0"/>
        <w:ind w:left="111" w:right="67"/>
        <w:jc w:val="both"/>
        <w:rPr>
          <w:rFonts w:ascii="Arial" w:hAnsi="Arial" w:cs="Arial"/>
          <w:sz w:val="22"/>
          <w:szCs w:val="22"/>
        </w:rPr>
      </w:pPr>
      <w:r w:rsidRPr="00A64175">
        <w:rPr>
          <w:rFonts w:ascii="Arial" w:hAnsi="Arial" w:cs="Arial"/>
          <w:b/>
          <w:bCs/>
          <w:sz w:val="22"/>
          <w:szCs w:val="22"/>
        </w:rPr>
        <w:t>Article 1</w:t>
      </w:r>
      <w:r w:rsidR="008F56E4">
        <w:rPr>
          <w:rFonts w:ascii="Arial" w:hAnsi="Arial" w:cs="Arial"/>
          <w:b/>
          <w:bCs/>
          <w:sz w:val="22"/>
          <w:szCs w:val="22"/>
        </w:rPr>
        <w:t>6</w:t>
      </w:r>
      <w:r w:rsidR="00FC3A4C">
        <w:rPr>
          <w:rFonts w:ascii="Arial" w:hAnsi="Arial" w:cs="Arial"/>
          <w:b/>
          <w:bCs/>
          <w:sz w:val="22"/>
          <w:szCs w:val="22"/>
        </w:rPr>
        <w:t>2</w:t>
      </w:r>
      <w:r w:rsidR="0037740E" w:rsidRPr="00A64175">
        <w:rPr>
          <w:rFonts w:ascii="Arial" w:hAnsi="Arial" w:cs="Arial"/>
          <w:b/>
          <w:bCs/>
          <w:sz w:val="22"/>
          <w:szCs w:val="22"/>
        </w:rPr>
        <w:t>. –</w:t>
      </w:r>
      <w:r w:rsidR="0037740E" w:rsidRPr="00A64175">
        <w:rPr>
          <w:rFonts w:ascii="Arial" w:hAnsi="Arial" w:cs="Arial"/>
          <w:bCs/>
          <w:sz w:val="22"/>
          <w:szCs w:val="22"/>
        </w:rPr>
        <w:t xml:space="preserve"> </w:t>
      </w:r>
      <w:r w:rsidR="0037740E" w:rsidRPr="00A64175">
        <w:rPr>
          <w:rFonts w:ascii="Arial" w:hAnsi="Arial" w:cs="Arial"/>
          <w:sz w:val="22"/>
          <w:szCs w:val="22"/>
        </w:rPr>
        <w:t>La société de bourse chef de file assure la centralisation des souscriptions pour le compte de l’émetteur. Lorsque deux (2) sociétés de bourse sont désignées comme co-chefs de file, l’émetteur est tenu de choisir parmi elles la structure en charge de la centralisation des souscriptions.</w:t>
      </w:r>
    </w:p>
    <w:p w14:paraId="7040C30B" w14:textId="77777777" w:rsidR="0037740E" w:rsidRPr="00A64175" w:rsidRDefault="0037740E" w:rsidP="00A64175">
      <w:pPr>
        <w:widowControl w:val="0"/>
        <w:autoSpaceDE w:val="0"/>
        <w:adjustRightInd w:val="0"/>
        <w:ind w:left="111" w:right="67"/>
        <w:jc w:val="both"/>
        <w:rPr>
          <w:rFonts w:ascii="Arial" w:hAnsi="Arial" w:cs="Arial"/>
          <w:sz w:val="22"/>
          <w:szCs w:val="22"/>
        </w:rPr>
      </w:pPr>
    </w:p>
    <w:p w14:paraId="4C664470" w14:textId="55A02A46" w:rsidR="00C60300" w:rsidRPr="00A64175" w:rsidRDefault="00323128"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Pour les besoins de la centralisation des opérations, la société de bourse chef de file est tenue d’ouvrir un compte centralisateur dans les livres d’un établissement de crédit dûment agréé, établi sur le territoire d’un Etat membre de la CEMAC.</w:t>
      </w:r>
    </w:p>
    <w:p w14:paraId="0A5C502A" w14:textId="77777777" w:rsidR="00C60300" w:rsidRPr="00A64175" w:rsidRDefault="00C60300" w:rsidP="00A64175">
      <w:pPr>
        <w:widowControl w:val="0"/>
        <w:autoSpaceDE w:val="0"/>
        <w:adjustRightInd w:val="0"/>
        <w:ind w:left="111" w:right="67"/>
        <w:jc w:val="both"/>
        <w:rPr>
          <w:rFonts w:ascii="Arial" w:hAnsi="Arial" w:cs="Arial"/>
          <w:sz w:val="22"/>
          <w:szCs w:val="22"/>
        </w:rPr>
      </w:pPr>
    </w:p>
    <w:p w14:paraId="5C18B007" w14:textId="5FE7078C" w:rsidR="006D3004" w:rsidRPr="00A64175" w:rsidRDefault="0037740E" w:rsidP="00081CD1">
      <w:pPr>
        <w:widowControl w:val="0"/>
        <w:autoSpaceDE w:val="0"/>
        <w:adjustRightInd w:val="0"/>
        <w:ind w:left="111" w:right="67"/>
        <w:jc w:val="both"/>
        <w:rPr>
          <w:rFonts w:ascii="Arial" w:hAnsi="Arial" w:cs="Arial"/>
          <w:spacing w:val="10"/>
          <w:sz w:val="22"/>
          <w:szCs w:val="22"/>
        </w:rPr>
      </w:pPr>
      <w:r w:rsidRPr="00A64175">
        <w:rPr>
          <w:rFonts w:ascii="Arial" w:hAnsi="Arial" w:cs="Arial"/>
          <w:sz w:val="22"/>
          <w:szCs w:val="22"/>
        </w:rPr>
        <w:t xml:space="preserve">Dans un délai de huit (8) jours calendaires après la </w:t>
      </w:r>
      <w:r w:rsidRPr="00A64175">
        <w:rPr>
          <w:rFonts w:ascii="Arial" w:hAnsi="Arial" w:cs="Arial"/>
          <w:spacing w:val="10"/>
          <w:sz w:val="22"/>
          <w:szCs w:val="22"/>
        </w:rPr>
        <w:t xml:space="preserve">clôture de la période de souscription, l’établissement centralisateur est tenu de procéder au virement du produit global des souscriptions sur le compte </w:t>
      </w:r>
      <w:r w:rsidR="00772B5D" w:rsidRPr="00A64175">
        <w:rPr>
          <w:rFonts w:ascii="Arial" w:hAnsi="Arial" w:cs="Arial"/>
          <w:spacing w:val="10"/>
          <w:sz w:val="22"/>
          <w:szCs w:val="22"/>
        </w:rPr>
        <w:t>de l’émetteur</w:t>
      </w:r>
      <w:r w:rsidR="00081CD1">
        <w:rPr>
          <w:rFonts w:ascii="Arial" w:hAnsi="Arial" w:cs="Arial"/>
          <w:spacing w:val="10"/>
          <w:sz w:val="22"/>
          <w:szCs w:val="22"/>
        </w:rPr>
        <w:t>, et transmettre à la COSUMAF, le relevé du compte de centralisation de l’opération.</w:t>
      </w:r>
    </w:p>
    <w:p w14:paraId="3D5158D7" w14:textId="77777777" w:rsidR="0037740E" w:rsidRPr="00A64175" w:rsidRDefault="0037740E" w:rsidP="00A64175">
      <w:pPr>
        <w:widowControl w:val="0"/>
        <w:autoSpaceDE w:val="0"/>
        <w:adjustRightInd w:val="0"/>
        <w:ind w:left="111" w:right="67"/>
        <w:jc w:val="both"/>
        <w:rPr>
          <w:rFonts w:ascii="Arial" w:hAnsi="Arial" w:cs="Arial"/>
          <w:spacing w:val="10"/>
          <w:sz w:val="22"/>
          <w:szCs w:val="22"/>
        </w:rPr>
      </w:pPr>
    </w:p>
    <w:p w14:paraId="049649FB" w14:textId="47D37409" w:rsidR="0037740E" w:rsidRPr="00A64175" w:rsidRDefault="0037740E" w:rsidP="00A64175">
      <w:pPr>
        <w:widowControl w:val="0"/>
        <w:autoSpaceDE w:val="0"/>
        <w:adjustRightInd w:val="0"/>
        <w:ind w:left="111" w:right="67"/>
        <w:jc w:val="both"/>
        <w:rPr>
          <w:rFonts w:ascii="Arial" w:hAnsi="Arial" w:cs="Arial"/>
          <w:sz w:val="22"/>
          <w:szCs w:val="22"/>
        </w:rPr>
      </w:pPr>
      <w:r w:rsidRPr="00A64175">
        <w:rPr>
          <w:rFonts w:ascii="Arial" w:hAnsi="Arial" w:cs="Arial"/>
          <w:spacing w:val="10"/>
          <w:sz w:val="22"/>
          <w:szCs w:val="22"/>
        </w:rPr>
        <w:t>La COSUMAF en est informée dans le même délai au moyen de tout document justificatif.</w:t>
      </w:r>
    </w:p>
    <w:p w14:paraId="7F87690A" w14:textId="77777777" w:rsidR="0037740E" w:rsidRPr="00A64175" w:rsidRDefault="0037740E" w:rsidP="00A64175">
      <w:pPr>
        <w:widowControl w:val="0"/>
        <w:autoSpaceDE w:val="0"/>
        <w:adjustRightInd w:val="0"/>
        <w:ind w:left="111" w:right="67"/>
        <w:jc w:val="both"/>
        <w:rPr>
          <w:rFonts w:ascii="Arial" w:hAnsi="Arial" w:cs="Arial"/>
          <w:sz w:val="22"/>
          <w:szCs w:val="22"/>
        </w:rPr>
      </w:pPr>
    </w:p>
    <w:p w14:paraId="2F108CE1" w14:textId="41E26CE9" w:rsidR="00C53A07" w:rsidRPr="00A64175" w:rsidRDefault="00F30BDF" w:rsidP="00A64175">
      <w:pPr>
        <w:widowControl w:val="0"/>
        <w:autoSpaceDE w:val="0"/>
        <w:adjustRightInd w:val="0"/>
        <w:ind w:left="111" w:right="67"/>
        <w:jc w:val="both"/>
        <w:rPr>
          <w:rFonts w:ascii="Arial" w:hAnsi="Arial" w:cs="Arial"/>
          <w:sz w:val="22"/>
          <w:szCs w:val="22"/>
        </w:rPr>
      </w:pPr>
      <w:r w:rsidRPr="00A64175">
        <w:rPr>
          <w:rFonts w:ascii="Arial" w:hAnsi="Arial" w:cs="Arial"/>
          <w:b/>
          <w:bCs/>
          <w:sz w:val="22"/>
          <w:szCs w:val="22"/>
        </w:rPr>
        <w:t>Article 16</w:t>
      </w:r>
      <w:r w:rsidR="00FC3A4C">
        <w:rPr>
          <w:rFonts w:ascii="Arial" w:hAnsi="Arial" w:cs="Arial"/>
          <w:b/>
          <w:bCs/>
          <w:sz w:val="22"/>
          <w:szCs w:val="22"/>
        </w:rPr>
        <w:t>3</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L’é</w:t>
      </w:r>
      <w:r w:rsidR="00B41214" w:rsidRPr="00A64175">
        <w:rPr>
          <w:rFonts w:ascii="Arial" w:hAnsi="Arial" w:cs="Arial"/>
          <w:spacing w:val="-2"/>
          <w:sz w:val="22"/>
          <w:szCs w:val="22"/>
        </w:rPr>
        <w:t>m</w:t>
      </w:r>
      <w:r w:rsidR="00B41214" w:rsidRPr="00A64175">
        <w:rPr>
          <w:rFonts w:ascii="Arial" w:hAnsi="Arial" w:cs="Arial"/>
          <w:sz w:val="22"/>
          <w:szCs w:val="22"/>
        </w:rPr>
        <w:t>etteur</w:t>
      </w:r>
      <w:r w:rsidR="00B41214" w:rsidRPr="00A64175">
        <w:rPr>
          <w:rFonts w:ascii="Arial" w:hAnsi="Arial" w:cs="Arial"/>
          <w:spacing w:val="1"/>
          <w:sz w:val="22"/>
          <w:szCs w:val="22"/>
        </w:rPr>
        <w:t xml:space="preserve"> </w:t>
      </w:r>
      <w:r w:rsidR="00B41214" w:rsidRPr="00A64175">
        <w:rPr>
          <w:rFonts w:ascii="Arial" w:hAnsi="Arial" w:cs="Arial"/>
          <w:sz w:val="22"/>
          <w:szCs w:val="22"/>
        </w:rPr>
        <w:t>signe</w:t>
      </w:r>
      <w:r w:rsidR="00B41214" w:rsidRPr="00A64175">
        <w:rPr>
          <w:rFonts w:ascii="Arial" w:hAnsi="Arial" w:cs="Arial"/>
          <w:spacing w:val="1"/>
          <w:sz w:val="22"/>
          <w:szCs w:val="22"/>
        </w:rPr>
        <w:t xml:space="preserve"> </w:t>
      </w:r>
      <w:r w:rsidR="00B41214" w:rsidRPr="00A64175">
        <w:rPr>
          <w:rFonts w:ascii="Arial" w:hAnsi="Arial" w:cs="Arial"/>
          <w:sz w:val="22"/>
          <w:szCs w:val="22"/>
        </w:rPr>
        <w:t>un</w:t>
      </w:r>
      <w:r w:rsidR="00B41214" w:rsidRPr="00A64175">
        <w:rPr>
          <w:rFonts w:ascii="Arial" w:hAnsi="Arial" w:cs="Arial"/>
          <w:spacing w:val="1"/>
          <w:sz w:val="22"/>
          <w:szCs w:val="22"/>
        </w:rPr>
        <w:t xml:space="preserve"> </w:t>
      </w:r>
      <w:r w:rsidR="00B41214" w:rsidRPr="00A64175">
        <w:rPr>
          <w:rFonts w:ascii="Arial" w:hAnsi="Arial" w:cs="Arial"/>
          <w:sz w:val="22"/>
          <w:szCs w:val="22"/>
        </w:rPr>
        <w:t>contrat</w:t>
      </w:r>
      <w:r w:rsidR="00B41214" w:rsidRPr="00A64175">
        <w:rPr>
          <w:rFonts w:ascii="Arial" w:hAnsi="Arial" w:cs="Arial"/>
          <w:spacing w:val="1"/>
          <w:sz w:val="22"/>
          <w:szCs w:val="22"/>
        </w:rPr>
        <w:t xml:space="preserve"> </w:t>
      </w:r>
      <w:r w:rsidR="00B41214" w:rsidRPr="00A64175">
        <w:rPr>
          <w:rFonts w:ascii="Arial" w:hAnsi="Arial" w:cs="Arial"/>
          <w:sz w:val="22"/>
          <w:szCs w:val="22"/>
        </w:rPr>
        <w:t>de</w:t>
      </w:r>
      <w:r w:rsidR="00B41214" w:rsidRPr="00A64175">
        <w:rPr>
          <w:rFonts w:ascii="Arial" w:hAnsi="Arial" w:cs="Arial"/>
          <w:spacing w:val="1"/>
          <w:sz w:val="22"/>
          <w:szCs w:val="22"/>
        </w:rPr>
        <w:t xml:space="preserve"> </w:t>
      </w:r>
      <w:r w:rsidR="00B41214" w:rsidRPr="00A64175">
        <w:rPr>
          <w:rFonts w:ascii="Arial" w:hAnsi="Arial" w:cs="Arial"/>
          <w:sz w:val="22"/>
          <w:szCs w:val="22"/>
        </w:rPr>
        <w:t>place</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1"/>
          <w:sz w:val="22"/>
          <w:szCs w:val="22"/>
        </w:rPr>
        <w:t xml:space="preserve"> </w:t>
      </w:r>
      <w:r w:rsidR="00B41214" w:rsidRPr="00A64175">
        <w:rPr>
          <w:rFonts w:ascii="Arial" w:hAnsi="Arial" w:cs="Arial"/>
          <w:sz w:val="22"/>
          <w:szCs w:val="22"/>
        </w:rPr>
        <w:t>avec</w:t>
      </w:r>
      <w:r w:rsidR="00B41214" w:rsidRPr="00A64175">
        <w:rPr>
          <w:rFonts w:ascii="Arial" w:hAnsi="Arial" w:cs="Arial"/>
          <w:spacing w:val="1"/>
          <w:sz w:val="22"/>
          <w:szCs w:val="22"/>
        </w:rPr>
        <w:t xml:space="preserve"> </w:t>
      </w:r>
      <w:r w:rsidR="00B41214" w:rsidRPr="00A64175">
        <w:rPr>
          <w:rFonts w:ascii="Arial" w:hAnsi="Arial" w:cs="Arial"/>
          <w:sz w:val="22"/>
          <w:szCs w:val="22"/>
        </w:rPr>
        <w:t>la</w:t>
      </w:r>
      <w:r w:rsidR="00B41214" w:rsidRPr="00A64175">
        <w:rPr>
          <w:rFonts w:ascii="Arial" w:hAnsi="Arial" w:cs="Arial"/>
          <w:spacing w:val="1"/>
          <w:sz w:val="22"/>
          <w:szCs w:val="22"/>
        </w:rPr>
        <w:t xml:space="preserve"> </w:t>
      </w:r>
      <w:r w:rsidR="005944AF" w:rsidRPr="00A64175">
        <w:rPr>
          <w:rFonts w:ascii="Arial" w:hAnsi="Arial" w:cs="Arial"/>
          <w:sz w:val="22"/>
          <w:szCs w:val="22"/>
        </w:rPr>
        <w:t>s</w:t>
      </w:r>
      <w:r w:rsidR="00B41214" w:rsidRPr="00A64175">
        <w:rPr>
          <w:rFonts w:ascii="Arial" w:hAnsi="Arial" w:cs="Arial"/>
          <w:spacing w:val="-1"/>
          <w:sz w:val="22"/>
          <w:szCs w:val="22"/>
        </w:rPr>
        <w:t>o</w:t>
      </w:r>
      <w:r w:rsidR="00B41214" w:rsidRPr="00A64175">
        <w:rPr>
          <w:rFonts w:ascii="Arial" w:hAnsi="Arial" w:cs="Arial"/>
          <w:sz w:val="22"/>
          <w:szCs w:val="22"/>
        </w:rPr>
        <w:t xml:space="preserve">ciété de </w:t>
      </w:r>
      <w:r w:rsidR="005944AF" w:rsidRPr="00A64175">
        <w:rPr>
          <w:rFonts w:ascii="Arial" w:hAnsi="Arial" w:cs="Arial"/>
          <w:sz w:val="22"/>
          <w:szCs w:val="22"/>
        </w:rPr>
        <w:t>b</w:t>
      </w:r>
      <w:r w:rsidR="00B41214" w:rsidRPr="00A64175">
        <w:rPr>
          <w:rFonts w:ascii="Arial" w:hAnsi="Arial" w:cs="Arial"/>
          <w:sz w:val="22"/>
          <w:szCs w:val="22"/>
        </w:rPr>
        <w:t>ourse désignée par lui. Lorsqu’un syndicat de</w:t>
      </w:r>
      <w:r w:rsidR="00B41214" w:rsidRPr="00A64175">
        <w:rPr>
          <w:rFonts w:ascii="Arial" w:hAnsi="Arial" w:cs="Arial"/>
          <w:spacing w:val="49"/>
          <w:sz w:val="22"/>
          <w:szCs w:val="22"/>
        </w:rPr>
        <w:t xml:space="preserve"> </w:t>
      </w:r>
      <w:r w:rsidR="00B41214" w:rsidRPr="00A64175">
        <w:rPr>
          <w:rFonts w:ascii="Arial" w:hAnsi="Arial" w:cs="Arial"/>
          <w:sz w:val="22"/>
          <w:szCs w:val="22"/>
        </w:rPr>
        <w:t>place</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49"/>
          <w:sz w:val="22"/>
          <w:szCs w:val="22"/>
        </w:rPr>
        <w:t xml:space="preserve"> </w:t>
      </w:r>
      <w:r w:rsidR="00B41214" w:rsidRPr="00A64175">
        <w:rPr>
          <w:rFonts w:ascii="Arial" w:hAnsi="Arial" w:cs="Arial"/>
          <w:sz w:val="22"/>
          <w:szCs w:val="22"/>
        </w:rPr>
        <w:t>a</w:t>
      </w:r>
      <w:r w:rsidR="00B41214" w:rsidRPr="00A64175">
        <w:rPr>
          <w:rFonts w:ascii="Arial" w:hAnsi="Arial" w:cs="Arial"/>
          <w:spacing w:val="49"/>
          <w:sz w:val="22"/>
          <w:szCs w:val="22"/>
        </w:rPr>
        <w:t xml:space="preserve"> </w:t>
      </w:r>
      <w:r w:rsidR="00B41214" w:rsidRPr="00A64175">
        <w:rPr>
          <w:rFonts w:ascii="Arial" w:hAnsi="Arial" w:cs="Arial"/>
          <w:sz w:val="22"/>
          <w:szCs w:val="22"/>
        </w:rPr>
        <w:t>été</w:t>
      </w:r>
      <w:r w:rsidR="00B41214" w:rsidRPr="00A64175">
        <w:rPr>
          <w:rFonts w:ascii="Arial" w:hAnsi="Arial" w:cs="Arial"/>
          <w:spacing w:val="49"/>
          <w:sz w:val="22"/>
          <w:szCs w:val="22"/>
        </w:rPr>
        <w:t xml:space="preserve"> </w:t>
      </w:r>
      <w:r w:rsidR="00B41214" w:rsidRPr="00A64175">
        <w:rPr>
          <w:rFonts w:ascii="Arial" w:hAnsi="Arial" w:cs="Arial"/>
          <w:sz w:val="22"/>
          <w:szCs w:val="22"/>
        </w:rPr>
        <w:t>c</w:t>
      </w:r>
      <w:r w:rsidR="00B41214" w:rsidRPr="00A64175">
        <w:rPr>
          <w:rFonts w:ascii="Arial" w:hAnsi="Arial" w:cs="Arial"/>
          <w:spacing w:val="-1"/>
          <w:sz w:val="22"/>
          <w:szCs w:val="22"/>
        </w:rPr>
        <w:t>o</w:t>
      </w:r>
      <w:r w:rsidR="00B41214" w:rsidRPr="00A64175">
        <w:rPr>
          <w:rFonts w:ascii="Arial" w:hAnsi="Arial" w:cs="Arial"/>
          <w:sz w:val="22"/>
          <w:szCs w:val="22"/>
        </w:rPr>
        <w:t>nstit</w:t>
      </w:r>
      <w:r w:rsidR="00B41214" w:rsidRPr="00A64175">
        <w:rPr>
          <w:rFonts w:ascii="Arial" w:hAnsi="Arial" w:cs="Arial"/>
          <w:spacing w:val="-1"/>
          <w:sz w:val="22"/>
          <w:szCs w:val="22"/>
        </w:rPr>
        <w:t>u</w:t>
      </w:r>
      <w:r w:rsidR="00B41214" w:rsidRPr="00A64175">
        <w:rPr>
          <w:rFonts w:ascii="Arial" w:hAnsi="Arial" w:cs="Arial"/>
          <w:sz w:val="22"/>
          <w:szCs w:val="22"/>
        </w:rPr>
        <w:t>é,</w:t>
      </w:r>
      <w:r w:rsidR="00B41214" w:rsidRPr="00A64175">
        <w:rPr>
          <w:rFonts w:ascii="Arial" w:hAnsi="Arial" w:cs="Arial"/>
          <w:spacing w:val="49"/>
          <w:sz w:val="22"/>
          <w:szCs w:val="22"/>
        </w:rPr>
        <w:t xml:space="preserve"> </w:t>
      </w:r>
      <w:r w:rsidR="00B41214" w:rsidRPr="00A64175">
        <w:rPr>
          <w:rFonts w:ascii="Arial" w:hAnsi="Arial" w:cs="Arial"/>
          <w:sz w:val="22"/>
          <w:szCs w:val="22"/>
        </w:rPr>
        <w:t>la</w:t>
      </w:r>
      <w:r w:rsidR="00B41214" w:rsidRPr="00A64175">
        <w:rPr>
          <w:rFonts w:ascii="Arial" w:hAnsi="Arial" w:cs="Arial"/>
          <w:spacing w:val="49"/>
          <w:sz w:val="22"/>
          <w:szCs w:val="22"/>
        </w:rPr>
        <w:t xml:space="preserve"> </w:t>
      </w:r>
      <w:r w:rsidR="005944AF" w:rsidRPr="00A64175">
        <w:rPr>
          <w:rFonts w:ascii="Arial" w:hAnsi="Arial" w:cs="Arial"/>
          <w:sz w:val="22"/>
          <w:szCs w:val="22"/>
        </w:rPr>
        <w:t>s</w:t>
      </w:r>
      <w:r w:rsidR="00B41214" w:rsidRPr="00A64175">
        <w:rPr>
          <w:rFonts w:ascii="Arial" w:hAnsi="Arial" w:cs="Arial"/>
          <w:sz w:val="22"/>
          <w:szCs w:val="22"/>
        </w:rPr>
        <w:t>ociété</w:t>
      </w:r>
      <w:r w:rsidR="00B41214" w:rsidRPr="00A64175">
        <w:rPr>
          <w:rFonts w:ascii="Arial" w:hAnsi="Arial" w:cs="Arial"/>
          <w:spacing w:val="49"/>
          <w:sz w:val="22"/>
          <w:szCs w:val="22"/>
        </w:rPr>
        <w:t xml:space="preserve"> </w:t>
      </w:r>
      <w:r w:rsidR="00B41214" w:rsidRPr="00A64175">
        <w:rPr>
          <w:rFonts w:ascii="Arial" w:hAnsi="Arial" w:cs="Arial"/>
          <w:sz w:val="22"/>
          <w:szCs w:val="22"/>
        </w:rPr>
        <w:t>de</w:t>
      </w:r>
      <w:r w:rsidR="00B41214" w:rsidRPr="00A64175">
        <w:rPr>
          <w:rFonts w:ascii="Arial" w:hAnsi="Arial" w:cs="Arial"/>
          <w:spacing w:val="49"/>
          <w:sz w:val="22"/>
          <w:szCs w:val="22"/>
        </w:rPr>
        <w:t xml:space="preserve"> </w:t>
      </w:r>
      <w:r w:rsidR="005944AF" w:rsidRPr="00A64175">
        <w:rPr>
          <w:rFonts w:ascii="Arial" w:hAnsi="Arial" w:cs="Arial"/>
          <w:sz w:val="22"/>
          <w:szCs w:val="22"/>
        </w:rPr>
        <w:t>b</w:t>
      </w:r>
      <w:r w:rsidR="00B41214" w:rsidRPr="00A64175">
        <w:rPr>
          <w:rFonts w:ascii="Arial" w:hAnsi="Arial" w:cs="Arial"/>
          <w:sz w:val="22"/>
          <w:szCs w:val="22"/>
        </w:rPr>
        <w:t>ourse</w:t>
      </w:r>
      <w:r w:rsidR="00B41214" w:rsidRPr="00A64175">
        <w:rPr>
          <w:rFonts w:ascii="Arial" w:hAnsi="Arial" w:cs="Arial"/>
          <w:spacing w:val="49"/>
          <w:sz w:val="22"/>
          <w:szCs w:val="22"/>
        </w:rPr>
        <w:t xml:space="preserve"> </w:t>
      </w:r>
      <w:r w:rsidR="00B41214" w:rsidRPr="00A64175">
        <w:rPr>
          <w:rFonts w:ascii="Arial" w:hAnsi="Arial" w:cs="Arial"/>
          <w:sz w:val="22"/>
          <w:szCs w:val="22"/>
        </w:rPr>
        <w:t>c</w:t>
      </w:r>
      <w:r w:rsidR="00B41214" w:rsidRPr="00A64175">
        <w:rPr>
          <w:rFonts w:ascii="Arial" w:hAnsi="Arial" w:cs="Arial"/>
          <w:spacing w:val="-2"/>
          <w:sz w:val="22"/>
          <w:szCs w:val="22"/>
        </w:rPr>
        <w:t>h</w:t>
      </w:r>
      <w:r w:rsidR="00B41214" w:rsidRPr="00A64175">
        <w:rPr>
          <w:rFonts w:ascii="Arial" w:hAnsi="Arial" w:cs="Arial"/>
          <w:sz w:val="22"/>
          <w:szCs w:val="22"/>
        </w:rPr>
        <w:t>ef</w:t>
      </w:r>
      <w:r w:rsidR="00B41214" w:rsidRPr="00A64175">
        <w:rPr>
          <w:rFonts w:ascii="Arial" w:hAnsi="Arial" w:cs="Arial"/>
          <w:spacing w:val="49"/>
          <w:sz w:val="22"/>
          <w:szCs w:val="22"/>
        </w:rPr>
        <w:t xml:space="preserve"> </w:t>
      </w:r>
      <w:r w:rsidR="00B41214" w:rsidRPr="00A64175">
        <w:rPr>
          <w:rFonts w:ascii="Arial" w:hAnsi="Arial" w:cs="Arial"/>
          <w:sz w:val="22"/>
          <w:szCs w:val="22"/>
        </w:rPr>
        <w:t>de</w:t>
      </w:r>
      <w:r w:rsidR="00B41214" w:rsidRPr="00A64175">
        <w:rPr>
          <w:rFonts w:ascii="Arial" w:hAnsi="Arial" w:cs="Arial"/>
          <w:spacing w:val="49"/>
          <w:sz w:val="22"/>
          <w:szCs w:val="22"/>
        </w:rPr>
        <w:t xml:space="preserve"> </w:t>
      </w:r>
      <w:r w:rsidR="00B41214" w:rsidRPr="00A64175">
        <w:rPr>
          <w:rFonts w:ascii="Arial" w:hAnsi="Arial" w:cs="Arial"/>
          <w:sz w:val="22"/>
          <w:szCs w:val="22"/>
        </w:rPr>
        <w:t>file</w:t>
      </w:r>
      <w:r w:rsidR="00B41214" w:rsidRPr="00A64175">
        <w:rPr>
          <w:rFonts w:ascii="Arial" w:hAnsi="Arial" w:cs="Arial"/>
          <w:spacing w:val="49"/>
          <w:sz w:val="22"/>
          <w:szCs w:val="22"/>
        </w:rPr>
        <w:t xml:space="preserve"> </w:t>
      </w:r>
      <w:r w:rsidR="00B41214" w:rsidRPr="00A64175">
        <w:rPr>
          <w:rFonts w:ascii="Arial" w:hAnsi="Arial" w:cs="Arial"/>
          <w:sz w:val="22"/>
          <w:szCs w:val="22"/>
        </w:rPr>
        <w:t>sig</w:t>
      </w:r>
      <w:r w:rsidR="00B41214" w:rsidRPr="00A64175">
        <w:rPr>
          <w:rFonts w:ascii="Arial" w:hAnsi="Arial" w:cs="Arial"/>
          <w:spacing w:val="-1"/>
          <w:sz w:val="22"/>
          <w:szCs w:val="22"/>
        </w:rPr>
        <w:t>n</w:t>
      </w:r>
      <w:r w:rsidR="00B41214" w:rsidRPr="00A64175">
        <w:rPr>
          <w:rFonts w:ascii="Arial" w:hAnsi="Arial" w:cs="Arial"/>
          <w:sz w:val="22"/>
          <w:szCs w:val="22"/>
        </w:rPr>
        <w:t>e,</w:t>
      </w:r>
      <w:r w:rsidR="00B41214" w:rsidRPr="00A64175">
        <w:rPr>
          <w:rFonts w:ascii="Arial" w:hAnsi="Arial" w:cs="Arial"/>
          <w:spacing w:val="49"/>
          <w:sz w:val="22"/>
          <w:szCs w:val="22"/>
        </w:rPr>
        <w:t xml:space="preserve"> </w:t>
      </w:r>
      <w:r w:rsidR="00B41214" w:rsidRPr="00A64175">
        <w:rPr>
          <w:rFonts w:ascii="Arial" w:hAnsi="Arial" w:cs="Arial"/>
          <w:sz w:val="22"/>
          <w:szCs w:val="22"/>
        </w:rPr>
        <w:t>en</w:t>
      </w:r>
      <w:r w:rsidR="00B41214" w:rsidRPr="00A64175">
        <w:rPr>
          <w:rFonts w:ascii="Arial" w:hAnsi="Arial" w:cs="Arial"/>
          <w:spacing w:val="49"/>
          <w:sz w:val="22"/>
          <w:szCs w:val="22"/>
        </w:rPr>
        <w:t xml:space="preserve"> </w:t>
      </w:r>
      <w:r w:rsidR="00B41214" w:rsidRPr="00A64175">
        <w:rPr>
          <w:rFonts w:ascii="Arial" w:hAnsi="Arial" w:cs="Arial"/>
          <w:sz w:val="22"/>
          <w:szCs w:val="22"/>
        </w:rPr>
        <w:t>outre,</w:t>
      </w:r>
      <w:r w:rsidR="00B41214" w:rsidRPr="00A64175">
        <w:rPr>
          <w:rFonts w:ascii="Arial" w:hAnsi="Arial" w:cs="Arial"/>
          <w:spacing w:val="48"/>
          <w:sz w:val="22"/>
          <w:szCs w:val="22"/>
        </w:rPr>
        <w:t xml:space="preserve"> </w:t>
      </w:r>
      <w:r w:rsidR="00B41214" w:rsidRPr="00A64175">
        <w:rPr>
          <w:rFonts w:ascii="Arial" w:hAnsi="Arial" w:cs="Arial"/>
          <w:sz w:val="22"/>
          <w:szCs w:val="22"/>
        </w:rPr>
        <w:t>un</w:t>
      </w:r>
      <w:r w:rsidR="00B41214" w:rsidRPr="00A64175">
        <w:rPr>
          <w:rFonts w:ascii="Arial" w:hAnsi="Arial" w:cs="Arial"/>
          <w:spacing w:val="49"/>
          <w:sz w:val="22"/>
          <w:szCs w:val="22"/>
        </w:rPr>
        <w:t xml:space="preserve"> </w:t>
      </w:r>
      <w:r w:rsidR="00B41214" w:rsidRPr="00A64175">
        <w:rPr>
          <w:rFonts w:ascii="Arial" w:hAnsi="Arial" w:cs="Arial"/>
          <w:sz w:val="22"/>
          <w:szCs w:val="22"/>
        </w:rPr>
        <w:t>contrat</w:t>
      </w:r>
      <w:r w:rsidR="00803CBC" w:rsidRPr="00A64175">
        <w:rPr>
          <w:rFonts w:ascii="Arial" w:hAnsi="Arial" w:cs="Arial"/>
          <w:sz w:val="22"/>
          <w:szCs w:val="22"/>
        </w:rPr>
        <w:t xml:space="preserve"> de placement</w:t>
      </w:r>
      <w:r w:rsidR="00B41214" w:rsidRPr="00A64175">
        <w:rPr>
          <w:rFonts w:ascii="Arial" w:hAnsi="Arial" w:cs="Arial"/>
          <w:spacing w:val="49"/>
          <w:sz w:val="22"/>
          <w:szCs w:val="22"/>
        </w:rPr>
        <w:t xml:space="preserve"> </w:t>
      </w:r>
      <w:r w:rsidR="00B41214" w:rsidRPr="00A64175">
        <w:rPr>
          <w:rFonts w:ascii="Arial" w:hAnsi="Arial" w:cs="Arial"/>
          <w:sz w:val="22"/>
          <w:szCs w:val="22"/>
        </w:rPr>
        <w:t>avec</w:t>
      </w:r>
      <w:r w:rsidR="00B41214" w:rsidRPr="00A64175">
        <w:rPr>
          <w:rFonts w:ascii="Arial" w:hAnsi="Arial" w:cs="Arial"/>
          <w:spacing w:val="49"/>
          <w:sz w:val="22"/>
          <w:szCs w:val="22"/>
        </w:rPr>
        <w:t xml:space="preserve"> </w:t>
      </w:r>
      <w:r w:rsidR="00B41214" w:rsidRPr="00A64175">
        <w:rPr>
          <w:rFonts w:ascii="Arial" w:hAnsi="Arial" w:cs="Arial"/>
          <w:sz w:val="22"/>
          <w:szCs w:val="22"/>
        </w:rPr>
        <w:t xml:space="preserve">les </w:t>
      </w:r>
      <w:r w:rsidR="00803CBC" w:rsidRPr="00A64175">
        <w:rPr>
          <w:rFonts w:ascii="Arial" w:hAnsi="Arial" w:cs="Arial"/>
          <w:sz w:val="22"/>
          <w:szCs w:val="22"/>
        </w:rPr>
        <w:t xml:space="preserve">agents placeurs, </w:t>
      </w:r>
      <w:r w:rsidR="00B41214" w:rsidRPr="00A64175">
        <w:rPr>
          <w:rFonts w:ascii="Arial" w:hAnsi="Arial" w:cs="Arial"/>
          <w:spacing w:val="-2"/>
          <w:sz w:val="22"/>
          <w:szCs w:val="22"/>
        </w:rPr>
        <w:t>m</w:t>
      </w:r>
      <w:r w:rsidR="00B41214" w:rsidRPr="00A64175">
        <w:rPr>
          <w:rFonts w:ascii="Arial" w:hAnsi="Arial" w:cs="Arial"/>
          <w:spacing w:val="2"/>
          <w:sz w:val="22"/>
          <w:szCs w:val="22"/>
        </w:rPr>
        <w:t>e</w:t>
      </w:r>
      <w:r w:rsidR="00B41214" w:rsidRPr="00A64175">
        <w:rPr>
          <w:rFonts w:ascii="Arial" w:hAnsi="Arial" w:cs="Arial"/>
          <w:sz w:val="22"/>
          <w:szCs w:val="22"/>
        </w:rPr>
        <w:t>mbres du syndicat.</w:t>
      </w:r>
      <w:r w:rsidR="00C53A07" w:rsidRPr="00A64175">
        <w:rPr>
          <w:rFonts w:ascii="Arial" w:hAnsi="Arial" w:cs="Arial"/>
          <w:sz w:val="22"/>
          <w:szCs w:val="22"/>
        </w:rPr>
        <w:t xml:space="preserve"> </w:t>
      </w:r>
    </w:p>
    <w:p w14:paraId="0204EE6D" w14:textId="77777777" w:rsidR="00C53A07" w:rsidRPr="00A64175" w:rsidRDefault="00C53A07" w:rsidP="00A64175">
      <w:pPr>
        <w:widowControl w:val="0"/>
        <w:autoSpaceDE w:val="0"/>
        <w:adjustRightInd w:val="0"/>
        <w:ind w:left="111" w:right="67"/>
        <w:jc w:val="both"/>
        <w:rPr>
          <w:rFonts w:ascii="Arial" w:hAnsi="Arial" w:cs="Arial"/>
          <w:sz w:val="22"/>
          <w:szCs w:val="22"/>
        </w:rPr>
      </w:pPr>
    </w:p>
    <w:p w14:paraId="008DFD2F" w14:textId="7CAB1A8D" w:rsidR="00C53A07" w:rsidRPr="00A64175" w:rsidRDefault="00C53A07"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 xml:space="preserve">Le contrat conclu entre le chef de file et les agents placeurs constitue un contrat de mise en </w:t>
      </w:r>
      <w:r w:rsidR="00772B5D" w:rsidRPr="00A64175">
        <w:rPr>
          <w:rFonts w:ascii="Arial" w:hAnsi="Arial" w:cs="Arial"/>
          <w:sz w:val="22"/>
          <w:szCs w:val="22"/>
        </w:rPr>
        <w:t>œuvre</w:t>
      </w:r>
      <w:r w:rsidRPr="00A64175">
        <w:rPr>
          <w:rFonts w:ascii="Arial" w:hAnsi="Arial" w:cs="Arial"/>
          <w:sz w:val="22"/>
          <w:szCs w:val="22"/>
        </w:rPr>
        <w:t xml:space="preserve"> du premier contrat signé entre l’émetteur et le chef de file.</w:t>
      </w:r>
      <w:r w:rsidR="00B41214" w:rsidRPr="00A64175">
        <w:rPr>
          <w:rFonts w:ascii="Arial" w:hAnsi="Arial" w:cs="Arial"/>
          <w:sz w:val="22"/>
          <w:szCs w:val="22"/>
        </w:rPr>
        <w:t xml:space="preserve"> </w:t>
      </w:r>
    </w:p>
    <w:p w14:paraId="66A6D3CE" w14:textId="77777777" w:rsidR="00C53A07" w:rsidRPr="00A64175" w:rsidRDefault="00C53A07" w:rsidP="00A64175">
      <w:pPr>
        <w:widowControl w:val="0"/>
        <w:autoSpaceDE w:val="0"/>
        <w:adjustRightInd w:val="0"/>
        <w:ind w:left="111" w:right="67"/>
        <w:jc w:val="both"/>
        <w:rPr>
          <w:rFonts w:ascii="Arial" w:hAnsi="Arial" w:cs="Arial"/>
          <w:sz w:val="22"/>
          <w:szCs w:val="22"/>
        </w:rPr>
      </w:pPr>
    </w:p>
    <w:p w14:paraId="274CD064" w14:textId="1E82F7F7" w:rsidR="00B41214" w:rsidRPr="00A64175" w:rsidRDefault="00B41214"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Les contr</w:t>
      </w:r>
      <w:r w:rsidRPr="00A64175">
        <w:rPr>
          <w:rFonts w:ascii="Arial" w:hAnsi="Arial" w:cs="Arial"/>
          <w:spacing w:val="-3"/>
          <w:sz w:val="22"/>
          <w:szCs w:val="22"/>
        </w:rPr>
        <w:t>a</w:t>
      </w:r>
      <w:r w:rsidRPr="00A64175">
        <w:rPr>
          <w:rFonts w:ascii="Arial" w:hAnsi="Arial" w:cs="Arial"/>
          <w:sz w:val="22"/>
          <w:szCs w:val="22"/>
        </w:rPr>
        <w:t>ts visés au présent a</w:t>
      </w:r>
      <w:r w:rsidRPr="00A64175">
        <w:rPr>
          <w:rFonts w:ascii="Arial" w:hAnsi="Arial" w:cs="Arial"/>
          <w:spacing w:val="-1"/>
          <w:sz w:val="22"/>
          <w:szCs w:val="22"/>
        </w:rPr>
        <w:t>r</w:t>
      </w:r>
      <w:r w:rsidRPr="00A64175">
        <w:rPr>
          <w:rFonts w:ascii="Arial" w:hAnsi="Arial" w:cs="Arial"/>
          <w:sz w:val="22"/>
          <w:szCs w:val="22"/>
        </w:rPr>
        <w:t>ticle sont trans</w:t>
      </w:r>
      <w:r w:rsidRPr="00A64175">
        <w:rPr>
          <w:rFonts w:ascii="Arial" w:hAnsi="Arial" w:cs="Arial"/>
          <w:spacing w:val="-2"/>
          <w:sz w:val="22"/>
          <w:szCs w:val="22"/>
        </w:rPr>
        <w:t>m</w:t>
      </w:r>
      <w:r w:rsidRPr="00A64175">
        <w:rPr>
          <w:rFonts w:ascii="Arial" w:hAnsi="Arial" w:cs="Arial"/>
          <w:sz w:val="22"/>
          <w:szCs w:val="22"/>
        </w:rPr>
        <w:t>is à la</w:t>
      </w:r>
      <w:r w:rsidRPr="00A64175">
        <w:rPr>
          <w:rFonts w:ascii="Arial" w:hAnsi="Arial" w:cs="Arial"/>
          <w:spacing w:val="1"/>
          <w:sz w:val="22"/>
          <w:szCs w:val="22"/>
        </w:rPr>
        <w:t xml:space="preserve"> </w:t>
      </w:r>
      <w:r w:rsidRPr="00A64175">
        <w:rPr>
          <w:rFonts w:ascii="Arial" w:hAnsi="Arial" w:cs="Arial"/>
          <w:sz w:val="22"/>
          <w:szCs w:val="22"/>
        </w:rPr>
        <w:t>COSUMAF</w:t>
      </w:r>
      <w:r w:rsidRPr="00A64175">
        <w:rPr>
          <w:rFonts w:ascii="Arial" w:hAnsi="Arial" w:cs="Arial"/>
          <w:spacing w:val="1"/>
          <w:sz w:val="22"/>
          <w:szCs w:val="22"/>
        </w:rPr>
        <w:t xml:space="preserve"> </w:t>
      </w:r>
      <w:r w:rsidRPr="00A64175">
        <w:rPr>
          <w:rFonts w:ascii="Arial" w:hAnsi="Arial" w:cs="Arial"/>
          <w:sz w:val="22"/>
          <w:szCs w:val="22"/>
        </w:rPr>
        <w:t>avant</w:t>
      </w:r>
      <w:r w:rsidRPr="00A64175">
        <w:rPr>
          <w:rFonts w:ascii="Arial" w:hAnsi="Arial" w:cs="Arial"/>
          <w:spacing w:val="1"/>
          <w:sz w:val="22"/>
          <w:szCs w:val="22"/>
        </w:rPr>
        <w:t xml:space="preserve"> </w:t>
      </w:r>
      <w:r w:rsidRPr="00A64175">
        <w:rPr>
          <w:rFonts w:ascii="Arial" w:hAnsi="Arial" w:cs="Arial"/>
          <w:sz w:val="22"/>
          <w:szCs w:val="22"/>
        </w:rPr>
        <w:t>l</w:t>
      </w:r>
      <w:r w:rsidRPr="00A64175">
        <w:rPr>
          <w:rFonts w:ascii="Arial" w:hAnsi="Arial" w:cs="Arial"/>
          <w:spacing w:val="-1"/>
          <w:sz w:val="22"/>
          <w:szCs w:val="22"/>
        </w:rPr>
        <w:t>e</w:t>
      </w:r>
      <w:r w:rsidRPr="00A64175">
        <w:rPr>
          <w:rFonts w:ascii="Arial" w:hAnsi="Arial" w:cs="Arial"/>
          <w:sz w:val="22"/>
          <w:szCs w:val="22"/>
        </w:rPr>
        <w:t>ur</w:t>
      </w:r>
      <w:r w:rsidRPr="00A64175">
        <w:rPr>
          <w:rFonts w:ascii="Arial" w:hAnsi="Arial" w:cs="Arial"/>
          <w:spacing w:val="1"/>
          <w:sz w:val="22"/>
          <w:szCs w:val="22"/>
        </w:rPr>
        <w:t xml:space="preserve"> </w:t>
      </w:r>
      <w:r w:rsidRPr="00A64175">
        <w:rPr>
          <w:rFonts w:ascii="Arial" w:hAnsi="Arial" w:cs="Arial"/>
          <w:sz w:val="22"/>
          <w:szCs w:val="22"/>
        </w:rPr>
        <w:t>sign</w:t>
      </w:r>
      <w:r w:rsidRPr="00A64175">
        <w:rPr>
          <w:rFonts w:ascii="Arial" w:hAnsi="Arial" w:cs="Arial"/>
          <w:spacing w:val="-1"/>
          <w:sz w:val="22"/>
          <w:szCs w:val="22"/>
        </w:rPr>
        <w:t>a</w:t>
      </w:r>
      <w:r w:rsidRPr="00A64175">
        <w:rPr>
          <w:rFonts w:ascii="Arial" w:hAnsi="Arial" w:cs="Arial"/>
          <w:sz w:val="22"/>
          <w:szCs w:val="22"/>
        </w:rPr>
        <w:t>ture, laquelle</w:t>
      </w:r>
      <w:r w:rsidRPr="00A64175">
        <w:rPr>
          <w:rFonts w:ascii="Arial" w:hAnsi="Arial" w:cs="Arial"/>
          <w:spacing w:val="1"/>
          <w:sz w:val="22"/>
          <w:szCs w:val="22"/>
        </w:rPr>
        <w:t xml:space="preserve"> </w:t>
      </w:r>
      <w:r w:rsidRPr="00A64175">
        <w:rPr>
          <w:rFonts w:ascii="Arial" w:hAnsi="Arial" w:cs="Arial"/>
          <w:spacing w:val="-1"/>
          <w:sz w:val="22"/>
          <w:szCs w:val="22"/>
        </w:rPr>
        <w:t>s</w:t>
      </w:r>
      <w:r w:rsidRPr="00A64175">
        <w:rPr>
          <w:rFonts w:ascii="Arial" w:hAnsi="Arial" w:cs="Arial"/>
          <w:sz w:val="22"/>
          <w:szCs w:val="22"/>
        </w:rPr>
        <w:t>’</w:t>
      </w:r>
      <w:r w:rsidRPr="00A64175">
        <w:rPr>
          <w:rFonts w:ascii="Arial" w:hAnsi="Arial" w:cs="Arial"/>
          <w:spacing w:val="-1"/>
          <w:sz w:val="22"/>
          <w:szCs w:val="22"/>
        </w:rPr>
        <w:t>a</w:t>
      </w:r>
      <w:r w:rsidRPr="00A64175">
        <w:rPr>
          <w:rFonts w:ascii="Arial" w:hAnsi="Arial" w:cs="Arial"/>
          <w:sz w:val="22"/>
          <w:szCs w:val="22"/>
        </w:rPr>
        <w:t>ssure</w:t>
      </w:r>
      <w:r w:rsidRPr="00A64175">
        <w:rPr>
          <w:rFonts w:ascii="Arial" w:hAnsi="Arial" w:cs="Arial"/>
          <w:spacing w:val="1"/>
          <w:sz w:val="22"/>
          <w:szCs w:val="22"/>
        </w:rPr>
        <w:t xml:space="preserve"> </w:t>
      </w:r>
      <w:r w:rsidRPr="00A64175">
        <w:rPr>
          <w:rFonts w:ascii="Arial" w:hAnsi="Arial" w:cs="Arial"/>
          <w:sz w:val="22"/>
          <w:szCs w:val="22"/>
        </w:rPr>
        <w:t>de le</w:t>
      </w:r>
      <w:r w:rsidRPr="00A64175">
        <w:rPr>
          <w:rFonts w:ascii="Arial" w:hAnsi="Arial" w:cs="Arial"/>
          <w:spacing w:val="-1"/>
          <w:sz w:val="22"/>
          <w:szCs w:val="22"/>
        </w:rPr>
        <w:t>u</w:t>
      </w:r>
      <w:r w:rsidRPr="00A64175">
        <w:rPr>
          <w:rFonts w:ascii="Arial" w:hAnsi="Arial" w:cs="Arial"/>
          <w:sz w:val="22"/>
          <w:szCs w:val="22"/>
        </w:rPr>
        <w:t>r</w:t>
      </w:r>
      <w:r w:rsidRPr="00A64175">
        <w:rPr>
          <w:rFonts w:ascii="Arial" w:hAnsi="Arial" w:cs="Arial"/>
          <w:spacing w:val="1"/>
          <w:sz w:val="22"/>
          <w:szCs w:val="22"/>
        </w:rPr>
        <w:t xml:space="preserve"> </w:t>
      </w:r>
      <w:r w:rsidRPr="00A64175">
        <w:rPr>
          <w:rFonts w:ascii="Arial" w:hAnsi="Arial" w:cs="Arial"/>
          <w:sz w:val="22"/>
          <w:szCs w:val="22"/>
        </w:rPr>
        <w:t>con</w:t>
      </w:r>
      <w:r w:rsidRPr="00A64175">
        <w:rPr>
          <w:rFonts w:ascii="Arial" w:hAnsi="Arial" w:cs="Arial"/>
          <w:spacing w:val="-1"/>
          <w:sz w:val="22"/>
          <w:szCs w:val="22"/>
        </w:rPr>
        <w:t>f</w:t>
      </w:r>
      <w:r w:rsidRPr="00A64175">
        <w:rPr>
          <w:rFonts w:ascii="Arial" w:hAnsi="Arial" w:cs="Arial"/>
          <w:sz w:val="22"/>
          <w:szCs w:val="22"/>
        </w:rPr>
        <w:t>or</w:t>
      </w:r>
      <w:r w:rsidRPr="00A64175">
        <w:rPr>
          <w:rFonts w:ascii="Arial" w:hAnsi="Arial" w:cs="Arial"/>
          <w:spacing w:val="-2"/>
          <w:sz w:val="22"/>
          <w:szCs w:val="22"/>
        </w:rPr>
        <w:t>m</w:t>
      </w:r>
      <w:r w:rsidRPr="00A64175">
        <w:rPr>
          <w:rFonts w:ascii="Arial" w:hAnsi="Arial" w:cs="Arial"/>
          <w:sz w:val="22"/>
          <w:szCs w:val="22"/>
        </w:rPr>
        <w:t>ité</w:t>
      </w:r>
      <w:r w:rsidRPr="00A64175">
        <w:rPr>
          <w:rFonts w:ascii="Arial" w:hAnsi="Arial" w:cs="Arial"/>
          <w:spacing w:val="1"/>
          <w:sz w:val="22"/>
          <w:szCs w:val="22"/>
        </w:rPr>
        <w:t xml:space="preserve"> </w:t>
      </w:r>
      <w:r w:rsidRPr="00A64175">
        <w:rPr>
          <w:rFonts w:ascii="Arial" w:hAnsi="Arial" w:cs="Arial"/>
          <w:sz w:val="22"/>
          <w:szCs w:val="22"/>
        </w:rPr>
        <w:t>avec</w:t>
      </w:r>
      <w:r w:rsidRPr="00A64175">
        <w:rPr>
          <w:rFonts w:ascii="Arial" w:hAnsi="Arial" w:cs="Arial"/>
          <w:spacing w:val="1"/>
          <w:sz w:val="22"/>
          <w:szCs w:val="22"/>
        </w:rPr>
        <w:t xml:space="preserve"> </w:t>
      </w:r>
      <w:r w:rsidRPr="00A64175">
        <w:rPr>
          <w:rFonts w:ascii="Arial" w:hAnsi="Arial" w:cs="Arial"/>
          <w:sz w:val="22"/>
          <w:szCs w:val="22"/>
        </w:rPr>
        <w:t>les</w:t>
      </w:r>
      <w:r w:rsidRPr="00A64175">
        <w:rPr>
          <w:rFonts w:ascii="Arial" w:hAnsi="Arial" w:cs="Arial"/>
          <w:spacing w:val="1"/>
          <w:sz w:val="22"/>
          <w:szCs w:val="22"/>
        </w:rPr>
        <w:t xml:space="preserve"> </w:t>
      </w:r>
      <w:r w:rsidRPr="00A64175">
        <w:rPr>
          <w:rFonts w:ascii="Arial" w:hAnsi="Arial" w:cs="Arial"/>
          <w:spacing w:val="-1"/>
          <w:sz w:val="22"/>
          <w:szCs w:val="22"/>
        </w:rPr>
        <w:t>di</w:t>
      </w:r>
      <w:r w:rsidRPr="00A64175">
        <w:rPr>
          <w:rFonts w:ascii="Arial" w:hAnsi="Arial" w:cs="Arial"/>
          <w:sz w:val="22"/>
          <w:szCs w:val="22"/>
        </w:rPr>
        <w:t>spositions</w:t>
      </w:r>
      <w:r w:rsidRPr="00A64175">
        <w:rPr>
          <w:rFonts w:ascii="Arial" w:hAnsi="Arial" w:cs="Arial"/>
          <w:spacing w:val="1"/>
          <w:sz w:val="22"/>
          <w:szCs w:val="22"/>
        </w:rPr>
        <w:t xml:space="preserve"> </w:t>
      </w:r>
      <w:r w:rsidRPr="00A64175">
        <w:rPr>
          <w:rFonts w:ascii="Arial" w:hAnsi="Arial" w:cs="Arial"/>
          <w:sz w:val="22"/>
          <w:szCs w:val="22"/>
        </w:rPr>
        <w:t>l</w:t>
      </w:r>
      <w:r w:rsidRPr="00A64175">
        <w:rPr>
          <w:rFonts w:ascii="Arial" w:hAnsi="Arial" w:cs="Arial"/>
          <w:spacing w:val="-1"/>
          <w:sz w:val="22"/>
          <w:szCs w:val="22"/>
        </w:rPr>
        <w:t>é</w:t>
      </w:r>
      <w:r w:rsidRPr="00A64175">
        <w:rPr>
          <w:rFonts w:ascii="Arial" w:hAnsi="Arial" w:cs="Arial"/>
          <w:sz w:val="22"/>
          <w:szCs w:val="22"/>
        </w:rPr>
        <w:t>gales</w:t>
      </w:r>
      <w:r w:rsidRPr="00A64175">
        <w:rPr>
          <w:rFonts w:ascii="Arial" w:hAnsi="Arial" w:cs="Arial"/>
          <w:spacing w:val="1"/>
          <w:sz w:val="22"/>
          <w:szCs w:val="22"/>
        </w:rPr>
        <w:t xml:space="preserve"> </w:t>
      </w:r>
      <w:r w:rsidRPr="00A64175">
        <w:rPr>
          <w:rFonts w:ascii="Arial" w:hAnsi="Arial" w:cs="Arial"/>
          <w:spacing w:val="-1"/>
          <w:sz w:val="22"/>
          <w:szCs w:val="22"/>
        </w:rPr>
        <w:t>e</w:t>
      </w:r>
      <w:r w:rsidRPr="00A64175">
        <w:rPr>
          <w:rFonts w:ascii="Arial" w:hAnsi="Arial" w:cs="Arial"/>
          <w:sz w:val="22"/>
          <w:szCs w:val="22"/>
        </w:rPr>
        <w:t>t régle</w:t>
      </w:r>
      <w:r w:rsidRPr="00A64175">
        <w:rPr>
          <w:rFonts w:ascii="Arial" w:hAnsi="Arial" w:cs="Arial"/>
          <w:spacing w:val="-2"/>
          <w:sz w:val="22"/>
          <w:szCs w:val="22"/>
        </w:rPr>
        <w:t>m</w:t>
      </w:r>
      <w:r w:rsidRPr="00A64175">
        <w:rPr>
          <w:rFonts w:ascii="Arial" w:hAnsi="Arial" w:cs="Arial"/>
          <w:sz w:val="22"/>
          <w:szCs w:val="22"/>
        </w:rPr>
        <w:t>entai</w:t>
      </w:r>
      <w:r w:rsidRPr="00A64175">
        <w:rPr>
          <w:rFonts w:ascii="Arial" w:hAnsi="Arial" w:cs="Arial"/>
          <w:spacing w:val="-1"/>
          <w:sz w:val="22"/>
          <w:szCs w:val="22"/>
        </w:rPr>
        <w:t>r</w:t>
      </w:r>
      <w:r w:rsidRPr="00A64175">
        <w:rPr>
          <w:rFonts w:ascii="Arial" w:hAnsi="Arial" w:cs="Arial"/>
          <w:sz w:val="22"/>
          <w:szCs w:val="22"/>
        </w:rPr>
        <w:t>es.</w:t>
      </w:r>
      <w:r w:rsidRPr="00A64175">
        <w:rPr>
          <w:rFonts w:ascii="Arial" w:hAnsi="Arial" w:cs="Arial"/>
          <w:spacing w:val="1"/>
          <w:sz w:val="22"/>
          <w:szCs w:val="22"/>
        </w:rPr>
        <w:t xml:space="preserve"> </w:t>
      </w:r>
      <w:r w:rsidRPr="00A64175">
        <w:rPr>
          <w:rFonts w:ascii="Arial" w:hAnsi="Arial" w:cs="Arial"/>
          <w:sz w:val="22"/>
          <w:szCs w:val="22"/>
        </w:rPr>
        <w:t>Après</w:t>
      </w:r>
      <w:r w:rsidRPr="00A64175">
        <w:rPr>
          <w:rFonts w:ascii="Arial" w:hAnsi="Arial" w:cs="Arial"/>
          <w:spacing w:val="1"/>
          <w:sz w:val="22"/>
          <w:szCs w:val="22"/>
        </w:rPr>
        <w:t xml:space="preserve"> </w:t>
      </w:r>
      <w:r w:rsidRPr="00A64175">
        <w:rPr>
          <w:rFonts w:ascii="Arial" w:hAnsi="Arial" w:cs="Arial"/>
          <w:sz w:val="22"/>
          <w:szCs w:val="22"/>
        </w:rPr>
        <w:t>la</w:t>
      </w:r>
      <w:r w:rsidRPr="00A64175">
        <w:rPr>
          <w:rFonts w:ascii="Arial" w:hAnsi="Arial" w:cs="Arial"/>
          <w:spacing w:val="1"/>
          <w:sz w:val="22"/>
          <w:szCs w:val="22"/>
        </w:rPr>
        <w:t xml:space="preserve"> </w:t>
      </w:r>
      <w:r w:rsidRPr="00A64175">
        <w:rPr>
          <w:rFonts w:ascii="Arial" w:hAnsi="Arial" w:cs="Arial"/>
          <w:sz w:val="22"/>
          <w:szCs w:val="22"/>
        </w:rPr>
        <w:t>signature</w:t>
      </w:r>
      <w:r w:rsidRPr="00A64175">
        <w:rPr>
          <w:rFonts w:ascii="Arial" w:hAnsi="Arial" w:cs="Arial"/>
          <w:spacing w:val="1"/>
          <w:sz w:val="22"/>
          <w:szCs w:val="22"/>
        </w:rPr>
        <w:t xml:space="preserve"> </w:t>
      </w:r>
      <w:r w:rsidRPr="00A64175">
        <w:rPr>
          <w:rFonts w:ascii="Arial" w:hAnsi="Arial" w:cs="Arial"/>
          <w:sz w:val="22"/>
          <w:szCs w:val="22"/>
        </w:rPr>
        <w:t>d</w:t>
      </w:r>
      <w:r w:rsidRPr="00A64175">
        <w:rPr>
          <w:rFonts w:ascii="Arial" w:hAnsi="Arial" w:cs="Arial"/>
          <w:spacing w:val="-1"/>
          <w:sz w:val="22"/>
          <w:szCs w:val="22"/>
        </w:rPr>
        <w:t>e</w:t>
      </w:r>
      <w:r w:rsidRPr="00A64175">
        <w:rPr>
          <w:rFonts w:ascii="Arial" w:hAnsi="Arial" w:cs="Arial"/>
          <w:sz w:val="22"/>
          <w:szCs w:val="22"/>
        </w:rPr>
        <w:t>s</w:t>
      </w:r>
      <w:r w:rsidRPr="00A64175">
        <w:rPr>
          <w:rFonts w:ascii="Arial" w:hAnsi="Arial" w:cs="Arial"/>
          <w:spacing w:val="1"/>
          <w:sz w:val="22"/>
          <w:szCs w:val="22"/>
        </w:rPr>
        <w:t xml:space="preserve"> </w:t>
      </w:r>
      <w:r w:rsidRPr="00A64175">
        <w:rPr>
          <w:rFonts w:ascii="Arial" w:hAnsi="Arial" w:cs="Arial"/>
          <w:sz w:val="22"/>
          <w:szCs w:val="22"/>
        </w:rPr>
        <w:t>contr</w:t>
      </w:r>
      <w:r w:rsidRPr="00A64175">
        <w:rPr>
          <w:rFonts w:ascii="Arial" w:hAnsi="Arial" w:cs="Arial"/>
          <w:spacing w:val="-1"/>
          <w:sz w:val="22"/>
          <w:szCs w:val="22"/>
        </w:rPr>
        <w:t>a</w:t>
      </w:r>
      <w:r w:rsidRPr="00A64175">
        <w:rPr>
          <w:rFonts w:ascii="Arial" w:hAnsi="Arial" w:cs="Arial"/>
          <w:sz w:val="22"/>
          <w:szCs w:val="22"/>
        </w:rPr>
        <w:t>ts,</w:t>
      </w:r>
      <w:r w:rsidRPr="00A64175">
        <w:rPr>
          <w:rFonts w:ascii="Arial" w:hAnsi="Arial" w:cs="Arial"/>
          <w:spacing w:val="1"/>
          <w:sz w:val="22"/>
          <w:szCs w:val="22"/>
        </w:rPr>
        <w:t xml:space="preserve"> </w:t>
      </w:r>
      <w:r w:rsidRPr="00A64175">
        <w:rPr>
          <w:rFonts w:ascii="Arial" w:hAnsi="Arial" w:cs="Arial"/>
          <w:sz w:val="22"/>
          <w:szCs w:val="22"/>
        </w:rPr>
        <w:t>des copi</w:t>
      </w:r>
      <w:r w:rsidRPr="00A64175">
        <w:rPr>
          <w:rFonts w:ascii="Arial" w:hAnsi="Arial" w:cs="Arial"/>
          <w:spacing w:val="-1"/>
          <w:sz w:val="22"/>
          <w:szCs w:val="22"/>
        </w:rPr>
        <w:t>e</w:t>
      </w:r>
      <w:r w:rsidRPr="00A64175">
        <w:rPr>
          <w:rFonts w:ascii="Arial" w:hAnsi="Arial" w:cs="Arial"/>
          <w:sz w:val="22"/>
          <w:szCs w:val="22"/>
        </w:rPr>
        <w:t>s sont, sans délai, adressées à la COSUMAF.</w:t>
      </w:r>
    </w:p>
    <w:p w14:paraId="0CD18F4C" w14:textId="77777777" w:rsidR="006D22F7" w:rsidRPr="00A64175" w:rsidRDefault="006D22F7" w:rsidP="00A64175">
      <w:pPr>
        <w:widowControl w:val="0"/>
        <w:autoSpaceDE w:val="0"/>
        <w:adjustRightInd w:val="0"/>
        <w:ind w:left="111" w:right="68"/>
        <w:jc w:val="both"/>
        <w:rPr>
          <w:rFonts w:ascii="Arial" w:hAnsi="Arial" w:cs="Arial"/>
          <w:sz w:val="22"/>
          <w:szCs w:val="22"/>
        </w:rPr>
      </w:pPr>
    </w:p>
    <w:p w14:paraId="48E35A54" w14:textId="77777777" w:rsidR="00B41214" w:rsidRPr="00A64175" w:rsidRDefault="00B41214"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Une</w:t>
      </w:r>
      <w:r w:rsidRPr="00A64175">
        <w:rPr>
          <w:rFonts w:ascii="Arial" w:hAnsi="Arial" w:cs="Arial"/>
          <w:spacing w:val="1"/>
          <w:sz w:val="22"/>
          <w:szCs w:val="22"/>
        </w:rPr>
        <w:t xml:space="preserve"> </w:t>
      </w:r>
      <w:r w:rsidRPr="00A64175">
        <w:rPr>
          <w:rFonts w:ascii="Arial" w:hAnsi="Arial" w:cs="Arial"/>
          <w:sz w:val="22"/>
          <w:szCs w:val="22"/>
        </w:rPr>
        <w:t>instruction</w:t>
      </w:r>
      <w:r w:rsidRPr="00A64175">
        <w:rPr>
          <w:rFonts w:ascii="Arial" w:hAnsi="Arial" w:cs="Arial"/>
          <w:spacing w:val="1"/>
          <w:sz w:val="22"/>
          <w:szCs w:val="22"/>
        </w:rPr>
        <w:t xml:space="preserve"> </w:t>
      </w:r>
      <w:r w:rsidRPr="00A64175">
        <w:rPr>
          <w:rFonts w:ascii="Arial" w:hAnsi="Arial" w:cs="Arial"/>
          <w:sz w:val="22"/>
          <w:szCs w:val="22"/>
        </w:rPr>
        <w:t>de</w:t>
      </w:r>
      <w:r w:rsidRPr="00A64175">
        <w:rPr>
          <w:rFonts w:ascii="Arial" w:hAnsi="Arial" w:cs="Arial"/>
          <w:spacing w:val="1"/>
          <w:sz w:val="22"/>
          <w:szCs w:val="22"/>
        </w:rPr>
        <w:t xml:space="preserve"> </w:t>
      </w:r>
      <w:r w:rsidRPr="00A64175">
        <w:rPr>
          <w:rFonts w:ascii="Arial" w:hAnsi="Arial" w:cs="Arial"/>
          <w:sz w:val="22"/>
          <w:szCs w:val="22"/>
        </w:rPr>
        <w:t>la</w:t>
      </w:r>
      <w:r w:rsidRPr="00A64175">
        <w:rPr>
          <w:rFonts w:ascii="Arial" w:hAnsi="Arial" w:cs="Arial"/>
          <w:spacing w:val="1"/>
          <w:sz w:val="22"/>
          <w:szCs w:val="22"/>
        </w:rPr>
        <w:t xml:space="preserve"> </w:t>
      </w:r>
      <w:r w:rsidRPr="00A64175">
        <w:rPr>
          <w:rFonts w:ascii="Arial" w:hAnsi="Arial" w:cs="Arial"/>
          <w:spacing w:val="-2"/>
          <w:sz w:val="22"/>
          <w:szCs w:val="22"/>
        </w:rPr>
        <w:t>C</w:t>
      </w:r>
      <w:r w:rsidRPr="00A64175">
        <w:rPr>
          <w:rFonts w:ascii="Arial" w:hAnsi="Arial" w:cs="Arial"/>
          <w:spacing w:val="-1"/>
          <w:sz w:val="22"/>
          <w:szCs w:val="22"/>
        </w:rPr>
        <w:t>O</w:t>
      </w:r>
      <w:r w:rsidRPr="00A64175">
        <w:rPr>
          <w:rFonts w:ascii="Arial" w:hAnsi="Arial" w:cs="Arial"/>
          <w:sz w:val="22"/>
          <w:szCs w:val="22"/>
        </w:rPr>
        <w:t>SUMAF</w:t>
      </w:r>
      <w:r w:rsidRPr="00A64175">
        <w:rPr>
          <w:rFonts w:ascii="Arial" w:hAnsi="Arial" w:cs="Arial"/>
          <w:spacing w:val="1"/>
          <w:sz w:val="22"/>
          <w:szCs w:val="22"/>
        </w:rPr>
        <w:t xml:space="preserve"> </w:t>
      </w:r>
      <w:r w:rsidRPr="00A64175">
        <w:rPr>
          <w:rFonts w:ascii="Arial" w:hAnsi="Arial" w:cs="Arial"/>
          <w:sz w:val="22"/>
          <w:szCs w:val="22"/>
        </w:rPr>
        <w:t>précise</w:t>
      </w:r>
      <w:r w:rsidRPr="00A64175">
        <w:rPr>
          <w:rFonts w:ascii="Arial" w:hAnsi="Arial" w:cs="Arial"/>
          <w:spacing w:val="1"/>
          <w:sz w:val="22"/>
          <w:szCs w:val="22"/>
        </w:rPr>
        <w:t xml:space="preserve"> </w:t>
      </w:r>
      <w:r w:rsidRPr="00A64175">
        <w:rPr>
          <w:rFonts w:ascii="Arial" w:hAnsi="Arial" w:cs="Arial"/>
          <w:sz w:val="22"/>
          <w:szCs w:val="22"/>
        </w:rPr>
        <w:t>les</w:t>
      </w:r>
      <w:r w:rsidRPr="00A64175">
        <w:rPr>
          <w:rFonts w:ascii="Arial" w:hAnsi="Arial" w:cs="Arial"/>
          <w:spacing w:val="1"/>
          <w:sz w:val="22"/>
          <w:szCs w:val="22"/>
        </w:rPr>
        <w:t xml:space="preserve"> </w:t>
      </w:r>
      <w:r w:rsidRPr="00A64175">
        <w:rPr>
          <w:rFonts w:ascii="Arial" w:hAnsi="Arial" w:cs="Arial"/>
          <w:spacing w:val="-2"/>
          <w:sz w:val="22"/>
          <w:szCs w:val="22"/>
        </w:rPr>
        <w:t>m</w:t>
      </w:r>
      <w:r w:rsidRPr="00A64175">
        <w:rPr>
          <w:rFonts w:ascii="Arial" w:hAnsi="Arial" w:cs="Arial"/>
          <w:sz w:val="22"/>
          <w:szCs w:val="22"/>
        </w:rPr>
        <w:t xml:space="preserve">entions </w:t>
      </w:r>
      <w:r w:rsidRPr="00A64175">
        <w:rPr>
          <w:rFonts w:ascii="Arial" w:hAnsi="Arial" w:cs="Arial"/>
          <w:spacing w:val="-2"/>
          <w:sz w:val="22"/>
          <w:szCs w:val="22"/>
        </w:rPr>
        <w:t>m</w:t>
      </w:r>
      <w:r w:rsidRPr="00A64175">
        <w:rPr>
          <w:rFonts w:ascii="Arial" w:hAnsi="Arial" w:cs="Arial"/>
          <w:spacing w:val="1"/>
          <w:sz w:val="22"/>
          <w:szCs w:val="22"/>
        </w:rPr>
        <w:t>i</w:t>
      </w:r>
      <w:r w:rsidRPr="00A64175">
        <w:rPr>
          <w:rFonts w:ascii="Arial" w:hAnsi="Arial" w:cs="Arial"/>
          <w:sz w:val="22"/>
          <w:szCs w:val="22"/>
        </w:rPr>
        <w:t>ni</w:t>
      </w:r>
      <w:r w:rsidRPr="00A64175">
        <w:rPr>
          <w:rFonts w:ascii="Arial" w:hAnsi="Arial" w:cs="Arial"/>
          <w:spacing w:val="-2"/>
          <w:sz w:val="22"/>
          <w:szCs w:val="22"/>
        </w:rPr>
        <w:t>m</w:t>
      </w:r>
      <w:r w:rsidRPr="00A64175">
        <w:rPr>
          <w:rFonts w:ascii="Arial" w:hAnsi="Arial" w:cs="Arial"/>
          <w:sz w:val="22"/>
          <w:szCs w:val="22"/>
        </w:rPr>
        <w:t>ales</w:t>
      </w:r>
      <w:r w:rsidRPr="00A64175">
        <w:rPr>
          <w:rFonts w:ascii="Arial" w:hAnsi="Arial" w:cs="Arial"/>
          <w:spacing w:val="1"/>
          <w:sz w:val="22"/>
          <w:szCs w:val="22"/>
        </w:rPr>
        <w:t xml:space="preserve"> </w:t>
      </w:r>
      <w:r w:rsidRPr="00A64175">
        <w:rPr>
          <w:rFonts w:ascii="Arial" w:hAnsi="Arial" w:cs="Arial"/>
          <w:sz w:val="22"/>
          <w:szCs w:val="22"/>
        </w:rPr>
        <w:t>devant</w:t>
      </w:r>
      <w:r w:rsidRPr="00A64175">
        <w:rPr>
          <w:rFonts w:ascii="Arial" w:hAnsi="Arial" w:cs="Arial"/>
          <w:spacing w:val="1"/>
          <w:sz w:val="22"/>
          <w:szCs w:val="22"/>
        </w:rPr>
        <w:t xml:space="preserve"> </w:t>
      </w:r>
      <w:r w:rsidRPr="00A64175">
        <w:rPr>
          <w:rFonts w:ascii="Arial" w:hAnsi="Arial" w:cs="Arial"/>
          <w:sz w:val="22"/>
          <w:szCs w:val="22"/>
        </w:rPr>
        <w:t>figurer</w:t>
      </w:r>
      <w:r w:rsidRPr="00A64175">
        <w:rPr>
          <w:rFonts w:ascii="Arial" w:hAnsi="Arial" w:cs="Arial"/>
          <w:spacing w:val="1"/>
          <w:sz w:val="22"/>
          <w:szCs w:val="22"/>
        </w:rPr>
        <w:t xml:space="preserve"> </w:t>
      </w:r>
      <w:r w:rsidRPr="00A64175">
        <w:rPr>
          <w:rFonts w:ascii="Arial" w:hAnsi="Arial" w:cs="Arial"/>
          <w:sz w:val="22"/>
          <w:szCs w:val="22"/>
        </w:rPr>
        <w:t>dans</w:t>
      </w:r>
      <w:r w:rsidRPr="00A64175">
        <w:rPr>
          <w:rFonts w:ascii="Arial" w:hAnsi="Arial" w:cs="Arial"/>
          <w:spacing w:val="1"/>
          <w:sz w:val="22"/>
          <w:szCs w:val="22"/>
        </w:rPr>
        <w:t xml:space="preserve"> </w:t>
      </w:r>
      <w:r w:rsidRPr="00A64175">
        <w:rPr>
          <w:rFonts w:ascii="Arial" w:hAnsi="Arial" w:cs="Arial"/>
          <w:sz w:val="22"/>
          <w:szCs w:val="22"/>
        </w:rPr>
        <w:t>les</w:t>
      </w:r>
      <w:r w:rsidRPr="00A64175">
        <w:rPr>
          <w:rFonts w:ascii="Arial" w:hAnsi="Arial" w:cs="Arial"/>
          <w:spacing w:val="1"/>
          <w:sz w:val="22"/>
          <w:szCs w:val="22"/>
        </w:rPr>
        <w:t xml:space="preserve"> </w:t>
      </w:r>
      <w:r w:rsidRPr="00A64175">
        <w:rPr>
          <w:rFonts w:ascii="Arial" w:hAnsi="Arial" w:cs="Arial"/>
          <w:sz w:val="22"/>
          <w:szCs w:val="22"/>
        </w:rPr>
        <w:t>contrats</w:t>
      </w:r>
      <w:r w:rsidRPr="00A64175">
        <w:rPr>
          <w:rFonts w:ascii="Arial" w:hAnsi="Arial" w:cs="Arial"/>
          <w:spacing w:val="1"/>
          <w:sz w:val="22"/>
          <w:szCs w:val="22"/>
        </w:rPr>
        <w:t xml:space="preserve"> </w:t>
      </w:r>
      <w:r w:rsidRPr="00A64175">
        <w:rPr>
          <w:rFonts w:ascii="Arial" w:hAnsi="Arial" w:cs="Arial"/>
          <w:sz w:val="22"/>
          <w:szCs w:val="22"/>
        </w:rPr>
        <w:t>de place</w:t>
      </w:r>
      <w:r w:rsidRPr="00A64175">
        <w:rPr>
          <w:rFonts w:ascii="Arial" w:hAnsi="Arial" w:cs="Arial"/>
          <w:spacing w:val="-2"/>
          <w:sz w:val="22"/>
          <w:szCs w:val="22"/>
        </w:rPr>
        <w:t>m</w:t>
      </w:r>
      <w:r w:rsidRPr="00A64175">
        <w:rPr>
          <w:rFonts w:ascii="Arial" w:hAnsi="Arial" w:cs="Arial"/>
          <w:sz w:val="22"/>
          <w:szCs w:val="22"/>
        </w:rPr>
        <w:t xml:space="preserve">ent visés au </w:t>
      </w:r>
      <w:r w:rsidRPr="00A64175">
        <w:rPr>
          <w:rFonts w:ascii="Arial" w:hAnsi="Arial" w:cs="Arial"/>
          <w:spacing w:val="-1"/>
          <w:sz w:val="22"/>
          <w:szCs w:val="22"/>
        </w:rPr>
        <w:t>p</w:t>
      </w:r>
      <w:r w:rsidRPr="00A64175">
        <w:rPr>
          <w:rFonts w:ascii="Arial" w:hAnsi="Arial" w:cs="Arial"/>
          <w:sz w:val="22"/>
          <w:szCs w:val="22"/>
        </w:rPr>
        <w:t>résent article.</w:t>
      </w:r>
    </w:p>
    <w:p w14:paraId="550D25BA" w14:textId="77777777" w:rsidR="00B41214" w:rsidRPr="00A64175" w:rsidRDefault="00B41214" w:rsidP="00A64175">
      <w:pPr>
        <w:widowControl w:val="0"/>
        <w:autoSpaceDE w:val="0"/>
        <w:adjustRightInd w:val="0"/>
        <w:ind w:left="111" w:right="68"/>
        <w:jc w:val="both"/>
        <w:rPr>
          <w:rFonts w:ascii="Arial" w:hAnsi="Arial" w:cs="Arial"/>
          <w:sz w:val="22"/>
          <w:szCs w:val="22"/>
        </w:rPr>
      </w:pPr>
    </w:p>
    <w:p w14:paraId="1AC75268" w14:textId="2679032F" w:rsidR="00B41214" w:rsidRPr="00A64175" w:rsidRDefault="00F30BDF" w:rsidP="00A64175">
      <w:pPr>
        <w:widowControl w:val="0"/>
        <w:autoSpaceDE w:val="0"/>
        <w:adjustRightInd w:val="0"/>
        <w:spacing w:before="29"/>
        <w:ind w:left="111" w:right="69"/>
        <w:jc w:val="both"/>
        <w:rPr>
          <w:rFonts w:ascii="Arial" w:hAnsi="Arial" w:cs="Arial"/>
          <w:sz w:val="22"/>
          <w:szCs w:val="22"/>
        </w:rPr>
      </w:pPr>
      <w:r w:rsidRPr="00A64175">
        <w:rPr>
          <w:rFonts w:ascii="Arial" w:hAnsi="Arial" w:cs="Arial"/>
          <w:b/>
          <w:bCs/>
          <w:sz w:val="22"/>
          <w:szCs w:val="22"/>
        </w:rPr>
        <w:t>Article 16</w:t>
      </w:r>
      <w:r w:rsidR="00FC3A4C">
        <w:rPr>
          <w:rFonts w:ascii="Arial" w:hAnsi="Arial" w:cs="Arial"/>
          <w:b/>
          <w:bCs/>
          <w:sz w:val="22"/>
          <w:szCs w:val="22"/>
        </w:rPr>
        <w:t>4</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Lorsque</w:t>
      </w:r>
      <w:r w:rsidR="00B41214" w:rsidRPr="00A64175">
        <w:rPr>
          <w:rFonts w:ascii="Arial" w:hAnsi="Arial" w:cs="Arial"/>
          <w:spacing w:val="2"/>
          <w:sz w:val="22"/>
          <w:szCs w:val="22"/>
        </w:rPr>
        <w:t xml:space="preserve"> </w:t>
      </w:r>
      <w:r w:rsidR="00B41214" w:rsidRPr="00A64175">
        <w:rPr>
          <w:rFonts w:ascii="Arial" w:hAnsi="Arial" w:cs="Arial"/>
          <w:sz w:val="22"/>
          <w:szCs w:val="22"/>
        </w:rPr>
        <w:t>la</w:t>
      </w:r>
      <w:r w:rsidR="00B41214" w:rsidRPr="00A64175">
        <w:rPr>
          <w:rFonts w:ascii="Arial" w:hAnsi="Arial" w:cs="Arial"/>
          <w:spacing w:val="2"/>
          <w:sz w:val="22"/>
          <w:szCs w:val="22"/>
        </w:rPr>
        <w:t xml:space="preserve"> </w:t>
      </w:r>
      <w:r w:rsidR="005944AF" w:rsidRPr="00A64175">
        <w:rPr>
          <w:rFonts w:ascii="Arial" w:hAnsi="Arial" w:cs="Arial"/>
          <w:sz w:val="22"/>
          <w:szCs w:val="22"/>
        </w:rPr>
        <w:t>s</w:t>
      </w:r>
      <w:r w:rsidR="00B41214" w:rsidRPr="00A64175">
        <w:rPr>
          <w:rFonts w:ascii="Arial" w:hAnsi="Arial" w:cs="Arial"/>
          <w:sz w:val="22"/>
          <w:szCs w:val="22"/>
        </w:rPr>
        <w:t>ociété</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5944AF" w:rsidRPr="00A64175">
        <w:rPr>
          <w:rFonts w:ascii="Arial" w:hAnsi="Arial" w:cs="Arial"/>
          <w:spacing w:val="1"/>
          <w:sz w:val="22"/>
          <w:szCs w:val="22"/>
        </w:rPr>
        <w:t>b</w:t>
      </w:r>
      <w:r w:rsidR="00B41214" w:rsidRPr="00A64175">
        <w:rPr>
          <w:rFonts w:ascii="Arial" w:hAnsi="Arial" w:cs="Arial"/>
          <w:sz w:val="22"/>
          <w:szCs w:val="22"/>
        </w:rPr>
        <w:t>ourse</w:t>
      </w:r>
      <w:r w:rsidR="00B41214" w:rsidRPr="00A64175">
        <w:rPr>
          <w:rFonts w:ascii="Arial" w:hAnsi="Arial" w:cs="Arial"/>
          <w:spacing w:val="2"/>
          <w:sz w:val="22"/>
          <w:szCs w:val="22"/>
        </w:rPr>
        <w:t xml:space="preserve"> </w:t>
      </w:r>
      <w:r w:rsidR="00B41214" w:rsidRPr="00A64175">
        <w:rPr>
          <w:rFonts w:ascii="Arial" w:hAnsi="Arial" w:cs="Arial"/>
          <w:sz w:val="22"/>
          <w:szCs w:val="22"/>
        </w:rPr>
        <w:t>et,</w:t>
      </w:r>
      <w:r w:rsidR="00B41214" w:rsidRPr="00A64175">
        <w:rPr>
          <w:rFonts w:ascii="Arial" w:hAnsi="Arial" w:cs="Arial"/>
          <w:spacing w:val="1"/>
          <w:sz w:val="22"/>
          <w:szCs w:val="22"/>
        </w:rPr>
        <w:t xml:space="preserve"> </w:t>
      </w:r>
      <w:r w:rsidR="00B41214" w:rsidRPr="00A64175">
        <w:rPr>
          <w:rFonts w:ascii="Arial" w:hAnsi="Arial" w:cs="Arial"/>
          <w:sz w:val="22"/>
          <w:szCs w:val="22"/>
        </w:rPr>
        <w:t>le</w:t>
      </w:r>
      <w:r w:rsidR="00B41214" w:rsidRPr="00A64175">
        <w:rPr>
          <w:rFonts w:ascii="Arial" w:hAnsi="Arial" w:cs="Arial"/>
          <w:spacing w:val="2"/>
          <w:sz w:val="22"/>
          <w:szCs w:val="22"/>
        </w:rPr>
        <w:t xml:space="preserve"> </w:t>
      </w:r>
      <w:r w:rsidR="00B41214" w:rsidRPr="00A64175">
        <w:rPr>
          <w:rFonts w:ascii="Arial" w:hAnsi="Arial" w:cs="Arial"/>
          <w:sz w:val="22"/>
          <w:szCs w:val="22"/>
        </w:rPr>
        <w:t>cas</w:t>
      </w:r>
      <w:r w:rsidR="00B41214" w:rsidRPr="00A64175">
        <w:rPr>
          <w:rFonts w:ascii="Arial" w:hAnsi="Arial" w:cs="Arial"/>
          <w:spacing w:val="1"/>
          <w:sz w:val="22"/>
          <w:szCs w:val="22"/>
        </w:rPr>
        <w:t xml:space="preserve"> </w:t>
      </w:r>
      <w:r w:rsidR="00B41214" w:rsidRPr="00A64175">
        <w:rPr>
          <w:rFonts w:ascii="Arial" w:hAnsi="Arial" w:cs="Arial"/>
          <w:sz w:val="22"/>
          <w:szCs w:val="22"/>
        </w:rPr>
        <w:t>échéant,</w:t>
      </w:r>
      <w:r w:rsidR="00B41214" w:rsidRPr="00A64175">
        <w:rPr>
          <w:rFonts w:ascii="Arial" w:hAnsi="Arial" w:cs="Arial"/>
          <w:spacing w:val="2"/>
          <w:sz w:val="22"/>
          <w:szCs w:val="22"/>
        </w:rPr>
        <w:t xml:space="preserve"> </w:t>
      </w:r>
      <w:r w:rsidR="00B41214" w:rsidRPr="00A64175">
        <w:rPr>
          <w:rFonts w:ascii="Arial" w:hAnsi="Arial" w:cs="Arial"/>
          <w:sz w:val="22"/>
          <w:szCs w:val="22"/>
        </w:rPr>
        <w:t>les</w:t>
      </w:r>
      <w:r w:rsidR="00B41214" w:rsidRPr="00A64175">
        <w:rPr>
          <w:rFonts w:ascii="Arial" w:hAnsi="Arial" w:cs="Arial"/>
          <w:spacing w:val="2"/>
          <w:sz w:val="22"/>
          <w:szCs w:val="22"/>
        </w:rPr>
        <w:t xml:space="preserve"> </w:t>
      </w:r>
      <w:r w:rsidR="00B41214" w:rsidRPr="00A64175">
        <w:rPr>
          <w:rFonts w:ascii="Arial" w:hAnsi="Arial" w:cs="Arial"/>
          <w:spacing w:val="-2"/>
          <w:sz w:val="22"/>
          <w:szCs w:val="22"/>
        </w:rPr>
        <w:t>m</w:t>
      </w:r>
      <w:r w:rsidR="00B41214" w:rsidRPr="00A64175">
        <w:rPr>
          <w:rFonts w:ascii="Arial" w:hAnsi="Arial" w:cs="Arial"/>
          <w:spacing w:val="2"/>
          <w:sz w:val="22"/>
          <w:szCs w:val="22"/>
        </w:rPr>
        <w:t>e</w:t>
      </w:r>
      <w:r w:rsidR="00B41214" w:rsidRPr="00A64175">
        <w:rPr>
          <w:rFonts w:ascii="Arial" w:hAnsi="Arial" w:cs="Arial"/>
          <w:sz w:val="22"/>
          <w:szCs w:val="22"/>
        </w:rPr>
        <w:t>mbres</w:t>
      </w:r>
      <w:r w:rsidR="00B41214" w:rsidRPr="00A64175">
        <w:rPr>
          <w:rFonts w:ascii="Arial" w:hAnsi="Arial" w:cs="Arial"/>
          <w:spacing w:val="2"/>
          <w:sz w:val="22"/>
          <w:szCs w:val="22"/>
        </w:rPr>
        <w:t xml:space="preserve"> </w:t>
      </w:r>
      <w:r w:rsidR="00B41214" w:rsidRPr="00A64175">
        <w:rPr>
          <w:rFonts w:ascii="Arial" w:hAnsi="Arial" w:cs="Arial"/>
          <w:sz w:val="22"/>
          <w:szCs w:val="22"/>
        </w:rPr>
        <w:t>du syndicat,</w:t>
      </w:r>
      <w:r w:rsidR="00B41214" w:rsidRPr="00A64175">
        <w:rPr>
          <w:rFonts w:ascii="Arial" w:hAnsi="Arial" w:cs="Arial"/>
          <w:spacing w:val="2"/>
          <w:sz w:val="22"/>
          <w:szCs w:val="22"/>
        </w:rPr>
        <w:t xml:space="preserve"> </w:t>
      </w:r>
      <w:r w:rsidR="00B41214" w:rsidRPr="00A64175">
        <w:rPr>
          <w:rFonts w:ascii="Arial" w:hAnsi="Arial" w:cs="Arial"/>
          <w:sz w:val="22"/>
          <w:szCs w:val="22"/>
        </w:rPr>
        <w:t>reçoivent</w:t>
      </w:r>
      <w:r w:rsidR="00B41214" w:rsidRPr="00A64175">
        <w:rPr>
          <w:rFonts w:ascii="Arial" w:hAnsi="Arial" w:cs="Arial"/>
          <w:spacing w:val="2"/>
          <w:sz w:val="22"/>
          <w:szCs w:val="22"/>
        </w:rPr>
        <w:t xml:space="preserve"> </w:t>
      </w:r>
      <w:r w:rsidR="00B41214" w:rsidRPr="00A64175">
        <w:rPr>
          <w:rFonts w:ascii="Arial" w:hAnsi="Arial" w:cs="Arial"/>
          <w:sz w:val="22"/>
          <w:szCs w:val="22"/>
        </w:rPr>
        <w:t>une</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m</w:t>
      </w:r>
      <w:r w:rsidR="00B41214" w:rsidRPr="00A64175">
        <w:rPr>
          <w:rFonts w:ascii="Arial" w:hAnsi="Arial" w:cs="Arial"/>
          <w:sz w:val="22"/>
          <w:szCs w:val="22"/>
        </w:rPr>
        <w:t>ande</w:t>
      </w:r>
      <w:r w:rsidR="00B41214" w:rsidRPr="00A64175">
        <w:rPr>
          <w:rFonts w:ascii="Arial" w:hAnsi="Arial" w:cs="Arial"/>
          <w:spacing w:val="2"/>
          <w:sz w:val="22"/>
          <w:szCs w:val="22"/>
        </w:rPr>
        <w:t xml:space="preserve"> </w:t>
      </w:r>
      <w:r w:rsidR="00B41214" w:rsidRPr="00A64175">
        <w:rPr>
          <w:rFonts w:ascii="Arial" w:hAnsi="Arial" w:cs="Arial"/>
          <w:sz w:val="22"/>
          <w:szCs w:val="22"/>
        </w:rPr>
        <w:t>de souscri</w:t>
      </w:r>
      <w:r w:rsidR="00B41214" w:rsidRPr="00A64175">
        <w:rPr>
          <w:rFonts w:ascii="Arial" w:hAnsi="Arial" w:cs="Arial"/>
          <w:spacing w:val="-1"/>
          <w:sz w:val="22"/>
          <w:szCs w:val="22"/>
        </w:rPr>
        <w:t>p</w:t>
      </w:r>
      <w:r w:rsidR="00B41214" w:rsidRPr="00A64175">
        <w:rPr>
          <w:rFonts w:ascii="Arial" w:hAnsi="Arial" w:cs="Arial"/>
          <w:sz w:val="22"/>
          <w:szCs w:val="22"/>
        </w:rPr>
        <w:t>tion ou</w:t>
      </w:r>
      <w:r w:rsidR="00B41214" w:rsidRPr="00A64175">
        <w:rPr>
          <w:rFonts w:ascii="Arial" w:hAnsi="Arial" w:cs="Arial"/>
          <w:spacing w:val="1"/>
          <w:sz w:val="22"/>
          <w:szCs w:val="22"/>
        </w:rPr>
        <w:t xml:space="preserve"> </w:t>
      </w:r>
      <w:r w:rsidR="00B41214" w:rsidRPr="00A64175">
        <w:rPr>
          <w:rFonts w:ascii="Arial" w:hAnsi="Arial" w:cs="Arial"/>
          <w:sz w:val="22"/>
          <w:szCs w:val="22"/>
        </w:rPr>
        <w:t>d’achat</w:t>
      </w:r>
      <w:r w:rsidR="00B41214" w:rsidRPr="00A64175">
        <w:rPr>
          <w:rFonts w:ascii="Arial" w:hAnsi="Arial" w:cs="Arial"/>
          <w:spacing w:val="1"/>
          <w:sz w:val="22"/>
          <w:szCs w:val="22"/>
        </w:rPr>
        <w:t xml:space="preserve"> </w:t>
      </w:r>
      <w:r w:rsidR="00B41214" w:rsidRPr="00A64175">
        <w:rPr>
          <w:rFonts w:ascii="Arial" w:hAnsi="Arial" w:cs="Arial"/>
          <w:sz w:val="22"/>
          <w:szCs w:val="22"/>
        </w:rPr>
        <w:t>de</w:t>
      </w:r>
      <w:r w:rsidR="00B41214" w:rsidRPr="00A64175">
        <w:rPr>
          <w:rFonts w:ascii="Arial" w:hAnsi="Arial" w:cs="Arial"/>
          <w:spacing w:val="1"/>
          <w:sz w:val="22"/>
          <w:szCs w:val="22"/>
        </w:rPr>
        <w:t xml:space="preserve"> </w:t>
      </w:r>
      <w:r w:rsidR="00B41214" w:rsidRPr="00A64175">
        <w:rPr>
          <w:rFonts w:ascii="Arial" w:hAnsi="Arial" w:cs="Arial"/>
          <w:sz w:val="22"/>
          <w:szCs w:val="22"/>
        </w:rPr>
        <w:t>vale</w:t>
      </w:r>
      <w:r w:rsidR="00B41214" w:rsidRPr="00A64175">
        <w:rPr>
          <w:rFonts w:ascii="Arial" w:hAnsi="Arial" w:cs="Arial"/>
          <w:spacing w:val="-1"/>
          <w:sz w:val="22"/>
          <w:szCs w:val="22"/>
        </w:rPr>
        <w:t>u</w:t>
      </w:r>
      <w:r w:rsidR="00B41214" w:rsidRPr="00A64175">
        <w:rPr>
          <w:rFonts w:ascii="Arial" w:hAnsi="Arial" w:cs="Arial"/>
          <w:sz w:val="22"/>
          <w:szCs w:val="22"/>
        </w:rPr>
        <w:t xml:space="preserve">rs </w:t>
      </w:r>
      <w:r w:rsidR="00B41214" w:rsidRPr="00A64175">
        <w:rPr>
          <w:rFonts w:ascii="Arial" w:hAnsi="Arial" w:cs="Arial"/>
          <w:spacing w:val="-2"/>
          <w:sz w:val="22"/>
          <w:szCs w:val="22"/>
        </w:rPr>
        <w:t>m</w:t>
      </w:r>
      <w:r w:rsidR="00B41214" w:rsidRPr="00A64175">
        <w:rPr>
          <w:rFonts w:ascii="Arial" w:hAnsi="Arial" w:cs="Arial"/>
          <w:sz w:val="22"/>
          <w:szCs w:val="22"/>
        </w:rPr>
        <w:t>obilières dans le</w:t>
      </w:r>
      <w:r w:rsidR="00B41214" w:rsidRPr="00A64175">
        <w:rPr>
          <w:rFonts w:ascii="Arial" w:hAnsi="Arial" w:cs="Arial"/>
          <w:spacing w:val="1"/>
          <w:sz w:val="22"/>
          <w:szCs w:val="22"/>
        </w:rPr>
        <w:t xml:space="preserve"> </w:t>
      </w:r>
      <w:r w:rsidR="00B41214" w:rsidRPr="00A64175">
        <w:rPr>
          <w:rFonts w:ascii="Arial" w:hAnsi="Arial" w:cs="Arial"/>
          <w:sz w:val="22"/>
          <w:szCs w:val="22"/>
        </w:rPr>
        <w:t>cadre</w:t>
      </w:r>
      <w:r w:rsidR="00B41214" w:rsidRPr="00A64175">
        <w:rPr>
          <w:rFonts w:ascii="Arial" w:hAnsi="Arial" w:cs="Arial"/>
          <w:spacing w:val="1"/>
          <w:sz w:val="22"/>
          <w:szCs w:val="22"/>
        </w:rPr>
        <w:t xml:space="preserve"> </w:t>
      </w:r>
      <w:r w:rsidR="00B41214" w:rsidRPr="00A64175">
        <w:rPr>
          <w:rFonts w:ascii="Arial" w:hAnsi="Arial" w:cs="Arial"/>
          <w:sz w:val="22"/>
          <w:szCs w:val="22"/>
        </w:rPr>
        <w:t>d’une</w:t>
      </w:r>
      <w:r w:rsidR="00B41214" w:rsidRPr="00A64175">
        <w:rPr>
          <w:rFonts w:ascii="Arial" w:hAnsi="Arial" w:cs="Arial"/>
          <w:spacing w:val="1"/>
          <w:sz w:val="22"/>
          <w:szCs w:val="22"/>
        </w:rPr>
        <w:t xml:space="preserve"> </w:t>
      </w:r>
      <w:r w:rsidR="00B41214" w:rsidRPr="00A64175">
        <w:rPr>
          <w:rFonts w:ascii="Arial" w:hAnsi="Arial" w:cs="Arial"/>
          <w:spacing w:val="-1"/>
          <w:sz w:val="22"/>
          <w:szCs w:val="22"/>
        </w:rPr>
        <w:t>o</w:t>
      </w:r>
      <w:r w:rsidR="00B41214" w:rsidRPr="00A64175">
        <w:rPr>
          <w:rFonts w:ascii="Arial" w:hAnsi="Arial" w:cs="Arial"/>
          <w:sz w:val="22"/>
          <w:szCs w:val="22"/>
        </w:rPr>
        <w:t>pérat</w:t>
      </w:r>
      <w:r w:rsidR="00B41214" w:rsidRPr="00A64175">
        <w:rPr>
          <w:rFonts w:ascii="Arial" w:hAnsi="Arial" w:cs="Arial"/>
          <w:spacing w:val="-1"/>
          <w:sz w:val="22"/>
          <w:szCs w:val="22"/>
        </w:rPr>
        <w:t>i</w:t>
      </w:r>
      <w:r w:rsidR="00B41214" w:rsidRPr="00A64175">
        <w:rPr>
          <w:rFonts w:ascii="Arial" w:hAnsi="Arial" w:cs="Arial"/>
          <w:sz w:val="22"/>
          <w:szCs w:val="22"/>
        </w:rPr>
        <w:t>on portant appel public à l’épargne,</w:t>
      </w:r>
      <w:r w:rsidR="00B41214" w:rsidRPr="00A64175">
        <w:rPr>
          <w:rFonts w:ascii="Arial" w:hAnsi="Arial" w:cs="Arial"/>
          <w:spacing w:val="18"/>
          <w:sz w:val="22"/>
          <w:szCs w:val="22"/>
        </w:rPr>
        <w:t xml:space="preserve"> </w:t>
      </w:r>
      <w:r w:rsidR="00B41214" w:rsidRPr="00A64175">
        <w:rPr>
          <w:rFonts w:ascii="Arial" w:hAnsi="Arial" w:cs="Arial"/>
          <w:sz w:val="22"/>
          <w:szCs w:val="22"/>
        </w:rPr>
        <w:t>ils</w:t>
      </w:r>
      <w:r w:rsidR="00B41214" w:rsidRPr="00A64175">
        <w:rPr>
          <w:rFonts w:ascii="Arial" w:hAnsi="Arial" w:cs="Arial"/>
          <w:spacing w:val="18"/>
          <w:sz w:val="22"/>
          <w:szCs w:val="22"/>
        </w:rPr>
        <w:t xml:space="preserve"> </w:t>
      </w:r>
      <w:r w:rsidR="00B41214" w:rsidRPr="00A64175">
        <w:rPr>
          <w:rFonts w:ascii="Arial" w:hAnsi="Arial" w:cs="Arial"/>
          <w:sz w:val="22"/>
          <w:szCs w:val="22"/>
        </w:rPr>
        <w:t>doivent</w:t>
      </w:r>
      <w:r w:rsidR="00B41214" w:rsidRPr="00A64175">
        <w:rPr>
          <w:rFonts w:ascii="Arial" w:hAnsi="Arial" w:cs="Arial"/>
          <w:spacing w:val="18"/>
          <w:sz w:val="22"/>
          <w:szCs w:val="22"/>
        </w:rPr>
        <w:t xml:space="preserve"> </w:t>
      </w:r>
      <w:r w:rsidR="00B41214" w:rsidRPr="00A64175">
        <w:rPr>
          <w:rFonts w:ascii="Arial" w:hAnsi="Arial" w:cs="Arial"/>
          <w:sz w:val="22"/>
          <w:szCs w:val="22"/>
        </w:rPr>
        <w:t>s’assurer</w:t>
      </w:r>
      <w:r w:rsidR="00B41214" w:rsidRPr="00A64175">
        <w:rPr>
          <w:rFonts w:ascii="Arial" w:hAnsi="Arial" w:cs="Arial"/>
          <w:spacing w:val="18"/>
          <w:sz w:val="22"/>
          <w:szCs w:val="22"/>
        </w:rPr>
        <w:t xml:space="preserve"> </w:t>
      </w:r>
      <w:r w:rsidR="00B41214" w:rsidRPr="00A64175">
        <w:rPr>
          <w:rFonts w:ascii="Arial" w:hAnsi="Arial" w:cs="Arial"/>
          <w:sz w:val="22"/>
          <w:szCs w:val="22"/>
        </w:rPr>
        <w:t>que</w:t>
      </w:r>
      <w:r w:rsidR="00B41214" w:rsidRPr="00A64175">
        <w:rPr>
          <w:rFonts w:ascii="Arial" w:hAnsi="Arial" w:cs="Arial"/>
          <w:spacing w:val="17"/>
          <w:sz w:val="22"/>
          <w:szCs w:val="22"/>
        </w:rPr>
        <w:t xml:space="preserve"> </w:t>
      </w:r>
      <w:r w:rsidR="00B41214" w:rsidRPr="00A64175">
        <w:rPr>
          <w:rFonts w:ascii="Arial" w:hAnsi="Arial" w:cs="Arial"/>
          <w:sz w:val="22"/>
          <w:szCs w:val="22"/>
        </w:rPr>
        <w:t>le</w:t>
      </w:r>
      <w:r w:rsidR="00B41214" w:rsidRPr="00A64175">
        <w:rPr>
          <w:rFonts w:ascii="Arial" w:hAnsi="Arial" w:cs="Arial"/>
          <w:spacing w:val="18"/>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m</w:t>
      </w:r>
      <w:r w:rsidR="00B41214" w:rsidRPr="00A64175">
        <w:rPr>
          <w:rFonts w:ascii="Arial" w:hAnsi="Arial" w:cs="Arial"/>
          <w:sz w:val="22"/>
          <w:szCs w:val="22"/>
        </w:rPr>
        <w:t>andeur</w:t>
      </w:r>
      <w:r w:rsidR="00B41214" w:rsidRPr="00A64175">
        <w:rPr>
          <w:rFonts w:ascii="Arial" w:hAnsi="Arial" w:cs="Arial"/>
          <w:spacing w:val="18"/>
          <w:sz w:val="22"/>
          <w:szCs w:val="22"/>
        </w:rPr>
        <w:t xml:space="preserve"> </w:t>
      </w:r>
      <w:r w:rsidR="00B41214" w:rsidRPr="00A64175">
        <w:rPr>
          <w:rFonts w:ascii="Arial" w:hAnsi="Arial" w:cs="Arial"/>
          <w:sz w:val="22"/>
          <w:szCs w:val="22"/>
        </w:rPr>
        <w:t>a</w:t>
      </w:r>
      <w:r w:rsidR="00B41214" w:rsidRPr="00A64175">
        <w:rPr>
          <w:rFonts w:ascii="Arial" w:hAnsi="Arial" w:cs="Arial"/>
          <w:spacing w:val="18"/>
          <w:sz w:val="22"/>
          <w:szCs w:val="22"/>
        </w:rPr>
        <w:t xml:space="preserve"> </w:t>
      </w:r>
      <w:r w:rsidR="00B41214" w:rsidRPr="00A64175">
        <w:rPr>
          <w:rFonts w:ascii="Arial" w:hAnsi="Arial" w:cs="Arial"/>
          <w:sz w:val="22"/>
          <w:szCs w:val="22"/>
        </w:rPr>
        <w:t>obtenu</w:t>
      </w:r>
      <w:r w:rsidR="00B41214" w:rsidRPr="00A64175">
        <w:rPr>
          <w:rFonts w:ascii="Arial" w:hAnsi="Arial" w:cs="Arial"/>
          <w:spacing w:val="18"/>
          <w:sz w:val="22"/>
          <w:szCs w:val="22"/>
        </w:rPr>
        <w:t xml:space="preserve"> </w:t>
      </w:r>
      <w:r w:rsidR="00B41214" w:rsidRPr="00A64175">
        <w:rPr>
          <w:rFonts w:ascii="Arial" w:hAnsi="Arial" w:cs="Arial"/>
          <w:sz w:val="22"/>
          <w:szCs w:val="22"/>
        </w:rPr>
        <w:t>un</w:t>
      </w:r>
      <w:r w:rsidR="00B41214" w:rsidRPr="00A64175">
        <w:rPr>
          <w:rFonts w:ascii="Arial" w:hAnsi="Arial" w:cs="Arial"/>
          <w:spacing w:val="18"/>
          <w:sz w:val="22"/>
          <w:szCs w:val="22"/>
        </w:rPr>
        <w:t xml:space="preserve"> </w:t>
      </w:r>
      <w:r w:rsidR="00B41214" w:rsidRPr="00A64175">
        <w:rPr>
          <w:rFonts w:ascii="Arial" w:hAnsi="Arial" w:cs="Arial"/>
          <w:sz w:val="22"/>
          <w:szCs w:val="22"/>
        </w:rPr>
        <w:t>exe</w:t>
      </w:r>
      <w:r w:rsidR="00B41214" w:rsidRPr="00A64175">
        <w:rPr>
          <w:rFonts w:ascii="Arial" w:hAnsi="Arial" w:cs="Arial"/>
          <w:spacing w:val="-2"/>
          <w:sz w:val="22"/>
          <w:szCs w:val="22"/>
        </w:rPr>
        <w:t>m</w:t>
      </w:r>
      <w:r w:rsidR="00B41214" w:rsidRPr="00A64175">
        <w:rPr>
          <w:rFonts w:ascii="Arial" w:hAnsi="Arial" w:cs="Arial"/>
          <w:sz w:val="22"/>
          <w:szCs w:val="22"/>
        </w:rPr>
        <w:t>plaire</w:t>
      </w:r>
      <w:r w:rsidR="00B41214" w:rsidRPr="00A64175">
        <w:rPr>
          <w:rFonts w:ascii="Arial" w:hAnsi="Arial" w:cs="Arial"/>
          <w:spacing w:val="18"/>
          <w:sz w:val="22"/>
          <w:szCs w:val="22"/>
        </w:rPr>
        <w:t xml:space="preserve"> </w:t>
      </w:r>
      <w:r w:rsidR="00B41214" w:rsidRPr="00A64175">
        <w:rPr>
          <w:rFonts w:ascii="Arial" w:hAnsi="Arial" w:cs="Arial"/>
          <w:sz w:val="22"/>
          <w:szCs w:val="22"/>
        </w:rPr>
        <w:t>du</w:t>
      </w:r>
      <w:r w:rsidR="00B41214" w:rsidRPr="00A64175">
        <w:rPr>
          <w:rFonts w:ascii="Arial" w:hAnsi="Arial" w:cs="Arial"/>
          <w:spacing w:val="18"/>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18"/>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z w:val="22"/>
          <w:szCs w:val="22"/>
        </w:rPr>
        <w:t>ation</w:t>
      </w:r>
      <w:r w:rsidR="00B41214" w:rsidRPr="00A64175">
        <w:rPr>
          <w:rFonts w:ascii="Arial" w:hAnsi="Arial" w:cs="Arial"/>
          <w:spacing w:val="18"/>
          <w:sz w:val="22"/>
          <w:szCs w:val="22"/>
        </w:rPr>
        <w:t xml:space="preserve"> </w:t>
      </w:r>
      <w:r w:rsidR="00B41214" w:rsidRPr="00A64175">
        <w:rPr>
          <w:rFonts w:ascii="Arial" w:hAnsi="Arial" w:cs="Arial"/>
          <w:spacing w:val="2"/>
          <w:sz w:val="22"/>
          <w:szCs w:val="22"/>
        </w:rPr>
        <w:t>e</w:t>
      </w:r>
      <w:r w:rsidR="00B41214" w:rsidRPr="00A64175">
        <w:rPr>
          <w:rFonts w:ascii="Arial" w:hAnsi="Arial" w:cs="Arial"/>
          <w:sz w:val="22"/>
          <w:szCs w:val="22"/>
        </w:rPr>
        <w:t xml:space="preserve">t de ses éventuelles </w:t>
      </w:r>
      <w:r w:rsidR="00B41214" w:rsidRPr="00A64175">
        <w:rPr>
          <w:rFonts w:ascii="Arial" w:hAnsi="Arial" w:cs="Arial"/>
          <w:spacing w:val="-2"/>
          <w:sz w:val="22"/>
          <w:szCs w:val="22"/>
        </w:rPr>
        <w:t>m</w:t>
      </w:r>
      <w:r w:rsidR="00B41214" w:rsidRPr="00A64175">
        <w:rPr>
          <w:rFonts w:ascii="Arial" w:hAnsi="Arial" w:cs="Arial"/>
          <w:sz w:val="22"/>
          <w:szCs w:val="22"/>
        </w:rPr>
        <w:t>odifications.</w:t>
      </w:r>
    </w:p>
    <w:p w14:paraId="6BB118A6" w14:textId="77777777" w:rsidR="00B41214" w:rsidRPr="00A64175" w:rsidRDefault="00B41214" w:rsidP="00A64175">
      <w:pPr>
        <w:widowControl w:val="0"/>
        <w:autoSpaceDE w:val="0"/>
        <w:adjustRightInd w:val="0"/>
        <w:spacing w:before="29"/>
        <w:ind w:left="111" w:right="69"/>
        <w:jc w:val="both"/>
        <w:rPr>
          <w:rFonts w:ascii="Arial" w:hAnsi="Arial" w:cs="Arial"/>
          <w:sz w:val="22"/>
          <w:szCs w:val="22"/>
        </w:rPr>
      </w:pPr>
    </w:p>
    <w:p w14:paraId="4B202DF9" w14:textId="77777777" w:rsidR="00B41214" w:rsidRPr="00A64175" w:rsidRDefault="00B41214" w:rsidP="00A64175">
      <w:pPr>
        <w:widowControl w:val="0"/>
        <w:autoSpaceDE w:val="0"/>
        <w:adjustRightInd w:val="0"/>
        <w:spacing w:before="16" w:line="260" w:lineRule="exact"/>
        <w:jc w:val="both"/>
        <w:rPr>
          <w:rFonts w:ascii="Arial" w:hAnsi="Arial" w:cs="Arial"/>
          <w:sz w:val="22"/>
          <w:szCs w:val="22"/>
        </w:rPr>
      </w:pPr>
    </w:p>
    <w:p w14:paraId="2C907A3B" w14:textId="0B7BE211" w:rsidR="00B41214" w:rsidRPr="00A64175" w:rsidRDefault="00F30BDF" w:rsidP="003B27CF">
      <w:pPr>
        <w:widowControl w:val="0"/>
        <w:autoSpaceDE w:val="0"/>
        <w:adjustRightInd w:val="0"/>
        <w:ind w:left="111" w:right="67"/>
        <w:jc w:val="both"/>
        <w:rPr>
          <w:rFonts w:ascii="Arial" w:hAnsi="Arial" w:cs="Arial"/>
          <w:sz w:val="22"/>
          <w:szCs w:val="22"/>
        </w:rPr>
      </w:pPr>
      <w:r w:rsidRPr="00A64175">
        <w:rPr>
          <w:rFonts w:ascii="Arial" w:hAnsi="Arial" w:cs="Arial"/>
          <w:b/>
          <w:bCs/>
          <w:sz w:val="22"/>
          <w:szCs w:val="22"/>
        </w:rPr>
        <w:t>Article 16</w:t>
      </w:r>
      <w:r w:rsidR="00FC3A4C">
        <w:rPr>
          <w:rFonts w:ascii="Arial" w:hAnsi="Arial" w:cs="Arial"/>
          <w:b/>
          <w:bCs/>
          <w:sz w:val="22"/>
          <w:szCs w:val="22"/>
        </w:rPr>
        <w:t>5</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En</w:t>
      </w:r>
      <w:r w:rsidR="00B41214" w:rsidRPr="00A64175">
        <w:rPr>
          <w:rFonts w:ascii="Arial" w:hAnsi="Arial" w:cs="Arial"/>
          <w:spacing w:val="2"/>
          <w:sz w:val="22"/>
          <w:szCs w:val="22"/>
        </w:rPr>
        <w:t xml:space="preserve"> </w:t>
      </w:r>
      <w:r w:rsidR="00B41214" w:rsidRPr="00A64175">
        <w:rPr>
          <w:rFonts w:ascii="Arial" w:hAnsi="Arial" w:cs="Arial"/>
          <w:sz w:val="22"/>
          <w:szCs w:val="22"/>
        </w:rPr>
        <w:t>cas</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B41214" w:rsidRPr="00A64175">
        <w:rPr>
          <w:rFonts w:ascii="Arial" w:hAnsi="Arial" w:cs="Arial"/>
          <w:sz w:val="22"/>
          <w:szCs w:val="22"/>
        </w:rPr>
        <w:t>prise</w:t>
      </w:r>
      <w:r w:rsidR="00B41214" w:rsidRPr="00A64175">
        <w:rPr>
          <w:rFonts w:ascii="Arial" w:hAnsi="Arial" w:cs="Arial"/>
          <w:spacing w:val="2"/>
          <w:sz w:val="22"/>
          <w:szCs w:val="22"/>
        </w:rPr>
        <w:t xml:space="preserve"> </w:t>
      </w:r>
      <w:r w:rsidR="00B41214" w:rsidRPr="00A64175">
        <w:rPr>
          <w:rFonts w:ascii="Arial" w:hAnsi="Arial" w:cs="Arial"/>
          <w:sz w:val="22"/>
          <w:szCs w:val="22"/>
        </w:rPr>
        <w:t>fer</w:t>
      </w:r>
      <w:r w:rsidR="00B41214" w:rsidRPr="00A64175">
        <w:rPr>
          <w:rFonts w:ascii="Arial" w:hAnsi="Arial" w:cs="Arial"/>
          <w:spacing w:val="-2"/>
          <w:sz w:val="22"/>
          <w:szCs w:val="22"/>
        </w:rPr>
        <w:t>m</w:t>
      </w:r>
      <w:r w:rsidR="00B41214" w:rsidRPr="00A64175">
        <w:rPr>
          <w:rFonts w:ascii="Arial" w:hAnsi="Arial" w:cs="Arial"/>
          <w:sz w:val="22"/>
          <w:szCs w:val="22"/>
        </w:rPr>
        <w:t>e,</w:t>
      </w:r>
      <w:r w:rsidR="00B41214" w:rsidRPr="00A64175">
        <w:rPr>
          <w:rFonts w:ascii="Arial" w:hAnsi="Arial" w:cs="Arial"/>
          <w:spacing w:val="2"/>
          <w:sz w:val="22"/>
          <w:szCs w:val="22"/>
        </w:rPr>
        <w:t xml:space="preserve"> </w:t>
      </w:r>
      <w:r w:rsidR="00B41214" w:rsidRPr="00A64175">
        <w:rPr>
          <w:rFonts w:ascii="Arial" w:hAnsi="Arial" w:cs="Arial"/>
          <w:sz w:val="22"/>
          <w:szCs w:val="22"/>
        </w:rPr>
        <w:t>le</w:t>
      </w:r>
      <w:r w:rsidR="00B41214" w:rsidRPr="00A64175">
        <w:rPr>
          <w:rFonts w:ascii="Arial" w:hAnsi="Arial" w:cs="Arial"/>
          <w:spacing w:val="2"/>
          <w:sz w:val="22"/>
          <w:szCs w:val="22"/>
        </w:rPr>
        <w:t xml:space="preserve"> </w:t>
      </w:r>
      <w:r w:rsidR="00B41214" w:rsidRPr="00A64175">
        <w:rPr>
          <w:rFonts w:ascii="Arial" w:hAnsi="Arial" w:cs="Arial"/>
          <w:sz w:val="22"/>
          <w:szCs w:val="22"/>
        </w:rPr>
        <w:t>chef</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B41214" w:rsidRPr="00A64175">
        <w:rPr>
          <w:rFonts w:ascii="Arial" w:hAnsi="Arial" w:cs="Arial"/>
          <w:sz w:val="22"/>
          <w:szCs w:val="22"/>
        </w:rPr>
        <w:t>file</w:t>
      </w:r>
      <w:r w:rsidR="00B41214" w:rsidRPr="00A64175">
        <w:rPr>
          <w:rFonts w:ascii="Arial" w:hAnsi="Arial" w:cs="Arial"/>
          <w:spacing w:val="2"/>
          <w:sz w:val="22"/>
          <w:szCs w:val="22"/>
        </w:rPr>
        <w:t xml:space="preserve"> </w:t>
      </w:r>
      <w:r w:rsidR="00B41214" w:rsidRPr="00A64175">
        <w:rPr>
          <w:rFonts w:ascii="Arial" w:hAnsi="Arial" w:cs="Arial"/>
          <w:sz w:val="22"/>
          <w:szCs w:val="22"/>
        </w:rPr>
        <w:t>dépose</w:t>
      </w:r>
      <w:r w:rsidR="00B41214" w:rsidRPr="00A64175">
        <w:rPr>
          <w:rFonts w:ascii="Arial" w:hAnsi="Arial" w:cs="Arial"/>
          <w:spacing w:val="2"/>
          <w:sz w:val="22"/>
          <w:szCs w:val="22"/>
        </w:rPr>
        <w:t xml:space="preserve"> </w:t>
      </w:r>
      <w:r w:rsidR="00B41214" w:rsidRPr="00A64175">
        <w:rPr>
          <w:rFonts w:ascii="Arial" w:hAnsi="Arial" w:cs="Arial"/>
          <w:sz w:val="22"/>
          <w:szCs w:val="22"/>
        </w:rPr>
        <w:t>auprès de</w:t>
      </w:r>
      <w:r w:rsidR="00B41214" w:rsidRPr="00A64175">
        <w:rPr>
          <w:rFonts w:ascii="Arial" w:hAnsi="Arial" w:cs="Arial"/>
          <w:spacing w:val="2"/>
          <w:sz w:val="22"/>
          <w:szCs w:val="22"/>
        </w:rPr>
        <w:t xml:space="preserve"> </w:t>
      </w:r>
      <w:r w:rsidR="00B41214" w:rsidRPr="00A64175">
        <w:rPr>
          <w:rFonts w:ascii="Arial" w:hAnsi="Arial" w:cs="Arial"/>
          <w:sz w:val="22"/>
          <w:szCs w:val="22"/>
        </w:rPr>
        <w:t>la</w:t>
      </w:r>
      <w:r w:rsidR="00B41214" w:rsidRPr="00A64175">
        <w:rPr>
          <w:rFonts w:ascii="Arial" w:hAnsi="Arial" w:cs="Arial"/>
          <w:spacing w:val="2"/>
          <w:sz w:val="22"/>
          <w:szCs w:val="22"/>
        </w:rPr>
        <w:t xml:space="preserve"> </w:t>
      </w:r>
      <w:r w:rsidR="00772B5D" w:rsidRPr="00FC3A4C">
        <w:rPr>
          <w:rFonts w:ascii="Arial" w:hAnsi="Arial" w:cs="Arial"/>
          <w:sz w:val="22"/>
          <w:szCs w:val="22"/>
        </w:rPr>
        <w:t>COSUMAF,</w:t>
      </w:r>
      <w:r w:rsidR="00772B5D" w:rsidRPr="00FC3A4C">
        <w:rPr>
          <w:rFonts w:ascii="Arial" w:hAnsi="Arial" w:cs="Arial"/>
          <w:spacing w:val="2"/>
          <w:sz w:val="22"/>
          <w:szCs w:val="22"/>
        </w:rPr>
        <w:t xml:space="preserve"> le</w:t>
      </w:r>
      <w:r w:rsidR="009C49C2" w:rsidRPr="00FC3A4C">
        <w:rPr>
          <w:rFonts w:ascii="Arial" w:hAnsi="Arial" w:cs="Arial"/>
          <w:sz w:val="22"/>
          <w:szCs w:val="22"/>
        </w:rPr>
        <w:t xml:space="preserve"> </w:t>
      </w:r>
      <w:r w:rsidR="009C49C2">
        <w:rPr>
          <w:rFonts w:ascii="Arial" w:hAnsi="Arial" w:cs="Arial"/>
          <w:sz w:val="22"/>
          <w:szCs w:val="22"/>
        </w:rPr>
        <w:t>dossier de demande de visa ou d’enregistrement</w:t>
      </w:r>
      <w:r w:rsidR="00B41214" w:rsidRPr="00A64175">
        <w:rPr>
          <w:rFonts w:ascii="Arial" w:hAnsi="Arial" w:cs="Arial"/>
          <w:sz w:val="22"/>
          <w:szCs w:val="22"/>
        </w:rPr>
        <w:t>,</w:t>
      </w:r>
      <w:r w:rsidR="00B41214" w:rsidRPr="00A64175">
        <w:rPr>
          <w:rFonts w:ascii="Arial" w:hAnsi="Arial" w:cs="Arial"/>
          <w:spacing w:val="1"/>
          <w:sz w:val="22"/>
          <w:szCs w:val="22"/>
        </w:rPr>
        <w:t xml:space="preserve"> </w:t>
      </w:r>
      <w:r w:rsidR="00B41214" w:rsidRPr="00A64175">
        <w:rPr>
          <w:rFonts w:ascii="Arial" w:hAnsi="Arial" w:cs="Arial"/>
          <w:sz w:val="22"/>
          <w:szCs w:val="22"/>
        </w:rPr>
        <w:t>la</w:t>
      </w:r>
      <w:r w:rsidR="00B41214" w:rsidRPr="00A64175">
        <w:rPr>
          <w:rFonts w:ascii="Arial" w:hAnsi="Arial" w:cs="Arial"/>
          <w:spacing w:val="2"/>
          <w:sz w:val="22"/>
          <w:szCs w:val="22"/>
        </w:rPr>
        <w:t xml:space="preserve"> </w:t>
      </w:r>
      <w:r w:rsidR="00B41214" w:rsidRPr="00A64175">
        <w:rPr>
          <w:rFonts w:ascii="Arial" w:hAnsi="Arial" w:cs="Arial"/>
          <w:sz w:val="22"/>
          <w:szCs w:val="22"/>
        </w:rPr>
        <w:t>liste</w:t>
      </w:r>
      <w:r w:rsidR="00B41214" w:rsidRPr="00A64175">
        <w:rPr>
          <w:rFonts w:ascii="Arial" w:hAnsi="Arial" w:cs="Arial"/>
          <w:spacing w:val="2"/>
          <w:sz w:val="22"/>
          <w:szCs w:val="22"/>
        </w:rPr>
        <w:t xml:space="preserve"> </w:t>
      </w:r>
      <w:r w:rsidR="00B41214" w:rsidRPr="00A64175">
        <w:rPr>
          <w:rFonts w:ascii="Arial" w:hAnsi="Arial" w:cs="Arial"/>
          <w:sz w:val="22"/>
          <w:szCs w:val="22"/>
        </w:rPr>
        <w:t>des</w:t>
      </w:r>
      <w:r w:rsidR="00B41214" w:rsidRPr="00A64175">
        <w:rPr>
          <w:rFonts w:ascii="Arial" w:hAnsi="Arial" w:cs="Arial"/>
          <w:spacing w:val="2"/>
          <w:sz w:val="22"/>
          <w:szCs w:val="22"/>
        </w:rPr>
        <w:t xml:space="preserve"> </w:t>
      </w:r>
      <w:r w:rsidR="00B41214" w:rsidRPr="00A64175">
        <w:rPr>
          <w:rFonts w:ascii="Arial" w:hAnsi="Arial" w:cs="Arial"/>
          <w:spacing w:val="-2"/>
          <w:sz w:val="22"/>
          <w:szCs w:val="22"/>
        </w:rPr>
        <w:t>m</w:t>
      </w:r>
      <w:r w:rsidR="00B41214" w:rsidRPr="00A64175">
        <w:rPr>
          <w:rFonts w:ascii="Arial" w:hAnsi="Arial" w:cs="Arial"/>
          <w:spacing w:val="2"/>
          <w:sz w:val="22"/>
          <w:szCs w:val="22"/>
        </w:rPr>
        <w:t>e</w:t>
      </w:r>
      <w:r w:rsidR="00B41214" w:rsidRPr="00A64175">
        <w:rPr>
          <w:rFonts w:ascii="Arial" w:hAnsi="Arial" w:cs="Arial"/>
          <w:sz w:val="22"/>
          <w:szCs w:val="22"/>
        </w:rPr>
        <w:t>mbres</w:t>
      </w:r>
      <w:r w:rsidR="00B41214" w:rsidRPr="00A64175">
        <w:rPr>
          <w:rFonts w:ascii="Arial" w:hAnsi="Arial" w:cs="Arial"/>
          <w:spacing w:val="2"/>
          <w:sz w:val="22"/>
          <w:szCs w:val="22"/>
        </w:rPr>
        <w:t xml:space="preserve"> </w:t>
      </w:r>
      <w:r w:rsidR="00B41214" w:rsidRPr="00A64175">
        <w:rPr>
          <w:rFonts w:ascii="Arial" w:hAnsi="Arial" w:cs="Arial"/>
          <w:sz w:val="22"/>
          <w:szCs w:val="22"/>
        </w:rPr>
        <w:t>du</w:t>
      </w:r>
      <w:r w:rsidR="00B41214" w:rsidRPr="00A64175">
        <w:rPr>
          <w:rFonts w:ascii="Arial" w:hAnsi="Arial" w:cs="Arial"/>
          <w:spacing w:val="2"/>
          <w:sz w:val="22"/>
          <w:szCs w:val="22"/>
        </w:rPr>
        <w:t xml:space="preserve"> </w:t>
      </w:r>
      <w:r w:rsidR="00B41214" w:rsidRPr="00A64175">
        <w:rPr>
          <w:rFonts w:ascii="Arial" w:hAnsi="Arial" w:cs="Arial"/>
          <w:sz w:val="22"/>
          <w:szCs w:val="22"/>
        </w:rPr>
        <w:t>syndicat</w:t>
      </w:r>
      <w:r w:rsidR="00B41214" w:rsidRPr="00A64175">
        <w:rPr>
          <w:rFonts w:ascii="Arial" w:hAnsi="Arial" w:cs="Arial"/>
          <w:spacing w:val="2"/>
          <w:sz w:val="22"/>
          <w:szCs w:val="22"/>
        </w:rPr>
        <w:t xml:space="preserve"> </w:t>
      </w:r>
      <w:r w:rsidR="00B41214" w:rsidRPr="00A64175">
        <w:rPr>
          <w:rFonts w:ascii="Arial" w:hAnsi="Arial" w:cs="Arial"/>
          <w:sz w:val="22"/>
          <w:szCs w:val="22"/>
        </w:rPr>
        <w:t>de place</w:t>
      </w:r>
      <w:r w:rsidR="00B41214" w:rsidRPr="00A64175">
        <w:rPr>
          <w:rFonts w:ascii="Arial" w:hAnsi="Arial" w:cs="Arial"/>
          <w:spacing w:val="-2"/>
          <w:sz w:val="22"/>
          <w:szCs w:val="22"/>
        </w:rPr>
        <w:t>m</w:t>
      </w:r>
      <w:r w:rsidR="00B41214" w:rsidRPr="00A64175">
        <w:rPr>
          <w:rFonts w:ascii="Arial" w:hAnsi="Arial" w:cs="Arial"/>
          <w:sz w:val="22"/>
          <w:szCs w:val="22"/>
        </w:rPr>
        <w:t>ent</w:t>
      </w:r>
      <w:r w:rsidR="005944AF" w:rsidRPr="00A64175">
        <w:rPr>
          <w:rFonts w:ascii="Arial" w:hAnsi="Arial" w:cs="Arial"/>
          <w:sz w:val="22"/>
          <w:szCs w:val="22"/>
        </w:rPr>
        <w:t xml:space="preserve"> ayant souscrit un tel engagement,</w:t>
      </w:r>
      <w:r w:rsidR="00B41214" w:rsidRPr="00A64175">
        <w:rPr>
          <w:rFonts w:ascii="Arial" w:hAnsi="Arial" w:cs="Arial"/>
          <w:spacing w:val="2"/>
          <w:sz w:val="22"/>
          <w:szCs w:val="22"/>
        </w:rPr>
        <w:t xml:space="preserve"> </w:t>
      </w:r>
      <w:r w:rsidR="00B41214" w:rsidRPr="00A64175">
        <w:rPr>
          <w:rFonts w:ascii="Arial" w:hAnsi="Arial" w:cs="Arial"/>
          <w:sz w:val="22"/>
          <w:szCs w:val="22"/>
        </w:rPr>
        <w:t>avec</w:t>
      </w:r>
      <w:r w:rsidR="00B41214" w:rsidRPr="00A64175">
        <w:rPr>
          <w:rFonts w:ascii="Arial" w:hAnsi="Arial" w:cs="Arial"/>
          <w:spacing w:val="2"/>
          <w:sz w:val="22"/>
          <w:szCs w:val="22"/>
        </w:rPr>
        <w:t xml:space="preserve"> </w:t>
      </w:r>
      <w:r w:rsidR="00B41214" w:rsidRPr="00A64175">
        <w:rPr>
          <w:rFonts w:ascii="Arial" w:hAnsi="Arial" w:cs="Arial"/>
          <w:sz w:val="22"/>
          <w:szCs w:val="22"/>
        </w:rPr>
        <w:t>indication</w:t>
      </w:r>
      <w:r w:rsidR="00F24A98">
        <w:rPr>
          <w:rFonts w:ascii="Arial" w:hAnsi="Arial" w:cs="Arial"/>
          <w:sz w:val="22"/>
          <w:szCs w:val="22"/>
        </w:rPr>
        <w:t>, pour chacun,</w:t>
      </w:r>
      <w:r w:rsidR="00B41214" w:rsidRPr="00A64175">
        <w:rPr>
          <w:rFonts w:ascii="Arial" w:hAnsi="Arial" w:cs="Arial"/>
          <w:spacing w:val="2"/>
          <w:sz w:val="22"/>
          <w:szCs w:val="22"/>
        </w:rPr>
        <w:t xml:space="preserve"> </w:t>
      </w:r>
      <w:r w:rsidR="00B41214" w:rsidRPr="00A64175">
        <w:rPr>
          <w:rFonts w:ascii="Arial" w:hAnsi="Arial" w:cs="Arial"/>
          <w:sz w:val="22"/>
          <w:szCs w:val="22"/>
        </w:rPr>
        <w:t>du</w:t>
      </w:r>
      <w:r w:rsidR="00B41214" w:rsidRPr="00A64175">
        <w:rPr>
          <w:rFonts w:ascii="Arial" w:hAnsi="Arial" w:cs="Arial"/>
          <w:spacing w:val="2"/>
          <w:sz w:val="22"/>
          <w:szCs w:val="22"/>
        </w:rPr>
        <w:t xml:space="preserve"> </w:t>
      </w:r>
      <w:r w:rsidR="009C49C2">
        <w:rPr>
          <w:rFonts w:ascii="Arial" w:hAnsi="Arial" w:cs="Arial"/>
          <w:sz w:val="22"/>
          <w:szCs w:val="22"/>
        </w:rPr>
        <w:t>montant</w:t>
      </w:r>
      <w:r w:rsidR="009C49C2"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F24A98">
        <w:rPr>
          <w:rFonts w:ascii="Arial" w:hAnsi="Arial" w:cs="Arial"/>
          <w:sz w:val="22"/>
          <w:szCs w:val="22"/>
        </w:rPr>
        <w:t>l</w:t>
      </w:r>
      <w:r w:rsidR="00E10DE6">
        <w:rPr>
          <w:rFonts w:ascii="Arial" w:hAnsi="Arial" w:cs="Arial"/>
          <w:sz w:val="22"/>
          <w:szCs w:val="22"/>
        </w:rPr>
        <w:t>a prise ferme</w:t>
      </w:r>
      <w:r w:rsidR="00B41214" w:rsidRPr="00A64175">
        <w:rPr>
          <w:rFonts w:ascii="Arial" w:hAnsi="Arial" w:cs="Arial"/>
          <w:sz w:val="22"/>
          <w:szCs w:val="22"/>
        </w:rPr>
        <w:t>.</w:t>
      </w:r>
    </w:p>
    <w:p w14:paraId="62418D85" w14:textId="77777777" w:rsidR="005944AF" w:rsidRPr="00A64175" w:rsidRDefault="005944AF" w:rsidP="00A64175">
      <w:pPr>
        <w:widowControl w:val="0"/>
        <w:autoSpaceDE w:val="0"/>
        <w:adjustRightInd w:val="0"/>
        <w:ind w:left="111" w:right="67"/>
        <w:jc w:val="both"/>
        <w:rPr>
          <w:rFonts w:ascii="Arial" w:hAnsi="Arial" w:cs="Arial"/>
          <w:sz w:val="22"/>
          <w:szCs w:val="22"/>
        </w:rPr>
      </w:pPr>
    </w:p>
    <w:p w14:paraId="07DF02A8" w14:textId="6C632E34" w:rsidR="005944AF" w:rsidRDefault="005944AF"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Chaque membre du syndicat de placement ayant souscrit un engagement de prise ferme est tenu d’effectuer</w:t>
      </w:r>
      <w:r w:rsidR="007F6343">
        <w:rPr>
          <w:rFonts w:ascii="Arial" w:hAnsi="Arial" w:cs="Arial"/>
          <w:sz w:val="22"/>
          <w:szCs w:val="22"/>
        </w:rPr>
        <w:t>, dans le compte de centralisation ouvert à cet effet,</w:t>
      </w:r>
      <w:r w:rsidRPr="00A64175">
        <w:rPr>
          <w:rFonts w:ascii="Arial" w:hAnsi="Arial" w:cs="Arial"/>
          <w:sz w:val="22"/>
          <w:szCs w:val="22"/>
        </w:rPr>
        <w:t xml:space="preserve"> le règlement de sa participation dans un délai de trois (3) jours calendaires à compter de l’ouverture des souscriptions. Le non-respect du délai prévu au présent article entraîne </w:t>
      </w:r>
      <w:r w:rsidR="002732E3" w:rsidRPr="00A64175">
        <w:rPr>
          <w:rFonts w:ascii="Arial" w:hAnsi="Arial" w:cs="Arial"/>
          <w:sz w:val="22"/>
          <w:szCs w:val="22"/>
        </w:rPr>
        <w:t>la caducité de l’engagement pris, sans préjudice des éventuelles mesures disciplinaires.</w:t>
      </w:r>
    </w:p>
    <w:p w14:paraId="06B8FB28" w14:textId="02718D90" w:rsidR="004F6D2D" w:rsidRPr="00A64175" w:rsidRDefault="004F6D2D" w:rsidP="00A64175">
      <w:pPr>
        <w:widowControl w:val="0"/>
        <w:autoSpaceDE w:val="0"/>
        <w:adjustRightInd w:val="0"/>
        <w:ind w:left="111" w:right="67"/>
        <w:jc w:val="both"/>
        <w:rPr>
          <w:rFonts w:ascii="Arial" w:hAnsi="Arial" w:cs="Arial"/>
          <w:sz w:val="22"/>
          <w:szCs w:val="22"/>
        </w:rPr>
      </w:pPr>
      <w:r>
        <w:rPr>
          <w:rFonts w:ascii="Arial" w:hAnsi="Arial" w:cs="Arial"/>
          <w:sz w:val="22"/>
          <w:szCs w:val="22"/>
        </w:rPr>
        <w:t>Le chef de file transmet à la COSUMAF, le relevé du compte de centralisation de l’opération constatant l’effectivité du paiement de la prise ferme.</w:t>
      </w:r>
    </w:p>
    <w:p w14:paraId="3DADFBEE" w14:textId="77777777" w:rsidR="00B41214" w:rsidRPr="00A64175" w:rsidRDefault="00B41214" w:rsidP="00A64175">
      <w:pPr>
        <w:widowControl w:val="0"/>
        <w:autoSpaceDE w:val="0"/>
        <w:adjustRightInd w:val="0"/>
        <w:ind w:left="111" w:right="67"/>
        <w:jc w:val="both"/>
        <w:rPr>
          <w:rFonts w:ascii="Arial" w:hAnsi="Arial" w:cs="Arial"/>
          <w:sz w:val="22"/>
          <w:szCs w:val="22"/>
        </w:rPr>
      </w:pPr>
    </w:p>
    <w:p w14:paraId="71CDD7B5" w14:textId="77777777" w:rsidR="002732E3" w:rsidRPr="00A64175" w:rsidRDefault="002732E3" w:rsidP="00A64175">
      <w:pPr>
        <w:widowControl w:val="0"/>
        <w:autoSpaceDE w:val="0"/>
        <w:adjustRightInd w:val="0"/>
        <w:ind w:left="111" w:right="67"/>
        <w:jc w:val="both"/>
        <w:rPr>
          <w:rFonts w:ascii="Arial" w:hAnsi="Arial" w:cs="Arial"/>
          <w:sz w:val="22"/>
          <w:szCs w:val="22"/>
        </w:rPr>
      </w:pPr>
    </w:p>
    <w:p w14:paraId="632C450F" w14:textId="2A9C5E4C" w:rsidR="002732E3" w:rsidRPr="00A64175" w:rsidRDefault="00F30BDF" w:rsidP="00A64175">
      <w:pPr>
        <w:widowControl w:val="0"/>
        <w:autoSpaceDE w:val="0"/>
        <w:adjustRightInd w:val="0"/>
        <w:ind w:left="111" w:right="67"/>
        <w:jc w:val="both"/>
        <w:rPr>
          <w:rFonts w:ascii="Arial" w:hAnsi="Arial" w:cs="Arial"/>
          <w:spacing w:val="1"/>
          <w:sz w:val="22"/>
          <w:szCs w:val="22"/>
        </w:rPr>
      </w:pPr>
      <w:r w:rsidRPr="00A64175">
        <w:rPr>
          <w:rFonts w:ascii="Arial" w:hAnsi="Arial" w:cs="Arial"/>
          <w:b/>
          <w:bCs/>
          <w:sz w:val="22"/>
          <w:szCs w:val="22"/>
        </w:rPr>
        <w:t>Article 16</w:t>
      </w:r>
      <w:r w:rsidR="00FC3A4C">
        <w:rPr>
          <w:rFonts w:ascii="Arial" w:hAnsi="Arial" w:cs="Arial"/>
          <w:b/>
          <w:bCs/>
          <w:sz w:val="22"/>
          <w:szCs w:val="22"/>
        </w:rPr>
        <w:t>6</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Le</w:t>
      </w:r>
      <w:r w:rsidR="00B41214" w:rsidRPr="00A64175">
        <w:rPr>
          <w:rFonts w:ascii="Arial" w:hAnsi="Arial" w:cs="Arial"/>
          <w:spacing w:val="1"/>
          <w:sz w:val="22"/>
          <w:szCs w:val="22"/>
        </w:rPr>
        <w:t xml:space="preserve"> </w:t>
      </w:r>
      <w:r w:rsidR="00B41214" w:rsidRPr="00A64175">
        <w:rPr>
          <w:rFonts w:ascii="Arial" w:hAnsi="Arial" w:cs="Arial"/>
          <w:sz w:val="22"/>
          <w:szCs w:val="22"/>
        </w:rPr>
        <w:t>place</w:t>
      </w:r>
      <w:r w:rsidR="00B41214" w:rsidRPr="00A64175">
        <w:rPr>
          <w:rFonts w:ascii="Arial" w:hAnsi="Arial" w:cs="Arial"/>
          <w:spacing w:val="-2"/>
          <w:sz w:val="22"/>
          <w:szCs w:val="22"/>
        </w:rPr>
        <w:t>m</w:t>
      </w:r>
      <w:r w:rsidR="00B41214" w:rsidRPr="00A64175">
        <w:rPr>
          <w:rFonts w:ascii="Arial" w:hAnsi="Arial" w:cs="Arial"/>
          <w:spacing w:val="1"/>
          <w:sz w:val="22"/>
          <w:szCs w:val="22"/>
        </w:rPr>
        <w:t>e</w:t>
      </w:r>
      <w:r w:rsidR="00B41214" w:rsidRPr="00A64175">
        <w:rPr>
          <w:rFonts w:ascii="Arial" w:hAnsi="Arial" w:cs="Arial"/>
          <w:sz w:val="22"/>
          <w:szCs w:val="22"/>
        </w:rPr>
        <w:t>nt</w:t>
      </w:r>
      <w:r w:rsidR="00B41214" w:rsidRPr="00A64175">
        <w:rPr>
          <w:rFonts w:ascii="Arial" w:hAnsi="Arial" w:cs="Arial"/>
          <w:spacing w:val="1"/>
          <w:sz w:val="22"/>
          <w:szCs w:val="22"/>
        </w:rPr>
        <w:t xml:space="preserve"> </w:t>
      </w:r>
      <w:r w:rsidR="00B41214" w:rsidRPr="00A64175">
        <w:rPr>
          <w:rFonts w:ascii="Arial" w:hAnsi="Arial" w:cs="Arial"/>
          <w:sz w:val="22"/>
          <w:szCs w:val="22"/>
        </w:rPr>
        <w:t>d’une</w:t>
      </w:r>
      <w:r w:rsidR="00B41214" w:rsidRPr="00A64175">
        <w:rPr>
          <w:rFonts w:ascii="Arial" w:hAnsi="Arial" w:cs="Arial"/>
          <w:spacing w:val="1"/>
          <w:sz w:val="22"/>
          <w:szCs w:val="22"/>
        </w:rPr>
        <w:t xml:space="preserve"> </w:t>
      </w:r>
      <w:r w:rsidR="00B41214" w:rsidRPr="00A64175">
        <w:rPr>
          <w:rFonts w:ascii="Arial" w:hAnsi="Arial" w:cs="Arial"/>
          <w:sz w:val="22"/>
          <w:szCs w:val="22"/>
        </w:rPr>
        <w:t>valeur</w:t>
      </w:r>
      <w:r w:rsidR="00B41214" w:rsidRPr="00A64175">
        <w:rPr>
          <w:rFonts w:ascii="Arial" w:hAnsi="Arial" w:cs="Arial"/>
          <w:spacing w:val="1"/>
          <w:sz w:val="22"/>
          <w:szCs w:val="22"/>
        </w:rPr>
        <w:t xml:space="preserve"> </w:t>
      </w:r>
      <w:r w:rsidR="00B41214" w:rsidRPr="00A64175">
        <w:rPr>
          <w:rFonts w:ascii="Arial" w:hAnsi="Arial" w:cs="Arial"/>
          <w:sz w:val="22"/>
          <w:szCs w:val="22"/>
        </w:rPr>
        <w:t>prend</w:t>
      </w:r>
      <w:r w:rsidR="00B41214" w:rsidRPr="00A64175">
        <w:rPr>
          <w:rFonts w:ascii="Arial" w:hAnsi="Arial" w:cs="Arial"/>
          <w:spacing w:val="1"/>
          <w:sz w:val="22"/>
          <w:szCs w:val="22"/>
        </w:rPr>
        <w:t xml:space="preserve"> </w:t>
      </w:r>
      <w:r w:rsidR="00B41214" w:rsidRPr="00A64175">
        <w:rPr>
          <w:rFonts w:ascii="Arial" w:hAnsi="Arial" w:cs="Arial"/>
          <w:sz w:val="22"/>
          <w:szCs w:val="22"/>
        </w:rPr>
        <w:t>fin à</w:t>
      </w:r>
      <w:r w:rsidR="00B41214" w:rsidRPr="00A64175">
        <w:rPr>
          <w:rFonts w:ascii="Arial" w:hAnsi="Arial" w:cs="Arial"/>
          <w:spacing w:val="1"/>
          <w:sz w:val="22"/>
          <w:szCs w:val="22"/>
        </w:rPr>
        <w:t xml:space="preserve"> </w:t>
      </w:r>
      <w:r w:rsidR="00B41214" w:rsidRPr="00A64175">
        <w:rPr>
          <w:rFonts w:ascii="Arial" w:hAnsi="Arial" w:cs="Arial"/>
          <w:sz w:val="22"/>
          <w:szCs w:val="22"/>
        </w:rPr>
        <w:t>la</w:t>
      </w:r>
      <w:r w:rsidR="00B41214" w:rsidRPr="00A64175">
        <w:rPr>
          <w:rFonts w:ascii="Arial" w:hAnsi="Arial" w:cs="Arial"/>
          <w:spacing w:val="1"/>
          <w:sz w:val="22"/>
          <w:szCs w:val="22"/>
        </w:rPr>
        <w:t xml:space="preserve"> </w:t>
      </w:r>
      <w:r w:rsidR="00B41214" w:rsidRPr="00A64175">
        <w:rPr>
          <w:rFonts w:ascii="Arial" w:hAnsi="Arial" w:cs="Arial"/>
          <w:sz w:val="22"/>
          <w:szCs w:val="22"/>
        </w:rPr>
        <w:t>date</w:t>
      </w:r>
      <w:r w:rsidR="00B41214" w:rsidRPr="00A64175">
        <w:rPr>
          <w:rFonts w:ascii="Arial" w:hAnsi="Arial" w:cs="Arial"/>
          <w:spacing w:val="1"/>
          <w:sz w:val="22"/>
          <w:szCs w:val="22"/>
        </w:rPr>
        <w:t xml:space="preserve"> </w:t>
      </w:r>
      <w:r w:rsidR="00B41214" w:rsidRPr="00A64175">
        <w:rPr>
          <w:rFonts w:ascii="Arial" w:hAnsi="Arial" w:cs="Arial"/>
          <w:sz w:val="22"/>
          <w:szCs w:val="22"/>
        </w:rPr>
        <w:t>prévue</w:t>
      </w:r>
      <w:r w:rsidR="00B41214" w:rsidRPr="00A64175">
        <w:rPr>
          <w:rFonts w:ascii="Arial" w:hAnsi="Arial" w:cs="Arial"/>
          <w:spacing w:val="1"/>
          <w:sz w:val="22"/>
          <w:szCs w:val="22"/>
        </w:rPr>
        <w:t xml:space="preserve"> </w:t>
      </w:r>
      <w:r w:rsidR="00B41214" w:rsidRPr="00A64175">
        <w:rPr>
          <w:rFonts w:ascii="Arial" w:hAnsi="Arial" w:cs="Arial"/>
          <w:sz w:val="22"/>
          <w:szCs w:val="22"/>
        </w:rPr>
        <w:t>dans</w:t>
      </w:r>
      <w:r w:rsidR="00B41214" w:rsidRPr="00A64175">
        <w:rPr>
          <w:rFonts w:ascii="Arial" w:hAnsi="Arial" w:cs="Arial"/>
          <w:spacing w:val="1"/>
          <w:sz w:val="22"/>
          <w:szCs w:val="22"/>
        </w:rPr>
        <w:t xml:space="preserve"> </w:t>
      </w:r>
      <w:r w:rsidR="00B41214" w:rsidRPr="00A64175">
        <w:rPr>
          <w:rFonts w:ascii="Arial" w:hAnsi="Arial" w:cs="Arial"/>
          <w:sz w:val="22"/>
          <w:szCs w:val="22"/>
        </w:rPr>
        <w:t>le</w:t>
      </w:r>
      <w:r w:rsidR="00B41214" w:rsidRPr="00A64175">
        <w:rPr>
          <w:rFonts w:ascii="Arial" w:hAnsi="Arial" w:cs="Arial"/>
          <w:spacing w:val="1"/>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z w:val="22"/>
          <w:szCs w:val="22"/>
        </w:rPr>
        <w:t>e</w:t>
      </w:r>
      <w:r w:rsidR="00B41214" w:rsidRPr="00A64175">
        <w:rPr>
          <w:rFonts w:ascii="Arial" w:hAnsi="Arial" w:cs="Arial"/>
          <w:spacing w:val="-1"/>
          <w:sz w:val="22"/>
          <w:szCs w:val="22"/>
        </w:rPr>
        <w:t>n</w:t>
      </w:r>
      <w:r w:rsidR="00B41214" w:rsidRPr="00A64175">
        <w:rPr>
          <w:rFonts w:ascii="Arial" w:hAnsi="Arial" w:cs="Arial"/>
          <w:sz w:val="22"/>
          <w:szCs w:val="22"/>
        </w:rPr>
        <w:t>t</w:t>
      </w:r>
      <w:r w:rsidR="00B41214" w:rsidRPr="00A64175">
        <w:rPr>
          <w:rFonts w:ascii="Arial" w:hAnsi="Arial" w:cs="Arial"/>
          <w:spacing w:val="1"/>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z w:val="22"/>
          <w:szCs w:val="22"/>
        </w:rPr>
        <w:t>ation.</w:t>
      </w:r>
      <w:r w:rsidR="00B41214" w:rsidRPr="00A64175">
        <w:rPr>
          <w:rFonts w:ascii="Arial" w:hAnsi="Arial" w:cs="Arial"/>
          <w:spacing w:val="1"/>
          <w:sz w:val="22"/>
          <w:szCs w:val="22"/>
        </w:rPr>
        <w:t xml:space="preserve"> </w:t>
      </w:r>
      <w:r w:rsidR="00B41214" w:rsidRPr="00A64175">
        <w:rPr>
          <w:rFonts w:ascii="Arial" w:hAnsi="Arial" w:cs="Arial"/>
          <w:sz w:val="22"/>
          <w:szCs w:val="22"/>
        </w:rPr>
        <w:t>Cette</w:t>
      </w:r>
      <w:r w:rsidR="00B41214" w:rsidRPr="00A64175">
        <w:rPr>
          <w:rFonts w:ascii="Arial" w:hAnsi="Arial" w:cs="Arial"/>
          <w:spacing w:val="1"/>
          <w:sz w:val="22"/>
          <w:szCs w:val="22"/>
        </w:rPr>
        <w:t xml:space="preserve"> </w:t>
      </w:r>
      <w:r w:rsidR="00B41214" w:rsidRPr="00A64175">
        <w:rPr>
          <w:rFonts w:ascii="Arial" w:hAnsi="Arial" w:cs="Arial"/>
          <w:sz w:val="22"/>
          <w:szCs w:val="22"/>
        </w:rPr>
        <w:t>date</w:t>
      </w:r>
      <w:r w:rsidR="00B41214" w:rsidRPr="00A64175">
        <w:rPr>
          <w:rFonts w:ascii="Arial" w:hAnsi="Arial" w:cs="Arial"/>
          <w:spacing w:val="1"/>
          <w:sz w:val="22"/>
          <w:szCs w:val="22"/>
        </w:rPr>
        <w:t xml:space="preserve"> </w:t>
      </w:r>
      <w:r w:rsidR="00B41214" w:rsidRPr="00A64175">
        <w:rPr>
          <w:rFonts w:ascii="Arial" w:hAnsi="Arial" w:cs="Arial"/>
          <w:sz w:val="22"/>
          <w:szCs w:val="22"/>
        </w:rPr>
        <w:t>ne</w:t>
      </w:r>
      <w:r w:rsidR="00B41214" w:rsidRPr="00A64175">
        <w:rPr>
          <w:rFonts w:ascii="Arial" w:hAnsi="Arial" w:cs="Arial"/>
          <w:spacing w:val="1"/>
          <w:sz w:val="22"/>
          <w:szCs w:val="22"/>
        </w:rPr>
        <w:t xml:space="preserve"> </w:t>
      </w:r>
      <w:r w:rsidR="00B41214" w:rsidRPr="00A64175">
        <w:rPr>
          <w:rFonts w:ascii="Arial" w:hAnsi="Arial" w:cs="Arial"/>
          <w:sz w:val="22"/>
          <w:szCs w:val="22"/>
        </w:rPr>
        <w:t>doit</w:t>
      </w:r>
      <w:r w:rsidR="002732E3" w:rsidRPr="00A64175">
        <w:rPr>
          <w:rFonts w:ascii="Arial" w:hAnsi="Arial" w:cs="Arial"/>
          <w:sz w:val="22"/>
          <w:szCs w:val="22"/>
        </w:rPr>
        <w:t xml:space="preserve">, en aucun cas, dépasser </w:t>
      </w:r>
      <w:r w:rsidR="00E10DE6" w:rsidRPr="00A64175">
        <w:rPr>
          <w:rFonts w:ascii="Arial" w:hAnsi="Arial" w:cs="Arial"/>
          <w:sz w:val="22"/>
          <w:szCs w:val="22"/>
        </w:rPr>
        <w:t>quatre</w:t>
      </w:r>
      <w:r w:rsidR="00772B5D" w:rsidRPr="00A64175">
        <w:rPr>
          <w:rFonts w:ascii="Arial" w:hAnsi="Arial" w:cs="Arial"/>
          <w:sz w:val="22"/>
          <w:szCs w:val="22"/>
        </w:rPr>
        <w:t>-</w:t>
      </w:r>
      <w:r w:rsidR="00772B5D" w:rsidRPr="00FC3A4C">
        <w:rPr>
          <w:rFonts w:ascii="Arial" w:hAnsi="Arial" w:cs="Arial"/>
          <w:sz w:val="22"/>
          <w:szCs w:val="22"/>
        </w:rPr>
        <w:t>vingt-dix</w:t>
      </w:r>
      <w:r w:rsidR="002732E3" w:rsidRPr="00FC3A4C">
        <w:rPr>
          <w:rFonts w:ascii="Arial" w:hAnsi="Arial" w:cs="Arial"/>
          <w:sz w:val="22"/>
          <w:szCs w:val="22"/>
        </w:rPr>
        <w:t xml:space="preserve"> </w:t>
      </w:r>
      <w:r w:rsidR="002732E3" w:rsidRPr="00A64175">
        <w:rPr>
          <w:rFonts w:ascii="Arial" w:hAnsi="Arial" w:cs="Arial"/>
          <w:sz w:val="22"/>
          <w:szCs w:val="22"/>
        </w:rPr>
        <w:t>(90) jours après</w:t>
      </w:r>
      <w:r w:rsidR="00B41214" w:rsidRPr="00A64175">
        <w:rPr>
          <w:rFonts w:ascii="Arial" w:hAnsi="Arial" w:cs="Arial"/>
          <w:sz w:val="22"/>
          <w:szCs w:val="22"/>
        </w:rPr>
        <w:t xml:space="preserve"> </w:t>
      </w:r>
      <w:r w:rsidR="002732E3" w:rsidRPr="00A64175">
        <w:rPr>
          <w:rFonts w:ascii="Arial" w:hAnsi="Arial" w:cs="Arial"/>
          <w:sz w:val="22"/>
          <w:szCs w:val="22"/>
        </w:rPr>
        <w:t>l</w:t>
      </w:r>
      <w:r w:rsidR="00B41214" w:rsidRPr="00A64175">
        <w:rPr>
          <w:rFonts w:ascii="Arial" w:hAnsi="Arial" w:cs="Arial"/>
          <w:sz w:val="22"/>
          <w:szCs w:val="22"/>
        </w:rPr>
        <w:t>’</w:t>
      </w:r>
      <w:r w:rsidR="00B41214" w:rsidRPr="00A64175">
        <w:rPr>
          <w:rFonts w:ascii="Arial" w:hAnsi="Arial" w:cs="Arial"/>
          <w:spacing w:val="-2"/>
          <w:sz w:val="22"/>
          <w:szCs w:val="22"/>
        </w:rPr>
        <w:t>o</w:t>
      </w:r>
      <w:r w:rsidR="00B41214" w:rsidRPr="00A64175">
        <w:rPr>
          <w:rFonts w:ascii="Arial" w:hAnsi="Arial" w:cs="Arial"/>
          <w:sz w:val="22"/>
          <w:szCs w:val="22"/>
        </w:rPr>
        <w:t>uverture</w:t>
      </w:r>
      <w:r w:rsidR="00B41214" w:rsidRPr="00A64175">
        <w:rPr>
          <w:rFonts w:ascii="Arial" w:hAnsi="Arial" w:cs="Arial"/>
          <w:spacing w:val="1"/>
          <w:sz w:val="22"/>
          <w:szCs w:val="22"/>
        </w:rPr>
        <w:t xml:space="preserve"> </w:t>
      </w:r>
      <w:r w:rsidR="00B41214" w:rsidRPr="00A64175">
        <w:rPr>
          <w:rFonts w:ascii="Arial" w:hAnsi="Arial" w:cs="Arial"/>
          <w:sz w:val="22"/>
          <w:szCs w:val="22"/>
        </w:rPr>
        <w:t>des</w:t>
      </w:r>
      <w:r w:rsidR="00B41214" w:rsidRPr="00A64175">
        <w:rPr>
          <w:rFonts w:ascii="Arial" w:hAnsi="Arial" w:cs="Arial"/>
          <w:spacing w:val="1"/>
          <w:sz w:val="22"/>
          <w:szCs w:val="22"/>
        </w:rPr>
        <w:t xml:space="preserve"> </w:t>
      </w:r>
      <w:r w:rsidR="00B41214" w:rsidRPr="00A64175">
        <w:rPr>
          <w:rFonts w:ascii="Arial" w:hAnsi="Arial" w:cs="Arial"/>
          <w:sz w:val="22"/>
          <w:szCs w:val="22"/>
        </w:rPr>
        <w:t>souscriptions.</w:t>
      </w:r>
      <w:r w:rsidR="00B41214" w:rsidRPr="00A64175">
        <w:rPr>
          <w:rFonts w:ascii="Arial" w:hAnsi="Arial" w:cs="Arial"/>
          <w:spacing w:val="1"/>
          <w:sz w:val="22"/>
          <w:szCs w:val="22"/>
        </w:rPr>
        <w:t xml:space="preserve"> </w:t>
      </w:r>
    </w:p>
    <w:p w14:paraId="39B7541C" w14:textId="77777777" w:rsidR="002732E3" w:rsidRPr="00A64175" w:rsidRDefault="002732E3" w:rsidP="00A64175">
      <w:pPr>
        <w:widowControl w:val="0"/>
        <w:autoSpaceDE w:val="0"/>
        <w:adjustRightInd w:val="0"/>
        <w:ind w:left="111" w:right="67"/>
        <w:jc w:val="both"/>
        <w:rPr>
          <w:rFonts w:ascii="Arial" w:hAnsi="Arial" w:cs="Arial"/>
          <w:sz w:val="22"/>
          <w:szCs w:val="22"/>
        </w:rPr>
      </w:pPr>
    </w:p>
    <w:p w14:paraId="56766E73" w14:textId="4BDA6552" w:rsidR="00D26FD8" w:rsidRPr="00A64175" w:rsidRDefault="00F30BDF" w:rsidP="00A64175">
      <w:pPr>
        <w:widowControl w:val="0"/>
        <w:autoSpaceDE w:val="0"/>
        <w:adjustRightInd w:val="0"/>
        <w:ind w:left="111" w:right="67"/>
        <w:jc w:val="both"/>
        <w:rPr>
          <w:rFonts w:ascii="Arial" w:hAnsi="Arial" w:cs="Arial"/>
          <w:sz w:val="22"/>
          <w:szCs w:val="22"/>
        </w:rPr>
      </w:pPr>
      <w:r w:rsidRPr="00A64175">
        <w:rPr>
          <w:rFonts w:ascii="Arial" w:hAnsi="Arial" w:cs="Arial"/>
          <w:b/>
          <w:bCs/>
          <w:sz w:val="22"/>
          <w:szCs w:val="22"/>
        </w:rPr>
        <w:t>Article 16</w:t>
      </w:r>
      <w:r w:rsidR="00FC3A4C">
        <w:rPr>
          <w:rFonts w:ascii="Arial" w:hAnsi="Arial" w:cs="Arial"/>
          <w:b/>
          <w:bCs/>
          <w:sz w:val="22"/>
          <w:szCs w:val="22"/>
        </w:rPr>
        <w:t>7</w:t>
      </w:r>
      <w:r w:rsidR="002732E3" w:rsidRPr="00A64175">
        <w:rPr>
          <w:rFonts w:ascii="Arial" w:hAnsi="Arial" w:cs="Arial"/>
          <w:b/>
          <w:bCs/>
          <w:sz w:val="22"/>
          <w:szCs w:val="22"/>
        </w:rPr>
        <w:t>. –</w:t>
      </w:r>
      <w:r w:rsidR="002732E3" w:rsidRPr="00A64175">
        <w:rPr>
          <w:rFonts w:ascii="Arial" w:hAnsi="Arial" w:cs="Arial"/>
          <w:bCs/>
          <w:sz w:val="22"/>
          <w:szCs w:val="22"/>
        </w:rPr>
        <w:t xml:space="preserve"> </w:t>
      </w:r>
      <w:r w:rsidR="00B41214" w:rsidRPr="00A64175">
        <w:rPr>
          <w:rFonts w:ascii="Arial" w:hAnsi="Arial" w:cs="Arial"/>
          <w:sz w:val="22"/>
          <w:szCs w:val="22"/>
        </w:rPr>
        <w:t>Le</w:t>
      </w:r>
      <w:r w:rsidR="00B41214" w:rsidRPr="00A64175">
        <w:rPr>
          <w:rFonts w:ascii="Arial" w:hAnsi="Arial" w:cs="Arial"/>
          <w:spacing w:val="1"/>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1"/>
          <w:sz w:val="22"/>
          <w:szCs w:val="22"/>
        </w:rPr>
        <w:t xml:space="preserve"> </w:t>
      </w:r>
      <w:r w:rsidR="00B41214" w:rsidRPr="00A64175">
        <w:rPr>
          <w:rFonts w:ascii="Arial" w:hAnsi="Arial" w:cs="Arial"/>
          <w:sz w:val="22"/>
          <w:szCs w:val="22"/>
        </w:rPr>
        <w:t>d’info</w:t>
      </w:r>
      <w:r w:rsidR="00B41214" w:rsidRPr="00A64175">
        <w:rPr>
          <w:rFonts w:ascii="Arial" w:hAnsi="Arial" w:cs="Arial"/>
          <w:spacing w:val="2"/>
          <w:sz w:val="22"/>
          <w:szCs w:val="22"/>
        </w:rPr>
        <w:t>r</w:t>
      </w:r>
      <w:r w:rsidR="00B41214" w:rsidRPr="00A64175">
        <w:rPr>
          <w:rFonts w:ascii="Arial" w:hAnsi="Arial" w:cs="Arial"/>
          <w:spacing w:val="-2"/>
          <w:sz w:val="22"/>
          <w:szCs w:val="22"/>
        </w:rPr>
        <w:t>m</w:t>
      </w:r>
      <w:r w:rsidR="00B41214" w:rsidRPr="00A64175">
        <w:rPr>
          <w:rFonts w:ascii="Arial" w:hAnsi="Arial" w:cs="Arial"/>
          <w:sz w:val="22"/>
          <w:szCs w:val="22"/>
        </w:rPr>
        <w:t>ation doit</w:t>
      </w:r>
      <w:r w:rsidR="00B41214" w:rsidRPr="00A64175">
        <w:rPr>
          <w:rFonts w:ascii="Arial" w:hAnsi="Arial" w:cs="Arial"/>
          <w:spacing w:val="2"/>
          <w:sz w:val="22"/>
          <w:szCs w:val="22"/>
        </w:rPr>
        <w:t xml:space="preserve"> </w:t>
      </w:r>
      <w:r w:rsidR="00B41214" w:rsidRPr="00A64175">
        <w:rPr>
          <w:rFonts w:ascii="Arial" w:hAnsi="Arial" w:cs="Arial"/>
          <w:sz w:val="22"/>
          <w:szCs w:val="22"/>
        </w:rPr>
        <w:t>prévoir</w:t>
      </w:r>
      <w:r w:rsidR="00B41214" w:rsidRPr="00A64175">
        <w:rPr>
          <w:rFonts w:ascii="Arial" w:hAnsi="Arial" w:cs="Arial"/>
          <w:spacing w:val="2"/>
          <w:sz w:val="22"/>
          <w:szCs w:val="22"/>
        </w:rPr>
        <w:t xml:space="preserve"> </w:t>
      </w:r>
      <w:r w:rsidR="00B41214" w:rsidRPr="00A64175">
        <w:rPr>
          <w:rFonts w:ascii="Arial" w:hAnsi="Arial" w:cs="Arial"/>
          <w:sz w:val="22"/>
          <w:szCs w:val="22"/>
        </w:rPr>
        <w:t>les</w:t>
      </w:r>
      <w:r w:rsidR="00B41214" w:rsidRPr="00A64175">
        <w:rPr>
          <w:rFonts w:ascii="Arial" w:hAnsi="Arial" w:cs="Arial"/>
          <w:spacing w:val="2"/>
          <w:sz w:val="22"/>
          <w:szCs w:val="22"/>
        </w:rPr>
        <w:t xml:space="preserve"> </w:t>
      </w:r>
      <w:r w:rsidR="00B41214" w:rsidRPr="00A64175">
        <w:rPr>
          <w:rFonts w:ascii="Arial" w:hAnsi="Arial" w:cs="Arial"/>
          <w:sz w:val="22"/>
          <w:szCs w:val="22"/>
        </w:rPr>
        <w:t>suites</w:t>
      </w:r>
      <w:r w:rsidR="00B41214" w:rsidRPr="00A64175">
        <w:rPr>
          <w:rFonts w:ascii="Arial" w:hAnsi="Arial" w:cs="Arial"/>
          <w:spacing w:val="2"/>
          <w:sz w:val="22"/>
          <w:szCs w:val="22"/>
        </w:rPr>
        <w:t xml:space="preserve"> </w:t>
      </w:r>
      <w:r w:rsidR="00B41214" w:rsidRPr="00A64175">
        <w:rPr>
          <w:rFonts w:ascii="Arial" w:hAnsi="Arial" w:cs="Arial"/>
          <w:sz w:val="22"/>
          <w:szCs w:val="22"/>
        </w:rPr>
        <w:t>à</w:t>
      </w:r>
      <w:r w:rsidR="00B41214" w:rsidRPr="00A64175">
        <w:rPr>
          <w:rFonts w:ascii="Arial" w:hAnsi="Arial" w:cs="Arial"/>
          <w:spacing w:val="2"/>
          <w:sz w:val="22"/>
          <w:szCs w:val="22"/>
        </w:rPr>
        <w:t xml:space="preserve"> </w:t>
      </w:r>
      <w:r w:rsidR="00B41214" w:rsidRPr="00A64175">
        <w:rPr>
          <w:rFonts w:ascii="Arial" w:hAnsi="Arial" w:cs="Arial"/>
          <w:sz w:val="22"/>
          <w:szCs w:val="22"/>
        </w:rPr>
        <w:t>donner</w:t>
      </w:r>
      <w:r w:rsidR="00B41214" w:rsidRPr="00A64175">
        <w:rPr>
          <w:rFonts w:ascii="Arial" w:hAnsi="Arial" w:cs="Arial"/>
          <w:spacing w:val="2"/>
          <w:sz w:val="22"/>
          <w:szCs w:val="22"/>
        </w:rPr>
        <w:t xml:space="preserve"> </w:t>
      </w:r>
      <w:r w:rsidR="00B41214" w:rsidRPr="00A64175">
        <w:rPr>
          <w:rFonts w:ascii="Arial" w:hAnsi="Arial" w:cs="Arial"/>
          <w:sz w:val="22"/>
          <w:szCs w:val="22"/>
        </w:rPr>
        <w:t>à</w:t>
      </w:r>
      <w:r w:rsidR="00B41214" w:rsidRPr="00A64175">
        <w:rPr>
          <w:rFonts w:ascii="Arial" w:hAnsi="Arial" w:cs="Arial"/>
          <w:spacing w:val="2"/>
          <w:sz w:val="22"/>
          <w:szCs w:val="22"/>
        </w:rPr>
        <w:t xml:space="preserve"> </w:t>
      </w:r>
      <w:r w:rsidR="00B41214" w:rsidRPr="00A64175">
        <w:rPr>
          <w:rFonts w:ascii="Arial" w:hAnsi="Arial" w:cs="Arial"/>
          <w:sz w:val="22"/>
          <w:szCs w:val="22"/>
        </w:rPr>
        <w:t>une opération</w:t>
      </w:r>
      <w:r w:rsidR="00B41214" w:rsidRPr="00A64175">
        <w:rPr>
          <w:rFonts w:ascii="Arial" w:hAnsi="Arial" w:cs="Arial"/>
          <w:spacing w:val="2"/>
          <w:sz w:val="22"/>
          <w:szCs w:val="22"/>
        </w:rPr>
        <w:t xml:space="preserve"> </w:t>
      </w:r>
      <w:r w:rsidR="00B41214" w:rsidRPr="00A64175">
        <w:rPr>
          <w:rFonts w:ascii="Arial" w:hAnsi="Arial" w:cs="Arial"/>
          <w:sz w:val="22"/>
          <w:szCs w:val="22"/>
        </w:rPr>
        <w:t>en</w:t>
      </w:r>
      <w:r w:rsidR="00B41214" w:rsidRPr="00A64175">
        <w:rPr>
          <w:rFonts w:ascii="Arial" w:hAnsi="Arial" w:cs="Arial"/>
          <w:spacing w:val="2"/>
          <w:sz w:val="22"/>
          <w:szCs w:val="22"/>
        </w:rPr>
        <w:t xml:space="preserve"> </w:t>
      </w:r>
      <w:r w:rsidR="00B41214" w:rsidRPr="00A64175">
        <w:rPr>
          <w:rFonts w:ascii="Arial" w:hAnsi="Arial" w:cs="Arial"/>
          <w:sz w:val="22"/>
          <w:szCs w:val="22"/>
        </w:rPr>
        <w:t>cas</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772B5D" w:rsidRPr="00A64175">
        <w:rPr>
          <w:rFonts w:ascii="Arial" w:hAnsi="Arial" w:cs="Arial"/>
          <w:sz w:val="22"/>
          <w:szCs w:val="22"/>
        </w:rPr>
        <w:t>non</w:t>
      </w:r>
      <w:r w:rsidR="00772B5D" w:rsidRPr="00A64175">
        <w:rPr>
          <w:rFonts w:ascii="Arial" w:hAnsi="Arial" w:cs="Arial"/>
          <w:spacing w:val="2"/>
          <w:sz w:val="22"/>
          <w:szCs w:val="22"/>
        </w:rPr>
        <w:t>-réussite</w:t>
      </w:r>
      <w:r w:rsidR="00B41214" w:rsidRPr="00A64175">
        <w:rPr>
          <w:rFonts w:ascii="Arial" w:hAnsi="Arial" w:cs="Arial"/>
          <w:spacing w:val="2"/>
          <w:sz w:val="22"/>
          <w:szCs w:val="22"/>
        </w:rPr>
        <w:t xml:space="preserve"> </w:t>
      </w:r>
      <w:r w:rsidR="00B41214" w:rsidRPr="00A64175">
        <w:rPr>
          <w:rFonts w:ascii="Arial" w:hAnsi="Arial" w:cs="Arial"/>
          <w:sz w:val="22"/>
          <w:szCs w:val="22"/>
        </w:rPr>
        <w:t>ou</w:t>
      </w:r>
      <w:r w:rsidR="00B41214" w:rsidRPr="00A64175">
        <w:rPr>
          <w:rFonts w:ascii="Arial" w:hAnsi="Arial" w:cs="Arial"/>
          <w:spacing w:val="3"/>
          <w:sz w:val="22"/>
          <w:szCs w:val="22"/>
        </w:rPr>
        <w:t xml:space="preserve"> </w:t>
      </w:r>
      <w:r w:rsidR="00B41214" w:rsidRPr="00A64175">
        <w:rPr>
          <w:rFonts w:ascii="Arial" w:hAnsi="Arial" w:cs="Arial"/>
          <w:sz w:val="22"/>
          <w:szCs w:val="22"/>
        </w:rPr>
        <w:t>lorsque</w:t>
      </w:r>
      <w:r w:rsidR="00B41214" w:rsidRPr="00A64175">
        <w:rPr>
          <w:rFonts w:ascii="Arial" w:hAnsi="Arial" w:cs="Arial"/>
          <w:spacing w:val="2"/>
          <w:sz w:val="22"/>
          <w:szCs w:val="22"/>
        </w:rPr>
        <w:t xml:space="preserve"> </w:t>
      </w:r>
      <w:r w:rsidR="00B41214" w:rsidRPr="00A64175">
        <w:rPr>
          <w:rFonts w:ascii="Arial" w:hAnsi="Arial" w:cs="Arial"/>
          <w:sz w:val="22"/>
          <w:szCs w:val="22"/>
        </w:rPr>
        <w:t>les</w:t>
      </w:r>
      <w:r w:rsidR="00B41214" w:rsidRPr="00A64175">
        <w:rPr>
          <w:rFonts w:ascii="Arial" w:hAnsi="Arial" w:cs="Arial"/>
          <w:spacing w:val="2"/>
          <w:sz w:val="22"/>
          <w:szCs w:val="22"/>
        </w:rPr>
        <w:t xml:space="preserve"> </w:t>
      </w:r>
      <w:r w:rsidR="00B41214" w:rsidRPr="00A64175">
        <w:rPr>
          <w:rFonts w:ascii="Arial" w:hAnsi="Arial" w:cs="Arial"/>
          <w:sz w:val="22"/>
          <w:szCs w:val="22"/>
        </w:rPr>
        <w:t>titres</w:t>
      </w:r>
      <w:r w:rsidR="00B41214" w:rsidRPr="00A64175">
        <w:rPr>
          <w:rFonts w:ascii="Arial" w:hAnsi="Arial" w:cs="Arial"/>
          <w:spacing w:val="2"/>
          <w:sz w:val="22"/>
          <w:szCs w:val="22"/>
        </w:rPr>
        <w:t xml:space="preserve"> </w:t>
      </w:r>
      <w:r w:rsidR="00B41214" w:rsidRPr="00A64175">
        <w:rPr>
          <w:rFonts w:ascii="Arial" w:hAnsi="Arial" w:cs="Arial"/>
          <w:sz w:val="22"/>
          <w:szCs w:val="22"/>
        </w:rPr>
        <w:t>é</w:t>
      </w:r>
      <w:r w:rsidR="00B41214" w:rsidRPr="00A64175">
        <w:rPr>
          <w:rFonts w:ascii="Arial" w:hAnsi="Arial" w:cs="Arial"/>
          <w:spacing w:val="-2"/>
          <w:sz w:val="22"/>
          <w:szCs w:val="22"/>
        </w:rPr>
        <w:t>m</w:t>
      </w:r>
      <w:r w:rsidR="00B41214" w:rsidRPr="00A64175">
        <w:rPr>
          <w:rFonts w:ascii="Arial" w:hAnsi="Arial" w:cs="Arial"/>
          <w:sz w:val="22"/>
          <w:szCs w:val="22"/>
        </w:rPr>
        <w:t>is</w:t>
      </w:r>
      <w:r w:rsidR="00B41214" w:rsidRPr="00A64175">
        <w:rPr>
          <w:rFonts w:ascii="Arial" w:hAnsi="Arial" w:cs="Arial"/>
          <w:spacing w:val="2"/>
          <w:sz w:val="22"/>
          <w:szCs w:val="22"/>
        </w:rPr>
        <w:t xml:space="preserve"> </w:t>
      </w:r>
      <w:r w:rsidR="00B41214" w:rsidRPr="00A64175">
        <w:rPr>
          <w:rFonts w:ascii="Arial" w:hAnsi="Arial" w:cs="Arial"/>
          <w:sz w:val="22"/>
          <w:szCs w:val="22"/>
        </w:rPr>
        <w:t>ou</w:t>
      </w:r>
      <w:r w:rsidR="00B41214" w:rsidRPr="00A64175">
        <w:rPr>
          <w:rFonts w:ascii="Arial" w:hAnsi="Arial" w:cs="Arial"/>
          <w:spacing w:val="2"/>
          <w:sz w:val="22"/>
          <w:szCs w:val="22"/>
        </w:rPr>
        <w:t xml:space="preserve"> </w:t>
      </w:r>
      <w:r w:rsidR="00B41214" w:rsidRPr="00A64175">
        <w:rPr>
          <w:rFonts w:ascii="Arial" w:hAnsi="Arial" w:cs="Arial"/>
          <w:sz w:val="22"/>
          <w:szCs w:val="22"/>
        </w:rPr>
        <w:t>cédés n’ont</w:t>
      </w:r>
      <w:r w:rsidR="00B41214" w:rsidRPr="00A64175">
        <w:rPr>
          <w:rFonts w:ascii="Arial" w:hAnsi="Arial" w:cs="Arial"/>
          <w:spacing w:val="4"/>
          <w:sz w:val="22"/>
          <w:szCs w:val="22"/>
        </w:rPr>
        <w:t xml:space="preserve"> </w:t>
      </w:r>
      <w:r w:rsidR="00B41214" w:rsidRPr="00A64175">
        <w:rPr>
          <w:rFonts w:ascii="Arial" w:hAnsi="Arial" w:cs="Arial"/>
          <w:sz w:val="22"/>
          <w:szCs w:val="22"/>
        </w:rPr>
        <w:t>pas</w:t>
      </w:r>
      <w:r w:rsidR="00B41214" w:rsidRPr="00A64175">
        <w:rPr>
          <w:rFonts w:ascii="Arial" w:hAnsi="Arial" w:cs="Arial"/>
          <w:spacing w:val="4"/>
          <w:sz w:val="22"/>
          <w:szCs w:val="22"/>
        </w:rPr>
        <w:t xml:space="preserve"> </w:t>
      </w:r>
      <w:r w:rsidR="00B41214" w:rsidRPr="00A64175">
        <w:rPr>
          <w:rFonts w:ascii="Arial" w:hAnsi="Arial" w:cs="Arial"/>
          <w:sz w:val="22"/>
          <w:szCs w:val="22"/>
        </w:rPr>
        <w:t>été</w:t>
      </w:r>
      <w:r w:rsidR="00B41214" w:rsidRPr="00A64175">
        <w:rPr>
          <w:rFonts w:ascii="Arial" w:hAnsi="Arial" w:cs="Arial"/>
          <w:spacing w:val="4"/>
          <w:sz w:val="22"/>
          <w:szCs w:val="22"/>
        </w:rPr>
        <w:t xml:space="preserve"> </w:t>
      </w:r>
      <w:r w:rsidR="00B41214" w:rsidRPr="00A64175">
        <w:rPr>
          <w:rFonts w:ascii="Arial" w:hAnsi="Arial" w:cs="Arial"/>
          <w:sz w:val="22"/>
          <w:szCs w:val="22"/>
        </w:rPr>
        <w:t>intégrale</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4"/>
          <w:sz w:val="22"/>
          <w:szCs w:val="22"/>
        </w:rPr>
        <w:t xml:space="preserve"> </w:t>
      </w:r>
      <w:r w:rsidR="00B41214" w:rsidRPr="00A64175">
        <w:rPr>
          <w:rFonts w:ascii="Arial" w:hAnsi="Arial" w:cs="Arial"/>
          <w:sz w:val="22"/>
          <w:szCs w:val="22"/>
        </w:rPr>
        <w:t>placés</w:t>
      </w:r>
      <w:r w:rsidR="00B41214" w:rsidRPr="00A64175">
        <w:rPr>
          <w:rFonts w:ascii="Arial" w:hAnsi="Arial" w:cs="Arial"/>
          <w:spacing w:val="4"/>
          <w:sz w:val="22"/>
          <w:szCs w:val="22"/>
        </w:rPr>
        <w:t xml:space="preserve"> </w:t>
      </w:r>
      <w:r w:rsidR="00B41214" w:rsidRPr="00A64175">
        <w:rPr>
          <w:rFonts w:ascii="Arial" w:hAnsi="Arial" w:cs="Arial"/>
          <w:sz w:val="22"/>
          <w:szCs w:val="22"/>
        </w:rPr>
        <w:t>dans</w:t>
      </w:r>
      <w:r w:rsidR="00B41214" w:rsidRPr="00A64175">
        <w:rPr>
          <w:rFonts w:ascii="Arial" w:hAnsi="Arial" w:cs="Arial"/>
          <w:spacing w:val="4"/>
          <w:sz w:val="22"/>
          <w:szCs w:val="22"/>
        </w:rPr>
        <w:t xml:space="preserve"> </w:t>
      </w:r>
      <w:r w:rsidR="00B41214" w:rsidRPr="00A64175">
        <w:rPr>
          <w:rFonts w:ascii="Arial" w:hAnsi="Arial" w:cs="Arial"/>
          <w:sz w:val="22"/>
          <w:szCs w:val="22"/>
        </w:rPr>
        <w:t>le</w:t>
      </w:r>
      <w:r w:rsidR="00B41214" w:rsidRPr="00A64175">
        <w:rPr>
          <w:rFonts w:ascii="Arial" w:hAnsi="Arial" w:cs="Arial"/>
          <w:spacing w:val="4"/>
          <w:sz w:val="22"/>
          <w:szCs w:val="22"/>
        </w:rPr>
        <w:t xml:space="preserve"> </w:t>
      </w:r>
      <w:r w:rsidR="00B41214" w:rsidRPr="00A64175">
        <w:rPr>
          <w:rFonts w:ascii="Arial" w:hAnsi="Arial" w:cs="Arial"/>
          <w:sz w:val="22"/>
          <w:szCs w:val="22"/>
        </w:rPr>
        <w:t>public.</w:t>
      </w:r>
      <w:r w:rsidR="00B41214" w:rsidRPr="00A64175">
        <w:rPr>
          <w:rFonts w:ascii="Arial" w:hAnsi="Arial" w:cs="Arial"/>
          <w:spacing w:val="4"/>
          <w:sz w:val="22"/>
          <w:szCs w:val="22"/>
        </w:rPr>
        <w:t xml:space="preserve"> </w:t>
      </w:r>
      <w:r w:rsidR="00B41214" w:rsidRPr="00A64175">
        <w:rPr>
          <w:rFonts w:ascii="Arial" w:hAnsi="Arial" w:cs="Arial"/>
          <w:sz w:val="22"/>
          <w:szCs w:val="22"/>
        </w:rPr>
        <w:t>Le</w:t>
      </w:r>
      <w:r w:rsidR="00B41214" w:rsidRPr="00A64175">
        <w:rPr>
          <w:rFonts w:ascii="Arial" w:hAnsi="Arial" w:cs="Arial"/>
          <w:spacing w:val="2"/>
          <w:sz w:val="22"/>
          <w:szCs w:val="22"/>
        </w:rPr>
        <w:t xml:space="preserve"> </w:t>
      </w:r>
      <w:r w:rsidR="00B41214" w:rsidRPr="00A64175">
        <w:rPr>
          <w:rFonts w:ascii="Arial" w:hAnsi="Arial" w:cs="Arial"/>
          <w:sz w:val="22"/>
          <w:szCs w:val="22"/>
        </w:rPr>
        <w:t>docu</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4"/>
          <w:sz w:val="22"/>
          <w:szCs w:val="22"/>
        </w:rPr>
        <w:t xml:space="preserve"> </w:t>
      </w:r>
      <w:r w:rsidR="00B41214" w:rsidRPr="00A64175">
        <w:rPr>
          <w:rFonts w:ascii="Arial" w:hAnsi="Arial" w:cs="Arial"/>
          <w:sz w:val="22"/>
          <w:szCs w:val="22"/>
        </w:rPr>
        <w:t>d’infor</w:t>
      </w:r>
      <w:r w:rsidR="00B41214" w:rsidRPr="00A64175">
        <w:rPr>
          <w:rFonts w:ascii="Arial" w:hAnsi="Arial" w:cs="Arial"/>
          <w:spacing w:val="-2"/>
          <w:sz w:val="22"/>
          <w:szCs w:val="22"/>
        </w:rPr>
        <w:t>m</w:t>
      </w:r>
      <w:r w:rsidR="00B41214" w:rsidRPr="00A64175">
        <w:rPr>
          <w:rFonts w:ascii="Arial" w:hAnsi="Arial" w:cs="Arial"/>
          <w:sz w:val="22"/>
          <w:szCs w:val="22"/>
        </w:rPr>
        <w:t>ation</w:t>
      </w:r>
      <w:r w:rsidR="00B41214" w:rsidRPr="00A64175">
        <w:rPr>
          <w:rFonts w:ascii="Arial" w:hAnsi="Arial" w:cs="Arial"/>
          <w:spacing w:val="4"/>
          <w:sz w:val="22"/>
          <w:szCs w:val="22"/>
        </w:rPr>
        <w:t xml:space="preserve"> </w:t>
      </w:r>
      <w:r w:rsidR="00B41214" w:rsidRPr="00A64175">
        <w:rPr>
          <w:rFonts w:ascii="Arial" w:hAnsi="Arial" w:cs="Arial"/>
          <w:sz w:val="22"/>
          <w:szCs w:val="22"/>
        </w:rPr>
        <w:t>précise</w:t>
      </w:r>
      <w:r w:rsidR="00B41214" w:rsidRPr="00A64175">
        <w:rPr>
          <w:rFonts w:ascii="Arial" w:hAnsi="Arial" w:cs="Arial"/>
          <w:spacing w:val="4"/>
          <w:sz w:val="22"/>
          <w:szCs w:val="22"/>
        </w:rPr>
        <w:t xml:space="preserve"> </w:t>
      </w:r>
      <w:r w:rsidR="00B41214" w:rsidRPr="00A64175">
        <w:rPr>
          <w:rFonts w:ascii="Arial" w:hAnsi="Arial" w:cs="Arial"/>
          <w:sz w:val="22"/>
          <w:szCs w:val="22"/>
        </w:rPr>
        <w:t>égale</w:t>
      </w:r>
      <w:r w:rsidR="00B41214" w:rsidRPr="00A64175">
        <w:rPr>
          <w:rFonts w:ascii="Arial" w:hAnsi="Arial" w:cs="Arial"/>
          <w:spacing w:val="-2"/>
          <w:sz w:val="22"/>
          <w:szCs w:val="22"/>
        </w:rPr>
        <w:t>m</w:t>
      </w:r>
      <w:r w:rsidR="00B41214" w:rsidRPr="00A64175">
        <w:rPr>
          <w:rFonts w:ascii="Arial" w:hAnsi="Arial" w:cs="Arial"/>
          <w:sz w:val="22"/>
          <w:szCs w:val="22"/>
        </w:rPr>
        <w:t>ent</w:t>
      </w:r>
      <w:r w:rsidR="00B41214" w:rsidRPr="00A64175">
        <w:rPr>
          <w:rFonts w:ascii="Arial" w:hAnsi="Arial" w:cs="Arial"/>
          <w:spacing w:val="4"/>
          <w:sz w:val="22"/>
          <w:szCs w:val="22"/>
        </w:rPr>
        <w:t xml:space="preserve"> </w:t>
      </w:r>
      <w:r w:rsidR="00B41214" w:rsidRPr="00A64175">
        <w:rPr>
          <w:rFonts w:ascii="Arial" w:hAnsi="Arial" w:cs="Arial"/>
          <w:sz w:val="22"/>
          <w:szCs w:val="22"/>
        </w:rPr>
        <w:t>les</w:t>
      </w:r>
      <w:r w:rsidR="00B41214" w:rsidRPr="00A64175">
        <w:rPr>
          <w:rFonts w:ascii="Arial" w:hAnsi="Arial" w:cs="Arial"/>
          <w:spacing w:val="4"/>
          <w:sz w:val="22"/>
          <w:szCs w:val="22"/>
        </w:rPr>
        <w:t xml:space="preserve"> </w:t>
      </w:r>
      <w:r w:rsidR="00B41214" w:rsidRPr="00A64175">
        <w:rPr>
          <w:rFonts w:ascii="Arial" w:hAnsi="Arial" w:cs="Arial"/>
          <w:sz w:val="22"/>
          <w:szCs w:val="22"/>
        </w:rPr>
        <w:t>suites à donner en cas de sursouscription.</w:t>
      </w:r>
      <w:r w:rsidR="002732E3" w:rsidRPr="00A64175">
        <w:rPr>
          <w:rFonts w:ascii="Arial" w:hAnsi="Arial" w:cs="Arial"/>
          <w:sz w:val="22"/>
          <w:szCs w:val="22"/>
        </w:rPr>
        <w:t xml:space="preserve"> </w:t>
      </w:r>
    </w:p>
    <w:p w14:paraId="510C1670" w14:textId="77777777" w:rsidR="00D26FD8" w:rsidRPr="00A64175" w:rsidRDefault="00D26FD8" w:rsidP="00A64175">
      <w:pPr>
        <w:widowControl w:val="0"/>
        <w:autoSpaceDE w:val="0"/>
        <w:adjustRightInd w:val="0"/>
        <w:ind w:left="111" w:right="67"/>
        <w:jc w:val="both"/>
        <w:rPr>
          <w:rFonts w:ascii="Arial" w:hAnsi="Arial" w:cs="Arial"/>
          <w:sz w:val="22"/>
          <w:szCs w:val="22"/>
        </w:rPr>
      </w:pPr>
    </w:p>
    <w:p w14:paraId="5425438D" w14:textId="387686C3" w:rsidR="00B41214" w:rsidRPr="00A64175" w:rsidRDefault="002732E3"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L</w:t>
      </w:r>
      <w:r w:rsidR="00D26FD8" w:rsidRPr="00A64175">
        <w:rPr>
          <w:rFonts w:ascii="Arial" w:hAnsi="Arial" w:cs="Arial"/>
          <w:sz w:val="22"/>
          <w:szCs w:val="22"/>
        </w:rPr>
        <w:t xml:space="preserve">es engagements pris sur les suites à donner en cas de </w:t>
      </w:r>
      <w:r w:rsidR="00772B5D" w:rsidRPr="00A64175">
        <w:rPr>
          <w:rFonts w:ascii="Arial" w:hAnsi="Arial" w:cs="Arial"/>
          <w:sz w:val="22"/>
          <w:szCs w:val="22"/>
        </w:rPr>
        <w:t>non-réussite</w:t>
      </w:r>
      <w:r w:rsidR="00D26FD8" w:rsidRPr="00A64175">
        <w:rPr>
          <w:rFonts w:ascii="Arial" w:hAnsi="Arial" w:cs="Arial"/>
          <w:sz w:val="22"/>
          <w:szCs w:val="22"/>
        </w:rPr>
        <w:t xml:space="preserve"> d’une opération ou en cas de sursouscription,</w:t>
      </w:r>
      <w:r w:rsidRPr="00A64175">
        <w:rPr>
          <w:rFonts w:ascii="Arial" w:hAnsi="Arial" w:cs="Arial"/>
          <w:sz w:val="22"/>
          <w:szCs w:val="22"/>
        </w:rPr>
        <w:t xml:space="preserve"> sont irrévocables.</w:t>
      </w:r>
    </w:p>
    <w:p w14:paraId="349D4819" w14:textId="77777777" w:rsidR="00B41214" w:rsidRPr="00A64175" w:rsidRDefault="00B41214" w:rsidP="00A64175">
      <w:pPr>
        <w:widowControl w:val="0"/>
        <w:autoSpaceDE w:val="0"/>
        <w:adjustRightInd w:val="0"/>
        <w:ind w:right="64"/>
        <w:jc w:val="both"/>
        <w:rPr>
          <w:rFonts w:ascii="Arial" w:hAnsi="Arial" w:cs="Arial"/>
          <w:sz w:val="22"/>
          <w:szCs w:val="22"/>
        </w:rPr>
      </w:pPr>
    </w:p>
    <w:p w14:paraId="0A4AC7FB" w14:textId="146DE138" w:rsidR="00B41214" w:rsidRPr="00A64175" w:rsidRDefault="00F30BDF" w:rsidP="00A64175">
      <w:pPr>
        <w:widowControl w:val="0"/>
        <w:autoSpaceDE w:val="0"/>
        <w:adjustRightInd w:val="0"/>
        <w:spacing w:before="29"/>
        <w:ind w:left="111" w:right="68"/>
        <w:jc w:val="both"/>
        <w:rPr>
          <w:rFonts w:ascii="Arial" w:hAnsi="Arial" w:cs="Arial"/>
          <w:sz w:val="22"/>
          <w:szCs w:val="22"/>
        </w:rPr>
      </w:pPr>
      <w:r w:rsidRPr="00A64175">
        <w:rPr>
          <w:rFonts w:ascii="Arial" w:hAnsi="Arial" w:cs="Arial"/>
          <w:b/>
          <w:bCs/>
          <w:sz w:val="22"/>
          <w:szCs w:val="22"/>
        </w:rPr>
        <w:t>Article 16</w:t>
      </w:r>
      <w:r w:rsidR="00FC3A4C">
        <w:rPr>
          <w:rFonts w:ascii="Arial" w:hAnsi="Arial" w:cs="Arial"/>
          <w:b/>
          <w:bCs/>
          <w:sz w:val="22"/>
          <w:szCs w:val="22"/>
        </w:rPr>
        <w:t>8</w:t>
      </w:r>
      <w:r w:rsidR="006D22F7" w:rsidRPr="00A64175">
        <w:rPr>
          <w:rFonts w:ascii="Arial" w:hAnsi="Arial" w:cs="Arial"/>
          <w:b/>
          <w:bCs/>
          <w:sz w:val="22"/>
          <w:szCs w:val="22"/>
        </w:rPr>
        <w:t>. –</w:t>
      </w:r>
      <w:r w:rsidR="006D22F7" w:rsidRPr="00A64175">
        <w:rPr>
          <w:rFonts w:ascii="Arial" w:hAnsi="Arial" w:cs="Arial"/>
          <w:bCs/>
          <w:sz w:val="22"/>
          <w:szCs w:val="22"/>
        </w:rPr>
        <w:t xml:space="preserve"> </w:t>
      </w:r>
      <w:r w:rsidR="00B41214" w:rsidRPr="00A64175">
        <w:rPr>
          <w:rFonts w:ascii="Arial" w:hAnsi="Arial" w:cs="Arial"/>
          <w:sz w:val="22"/>
          <w:szCs w:val="22"/>
        </w:rPr>
        <w:t>Les</w:t>
      </w:r>
      <w:r w:rsidR="00B41214" w:rsidRPr="00A64175">
        <w:rPr>
          <w:rFonts w:ascii="Arial" w:hAnsi="Arial" w:cs="Arial"/>
          <w:spacing w:val="2"/>
          <w:sz w:val="22"/>
          <w:szCs w:val="22"/>
        </w:rPr>
        <w:t xml:space="preserve"> </w:t>
      </w:r>
      <w:r w:rsidR="00B41214" w:rsidRPr="00A64175">
        <w:rPr>
          <w:rFonts w:ascii="Arial" w:hAnsi="Arial" w:cs="Arial"/>
          <w:sz w:val="22"/>
          <w:szCs w:val="22"/>
        </w:rPr>
        <w:t>publicités</w:t>
      </w:r>
      <w:r w:rsidR="00B41214" w:rsidRPr="00A64175">
        <w:rPr>
          <w:rFonts w:ascii="Arial" w:hAnsi="Arial" w:cs="Arial"/>
          <w:spacing w:val="2"/>
          <w:sz w:val="22"/>
          <w:szCs w:val="22"/>
        </w:rPr>
        <w:t xml:space="preserve"> </w:t>
      </w:r>
      <w:r w:rsidR="00B41214" w:rsidRPr="00A64175">
        <w:rPr>
          <w:rFonts w:ascii="Arial" w:hAnsi="Arial" w:cs="Arial"/>
          <w:sz w:val="22"/>
          <w:szCs w:val="22"/>
        </w:rPr>
        <w:t>relati</w:t>
      </w:r>
      <w:r w:rsidR="00B41214" w:rsidRPr="00A64175">
        <w:rPr>
          <w:rFonts w:ascii="Arial" w:hAnsi="Arial" w:cs="Arial"/>
          <w:spacing w:val="-1"/>
          <w:sz w:val="22"/>
          <w:szCs w:val="22"/>
        </w:rPr>
        <w:t>v</w:t>
      </w:r>
      <w:r w:rsidR="00B41214" w:rsidRPr="00A64175">
        <w:rPr>
          <w:rFonts w:ascii="Arial" w:hAnsi="Arial" w:cs="Arial"/>
          <w:sz w:val="22"/>
          <w:szCs w:val="22"/>
        </w:rPr>
        <w:t>es</w:t>
      </w:r>
      <w:r w:rsidR="00B41214" w:rsidRPr="00A64175">
        <w:rPr>
          <w:rFonts w:ascii="Arial" w:hAnsi="Arial" w:cs="Arial"/>
          <w:spacing w:val="2"/>
          <w:sz w:val="22"/>
          <w:szCs w:val="22"/>
        </w:rPr>
        <w:t xml:space="preserve"> </w:t>
      </w:r>
      <w:r w:rsidR="00B41214" w:rsidRPr="00A64175">
        <w:rPr>
          <w:rFonts w:ascii="Arial" w:hAnsi="Arial" w:cs="Arial"/>
          <w:sz w:val="22"/>
          <w:szCs w:val="22"/>
        </w:rPr>
        <w:t>au placement,</w:t>
      </w:r>
      <w:r w:rsidR="00B41214" w:rsidRPr="00A64175">
        <w:rPr>
          <w:rFonts w:ascii="Arial" w:hAnsi="Arial" w:cs="Arial"/>
          <w:spacing w:val="1"/>
          <w:sz w:val="22"/>
          <w:szCs w:val="22"/>
        </w:rPr>
        <w:t xml:space="preserve"> </w:t>
      </w:r>
      <w:r w:rsidR="00B41214" w:rsidRPr="00A64175">
        <w:rPr>
          <w:rFonts w:ascii="Arial" w:hAnsi="Arial" w:cs="Arial"/>
          <w:sz w:val="22"/>
          <w:szCs w:val="22"/>
        </w:rPr>
        <w:t>quelles</w:t>
      </w:r>
      <w:r w:rsidR="00B41214" w:rsidRPr="00A64175">
        <w:rPr>
          <w:rFonts w:ascii="Arial" w:hAnsi="Arial" w:cs="Arial"/>
          <w:spacing w:val="1"/>
          <w:sz w:val="22"/>
          <w:szCs w:val="22"/>
        </w:rPr>
        <w:t xml:space="preserve"> </w:t>
      </w:r>
      <w:r w:rsidR="00B41214" w:rsidRPr="00A64175">
        <w:rPr>
          <w:rFonts w:ascii="Arial" w:hAnsi="Arial" w:cs="Arial"/>
          <w:sz w:val="22"/>
          <w:szCs w:val="22"/>
        </w:rPr>
        <w:t>que</w:t>
      </w:r>
      <w:r w:rsidR="00B41214" w:rsidRPr="00A64175">
        <w:rPr>
          <w:rFonts w:ascii="Arial" w:hAnsi="Arial" w:cs="Arial"/>
          <w:spacing w:val="1"/>
          <w:sz w:val="22"/>
          <w:szCs w:val="22"/>
        </w:rPr>
        <w:t xml:space="preserve"> </w:t>
      </w:r>
      <w:r w:rsidR="00B41214" w:rsidRPr="00A64175">
        <w:rPr>
          <w:rFonts w:ascii="Arial" w:hAnsi="Arial" w:cs="Arial"/>
          <w:sz w:val="22"/>
          <w:szCs w:val="22"/>
        </w:rPr>
        <w:t>soient</w:t>
      </w:r>
      <w:r w:rsidR="00B41214" w:rsidRPr="00A64175">
        <w:rPr>
          <w:rFonts w:ascii="Arial" w:hAnsi="Arial" w:cs="Arial"/>
          <w:spacing w:val="1"/>
          <w:sz w:val="22"/>
          <w:szCs w:val="22"/>
        </w:rPr>
        <w:t xml:space="preserve"> </w:t>
      </w:r>
      <w:r w:rsidR="00B41214" w:rsidRPr="00A64175">
        <w:rPr>
          <w:rFonts w:ascii="Arial" w:hAnsi="Arial" w:cs="Arial"/>
          <w:sz w:val="22"/>
          <w:szCs w:val="22"/>
        </w:rPr>
        <w:t>leur</w:t>
      </w:r>
      <w:r w:rsidR="00B41214" w:rsidRPr="00A64175">
        <w:rPr>
          <w:rFonts w:ascii="Arial" w:hAnsi="Arial" w:cs="Arial"/>
          <w:spacing w:val="1"/>
          <w:sz w:val="22"/>
          <w:szCs w:val="22"/>
        </w:rPr>
        <w:t xml:space="preserve"> </w:t>
      </w:r>
      <w:r w:rsidR="00B41214" w:rsidRPr="00A64175">
        <w:rPr>
          <w:rFonts w:ascii="Arial" w:hAnsi="Arial" w:cs="Arial"/>
          <w:sz w:val="22"/>
          <w:szCs w:val="22"/>
        </w:rPr>
        <w:t>for</w:t>
      </w:r>
      <w:r w:rsidR="00B41214" w:rsidRPr="00A64175">
        <w:rPr>
          <w:rFonts w:ascii="Arial" w:hAnsi="Arial" w:cs="Arial"/>
          <w:spacing w:val="-2"/>
          <w:sz w:val="22"/>
          <w:szCs w:val="22"/>
        </w:rPr>
        <w:t>m</w:t>
      </w:r>
      <w:r w:rsidR="00B41214" w:rsidRPr="00A64175">
        <w:rPr>
          <w:rFonts w:ascii="Arial" w:hAnsi="Arial" w:cs="Arial"/>
          <w:sz w:val="22"/>
          <w:szCs w:val="22"/>
        </w:rPr>
        <w:t>e</w:t>
      </w:r>
      <w:r w:rsidR="00B41214" w:rsidRPr="00A64175">
        <w:rPr>
          <w:rFonts w:ascii="Arial" w:hAnsi="Arial" w:cs="Arial"/>
          <w:spacing w:val="3"/>
          <w:sz w:val="22"/>
          <w:szCs w:val="22"/>
        </w:rPr>
        <w:t xml:space="preserve"> </w:t>
      </w:r>
      <w:r w:rsidR="00B41214" w:rsidRPr="00A64175">
        <w:rPr>
          <w:rFonts w:ascii="Arial" w:hAnsi="Arial" w:cs="Arial"/>
          <w:sz w:val="22"/>
          <w:szCs w:val="22"/>
        </w:rPr>
        <w:t>et</w:t>
      </w:r>
      <w:r w:rsidR="00B41214" w:rsidRPr="00A64175">
        <w:rPr>
          <w:rFonts w:ascii="Arial" w:hAnsi="Arial" w:cs="Arial"/>
          <w:spacing w:val="2"/>
          <w:sz w:val="22"/>
          <w:szCs w:val="22"/>
        </w:rPr>
        <w:t xml:space="preserve"> </w:t>
      </w:r>
      <w:r w:rsidR="00B41214" w:rsidRPr="00A64175">
        <w:rPr>
          <w:rFonts w:ascii="Arial" w:hAnsi="Arial" w:cs="Arial"/>
          <w:sz w:val="22"/>
          <w:szCs w:val="22"/>
        </w:rPr>
        <w:t>leur</w:t>
      </w:r>
      <w:r w:rsidR="00B41214" w:rsidRPr="00A64175">
        <w:rPr>
          <w:rFonts w:ascii="Arial" w:hAnsi="Arial" w:cs="Arial"/>
          <w:spacing w:val="2"/>
          <w:sz w:val="22"/>
          <w:szCs w:val="22"/>
        </w:rPr>
        <w:t xml:space="preserve"> </w:t>
      </w:r>
      <w:r w:rsidR="00B41214" w:rsidRPr="00A64175">
        <w:rPr>
          <w:rFonts w:ascii="Arial" w:hAnsi="Arial" w:cs="Arial"/>
          <w:spacing w:val="-2"/>
          <w:sz w:val="22"/>
          <w:szCs w:val="22"/>
        </w:rPr>
        <w:t>m</w:t>
      </w:r>
      <w:r w:rsidR="00B41214" w:rsidRPr="00A64175">
        <w:rPr>
          <w:rFonts w:ascii="Arial" w:hAnsi="Arial" w:cs="Arial"/>
          <w:sz w:val="22"/>
          <w:szCs w:val="22"/>
        </w:rPr>
        <w:t>ode</w:t>
      </w:r>
      <w:r w:rsidR="00B41214" w:rsidRPr="00A64175">
        <w:rPr>
          <w:rFonts w:ascii="Arial" w:hAnsi="Arial" w:cs="Arial"/>
          <w:spacing w:val="2"/>
          <w:sz w:val="22"/>
          <w:szCs w:val="22"/>
        </w:rPr>
        <w:t xml:space="preserve"> </w:t>
      </w:r>
      <w:r w:rsidR="00B41214" w:rsidRPr="00A64175">
        <w:rPr>
          <w:rFonts w:ascii="Arial" w:hAnsi="Arial" w:cs="Arial"/>
          <w:sz w:val="22"/>
          <w:szCs w:val="22"/>
        </w:rPr>
        <w:t>de</w:t>
      </w:r>
      <w:r w:rsidR="00B41214" w:rsidRPr="00A64175">
        <w:rPr>
          <w:rFonts w:ascii="Arial" w:hAnsi="Arial" w:cs="Arial"/>
          <w:spacing w:val="2"/>
          <w:sz w:val="22"/>
          <w:szCs w:val="22"/>
        </w:rPr>
        <w:t xml:space="preserve"> </w:t>
      </w:r>
      <w:r w:rsidR="00B41214" w:rsidRPr="00A64175">
        <w:rPr>
          <w:rFonts w:ascii="Arial" w:hAnsi="Arial" w:cs="Arial"/>
          <w:sz w:val="22"/>
          <w:szCs w:val="22"/>
        </w:rPr>
        <w:t>diffusion,</w:t>
      </w:r>
      <w:r w:rsidR="00B41214" w:rsidRPr="00A64175">
        <w:rPr>
          <w:rFonts w:ascii="Arial" w:hAnsi="Arial" w:cs="Arial"/>
          <w:spacing w:val="2"/>
          <w:sz w:val="22"/>
          <w:szCs w:val="22"/>
        </w:rPr>
        <w:t xml:space="preserve"> </w:t>
      </w:r>
      <w:r w:rsidR="00B41214" w:rsidRPr="00A64175">
        <w:rPr>
          <w:rFonts w:ascii="Arial" w:hAnsi="Arial" w:cs="Arial"/>
          <w:sz w:val="22"/>
          <w:szCs w:val="22"/>
        </w:rPr>
        <w:t>sont communiquées à la COSUMAF préalable</w:t>
      </w:r>
      <w:r w:rsidR="00B41214" w:rsidRPr="00A64175">
        <w:rPr>
          <w:rFonts w:ascii="Arial" w:hAnsi="Arial" w:cs="Arial"/>
          <w:spacing w:val="-2"/>
          <w:sz w:val="22"/>
          <w:szCs w:val="22"/>
        </w:rPr>
        <w:t>m</w:t>
      </w:r>
      <w:r w:rsidR="00B41214" w:rsidRPr="00A64175">
        <w:rPr>
          <w:rFonts w:ascii="Arial" w:hAnsi="Arial" w:cs="Arial"/>
          <w:sz w:val="22"/>
          <w:szCs w:val="22"/>
        </w:rPr>
        <w:t>ent à leur diffusion.</w:t>
      </w:r>
    </w:p>
    <w:p w14:paraId="3F5D2C5D" w14:textId="77777777" w:rsidR="006D22F7" w:rsidRPr="00A64175" w:rsidRDefault="006D22F7" w:rsidP="00A64175">
      <w:pPr>
        <w:widowControl w:val="0"/>
        <w:autoSpaceDE w:val="0"/>
        <w:adjustRightInd w:val="0"/>
        <w:ind w:left="111" w:right="68"/>
        <w:jc w:val="both"/>
        <w:rPr>
          <w:rFonts w:ascii="Arial" w:hAnsi="Arial" w:cs="Arial"/>
          <w:sz w:val="22"/>
          <w:szCs w:val="22"/>
        </w:rPr>
      </w:pPr>
    </w:p>
    <w:p w14:paraId="71E6AAF1" w14:textId="77777777" w:rsidR="00B41214" w:rsidRPr="00A64175" w:rsidRDefault="00B41214"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Toutes</w:t>
      </w:r>
      <w:r w:rsidRPr="00A64175">
        <w:rPr>
          <w:rFonts w:ascii="Arial" w:hAnsi="Arial" w:cs="Arial"/>
          <w:spacing w:val="23"/>
          <w:sz w:val="22"/>
          <w:szCs w:val="22"/>
        </w:rPr>
        <w:t xml:space="preserve"> </w:t>
      </w:r>
      <w:r w:rsidRPr="00A64175">
        <w:rPr>
          <w:rFonts w:ascii="Arial" w:hAnsi="Arial" w:cs="Arial"/>
          <w:sz w:val="22"/>
          <w:szCs w:val="22"/>
        </w:rPr>
        <w:t>les</w:t>
      </w:r>
      <w:r w:rsidRPr="00A64175">
        <w:rPr>
          <w:rFonts w:ascii="Arial" w:hAnsi="Arial" w:cs="Arial"/>
          <w:spacing w:val="23"/>
          <w:sz w:val="22"/>
          <w:szCs w:val="22"/>
        </w:rPr>
        <w:t xml:space="preserve"> </w:t>
      </w:r>
      <w:r w:rsidRPr="00A64175">
        <w:rPr>
          <w:rFonts w:ascii="Arial" w:hAnsi="Arial" w:cs="Arial"/>
          <w:sz w:val="22"/>
          <w:szCs w:val="22"/>
        </w:rPr>
        <w:t>publicités</w:t>
      </w:r>
      <w:r w:rsidRPr="00A64175">
        <w:rPr>
          <w:rFonts w:ascii="Arial" w:hAnsi="Arial" w:cs="Arial"/>
          <w:spacing w:val="23"/>
          <w:sz w:val="22"/>
          <w:szCs w:val="22"/>
        </w:rPr>
        <w:t xml:space="preserve"> </w:t>
      </w:r>
      <w:r w:rsidRPr="00A64175">
        <w:rPr>
          <w:rFonts w:ascii="Arial" w:hAnsi="Arial" w:cs="Arial"/>
          <w:sz w:val="22"/>
          <w:szCs w:val="22"/>
        </w:rPr>
        <w:t>doivent</w:t>
      </w:r>
      <w:r w:rsidRPr="00A64175">
        <w:rPr>
          <w:rFonts w:ascii="Arial" w:hAnsi="Arial" w:cs="Arial"/>
          <w:spacing w:val="23"/>
          <w:sz w:val="22"/>
          <w:szCs w:val="22"/>
        </w:rPr>
        <w:t xml:space="preserve"> </w:t>
      </w:r>
      <w:r w:rsidRPr="00A64175">
        <w:rPr>
          <w:rFonts w:ascii="Arial" w:hAnsi="Arial" w:cs="Arial"/>
          <w:sz w:val="22"/>
          <w:szCs w:val="22"/>
        </w:rPr>
        <w:t>faire</w:t>
      </w:r>
      <w:r w:rsidRPr="00A64175">
        <w:rPr>
          <w:rFonts w:ascii="Arial" w:hAnsi="Arial" w:cs="Arial"/>
          <w:spacing w:val="23"/>
          <w:sz w:val="22"/>
          <w:szCs w:val="22"/>
        </w:rPr>
        <w:t xml:space="preserve"> </w:t>
      </w:r>
      <w:r w:rsidRPr="00A64175">
        <w:rPr>
          <w:rFonts w:ascii="Arial" w:hAnsi="Arial" w:cs="Arial"/>
          <w:sz w:val="22"/>
          <w:szCs w:val="22"/>
        </w:rPr>
        <w:t>référence</w:t>
      </w:r>
      <w:r w:rsidRPr="00A64175">
        <w:rPr>
          <w:rFonts w:ascii="Arial" w:hAnsi="Arial" w:cs="Arial"/>
          <w:spacing w:val="23"/>
          <w:sz w:val="22"/>
          <w:szCs w:val="22"/>
        </w:rPr>
        <w:t xml:space="preserve"> </w:t>
      </w:r>
      <w:r w:rsidRPr="00A64175">
        <w:rPr>
          <w:rFonts w:ascii="Arial" w:hAnsi="Arial" w:cs="Arial"/>
          <w:sz w:val="22"/>
          <w:szCs w:val="22"/>
        </w:rPr>
        <w:t>à</w:t>
      </w:r>
      <w:r w:rsidRPr="00A64175">
        <w:rPr>
          <w:rFonts w:ascii="Arial" w:hAnsi="Arial" w:cs="Arial"/>
          <w:spacing w:val="23"/>
          <w:sz w:val="22"/>
          <w:szCs w:val="22"/>
        </w:rPr>
        <w:t xml:space="preserve"> </w:t>
      </w:r>
      <w:r w:rsidRPr="00A64175">
        <w:rPr>
          <w:rFonts w:ascii="Arial" w:hAnsi="Arial" w:cs="Arial"/>
          <w:sz w:val="22"/>
          <w:szCs w:val="22"/>
        </w:rPr>
        <w:t>l’existence</w:t>
      </w:r>
      <w:r w:rsidRPr="00A64175">
        <w:rPr>
          <w:rFonts w:ascii="Arial" w:hAnsi="Arial" w:cs="Arial"/>
          <w:spacing w:val="23"/>
          <w:sz w:val="22"/>
          <w:szCs w:val="22"/>
        </w:rPr>
        <w:t xml:space="preserve"> </w:t>
      </w:r>
      <w:r w:rsidRPr="00A64175">
        <w:rPr>
          <w:rFonts w:ascii="Arial" w:hAnsi="Arial" w:cs="Arial"/>
          <w:spacing w:val="-1"/>
          <w:sz w:val="22"/>
          <w:szCs w:val="22"/>
        </w:rPr>
        <w:t>d’</w:t>
      </w:r>
      <w:r w:rsidRPr="00A64175">
        <w:rPr>
          <w:rFonts w:ascii="Arial" w:hAnsi="Arial" w:cs="Arial"/>
          <w:sz w:val="22"/>
          <w:szCs w:val="22"/>
        </w:rPr>
        <w:t>un</w:t>
      </w:r>
      <w:r w:rsidRPr="00A64175">
        <w:rPr>
          <w:rFonts w:ascii="Arial" w:hAnsi="Arial" w:cs="Arial"/>
          <w:spacing w:val="23"/>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23"/>
          <w:sz w:val="22"/>
          <w:szCs w:val="22"/>
        </w:rPr>
        <w:t xml:space="preserve"> </w:t>
      </w:r>
      <w:r w:rsidRPr="00A64175">
        <w:rPr>
          <w:rFonts w:ascii="Arial" w:hAnsi="Arial" w:cs="Arial"/>
          <w:sz w:val="22"/>
          <w:szCs w:val="22"/>
        </w:rPr>
        <w:t>d’infor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23"/>
          <w:sz w:val="22"/>
          <w:szCs w:val="22"/>
        </w:rPr>
        <w:t xml:space="preserve"> </w:t>
      </w:r>
      <w:r w:rsidRPr="00A64175">
        <w:rPr>
          <w:rFonts w:ascii="Arial" w:hAnsi="Arial" w:cs="Arial"/>
          <w:sz w:val="22"/>
          <w:szCs w:val="22"/>
        </w:rPr>
        <w:t>visé</w:t>
      </w:r>
      <w:r w:rsidRPr="00A64175">
        <w:rPr>
          <w:rFonts w:ascii="Arial" w:hAnsi="Arial" w:cs="Arial"/>
          <w:spacing w:val="23"/>
          <w:sz w:val="22"/>
          <w:szCs w:val="22"/>
        </w:rPr>
        <w:t xml:space="preserve"> </w:t>
      </w:r>
      <w:r w:rsidRPr="00A64175">
        <w:rPr>
          <w:rFonts w:ascii="Arial" w:hAnsi="Arial" w:cs="Arial"/>
          <w:sz w:val="22"/>
          <w:szCs w:val="22"/>
        </w:rPr>
        <w:t>et</w:t>
      </w:r>
      <w:r w:rsidRPr="00A64175">
        <w:rPr>
          <w:rFonts w:ascii="Arial" w:hAnsi="Arial" w:cs="Arial"/>
          <w:spacing w:val="23"/>
          <w:sz w:val="22"/>
          <w:szCs w:val="22"/>
        </w:rPr>
        <w:t xml:space="preserve"> </w:t>
      </w:r>
      <w:r w:rsidRPr="00A64175">
        <w:rPr>
          <w:rFonts w:ascii="Arial" w:hAnsi="Arial" w:cs="Arial"/>
          <w:sz w:val="22"/>
          <w:szCs w:val="22"/>
        </w:rPr>
        <w:t>indiquer les</w:t>
      </w:r>
      <w:r w:rsidRPr="00A64175">
        <w:rPr>
          <w:rFonts w:ascii="Arial" w:hAnsi="Arial" w:cs="Arial"/>
          <w:spacing w:val="13"/>
          <w:sz w:val="22"/>
          <w:szCs w:val="22"/>
        </w:rPr>
        <w:t xml:space="preserve"> </w:t>
      </w:r>
      <w:r w:rsidRPr="00A64175">
        <w:rPr>
          <w:rFonts w:ascii="Arial" w:hAnsi="Arial" w:cs="Arial"/>
          <w:spacing w:val="-2"/>
          <w:sz w:val="22"/>
          <w:szCs w:val="22"/>
        </w:rPr>
        <w:t>m</w:t>
      </w:r>
      <w:r w:rsidRPr="00A64175">
        <w:rPr>
          <w:rFonts w:ascii="Arial" w:hAnsi="Arial" w:cs="Arial"/>
          <w:sz w:val="22"/>
          <w:szCs w:val="22"/>
        </w:rPr>
        <w:t>oyens</w:t>
      </w:r>
      <w:r w:rsidRPr="00A64175">
        <w:rPr>
          <w:rFonts w:ascii="Arial" w:hAnsi="Arial" w:cs="Arial"/>
          <w:spacing w:val="13"/>
          <w:sz w:val="22"/>
          <w:szCs w:val="22"/>
        </w:rPr>
        <w:t xml:space="preserve"> </w:t>
      </w:r>
      <w:r w:rsidRPr="00A64175">
        <w:rPr>
          <w:rFonts w:ascii="Arial" w:hAnsi="Arial" w:cs="Arial"/>
          <w:sz w:val="22"/>
          <w:szCs w:val="22"/>
        </w:rPr>
        <w:t>de</w:t>
      </w:r>
      <w:r w:rsidRPr="00A64175">
        <w:rPr>
          <w:rFonts w:ascii="Arial" w:hAnsi="Arial" w:cs="Arial"/>
          <w:spacing w:val="13"/>
          <w:sz w:val="22"/>
          <w:szCs w:val="22"/>
        </w:rPr>
        <w:t xml:space="preserve"> </w:t>
      </w:r>
      <w:r w:rsidRPr="00A64175">
        <w:rPr>
          <w:rFonts w:ascii="Arial" w:hAnsi="Arial" w:cs="Arial"/>
          <w:sz w:val="22"/>
          <w:szCs w:val="22"/>
        </w:rPr>
        <w:t>se</w:t>
      </w:r>
      <w:r w:rsidRPr="00A64175">
        <w:rPr>
          <w:rFonts w:ascii="Arial" w:hAnsi="Arial" w:cs="Arial"/>
          <w:spacing w:val="13"/>
          <w:sz w:val="22"/>
          <w:szCs w:val="22"/>
        </w:rPr>
        <w:t xml:space="preserve"> </w:t>
      </w:r>
      <w:r w:rsidRPr="00A64175">
        <w:rPr>
          <w:rFonts w:ascii="Arial" w:hAnsi="Arial" w:cs="Arial"/>
          <w:sz w:val="22"/>
          <w:szCs w:val="22"/>
        </w:rPr>
        <w:t>le</w:t>
      </w:r>
      <w:r w:rsidRPr="00A64175">
        <w:rPr>
          <w:rFonts w:ascii="Arial" w:hAnsi="Arial" w:cs="Arial"/>
          <w:spacing w:val="13"/>
          <w:sz w:val="22"/>
          <w:szCs w:val="22"/>
        </w:rPr>
        <w:t xml:space="preserve"> </w:t>
      </w:r>
      <w:r w:rsidRPr="00A64175">
        <w:rPr>
          <w:rFonts w:ascii="Arial" w:hAnsi="Arial" w:cs="Arial"/>
          <w:sz w:val="22"/>
          <w:szCs w:val="22"/>
        </w:rPr>
        <w:t>procurer.</w:t>
      </w:r>
      <w:r w:rsidRPr="00A64175">
        <w:rPr>
          <w:rFonts w:ascii="Arial" w:hAnsi="Arial" w:cs="Arial"/>
          <w:spacing w:val="13"/>
          <w:sz w:val="22"/>
          <w:szCs w:val="22"/>
        </w:rPr>
        <w:t xml:space="preserve"> </w:t>
      </w:r>
      <w:r w:rsidRPr="00A64175">
        <w:rPr>
          <w:rFonts w:ascii="Arial" w:hAnsi="Arial" w:cs="Arial"/>
          <w:spacing w:val="-1"/>
          <w:sz w:val="22"/>
          <w:szCs w:val="22"/>
        </w:rPr>
        <w:t>L</w:t>
      </w:r>
      <w:r w:rsidRPr="00A64175">
        <w:rPr>
          <w:rFonts w:ascii="Arial" w:hAnsi="Arial" w:cs="Arial"/>
          <w:sz w:val="22"/>
          <w:szCs w:val="22"/>
        </w:rPr>
        <w:t>es</w:t>
      </w:r>
      <w:r w:rsidRPr="00A64175">
        <w:rPr>
          <w:rFonts w:ascii="Arial" w:hAnsi="Arial" w:cs="Arial"/>
          <w:spacing w:val="13"/>
          <w:sz w:val="22"/>
          <w:szCs w:val="22"/>
        </w:rPr>
        <w:t xml:space="preserve"> </w:t>
      </w:r>
      <w:r w:rsidRPr="00A64175">
        <w:rPr>
          <w:rFonts w:ascii="Arial" w:hAnsi="Arial" w:cs="Arial"/>
          <w:sz w:val="22"/>
          <w:szCs w:val="22"/>
        </w:rPr>
        <w:t>références</w:t>
      </w:r>
      <w:r w:rsidRPr="00A64175">
        <w:rPr>
          <w:rFonts w:ascii="Arial" w:hAnsi="Arial" w:cs="Arial"/>
          <w:spacing w:val="13"/>
          <w:sz w:val="22"/>
          <w:szCs w:val="22"/>
        </w:rPr>
        <w:t xml:space="preserve"> </w:t>
      </w:r>
      <w:r w:rsidRPr="00A64175">
        <w:rPr>
          <w:rFonts w:ascii="Arial" w:hAnsi="Arial" w:cs="Arial"/>
          <w:sz w:val="22"/>
          <w:szCs w:val="22"/>
        </w:rPr>
        <w:t>au</w:t>
      </w:r>
      <w:r w:rsidRPr="00A64175">
        <w:rPr>
          <w:rFonts w:ascii="Arial" w:hAnsi="Arial" w:cs="Arial"/>
          <w:spacing w:val="12"/>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13"/>
          <w:sz w:val="22"/>
          <w:szCs w:val="22"/>
        </w:rPr>
        <w:t xml:space="preserve"> </w:t>
      </w:r>
      <w:r w:rsidRPr="00A64175">
        <w:rPr>
          <w:rFonts w:ascii="Arial" w:hAnsi="Arial" w:cs="Arial"/>
          <w:sz w:val="22"/>
          <w:szCs w:val="22"/>
        </w:rPr>
        <w:t>d’infor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13"/>
          <w:sz w:val="22"/>
          <w:szCs w:val="22"/>
        </w:rPr>
        <w:t xml:space="preserve"> </w:t>
      </w:r>
      <w:r w:rsidRPr="00A64175">
        <w:rPr>
          <w:rFonts w:ascii="Arial" w:hAnsi="Arial" w:cs="Arial"/>
          <w:sz w:val="22"/>
          <w:szCs w:val="22"/>
        </w:rPr>
        <w:t>co</w:t>
      </w:r>
      <w:r w:rsidRPr="00A64175">
        <w:rPr>
          <w:rFonts w:ascii="Arial" w:hAnsi="Arial" w:cs="Arial"/>
          <w:spacing w:val="-2"/>
          <w:sz w:val="22"/>
          <w:szCs w:val="22"/>
        </w:rPr>
        <w:t>m</w:t>
      </w:r>
      <w:r w:rsidRPr="00A64175">
        <w:rPr>
          <w:rFonts w:ascii="Arial" w:hAnsi="Arial" w:cs="Arial"/>
          <w:sz w:val="22"/>
          <w:szCs w:val="22"/>
        </w:rPr>
        <w:t>prennent</w:t>
      </w:r>
      <w:r w:rsidRPr="00A64175">
        <w:rPr>
          <w:rFonts w:ascii="Arial" w:hAnsi="Arial" w:cs="Arial"/>
          <w:spacing w:val="13"/>
          <w:sz w:val="22"/>
          <w:szCs w:val="22"/>
        </w:rPr>
        <w:t xml:space="preserve"> </w:t>
      </w:r>
      <w:r w:rsidRPr="00A64175">
        <w:rPr>
          <w:rFonts w:ascii="Arial" w:hAnsi="Arial" w:cs="Arial"/>
          <w:sz w:val="22"/>
          <w:szCs w:val="22"/>
        </w:rPr>
        <w:t>le</w:t>
      </w:r>
      <w:r w:rsidRPr="00A64175">
        <w:rPr>
          <w:rFonts w:ascii="Arial" w:hAnsi="Arial" w:cs="Arial"/>
          <w:spacing w:val="13"/>
          <w:sz w:val="22"/>
          <w:szCs w:val="22"/>
        </w:rPr>
        <w:t xml:space="preserve"> </w:t>
      </w:r>
      <w:r w:rsidRPr="00A64175">
        <w:rPr>
          <w:rFonts w:ascii="Arial" w:hAnsi="Arial" w:cs="Arial"/>
          <w:sz w:val="22"/>
          <w:szCs w:val="22"/>
        </w:rPr>
        <w:t>nu</w:t>
      </w:r>
      <w:r w:rsidRPr="00A64175">
        <w:rPr>
          <w:rFonts w:ascii="Arial" w:hAnsi="Arial" w:cs="Arial"/>
          <w:spacing w:val="-2"/>
          <w:sz w:val="22"/>
          <w:szCs w:val="22"/>
        </w:rPr>
        <w:t>m</w:t>
      </w:r>
      <w:r w:rsidRPr="00A64175">
        <w:rPr>
          <w:rFonts w:ascii="Arial" w:hAnsi="Arial" w:cs="Arial"/>
          <w:sz w:val="22"/>
          <w:szCs w:val="22"/>
        </w:rPr>
        <w:t>éro</w:t>
      </w:r>
      <w:r w:rsidRPr="00A64175">
        <w:rPr>
          <w:rFonts w:ascii="Arial" w:hAnsi="Arial" w:cs="Arial"/>
          <w:spacing w:val="13"/>
          <w:sz w:val="22"/>
          <w:szCs w:val="22"/>
        </w:rPr>
        <w:t xml:space="preserve"> </w:t>
      </w:r>
      <w:r w:rsidRPr="00A64175">
        <w:rPr>
          <w:rFonts w:ascii="Arial" w:hAnsi="Arial" w:cs="Arial"/>
          <w:sz w:val="22"/>
          <w:szCs w:val="22"/>
        </w:rPr>
        <w:t>du</w:t>
      </w:r>
      <w:r w:rsidRPr="00A64175">
        <w:rPr>
          <w:rFonts w:ascii="Arial" w:hAnsi="Arial" w:cs="Arial"/>
          <w:spacing w:val="13"/>
          <w:sz w:val="22"/>
          <w:szCs w:val="22"/>
        </w:rPr>
        <w:t xml:space="preserve"> </w:t>
      </w:r>
      <w:r w:rsidRPr="00A64175">
        <w:rPr>
          <w:rFonts w:ascii="Arial" w:hAnsi="Arial" w:cs="Arial"/>
          <w:sz w:val="22"/>
          <w:szCs w:val="22"/>
        </w:rPr>
        <w:t>visa et sa date de délivrance.</w:t>
      </w:r>
    </w:p>
    <w:p w14:paraId="18CEC3DE" w14:textId="77777777" w:rsidR="003C4F40" w:rsidRPr="00A64175" w:rsidRDefault="003C4F40" w:rsidP="00A64175">
      <w:pPr>
        <w:jc w:val="both"/>
        <w:rPr>
          <w:rFonts w:ascii="Arial" w:hAnsi="Arial" w:cs="Arial"/>
          <w:sz w:val="22"/>
          <w:szCs w:val="22"/>
        </w:rPr>
      </w:pPr>
    </w:p>
    <w:p w14:paraId="4F3CCF46" w14:textId="5665E06F" w:rsidR="003C4F40" w:rsidRPr="00A64175" w:rsidRDefault="00F30BDF" w:rsidP="00A64175">
      <w:pPr>
        <w:jc w:val="both"/>
        <w:rPr>
          <w:rFonts w:ascii="Arial" w:hAnsi="Arial" w:cs="Arial"/>
          <w:sz w:val="22"/>
          <w:szCs w:val="22"/>
        </w:rPr>
      </w:pPr>
      <w:r w:rsidRPr="00A64175">
        <w:rPr>
          <w:rFonts w:ascii="Arial" w:hAnsi="Arial" w:cs="Arial"/>
          <w:b/>
          <w:sz w:val="22"/>
          <w:szCs w:val="22"/>
        </w:rPr>
        <w:t>Article 16</w:t>
      </w:r>
      <w:r w:rsidR="00FC3A4C">
        <w:rPr>
          <w:rFonts w:ascii="Arial" w:hAnsi="Arial" w:cs="Arial"/>
          <w:b/>
          <w:sz w:val="22"/>
          <w:szCs w:val="22"/>
        </w:rPr>
        <w:t>9</w:t>
      </w:r>
      <w:r w:rsidR="003C4F40" w:rsidRPr="00A64175">
        <w:rPr>
          <w:rFonts w:ascii="Arial" w:hAnsi="Arial" w:cs="Arial"/>
          <w:b/>
          <w:sz w:val="22"/>
          <w:szCs w:val="22"/>
        </w:rPr>
        <w:t xml:space="preserve">. – </w:t>
      </w:r>
      <w:r w:rsidR="003C4F40" w:rsidRPr="00A64175">
        <w:rPr>
          <w:rFonts w:ascii="Arial" w:hAnsi="Arial" w:cs="Arial"/>
          <w:sz w:val="22"/>
          <w:szCs w:val="22"/>
        </w:rPr>
        <w:t>Dans un délai de huit (8) jours calendaires après la clôture des opérations de souscription de titres, le chef de file du syndicat de placement</w:t>
      </w:r>
      <w:r w:rsidR="00D26FD8" w:rsidRPr="00A64175">
        <w:rPr>
          <w:rFonts w:ascii="Arial" w:hAnsi="Arial" w:cs="Arial"/>
          <w:sz w:val="22"/>
          <w:szCs w:val="22"/>
        </w:rPr>
        <w:t xml:space="preserve"> doit rendre public et adress</w:t>
      </w:r>
      <w:r w:rsidR="003C4F40" w:rsidRPr="00A64175">
        <w:rPr>
          <w:rFonts w:ascii="Arial" w:hAnsi="Arial" w:cs="Arial"/>
          <w:sz w:val="22"/>
          <w:szCs w:val="22"/>
        </w:rPr>
        <w:t>er</w:t>
      </w:r>
      <w:r w:rsidR="00D26FD8" w:rsidRPr="00A64175">
        <w:rPr>
          <w:rFonts w:ascii="Arial" w:hAnsi="Arial" w:cs="Arial"/>
          <w:sz w:val="22"/>
          <w:szCs w:val="22"/>
        </w:rPr>
        <w:t>,</w:t>
      </w:r>
      <w:r w:rsidR="003C4F40" w:rsidRPr="00A64175">
        <w:rPr>
          <w:rFonts w:ascii="Arial" w:hAnsi="Arial" w:cs="Arial"/>
          <w:sz w:val="22"/>
          <w:szCs w:val="22"/>
        </w:rPr>
        <w:t xml:space="preserve"> à l’émetteur et à la COSUMAF</w:t>
      </w:r>
      <w:r w:rsidR="00D26FD8" w:rsidRPr="00A64175">
        <w:rPr>
          <w:rFonts w:ascii="Arial" w:hAnsi="Arial" w:cs="Arial"/>
          <w:sz w:val="22"/>
          <w:szCs w:val="22"/>
        </w:rPr>
        <w:t>,</w:t>
      </w:r>
      <w:r w:rsidR="003C4F40" w:rsidRPr="00A64175">
        <w:rPr>
          <w:rFonts w:ascii="Arial" w:hAnsi="Arial" w:cs="Arial"/>
          <w:sz w:val="22"/>
          <w:szCs w:val="22"/>
        </w:rPr>
        <w:t xml:space="preserve"> le rapport de clôture de l’opération. </w:t>
      </w:r>
    </w:p>
    <w:p w14:paraId="6AE89009" w14:textId="77777777" w:rsidR="003C4F40" w:rsidRPr="00A64175" w:rsidRDefault="003C4F40" w:rsidP="00A64175">
      <w:pPr>
        <w:widowControl w:val="0"/>
        <w:tabs>
          <w:tab w:val="left" w:pos="3750"/>
        </w:tabs>
        <w:autoSpaceDE w:val="0"/>
        <w:autoSpaceDN w:val="0"/>
        <w:adjustRightInd w:val="0"/>
        <w:jc w:val="both"/>
        <w:rPr>
          <w:rFonts w:ascii="Arial" w:hAnsi="Arial" w:cs="Arial"/>
          <w:kern w:val="1"/>
          <w:sz w:val="22"/>
          <w:szCs w:val="22"/>
        </w:rPr>
      </w:pPr>
    </w:p>
    <w:p w14:paraId="76EAA0C7" w14:textId="77777777" w:rsidR="003C4F40" w:rsidRPr="00A64175" w:rsidRDefault="003C4F40" w:rsidP="00A64175">
      <w:pPr>
        <w:widowControl w:val="0"/>
        <w:tabs>
          <w:tab w:val="left" w:pos="3750"/>
        </w:tabs>
        <w:autoSpaceDE w:val="0"/>
        <w:autoSpaceDN w:val="0"/>
        <w:adjustRightInd w:val="0"/>
        <w:jc w:val="both"/>
        <w:rPr>
          <w:rFonts w:ascii="Arial" w:hAnsi="Arial" w:cs="Arial"/>
          <w:kern w:val="1"/>
          <w:sz w:val="22"/>
          <w:szCs w:val="22"/>
        </w:rPr>
      </w:pPr>
    </w:p>
    <w:p w14:paraId="4DAE412B" w14:textId="4F97908B" w:rsidR="003C4F40" w:rsidRPr="00B226F5" w:rsidRDefault="00F30BDF" w:rsidP="00A64175">
      <w:pPr>
        <w:widowControl w:val="0"/>
        <w:autoSpaceDE w:val="0"/>
        <w:autoSpaceDN w:val="0"/>
        <w:adjustRightInd w:val="0"/>
        <w:jc w:val="both"/>
        <w:rPr>
          <w:rFonts w:ascii="Arial" w:hAnsi="Arial" w:cs="Arial"/>
          <w:kern w:val="1"/>
          <w:sz w:val="22"/>
          <w:szCs w:val="22"/>
        </w:rPr>
      </w:pPr>
      <w:r w:rsidRPr="00A64175">
        <w:rPr>
          <w:rFonts w:ascii="Arial" w:hAnsi="Arial" w:cs="Arial"/>
          <w:b/>
          <w:sz w:val="22"/>
          <w:szCs w:val="22"/>
        </w:rPr>
        <w:t>Article 1</w:t>
      </w:r>
      <w:r w:rsidR="00FC3A4C">
        <w:rPr>
          <w:rFonts w:ascii="Arial" w:hAnsi="Arial" w:cs="Arial"/>
          <w:b/>
          <w:sz w:val="22"/>
          <w:szCs w:val="22"/>
        </w:rPr>
        <w:t>70</w:t>
      </w:r>
      <w:r w:rsidR="003C4F40" w:rsidRPr="00A64175">
        <w:rPr>
          <w:rFonts w:ascii="Arial" w:hAnsi="Arial" w:cs="Arial"/>
          <w:b/>
          <w:sz w:val="22"/>
          <w:szCs w:val="22"/>
        </w:rPr>
        <w:t xml:space="preserve">. – </w:t>
      </w:r>
      <w:r w:rsidR="003C4F40" w:rsidRPr="00A64175">
        <w:rPr>
          <w:rFonts w:ascii="Arial" w:hAnsi="Arial" w:cs="Arial"/>
          <w:sz w:val="22"/>
          <w:szCs w:val="22"/>
        </w:rPr>
        <w:t xml:space="preserve">Lorsque l’opération d’appel public à l’épargne porte sur des titres dont l’admission à la cote est envisagée, </w:t>
      </w:r>
      <w:r w:rsidR="00121534" w:rsidRPr="00A64175">
        <w:rPr>
          <w:rFonts w:ascii="Arial" w:hAnsi="Arial" w:cs="Arial"/>
          <w:sz w:val="22"/>
          <w:szCs w:val="22"/>
        </w:rPr>
        <w:t>d</w:t>
      </w:r>
      <w:r w:rsidR="003C4F40" w:rsidRPr="00A64175">
        <w:rPr>
          <w:rFonts w:ascii="Arial" w:hAnsi="Arial" w:cs="Arial"/>
          <w:sz w:val="22"/>
          <w:szCs w:val="22"/>
        </w:rPr>
        <w:t>ans un délai de trente (30) jours calendaires après la clôture des opérations de souscription de titres, l’émetteur est tenu de procéder, en relation avec les autorités de la Bourse régionale, à l’admission des titres à la cote.</w:t>
      </w:r>
    </w:p>
    <w:p w14:paraId="3106E7F0" w14:textId="77777777" w:rsidR="003C4F40" w:rsidRPr="00A64175" w:rsidRDefault="003C4F40" w:rsidP="00A64175">
      <w:pPr>
        <w:widowControl w:val="0"/>
        <w:autoSpaceDE w:val="0"/>
        <w:autoSpaceDN w:val="0"/>
        <w:adjustRightInd w:val="0"/>
        <w:jc w:val="both"/>
        <w:rPr>
          <w:rFonts w:ascii="Arial" w:hAnsi="Arial" w:cs="Arial"/>
          <w:color w:val="000000"/>
          <w:kern w:val="1"/>
          <w:sz w:val="22"/>
          <w:szCs w:val="22"/>
        </w:rPr>
      </w:pPr>
    </w:p>
    <w:p w14:paraId="6BEFD5C0" w14:textId="47990534" w:rsidR="0026180D" w:rsidRPr="00A64175" w:rsidRDefault="001E0F93" w:rsidP="00A64175">
      <w:pPr>
        <w:widowControl w:val="0"/>
        <w:autoSpaceDE w:val="0"/>
        <w:autoSpaceDN w:val="0"/>
        <w:adjustRightInd w:val="0"/>
        <w:jc w:val="both"/>
        <w:rPr>
          <w:rFonts w:ascii="Arial" w:hAnsi="Arial" w:cs="Arial"/>
          <w:b/>
          <w:color w:val="000000" w:themeColor="text1"/>
          <w:sz w:val="22"/>
          <w:szCs w:val="22"/>
        </w:rPr>
      </w:pPr>
      <w:r w:rsidRPr="00A64175">
        <w:rPr>
          <w:rFonts w:ascii="Arial" w:hAnsi="Arial" w:cs="Arial"/>
          <w:b/>
          <w:bCs/>
          <w:color w:val="000000"/>
          <w:sz w:val="22"/>
          <w:szCs w:val="22"/>
        </w:rPr>
        <w:t>Section V</w:t>
      </w:r>
      <w:r w:rsidR="003C4F40" w:rsidRPr="00A64175">
        <w:rPr>
          <w:rFonts w:ascii="Arial" w:hAnsi="Arial" w:cs="Arial"/>
          <w:b/>
          <w:bCs/>
          <w:color w:val="000000"/>
          <w:sz w:val="22"/>
          <w:szCs w:val="22"/>
        </w:rPr>
        <w:t>I</w:t>
      </w:r>
      <w:r w:rsidRPr="00A64175">
        <w:rPr>
          <w:rFonts w:ascii="Arial" w:hAnsi="Arial" w:cs="Arial"/>
          <w:b/>
          <w:bCs/>
          <w:color w:val="000000"/>
          <w:sz w:val="22"/>
          <w:szCs w:val="22"/>
        </w:rPr>
        <w:t xml:space="preserve"> : </w:t>
      </w:r>
      <w:r w:rsidRPr="00A64175">
        <w:rPr>
          <w:rFonts w:ascii="Arial" w:hAnsi="Arial" w:cs="Arial"/>
          <w:b/>
          <w:color w:val="000000" w:themeColor="text1"/>
          <w:sz w:val="22"/>
          <w:szCs w:val="22"/>
        </w:rPr>
        <w:t>E</w:t>
      </w:r>
      <w:r w:rsidR="0026180D" w:rsidRPr="00A64175">
        <w:rPr>
          <w:rFonts w:ascii="Arial" w:hAnsi="Arial" w:cs="Arial"/>
          <w:b/>
          <w:color w:val="000000" w:themeColor="text1"/>
          <w:sz w:val="22"/>
          <w:szCs w:val="22"/>
        </w:rPr>
        <w:t>mett</w:t>
      </w:r>
      <w:r w:rsidRPr="00A64175">
        <w:rPr>
          <w:rFonts w:ascii="Arial" w:hAnsi="Arial" w:cs="Arial"/>
          <w:b/>
          <w:color w:val="000000" w:themeColor="text1"/>
          <w:sz w:val="22"/>
          <w:szCs w:val="22"/>
        </w:rPr>
        <w:t>eurs non-résidents</w:t>
      </w:r>
    </w:p>
    <w:p w14:paraId="1CF36B31" w14:textId="77777777" w:rsidR="00C4030B" w:rsidRPr="00A64175" w:rsidRDefault="00C4030B" w:rsidP="00A64175">
      <w:pPr>
        <w:widowControl w:val="0"/>
        <w:autoSpaceDE w:val="0"/>
        <w:autoSpaceDN w:val="0"/>
        <w:adjustRightInd w:val="0"/>
        <w:jc w:val="both"/>
        <w:rPr>
          <w:rFonts w:ascii="Arial" w:hAnsi="Arial" w:cs="Arial"/>
          <w:color w:val="000000"/>
          <w:kern w:val="1"/>
          <w:sz w:val="22"/>
          <w:szCs w:val="22"/>
        </w:rPr>
      </w:pPr>
    </w:p>
    <w:p w14:paraId="5B18E92B" w14:textId="54B90321" w:rsidR="0026180D" w:rsidRPr="00A64175" w:rsidRDefault="00F30BDF" w:rsidP="00A64175">
      <w:pPr>
        <w:ind w:right="1024"/>
        <w:contextualSpacing/>
        <w:jc w:val="both"/>
        <w:rPr>
          <w:rFonts w:ascii="Arial" w:hAnsi="Arial" w:cs="Arial"/>
          <w:sz w:val="22"/>
          <w:szCs w:val="22"/>
        </w:rPr>
      </w:pPr>
      <w:r w:rsidRPr="00A64175">
        <w:rPr>
          <w:rFonts w:ascii="Arial" w:hAnsi="Arial" w:cs="Arial"/>
          <w:b/>
          <w:bCs/>
          <w:sz w:val="22"/>
          <w:szCs w:val="22"/>
        </w:rPr>
        <w:t>Article 1</w:t>
      </w:r>
      <w:r w:rsidR="00044B0E">
        <w:rPr>
          <w:rFonts w:ascii="Arial" w:hAnsi="Arial" w:cs="Arial"/>
          <w:b/>
          <w:bCs/>
          <w:sz w:val="22"/>
          <w:szCs w:val="22"/>
        </w:rPr>
        <w:t>7</w:t>
      </w:r>
      <w:r w:rsidR="00FC3A4C">
        <w:rPr>
          <w:rFonts w:ascii="Arial" w:hAnsi="Arial" w:cs="Arial"/>
          <w:b/>
          <w:bCs/>
          <w:sz w:val="22"/>
          <w:szCs w:val="22"/>
        </w:rPr>
        <w:t>1</w:t>
      </w:r>
      <w:r w:rsidR="00C83DE8" w:rsidRPr="00A64175">
        <w:rPr>
          <w:rFonts w:ascii="Arial" w:hAnsi="Arial" w:cs="Arial"/>
          <w:b/>
          <w:bCs/>
          <w:sz w:val="22"/>
          <w:szCs w:val="22"/>
        </w:rPr>
        <w:t>. –</w:t>
      </w:r>
      <w:r w:rsidR="00C83DE8" w:rsidRPr="00A64175">
        <w:rPr>
          <w:rFonts w:ascii="Arial" w:hAnsi="Arial" w:cs="Arial"/>
          <w:bCs/>
          <w:sz w:val="22"/>
          <w:szCs w:val="22"/>
        </w:rPr>
        <w:t xml:space="preserve"> </w:t>
      </w:r>
      <w:r w:rsidR="0026180D" w:rsidRPr="00A64175">
        <w:rPr>
          <w:rFonts w:ascii="Arial" w:hAnsi="Arial" w:cs="Arial"/>
          <w:sz w:val="22"/>
          <w:szCs w:val="22"/>
        </w:rPr>
        <w:t xml:space="preserve">Lorsqu’une personne morale non-résidente envisage un appel public à l’épargne sur le Marché Financier Régional de l’Afrique </w:t>
      </w:r>
      <w:r w:rsidR="00772B5D" w:rsidRPr="00A64175">
        <w:rPr>
          <w:rFonts w:ascii="Arial" w:hAnsi="Arial" w:cs="Arial"/>
          <w:sz w:val="22"/>
          <w:szCs w:val="22"/>
        </w:rPr>
        <w:t>centrale</w:t>
      </w:r>
      <w:r w:rsidR="0026180D" w:rsidRPr="00A64175">
        <w:rPr>
          <w:rFonts w:ascii="Arial" w:hAnsi="Arial" w:cs="Arial"/>
          <w:sz w:val="22"/>
          <w:szCs w:val="22"/>
        </w:rPr>
        <w:t xml:space="preserve">, elle est tenue d’établir un document d’information soumis au visa de la COSUMAF avant sa diffusion. </w:t>
      </w:r>
    </w:p>
    <w:p w14:paraId="65B60118" w14:textId="77777777" w:rsidR="0026180D" w:rsidRPr="00A64175" w:rsidRDefault="0026180D" w:rsidP="00A64175">
      <w:pPr>
        <w:jc w:val="both"/>
        <w:rPr>
          <w:rFonts w:ascii="Arial" w:hAnsi="Arial" w:cs="Arial"/>
          <w:sz w:val="22"/>
          <w:szCs w:val="22"/>
        </w:rPr>
      </w:pPr>
    </w:p>
    <w:p w14:paraId="1254D3D5" w14:textId="0B99D7DD" w:rsidR="0026180D" w:rsidRPr="00A64175" w:rsidRDefault="0026180D" w:rsidP="00A64175">
      <w:pPr>
        <w:jc w:val="both"/>
        <w:rPr>
          <w:rFonts w:ascii="Arial" w:hAnsi="Arial" w:cs="Arial"/>
          <w:sz w:val="22"/>
          <w:szCs w:val="22"/>
        </w:rPr>
      </w:pPr>
      <w:r w:rsidRPr="00A64175">
        <w:rPr>
          <w:rFonts w:ascii="Arial" w:hAnsi="Arial" w:cs="Arial"/>
          <w:sz w:val="22"/>
          <w:szCs w:val="22"/>
        </w:rPr>
        <w:t xml:space="preserve">Au titre de la règlementation des changes, l’autorisation préalable de la Banque des Etats de l’Afrique </w:t>
      </w:r>
      <w:r w:rsidR="00772B5D" w:rsidRPr="00A64175">
        <w:rPr>
          <w:rFonts w:ascii="Arial" w:hAnsi="Arial" w:cs="Arial"/>
          <w:sz w:val="22"/>
          <w:szCs w:val="22"/>
        </w:rPr>
        <w:t>centrale</w:t>
      </w:r>
      <w:r w:rsidRPr="00A64175">
        <w:rPr>
          <w:rFonts w:ascii="Arial" w:hAnsi="Arial" w:cs="Arial"/>
          <w:sz w:val="22"/>
          <w:szCs w:val="22"/>
        </w:rPr>
        <w:t xml:space="preserve"> (B.E.A.C.) est requise au nom des Etats membres de la CEMAC.</w:t>
      </w:r>
    </w:p>
    <w:p w14:paraId="129910FB" w14:textId="77777777" w:rsidR="00C83DE8" w:rsidRPr="00A64175" w:rsidRDefault="00C83DE8" w:rsidP="00A64175">
      <w:pPr>
        <w:jc w:val="both"/>
        <w:rPr>
          <w:rFonts w:ascii="Arial" w:hAnsi="Arial" w:cs="Arial"/>
          <w:sz w:val="22"/>
          <w:szCs w:val="22"/>
        </w:rPr>
      </w:pPr>
    </w:p>
    <w:p w14:paraId="5B4F4B40" w14:textId="6FC76979" w:rsidR="0026180D" w:rsidRPr="00A64175" w:rsidRDefault="0026180D" w:rsidP="00A64175">
      <w:pPr>
        <w:jc w:val="both"/>
        <w:rPr>
          <w:rFonts w:ascii="Arial" w:hAnsi="Arial" w:cs="Arial"/>
          <w:sz w:val="22"/>
          <w:szCs w:val="22"/>
        </w:rPr>
      </w:pPr>
      <w:r w:rsidRPr="00A64175">
        <w:rPr>
          <w:rFonts w:ascii="Arial" w:hAnsi="Arial" w:cs="Arial"/>
          <w:sz w:val="22"/>
          <w:szCs w:val="22"/>
        </w:rPr>
        <w:t xml:space="preserve">Par non-résident, on entend une personne morale ayant son principal centre d’intérêt ou son siège social hors de la zone de l’Union Monétaire de l’Afrique </w:t>
      </w:r>
      <w:r w:rsidR="00772B5D" w:rsidRPr="00A64175">
        <w:rPr>
          <w:rFonts w:ascii="Arial" w:hAnsi="Arial" w:cs="Arial"/>
          <w:sz w:val="22"/>
          <w:szCs w:val="22"/>
        </w:rPr>
        <w:t>centrale</w:t>
      </w:r>
      <w:r w:rsidRPr="00A64175">
        <w:rPr>
          <w:rFonts w:ascii="Arial" w:hAnsi="Arial" w:cs="Arial"/>
          <w:sz w:val="22"/>
          <w:szCs w:val="22"/>
        </w:rPr>
        <w:t>.</w:t>
      </w:r>
    </w:p>
    <w:p w14:paraId="152D31E5" w14:textId="77777777" w:rsidR="00C83DE8" w:rsidRPr="00A64175" w:rsidRDefault="00C83DE8" w:rsidP="00A64175">
      <w:pPr>
        <w:jc w:val="both"/>
        <w:rPr>
          <w:rFonts w:ascii="Arial" w:hAnsi="Arial" w:cs="Arial"/>
          <w:sz w:val="22"/>
          <w:szCs w:val="22"/>
        </w:rPr>
      </w:pPr>
    </w:p>
    <w:p w14:paraId="0C06AAEC" w14:textId="77777777" w:rsidR="0026180D" w:rsidRPr="00A64175" w:rsidRDefault="0026180D" w:rsidP="00A64175">
      <w:pPr>
        <w:jc w:val="both"/>
        <w:rPr>
          <w:rFonts w:ascii="Arial" w:hAnsi="Arial" w:cs="Arial"/>
          <w:sz w:val="22"/>
          <w:szCs w:val="22"/>
        </w:rPr>
      </w:pPr>
      <w:r w:rsidRPr="00A64175">
        <w:rPr>
          <w:rFonts w:ascii="Arial" w:hAnsi="Arial" w:cs="Arial"/>
          <w:sz w:val="22"/>
          <w:szCs w:val="22"/>
        </w:rPr>
        <w:t>L’émetteur étranger doit désigner une société de bourse établie sur le territoire d’un Etat membre de la CEMAC, auprès duquel il élit domicile.</w:t>
      </w:r>
    </w:p>
    <w:p w14:paraId="01DFE753" w14:textId="77777777" w:rsidR="00C83DE8" w:rsidRPr="00A64175" w:rsidRDefault="00C83DE8" w:rsidP="00A64175">
      <w:pPr>
        <w:jc w:val="both"/>
        <w:rPr>
          <w:rFonts w:ascii="Arial" w:hAnsi="Arial" w:cs="Arial"/>
          <w:sz w:val="22"/>
          <w:szCs w:val="22"/>
        </w:rPr>
      </w:pPr>
    </w:p>
    <w:p w14:paraId="76D7DCF3" w14:textId="77777777" w:rsidR="0026180D" w:rsidRPr="00A64175" w:rsidRDefault="0026180D" w:rsidP="00A64175">
      <w:pPr>
        <w:widowControl w:val="0"/>
        <w:autoSpaceDE w:val="0"/>
        <w:adjustRightInd w:val="0"/>
        <w:ind w:right="67"/>
        <w:jc w:val="both"/>
        <w:rPr>
          <w:rFonts w:ascii="Arial" w:hAnsi="Arial" w:cs="Arial"/>
          <w:sz w:val="22"/>
          <w:szCs w:val="22"/>
        </w:rPr>
      </w:pPr>
      <w:r w:rsidRPr="00A64175">
        <w:rPr>
          <w:rFonts w:ascii="Arial" w:hAnsi="Arial" w:cs="Arial"/>
          <w:sz w:val="22"/>
          <w:szCs w:val="22"/>
        </w:rPr>
        <w:t>Sauf disposition contraire adoptée p</w:t>
      </w:r>
      <w:r w:rsidRPr="00A64175">
        <w:rPr>
          <w:rFonts w:ascii="Arial" w:hAnsi="Arial" w:cs="Arial"/>
          <w:spacing w:val="-1"/>
          <w:sz w:val="22"/>
          <w:szCs w:val="22"/>
        </w:rPr>
        <w:t>a</w:t>
      </w:r>
      <w:r w:rsidRPr="00A64175">
        <w:rPr>
          <w:rFonts w:ascii="Arial" w:hAnsi="Arial" w:cs="Arial"/>
          <w:sz w:val="22"/>
          <w:szCs w:val="22"/>
        </w:rPr>
        <w:t>r la COSUMAF, le correspondant est une Société de Bourse chargée notam</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1"/>
          <w:sz w:val="22"/>
          <w:szCs w:val="22"/>
        </w:rPr>
        <w:t xml:space="preserve"> </w:t>
      </w:r>
      <w:r w:rsidRPr="00A64175">
        <w:rPr>
          <w:rFonts w:ascii="Arial" w:hAnsi="Arial" w:cs="Arial"/>
          <w:sz w:val="22"/>
          <w:szCs w:val="22"/>
        </w:rPr>
        <w:t>de</w:t>
      </w:r>
      <w:r w:rsidRPr="00A64175">
        <w:rPr>
          <w:rFonts w:ascii="Arial" w:hAnsi="Arial" w:cs="Arial"/>
          <w:spacing w:val="1"/>
          <w:sz w:val="22"/>
          <w:szCs w:val="22"/>
        </w:rPr>
        <w:t xml:space="preserve"> </w:t>
      </w:r>
      <w:r w:rsidRPr="00A64175">
        <w:rPr>
          <w:rFonts w:ascii="Arial" w:hAnsi="Arial" w:cs="Arial"/>
          <w:sz w:val="22"/>
          <w:szCs w:val="22"/>
        </w:rPr>
        <w:t>:</w:t>
      </w:r>
    </w:p>
    <w:p w14:paraId="05BA196C" w14:textId="77777777" w:rsidR="00C83DE8" w:rsidRPr="00A64175" w:rsidRDefault="00C83DE8" w:rsidP="00A64175">
      <w:pPr>
        <w:widowControl w:val="0"/>
        <w:autoSpaceDE w:val="0"/>
        <w:adjustRightInd w:val="0"/>
        <w:ind w:right="67"/>
        <w:jc w:val="both"/>
        <w:rPr>
          <w:rFonts w:ascii="Arial" w:hAnsi="Arial" w:cs="Arial"/>
          <w:sz w:val="22"/>
          <w:szCs w:val="22"/>
        </w:rPr>
      </w:pPr>
    </w:p>
    <w:p w14:paraId="52443F7A" w14:textId="77777777" w:rsidR="0026180D" w:rsidRPr="00A64175" w:rsidRDefault="0026180D" w:rsidP="00A64175">
      <w:pPr>
        <w:widowControl w:val="0"/>
        <w:autoSpaceDE w:val="0"/>
        <w:adjustRightInd w:val="0"/>
        <w:ind w:left="471"/>
        <w:jc w:val="both"/>
        <w:rPr>
          <w:rFonts w:ascii="Arial" w:hAnsi="Arial" w:cs="Arial"/>
          <w:sz w:val="22"/>
          <w:szCs w:val="22"/>
        </w:rPr>
      </w:pPr>
      <w:r w:rsidRPr="00A64175">
        <w:rPr>
          <w:rFonts w:ascii="Arial" w:hAnsi="Arial" w:cs="Arial"/>
          <w:w w:val="131"/>
          <w:sz w:val="22"/>
          <w:szCs w:val="22"/>
        </w:rPr>
        <w:t xml:space="preserve">•  </w:t>
      </w:r>
      <w:r w:rsidRPr="00A64175">
        <w:rPr>
          <w:rFonts w:ascii="Arial" w:hAnsi="Arial" w:cs="Arial"/>
          <w:spacing w:val="14"/>
          <w:w w:val="131"/>
          <w:sz w:val="22"/>
          <w:szCs w:val="22"/>
        </w:rPr>
        <w:t xml:space="preserve"> </w:t>
      </w:r>
      <w:r w:rsidRPr="00A64175">
        <w:rPr>
          <w:rFonts w:ascii="Arial" w:hAnsi="Arial" w:cs="Arial"/>
          <w:sz w:val="22"/>
          <w:szCs w:val="22"/>
        </w:rPr>
        <w:t>recev</w:t>
      </w:r>
      <w:r w:rsidRPr="00A64175">
        <w:rPr>
          <w:rFonts w:ascii="Arial" w:hAnsi="Arial" w:cs="Arial"/>
          <w:spacing w:val="-1"/>
          <w:sz w:val="22"/>
          <w:szCs w:val="22"/>
        </w:rPr>
        <w:t>o</w:t>
      </w:r>
      <w:r w:rsidRPr="00A64175">
        <w:rPr>
          <w:rFonts w:ascii="Arial" w:hAnsi="Arial" w:cs="Arial"/>
          <w:spacing w:val="1"/>
          <w:sz w:val="22"/>
          <w:szCs w:val="22"/>
        </w:rPr>
        <w:t>i</w:t>
      </w:r>
      <w:r w:rsidRPr="00A64175">
        <w:rPr>
          <w:rFonts w:ascii="Arial" w:hAnsi="Arial" w:cs="Arial"/>
          <w:sz w:val="22"/>
          <w:szCs w:val="22"/>
        </w:rPr>
        <w:t>r les correspon</w:t>
      </w:r>
      <w:r w:rsidRPr="00A64175">
        <w:rPr>
          <w:rFonts w:ascii="Arial" w:hAnsi="Arial" w:cs="Arial"/>
          <w:spacing w:val="-1"/>
          <w:sz w:val="22"/>
          <w:szCs w:val="22"/>
        </w:rPr>
        <w:t>d</w:t>
      </w:r>
      <w:r w:rsidRPr="00A64175">
        <w:rPr>
          <w:rFonts w:ascii="Arial" w:hAnsi="Arial" w:cs="Arial"/>
          <w:sz w:val="22"/>
          <w:szCs w:val="22"/>
        </w:rPr>
        <w:t>ances é</w:t>
      </w:r>
      <w:r w:rsidRPr="00A64175">
        <w:rPr>
          <w:rFonts w:ascii="Arial" w:hAnsi="Arial" w:cs="Arial"/>
          <w:spacing w:val="-2"/>
          <w:sz w:val="22"/>
          <w:szCs w:val="22"/>
        </w:rPr>
        <w:t>m</w:t>
      </w:r>
      <w:r w:rsidRPr="00A64175">
        <w:rPr>
          <w:rFonts w:ascii="Arial" w:hAnsi="Arial" w:cs="Arial"/>
          <w:sz w:val="22"/>
          <w:szCs w:val="22"/>
        </w:rPr>
        <w:t>anant de la C</w:t>
      </w:r>
      <w:r w:rsidRPr="00A64175">
        <w:rPr>
          <w:rFonts w:ascii="Arial" w:hAnsi="Arial" w:cs="Arial"/>
          <w:spacing w:val="-2"/>
          <w:sz w:val="22"/>
          <w:szCs w:val="22"/>
        </w:rPr>
        <w:t>O</w:t>
      </w:r>
      <w:r w:rsidRPr="00A64175">
        <w:rPr>
          <w:rFonts w:ascii="Arial" w:hAnsi="Arial" w:cs="Arial"/>
          <w:sz w:val="22"/>
          <w:szCs w:val="22"/>
        </w:rPr>
        <w:t>SUMAF ;</w:t>
      </w:r>
    </w:p>
    <w:p w14:paraId="1F440610" w14:textId="77777777" w:rsidR="0026180D" w:rsidRPr="00A64175" w:rsidRDefault="0026180D" w:rsidP="00A64175">
      <w:pPr>
        <w:widowControl w:val="0"/>
        <w:tabs>
          <w:tab w:val="left" w:pos="820"/>
        </w:tabs>
        <w:autoSpaceDE w:val="0"/>
        <w:adjustRightInd w:val="0"/>
        <w:spacing w:before="23" w:line="274" w:lineRule="exact"/>
        <w:ind w:left="831" w:right="69" w:hanging="360"/>
        <w:jc w:val="both"/>
        <w:rPr>
          <w:rFonts w:ascii="Arial" w:hAnsi="Arial" w:cs="Arial"/>
          <w:sz w:val="22"/>
          <w:szCs w:val="22"/>
        </w:rPr>
      </w:pPr>
      <w:r w:rsidRPr="00A64175">
        <w:rPr>
          <w:rFonts w:ascii="Arial" w:hAnsi="Arial" w:cs="Arial"/>
          <w:w w:val="131"/>
          <w:sz w:val="22"/>
          <w:szCs w:val="22"/>
        </w:rPr>
        <w:t>•</w:t>
      </w:r>
      <w:r w:rsidRPr="00A64175">
        <w:rPr>
          <w:rFonts w:ascii="Arial" w:hAnsi="Arial" w:cs="Arial"/>
          <w:sz w:val="22"/>
          <w:szCs w:val="22"/>
        </w:rPr>
        <w:tab/>
        <w:t>trans</w:t>
      </w:r>
      <w:r w:rsidRPr="00A64175">
        <w:rPr>
          <w:rFonts w:ascii="Arial" w:hAnsi="Arial" w:cs="Arial"/>
          <w:spacing w:val="-2"/>
          <w:sz w:val="22"/>
          <w:szCs w:val="22"/>
        </w:rPr>
        <w:t>m</w:t>
      </w:r>
      <w:r w:rsidRPr="00A64175">
        <w:rPr>
          <w:rFonts w:ascii="Arial" w:hAnsi="Arial" w:cs="Arial"/>
          <w:sz w:val="22"/>
          <w:szCs w:val="22"/>
        </w:rPr>
        <w:t>ettre</w:t>
      </w:r>
      <w:r w:rsidRPr="00A64175">
        <w:rPr>
          <w:rFonts w:ascii="Arial" w:hAnsi="Arial" w:cs="Arial"/>
          <w:spacing w:val="11"/>
          <w:sz w:val="22"/>
          <w:szCs w:val="22"/>
        </w:rPr>
        <w:t xml:space="preserve"> </w:t>
      </w:r>
      <w:r w:rsidRPr="00A64175">
        <w:rPr>
          <w:rFonts w:ascii="Arial" w:hAnsi="Arial" w:cs="Arial"/>
          <w:sz w:val="22"/>
          <w:szCs w:val="22"/>
        </w:rPr>
        <w:t>à</w:t>
      </w:r>
      <w:r w:rsidRPr="00A64175">
        <w:rPr>
          <w:rFonts w:ascii="Arial" w:hAnsi="Arial" w:cs="Arial"/>
          <w:spacing w:val="11"/>
          <w:sz w:val="22"/>
          <w:szCs w:val="22"/>
        </w:rPr>
        <w:t xml:space="preserve"> </w:t>
      </w:r>
      <w:r w:rsidRPr="00A64175">
        <w:rPr>
          <w:rFonts w:ascii="Arial" w:hAnsi="Arial" w:cs="Arial"/>
          <w:sz w:val="22"/>
          <w:szCs w:val="22"/>
        </w:rPr>
        <w:t>la</w:t>
      </w:r>
      <w:r w:rsidRPr="00A64175">
        <w:rPr>
          <w:rFonts w:ascii="Arial" w:hAnsi="Arial" w:cs="Arial"/>
          <w:spacing w:val="11"/>
          <w:sz w:val="22"/>
          <w:szCs w:val="22"/>
        </w:rPr>
        <w:t xml:space="preserve"> </w:t>
      </w:r>
      <w:r w:rsidRPr="00A64175">
        <w:rPr>
          <w:rFonts w:ascii="Arial" w:hAnsi="Arial" w:cs="Arial"/>
          <w:sz w:val="22"/>
          <w:szCs w:val="22"/>
        </w:rPr>
        <w:t>COSUMAF</w:t>
      </w:r>
      <w:r w:rsidRPr="00A64175">
        <w:rPr>
          <w:rFonts w:ascii="Arial" w:hAnsi="Arial" w:cs="Arial"/>
          <w:spacing w:val="11"/>
          <w:sz w:val="22"/>
          <w:szCs w:val="22"/>
        </w:rPr>
        <w:t xml:space="preserve"> </w:t>
      </w:r>
      <w:r w:rsidRPr="00A64175">
        <w:rPr>
          <w:rFonts w:ascii="Arial" w:hAnsi="Arial" w:cs="Arial"/>
          <w:sz w:val="22"/>
          <w:szCs w:val="22"/>
        </w:rPr>
        <w:t>tous</w:t>
      </w:r>
      <w:r w:rsidRPr="00A64175">
        <w:rPr>
          <w:rFonts w:ascii="Arial" w:hAnsi="Arial" w:cs="Arial"/>
          <w:spacing w:val="11"/>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ents</w:t>
      </w:r>
      <w:r w:rsidRPr="00A64175">
        <w:rPr>
          <w:rFonts w:ascii="Arial" w:hAnsi="Arial" w:cs="Arial"/>
          <w:spacing w:val="11"/>
          <w:sz w:val="22"/>
          <w:szCs w:val="22"/>
        </w:rPr>
        <w:t xml:space="preserve"> </w:t>
      </w:r>
      <w:r w:rsidRPr="00A64175">
        <w:rPr>
          <w:rFonts w:ascii="Arial" w:hAnsi="Arial" w:cs="Arial"/>
          <w:sz w:val="22"/>
          <w:szCs w:val="22"/>
        </w:rPr>
        <w:t>et</w:t>
      </w:r>
      <w:r w:rsidRPr="00A64175">
        <w:rPr>
          <w:rFonts w:ascii="Arial" w:hAnsi="Arial" w:cs="Arial"/>
          <w:spacing w:val="11"/>
          <w:sz w:val="22"/>
          <w:szCs w:val="22"/>
        </w:rPr>
        <w:t xml:space="preserve"> </w:t>
      </w:r>
      <w:r w:rsidRPr="00A64175">
        <w:rPr>
          <w:rFonts w:ascii="Arial" w:hAnsi="Arial" w:cs="Arial"/>
          <w:sz w:val="22"/>
          <w:szCs w:val="22"/>
        </w:rPr>
        <w:t>info</w:t>
      </w:r>
      <w:r w:rsidRPr="00A64175">
        <w:rPr>
          <w:rFonts w:ascii="Arial" w:hAnsi="Arial" w:cs="Arial"/>
          <w:spacing w:val="2"/>
          <w:sz w:val="22"/>
          <w:szCs w:val="22"/>
        </w:rPr>
        <w:t>r</w:t>
      </w:r>
      <w:r w:rsidRPr="00A64175">
        <w:rPr>
          <w:rFonts w:ascii="Arial" w:hAnsi="Arial" w:cs="Arial"/>
          <w:spacing w:val="-2"/>
          <w:sz w:val="22"/>
          <w:szCs w:val="22"/>
        </w:rPr>
        <w:t>m</w:t>
      </w:r>
      <w:r w:rsidRPr="00A64175">
        <w:rPr>
          <w:rFonts w:ascii="Arial" w:hAnsi="Arial" w:cs="Arial"/>
          <w:sz w:val="22"/>
          <w:szCs w:val="22"/>
        </w:rPr>
        <w:t>ations</w:t>
      </w:r>
      <w:r w:rsidRPr="00A64175">
        <w:rPr>
          <w:rFonts w:ascii="Arial" w:hAnsi="Arial" w:cs="Arial"/>
          <w:spacing w:val="11"/>
          <w:sz w:val="22"/>
          <w:szCs w:val="22"/>
        </w:rPr>
        <w:t xml:space="preserve"> </w:t>
      </w:r>
      <w:r w:rsidRPr="00A64175">
        <w:rPr>
          <w:rFonts w:ascii="Arial" w:hAnsi="Arial" w:cs="Arial"/>
          <w:sz w:val="22"/>
          <w:szCs w:val="22"/>
        </w:rPr>
        <w:t>prévus</w:t>
      </w:r>
      <w:r w:rsidRPr="00A64175">
        <w:rPr>
          <w:rFonts w:ascii="Arial" w:hAnsi="Arial" w:cs="Arial"/>
          <w:spacing w:val="11"/>
          <w:sz w:val="22"/>
          <w:szCs w:val="22"/>
        </w:rPr>
        <w:t xml:space="preserve"> </w:t>
      </w:r>
      <w:r w:rsidRPr="00A64175">
        <w:rPr>
          <w:rFonts w:ascii="Arial" w:hAnsi="Arial" w:cs="Arial"/>
          <w:sz w:val="22"/>
          <w:szCs w:val="22"/>
        </w:rPr>
        <w:t>par</w:t>
      </w:r>
      <w:r w:rsidRPr="00A64175">
        <w:rPr>
          <w:rFonts w:ascii="Arial" w:hAnsi="Arial" w:cs="Arial"/>
          <w:spacing w:val="11"/>
          <w:sz w:val="22"/>
          <w:szCs w:val="22"/>
        </w:rPr>
        <w:t xml:space="preserve"> </w:t>
      </w:r>
      <w:r w:rsidRPr="00A64175">
        <w:rPr>
          <w:rFonts w:ascii="Arial" w:hAnsi="Arial" w:cs="Arial"/>
          <w:sz w:val="22"/>
          <w:szCs w:val="22"/>
        </w:rPr>
        <w:t>les</w:t>
      </w:r>
      <w:r w:rsidRPr="00A64175">
        <w:rPr>
          <w:rFonts w:ascii="Arial" w:hAnsi="Arial" w:cs="Arial"/>
          <w:spacing w:val="11"/>
          <w:sz w:val="22"/>
          <w:szCs w:val="22"/>
        </w:rPr>
        <w:t xml:space="preserve"> </w:t>
      </w:r>
      <w:r w:rsidRPr="00A64175">
        <w:rPr>
          <w:rFonts w:ascii="Arial" w:hAnsi="Arial" w:cs="Arial"/>
          <w:sz w:val="22"/>
          <w:szCs w:val="22"/>
        </w:rPr>
        <w:t>dispositions</w:t>
      </w:r>
      <w:r w:rsidRPr="00A64175">
        <w:rPr>
          <w:rFonts w:ascii="Arial" w:hAnsi="Arial" w:cs="Arial"/>
          <w:spacing w:val="11"/>
          <w:sz w:val="22"/>
          <w:szCs w:val="22"/>
        </w:rPr>
        <w:t xml:space="preserve"> </w:t>
      </w:r>
      <w:r w:rsidRPr="00A64175">
        <w:rPr>
          <w:rFonts w:ascii="Arial" w:hAnsi="Arial" w:cs="Arial"/>
          <w:sz w:val="22"/>
          <w:szCs w:val="22"/>
        </w:rPr>
        <w:t>légales</w:t>
      </w:r>
      <w:r w:rsidRPr="00A64175">
        <w:rPr>
          <w:rFonts w:ascii="Arial" w:hAnsi="Arial" w:cs="Arial"/>
          <w:spacing w:val="11"/>
          <w:sz w:val="22"/>
          <w:szCs w:val="22"/>
        </w:rPr>
        <w:t xml:space="preserve"> </w:t>
      </w:r>
      <w:r w:rsidRPr="00A64175">
        <w:rPr>
          <w:rFonts w:ascii="Arial" w:hAnsi="Arial" w:cs="Arial"/>
          <w:sz w:val="22"/>
          <w:szCs w:val="22"/>
        </w:rPr>
        <w:t>et régle</w:t>
      </w:r>
      <w:r w:rsidRPr="00A64175">
        <w:rPr>
          <w:rFonts w:ascii="Arial" w:hAnsi="Arial" w:cs="Arial"/>
          <w:spacing w:val="-2"/>
          <w:sz w:val="22"/>
          <w:szCs w:val="22"/>
        </w:rPr>
        <w:t>m</w:t>
      </w:r>
      <w:r w:rsidRPr="00A64175">
        <w:rPr>
          <w:rFonts w:ascii="Arial" w:hAnsi="Arial" w:cs="Arial"/>
          <w:sz w:val="22"/>
          <w:szCs w:val="22"/>
        </w:rPr>
        <w:t>entaires ou répondant à toute de</w:t>
      </w:r>
      <w:r w:rsidRPr="00A64175">
        <w:rPr>
          <w:rFonts w:ascii="Arial" w:hAnsi="Arial" w:cs="Arial"/>
          <w:spacing w:val="-2"/>
          <w:sz w:val="22"/>
          <w:szCs w:val="22"/>
        </w:rPr>
        <w:t>m</w:t>
      </w:r>
      <w:r w:rsidRPr="00A64175">
        <w:rPr>
          <w:rFonts w:ascii="Arial" w:hAnsi="Arial" w:cs="Arial"/>
          <w:sz w:val="22"/>
          <w:szCs w:val="22"/>
        </w:rPr>
        <w:t>ande d’info</w:t>
      </w:r>
      <w:r w:rsidRPr="00A64175">
        <w:rPr>
          <w:rFonts w:ascii="Arial" w:hAnsi="Arial" w:cs="Arial"/>
          <w:spacing w:val="2"/>
          <w:sz w:val="22"/>
          <w:szCs w:val="22"/>
        </w:rPr>
        <w:t>r</w:t>
      </w:r>
      <w:r w:rsidRPr="00A64175">
        <w:rPr>
          <w:rFonts w:ascii="Arial" w:hAnsi="Arial" w:cs="Arial"/>
          <w:spacing w:val="-2"/>
          <w:sz w:val="22"/>
          <w:szCs w:val="22"/>
        </w:rPr>
        <w:t>m</w:t>
      </w:r>
      <w:r w:rsidRPr="00A64175">
        <w:rPr>
          <w:rFonts w:ascii="Arial" w:hAnsi="Arial" w:cs="Arial"/>
          <w:sz w:val="22"/>
          <w:szCs w:val="22"/>
        </w:rPr>
        <w:t>ation for</w:t>
      </w:r>
      <w:r w:rsidRPr="00A64175">
        <w:rPr>
          <w:rFonts w:ascii="Arial" w:hAnsi="Arial" w:cs="Arial"/>
          <w:spacing w:val="-2"/>
          <w:sz w:val="22"/>
          <w:szCs w:val="22"/>
        </w:rPr>
        <w:t>m</w:t>
      </w:r>
      <w:r w:rsidRPr="00A64175">
        <w:rPr>
          <w:rFonts w:ascii="Arial" w:hAnsi="Arial" w:cs="Arial"/>
          <w:sz w:val="22"/>
          <w:szCs w:val="22"/>
        </w:rPr>
        <w:t>ulée par la COSUMAF.</w:t>
      </w:r>
    </w:p>
    <w:p w14:paraId="36FAD1CF" w14:textId="77777777" w:rsidR="00043502" w:rsidRPr="00A64175" w:rsidRDefault="00043502" w:rsidP="00A64175">
      <w:pPr>
        <w:widowControl w:val="0"/>
        <w:autoSpaceDE w:val="0"/>
        <w:autoSpaceDN w:val="0"/>
        <w:adjustRightInd w:val="0"/>
        <w:jc w:val="both"/>
        <w:rPr>
          <w:rFonts w:ascii="Arial" w:hAnsi="Arial" w:cs="Arial"/>
          <w:color w:val="000000"/>
          <w:kern w:val="1"/>
          <w:sz w:val="22"/>
          <w:szCs w:val="22"/>
        </w:rPr>
      </w:pPr>
    </w:p>
    <w:p w14:paraId="532FFEA0" w14:textId="77777777" w:rsidR="001E0F93" w:rsidRPr="00A64175" w:rsidRDefault="001E0F93" w:rsidP="00A64175">
      <w:pPr>
        <w:widowControl w:val="0"/>
        <w:autoSpaceDE w:val="0"/>
        <w:autoSpaceDN w:val="0"/>
        <w:adjustRightInd w:val="0"/>
        <w:jc w:val="both"/>
        <w:rPr>
          <w:rFonts w:ascii="Arial" w:hAnsi="Arial" w:cs="Arial"/>
          <w:color w:val="000000"/>
          <w:kern w:val="1"/>
          <w:sz w:val="22"/>
          <w:szCs w:val="22"/>
        </w:rPr>
      </w:pPr>
    </w:p>
    <w:p w14:paraId="463FA1BF" w14:textId="78395E56" w:rsidR="00CF7785" w:rsidRPr="00A64175" w:rsidRDefault="00CF7785" w:rsidP="00A64175">
      <w:pPr>
        <w:widowControl w:val="0"/>
        <w:autoSpaceDE w:val="0"/>
        <w:autoSpaceDN w:val="0"/>
        <w:adjustRightInd w:val="0"/>
        <w:jc w:val="both"/>
        <w:rPr>
          <w:rFonts w:ascii="Arial" w:hAnsi="Arial" w:cs="Arial"/>
          <w:b/>
          <w:color w:val="000000" w:themeColor="text1"/>
          <w:sz w:val="22"/>
          <w:szCs w:val="22"/>
        </w:rPr>
      </w:pPr>
      <w:r w:rsidRPr="00A64175">
        <w:rPr>
          <w:rFonts w:ascii="Arial" w:hAnsi="Arial" w:cs="Arial"/>
          <w:b/>
          <w:bCs/>
          <w:color w:val="000000"/>
          <w:sz w:val="22"/>
          <w:szCs w:val="22"/>
        </w:rPr>
        <w:t xml:space="preserve">Section VII : </w:t>
      </w:r>
      <w:r w:rsidRPr="00A64175">
        <w:rPr>
          <w:rFonts w:ascii="Arial" w:hAnsi="Arial" w:cs="Arial"/>
          <w:b/>
          <w:color w:val="000000" w:themeColor="text1"/>
          <w:sz w:val="22"/>
          <w:szCs w:val="22"/>
        </w:rPr>
        <w:t>Emission d’instruments de finance islamique</w:t>
      </w:r>
    </w:p>
    <w:p w14:paraId="3EAB5089" w14:textId="77777777" w:rsidR="00CF7785" w:rsidRPr="00A64175" w:rsidRDefault="00CF7785" w:rsidP="00A64175">
      <w:pPr>
        <w:widowControl w:val="0"/>
        <w:autoSpaceDE w:val="0"/>
        <w:autoSpaceDN w:val="0"/>
        <w:adjustRightInd w:val="0"/>
        <w:jc w:val="both"/>
        <w:rPr>
          <w:rFonts w:ascii="Arial" w:hAnsi="Arial" w:cs="Arial"/>
          <w:color w:val="000000"/>
          <w:kern w:val="1"/>
          <w:sz w:val="22"/>
          <w:szCs w:val="22"/>
        </w:rPr>
      </w:pPr>
    </w:p>
    <w:p w14:paraId="4D3D5DAD" w14:textId="77777777" w:rsidR="00CF7785" w:rsidRPr="00A64175" w:rsidRDefault="00CF7785" w:rsidP="00A64175">
      <w:pPr>
        <w:widowControl w:val="0"/>
        <w:autoSpaceDE w:val="0"/>
        <w:autoSpaceDN w:val="0"/>
        <w:adjustRightInd w:val="0"/>
        <w:jc w:val="both"/>
        <w:rPr>
          <w:rFonts w:ascii="Arial" w:hAnsi="Arial" w:cs="Arial"/>
          <w:color w:val="000000"/>
          <w:kern w:val="1"/>
          <w:sz w:val="22"/>
          <w:szCs w:val="22"/>
        </w:rPr>
      </w:pPr>
    </w:p>
    <w:p w14:paraId="77471195" w14:textId="58B9F256" w:rsidR="00CF7785" w:rsidRPr="00A64175" w:rsidRDefault="00F30BDF" w:rsidP="00A64175">
      <w:pPr>
        <w:jc w:val="both"/>
        <w:rPr>
          <w:rFonts w:ascii="Arial" w:hAnsi="Arial" w:cs="Arial"/>
          <w:b/>
          <w:sz w:val="22"/>
          <w:szCs w:val="22"/>
          <w:u w:val="single"/>
        </w:rPr>
      </w:pPr>
      <w:r w:rsidRPr="00A64175">
        <w:rPr>
          <w:rFonts w:ascii="Arial" w:hAnsi="Arial" w:cs="Arial"/>
          <w:b/>
          <w:bCs/>
          <w:sz w:val="22"/>
          <w:szCs w:val="22"/>
        </w:rPr>
        <w:t>Article 1</w:t>
      </w:r>
      <w:r w:rsidR="00044B0E">
        <w:rPr>
          <w:rFonts w:ascii="Arial" w:hAnsi="Arial" w:cs="Arial"/>
          <w:b/>
          <w:bCs/>
          <w:sz w:val="22"/>
          <w:szCs w:val="22"/>
        </w:rPr>
        <w:t>7</w:t>
      </w:r>
      <w:r w:rsidR="00FC3A4C">
        <w:rPr>
          <w:rFonts w:ascii="Arial" w:hAnsi="Arial" w:cs="Arial"/>
          <w:b/>
          <w:bCs/>
          <w:sz w:val="22"/>
          <w:szCs w:val="22"/>
        </w:rPr>
        <w:t>2</w:t>
      </w:r>
      <w:r w:rsidR="0060169F" w:rsidRPr="00A64175">
        <w:rPr>
          <w:rFonts w:ascii="Arial" w:hAnsi="Arial" w:cs="Arial"/>
          <w:b/>
          <w:bCs/>
          <w:sz w:val="22"/>
          <w:szCs w:val="22"/>
        </w:rPr>
        <w:t>. –</w:t>
      </w:r>
      <w:r w:rsidR="0060169F" w:rsidRPr="00A64175">
        <w:rPr>
          <w:rFonts w:ascii="Arial" w:hAnsi="Arial" w:cs="Arial"/>
          <w:bCs/>
          <w:sz w:val="22"/>
          <w:szCs w:val="22"/>
        </w:rPr>
        <w:t xml:space="preserve"> </w:t>
      </w:r>
      <w:r w:rsidR="0060169F" w:rsidRPr="00A64175">
        <w:rPr>
          <w:rFonts w:ascii="Arial" w:hAnsi="Arial" w:cs="Arial"/>
          <w:sz w:val="22"/>
          <w:szCs w:val="22"/>
        </w:rPr>
        <w:t xml:space="preserve">En vue de pouvoir émettre les </w:t>
      </w:r>
      <w:r w:rsidR="0060169F" w:rsidRPr="00A64175">
        <w:rPr>
          <w:rFonts w:ascii="Arial" w:hAnsi="Arial" w:cs="Arial"/>
          <w:i/>
          <w:sz w:val="22"/>
          <w:szCs w:val="22"/>
        </w:rPr>
        <w:t>sukuks</w:t>
      </w:r>
      <w:r w:rsidR="0060169F" w:rsidRPr="00A64175">
        <w:rPr>
          <w:rFonts w:ascii="Arial" w:hAnsi="Arial" w:cs="Arial"/>
          <w:sz w:val="22"/>
          <w:szCs w:val="22"/>
        </w:rPr>
        <w:t xml:space="preserve"> visés à l’article 5 </w:t>
      </w:r>
      <w:r w:rsidR="0060169F" w:rsidRPr="00A64175">
        <w:rPr>
          <w:rFonts w:ascii="Arial" w:hAnsi="Arial" w:cs="Arial"/>
          <w:color w:val="000000"/>
          <w:sz w:val="22"/>
          <w:szCs w:val="22"/>
        </w:rPr>
        <w:t xml:space="preserve">du Règlement n°01/22/CEMAC/UMAC/CM/COSUMAF du 21 juillet 2022 sur le marché financier régional, tout émetteur autre qu’un Etat ou un groupe d’Etats membres de la </w:t>
      </w:r>
      <w:r w:rsidR="00772B5D" w:rsidRPr="00A64175">
        <w:rPr>
          <w:rFonts w:ascii="Arial" w:hAnsi="Arial" w:cs="Arial"/>
          <w:color w:val="000000"/>
          <w:sz w:val="22"/>
          <w:szCs w:val="22"/>
        </w:rPr>
        <w:t>CEMAC, doit</w:t>
      </w:r>
      <w:r w:rsidR="0060169F" w:rsidRPr="00A64175">
        <w:rPr>
          <w:rFonts w:ascii="Arial" w:hAnsi="Arial" w:cs="Arial"/>
          <w:color w:val="000000"/>
          <w:sz w:val="22"/>
          <w:szCs w:val="22"/>
        </w:rPr>
        <w:t xml:space="preserve"> établir un document d’information soumis au visa de la COSUMAF.</w:t>
      </w:r>
    </w:p>
    <w:p w14:paraId="5A1848A4" w14:textId="77777777" w:rsidR="0060169F" w:rsidRPr="00A64175" w:rsidRDefault="0060169F" w:rsidP="00A64175">
      <w:pPr>
        <w:jc w:val="both"/>
        <w:rPr>
          <w:rFonts w:ascii="Arial" w:hAnsi="Arial" w:cs="Arial"/>
          <w:sz w:val="22"/>
          <w:szCs w:val="22"/>
        </w:rPr>
      </w:pPr>
    </w:p>
    <w:p w14:paraId="70A7A4B3" w14:textId="1912DB58" w:rsidR="0060169F" w:rsidRPr="00A64175" w:rsidRDefault="00B8538A" w:rsidP="00A64175">
      <w:pPr>
        <w:jc w:val="both"/>
        <w:rPr>
          <w:rFonts w:ascii="Arial" w:hAnsi="Arial" w:cs="Arial"/>
          <w:sz w:val="22"/>
          <w:szCs w:val="22"/>
        </w:rPr>
      </w:pPr>
      <w:r w:rsidRPr="00A64175">
        <w:rPr>
          <w:rFonts w:ascii="Arial" w:hAnsi="Arial" w:cs="Arial"/>
          <w:sz w:val="22"/>
          <w:szCs w:val="22"/>
        </w:rPr>
        <w:t xml:space="preserve">Les émissions de </w:t>
      </w:r>
      <w:r w:rsidRPr="00A64175">
        <w:rPr>
          <w:rFonts w:ascii="Arial" w:hAnsi="Arial" w:cs="Arial"/>
          <w:i/>
          <w:sz w:val="22"/>
          <w:szCs w:val="22"/>
        </w:rPr>
        <w:t>sukuks</w:t>
      </w:r>
      <w:r w:rsidRPr="00A64175">
        <w:rPr>
          <w:rFonts w:ascii="Arial" w:hAnsi="Arial" w:cs="Arial"/>
          <w:sz w:val="22"/>
          <w:szCs w:val="22"/>
        </w:rPr>
        <w:t xml:space="preserve"> par les Etats membres de la CEMAC sont soumis à la formalité d’enregistrement.</w:t>
      </w:r>
    </w:p>
    <w:p w14:paraId="20453B2A" w14:textId="77777777" w:rsidR="00507D9C" w:rsidRPr="00A64175" w:rsidRDefault="00507D9C" w:rsidP="00A64175">
      <w:pPr>
        <w:jc w:val="both"/>
        <w:rPr>
          <w:rFonts w:ascii="Arial" w:hAnsi="Arial" w:cs="Arial"/>
          <w:sz w:val="22"/>
          <w:szCs w:val="22"/>
        </w:rPr>
      </w:pPr>
    </w:p>
    <w:p w14:paraId="03757944" w14:textId="77777777" w:rsidR="00B8538A" w:rsidRPr="00A64175" w:rsidRDefault="00B8538A" w:rsidP="00A64175">
      <w:pPr>
        <w:jc w:val="both"/>
        <w:rPr>
          <w:rFonts w:ascii="Arial" w:hAnsi="Arial" w:cs="Arial"/>
          <w:sz w:val="22"/>
          <w:szCs w:val="22"/>
        </w:rPr>
      </w:pPr>
    </w:p>
    <w:p w14:paraId="4CB9E551" w14:textId="7092C161" w:rsidR="00B8538A" w:rsidRPr="00A64175" w:rsidRDefault="00F30BDF" w:rsidP="00A64175">
      <w:pPr>
        <w:jc w:val="both"/>
        <w:rPr>
          <w:rFonts w:ascii="Arial" w:hAnsi="Arial" w:cs="Arial"/>
          <w:sz w:val="22"/>
          <w:szCs w:val="22"/>
        </w:rPr>
      </w:pPr>
      <w:r w:rsidRPr="00A64175">
        <w:rPr>
          <w:rFonts w:ascii="Arial" w:hAnsi="Arial" w:cs="Arial"/>
          <w:b/>
          <w:bCs/>
          <w:sz w:val="22"/>
          <w:szCs w:val="22"/>
        </w:rPr>
        <w:t>Article 17</w:t>
      </w:r>
      <w:r w:rsidR="00FC3A4C">
        <w:rPr>
          <w:rFonts w:ascii="Arial" w:hAnsi="Arial" w:cs="Arial"/>
          <w:b/>
          <w:bCs/>
          <w:sz w:val="22"/>
          <w:szCs w:val="22"/>
        </w:rPr>
        <w:t>3</w:t>
      </w:r>
      <w:r w:rsidR="00B8538A" w:rsidRPr="00A64175">
        <w:rPr>
          <w:rFonts w:ascii="Arial" w:hAnsi="Arial" w:cs="Arial"/>
          <w:b/>
          <w:bCs/>
          <w:sz w:val="22"/>
          <w:szCs w:val="22"/>
        </w:rPr>
        <w:t>. –</w:t>
      </w:r>
      <w:r w:rsidR="00B8538A" w:rsidRPr="00A64175">
        <w:rPr>
          <w:rFonts w:ascii="Arial" w:hAnsi="Arial" w:cs="Arial"/>
          <w:bCs/>
          <w:sz w:val="22"/>
          <w:szCs w:val="22"/>
        </w:rPr>
        <w:t xml:space="preserve"> </w:t>
      </w:r>
      <w:r w:rsidR="001E4063" w:rsidRPr="00A64175">
        <w:rPr>
          <w:rFonts w:ascii="Arial" w:hAnsi="Arial" w:cs="Arial"/>
          <w:sz w:val="22"/>
          <w:szCs w:val="22"/>
        </w:rPr>
        <w:t xml:space="preserve">L’émetteur est tenu d’inclure dans son document </w:t>
      </w:r>
      <w:r w:rsidR="00772B5D" w:rsidRPr="00A64175">
        <w:rPr>
          <w:rFonts w:ascii="Arial" w:hAnsi="Arial" w:cs="Arial"/>
          <w:sz w:val="22"/>
          <w:szCs w:val="22"/>
        </w:rPr>
        <w:t>d’information, en</w:t>
      </w:r>
      <w:r w:rsidR="001E4063" w:rsidRPr="00A64175">
        <w:rPr>
          <w:rFonts w:ascii="Arial" w:hAnsi="Arial" w:cs="Arial"/>
          <w:sz w:val="22"/>
          <w:szCs w:val="22"/>
        </w:rPr>
        <w:t xml:space="preserve"> sus des informations générales requises en matière d’appel public à l’épargne,  des informations spécifiques sur les caractéristiques financières des sukuks qu’il envisage de faire admettre sur le marché financier de l’Afrique Centrale.</w:t>
      </w:r>
    </w:p>
    <w:p w14:paraId="129F366F" w14:textId="77777777" w:rsidR="00B8538A" w:rsidRPr="00A64175" w:rsidRDefault="00B8538A" w:rsidP="00A64175">
      <w:pPr>
        <w:jc w:val="both"/>
        <w:rPr>
          <w:rFonts w:ascii="Arial" w:hAnsi="Arial" w:cs="Arial"/>
          <w:sz w:val="22"/>
          <w:szCs w:val="22"/>
        </w:rPr>
      </w:pPr>
    </w:p>
    <w:p w14:paraId="74AA3EBA" w14:textId="491194E8" w:rsidR="0060169F" w:rsidRPr="00A64175" w:rsidRDefault="001E4063" w:rsidP="00A64175">
      <w:pPr>
        <w:jc w:val="both"/>
        <w:rPr>
          <w:rFonts w:ascii="Arial" w:hAnsi="Arial" w:cs="Arial"/>
          <w:sz w:val="22"/>
          <w:szCs w:val="22"/>
        </w:rPr>
      </w:pPr>
      <w:r w:rsidRPr="00A64175">
        <w:rPr>
          <w:rFonts w:ascii="Arial" w:hAnsi="Arial" w:cs="Arial"/>
          <w:b/>
          <w:bCs/>
          <w:sz w:val="22"/>
          <w:szCs w:val="22"/>
        </w:rPr>
        <w:t xml:space="preserve">Article </w:t>
      </w:r>
      <w:r w:rsidR="00F30BDF" w:rsidRPr="00A64175">
        <w:rPr>
          <w:rFonts w:ascii="Arial" w:hAnsi="Arial" w:cs="Arial"/>
          <w:b/>
          <w:bCs/>
          <w:sz w:val="22"/>
          <w:szCs w:val="22"/>
        </w:rPr>
        <w:t>1</w:t>
      </w:r>
      <w:r w:rsidRPr="00A64175">
        <w:rPr>
          <w:rFonts w:ascii="Arial" w:hAnsi="Arial" w:cs="Arial"/>
          <w:b/>
          <w:bCs/>
          <w:sz w:val="22"/>
          <w:szCs w:val="22"/>
        </w:rPr>
        <w:t>7</w:t>
      </w:r>
      <w:r w:rsidR="00FC3A4C">
        <w:rPr>
          <w:rFonts w:ascii="Arial" w:hAnsi="Arial" w:cs="Arial"/>
          <w:b/>
          <w:bCs/>
          <w:sz w:val="22"/>
          <w:szCs w:val="22"/>
        </w:rPr>
        <w:t>4</w:t>
      </w:r>
      <w:r w:rsidRPr="00A64175">
        <w:rPr>
          <w:rFonts w:ascii="Arial" w:hAnsi="Arial" w:cs="Arial"/>
          <w:b/>
          <w:bCs/>
          <w:sz w:val="22"/>
          <w:szCs w:val="22"/>
        </w:rPr>
        <w:t>. –</w:t>
      </w:r>
      <w:r w:rsidRPr="00A64175">
        <w:rPr>
          <w:rFonts w:ascii="Arial" w:hAnsi="Arial" w:cs="Arial"/>
          <w:bCs/>
          <w:sz w:val="22"/>
          <w:szCs w:val="22"/>
        </w:rPr>
        <w:t xml:space="preserve"> </w:t>
      </w:r>
      <w:r w:rsidR="00331ECA" w:rsidRPr="00A64175">
        <w:rPr>
          <w:rFonts w:ascii="Arial" w:hAnsi="Arial" w:cs="Arial"/>
          <w:sz w:val="22"/>
          <w:szCs w:val="22"/>
        </w:rPr>
        <w:t xml:space="preserve">L’émetteur doit inclure, dans son document d’information, les éléments pertinents concernant la compatibilité de l’émission avec la loi islamique et notamment une certification ou un avis délivré par une autorité ou un organisme qualifié et habilité, en vue de permettre aux investisseurs d’apprécier l’opportunité d’investir dans les </w:t>
      </w:r>
      <w:r w:rsidR="00331ECA" w:rsidRPr="00A64175">
        <w:rPr>
          <w:rFonts w:ascii="Arial" w:hAnsi="Arial" w:cs="Arial"/>
          <w:i/>
          <w:sz w:val="22"/>
          <w:szCs w:val="22"/>
        </w:rPr>
        <w:t>sukuks</w:t>
      </w:r>
      <w:r w:rsidR="00331ECA" w:rsidRPr="00A64175">
        <w:rPr>
          <w:rFonts w:ascii="Arial" w:hAnsi="Arial" w:cs="Arial"/>
          <w:sz w:val="22"/>
          <w:szCs w:val="22"/>
        </w:rPr>
        <w:t xml:space="preserve"> proposés.</w:t>
      </w:r>
    </w:p>
    <w:p w14:paraId="61A6015B" w14:textId="77777777" w:rsidR="00331ECA" w:rsidRPr="00A64175" w:rsidRDefault="00331ECA" w:rsidP="00A64175">
      <w:pPr>
        <w:jc w:val="both"/>
        <w:rPr>
          <w:rFonts w:ascii="Arial" w:hAnsi="Arial" w:cs="Arial"/>
          <w:sz w:val="22"/>
          <w:szCs w:val="22"/>
        </w:rPr>
      </w:pPr>
    </w:p>
    <w:p w14:paraId="3BB04B54" w14:textId="428A6D0F" w:rsidR="00507D9C" w:rsidRPr="00A64175" w:rsidRDefault="00F30BDF" w:rsidP="00A64175">
      <w:pPr>
        <w:jc w:val="both"/>
        <w:rPr>
          <w:rFonts w:ascii="Arial" w:eastAsia="Times New Roman" w:hAnsi="Arial" w:cs="Arial"/>
          <w:color w:val="000000"/>
          <w:sz w:val="22"/>
          <w:szCs w:val="22"/>
          <w:lang w:eastAsia="fr-FR"/>
        </w:rPr>
      </w:pPr>
      <w:r w:rsidRPr="00A64175">
        <w:rPr>
          <w:rFonts w:ascii="Arial" w:hAnsi="Arial" w:cs="Arial"/>
          <w:b/>
          <w:bCs/>
          <w:sz w:val="22"/>
          <w:szCs w:val="22"/>
        </w:rPr>
        <w:t>Article 17</w:t>
      </w:r>
      <w:r w:rsidR="00FC3A4C">
        <w:rPr>
          <w:rFonts w:ascii="Arial" w:hAnsi="Arial" w:cs="Arial"/>
          <w:b/>
          <w:bCs/>
          <w:sz w:val="22"/>
          <w:szCs w:val="22"/>
        </w:rPr>
        <w:t>5</w:t>
      </w:r>
      <w:r w:rsidR="00507D9C" w:rsidRPr="00A64175">
        <w:rPr>
          <w:rFonts w:ascii="Arial" w:hAnsi="Arial" w:cs="Arial"/>
          <w:b/>
          <w:bCs/>
          <w:sz w:val="22"/>
          <w:szCs w:val="22"/>
        </w:rPr>
        <w:t>. –</w:t>
      </w:r>
      <w:r w:rsidR="00507D9C" w:rsidRPr="00A64175">
        <w:rPr>
          <w:rFonts w:ascii="Arial" w:hAnsi="Arial" w:cs="Arial"/>
          <w:bCs/>
          <w:sz w:val="22"/>
          <w:szCs w:val="22"/>
        </w:rPr>
        <w:t xml:space="preserve"> </w:t>
      </w:r>
      <w:r w:rsidR="00507D9C" w:rsidRPr="00A64175">
        <w:rPr>
          <w:rFonts w:ascii="Arial" w:hAnsi="Arial" w:cs="Arial"/>
          <w:sz w:val="22"/>
          <w:szCs w:val="22"/>
        </w:rPr>
        <w:t>La COSUMAF</w:t>
      </w:r>
      <w:r w:rsidR="00507D9C" w:rsidRPr="00A64175">
        <w:rPr>
          <w:rFonts w:ascii="Arial" w:eastAsia="Times New Roman" w:hAnsi="Arial" w:cs="Arial"/>
          <w:color w:val="000000"/>
          <w:sz w:val="22"/>
          <w:szCs w:val="22"/>
          <w:lang w:eastAsia="fr-FR"/>
        </w:rPr>
        <w:t xml:space="preserve"> peut consulter tout organisme qualifié et habilité en matière de contrôle de la conformité des projets d’émission de </w:t>
      </w:r>
      <w:r w:rsidR="00507D9C" w:rsidRPr="00A64175">
        <w:rPr>
          <w:rFonts w:ascii="Arial" w:eastAsia="Times New Roman" w:hAnsi="Arial" w:cs="Arial"/>
          <w:i/>
          <w:color w:val="000000"/>
          <w:sz w:val="22"/>
          <w:szCs w:val="22"/>
          <w:lang w:eastAsia="fr-FR"/>
        </w:rPr>
        <w:t xml:space="preserve">sukuks </w:t>
      </w:r>
      <w:r w:rsidR="00507D9C" w:rsidRPr="00A64175">
        <w:rPr>
          <w:rFonts w:ascii="Arial" w:eastAsia="Times New Roman" w:hAnsi="Arial" w:cs="Arial"/>
          <w:color w:val="000000"/>
          <w:sz w:val="22"/>
          <w:szCs w:val="22"/>
          <w:lang w:eastAsia="fr-FR"/>
        </w:rPr>
        <w:t>aux principes de la finance islamique.</w:t>
      </w:r>
    </w:p>
    <w:p w14:paraId="17073CE1" w14:textId="77777777" w:rsidR="00507D9C" w:rsidRPr="00A64175" w:rsidRDefault="00507D9C" w:rsidP="00A64175">
      <w:pPr>
        <w:jc w:val="both"/>
        <w:rPr>
          <w:rFonts w:ascii="Arial" w:eastAsia="Times New Roman" w:hAnsi="Arial" w:cs="Arial"/>
          <w:color w:val="000000"/>
          <w:sz w:val="22"/>
          <w:szCs w:val="22"/>
          <w:lang w:eastAsia="fr-FR"/>
        </w:rPr>
      </w:pPr>
    </w:p>
    <w:p w14:paraId="7673F57F" w14:textId="77777777" w:rsidR="00507D9C" w:rsidRPr="00A64175" w:rsidRDefault="00507D9C" w:rsidP="00A64175">
      <w:pPr>
        <w:jc w:val="both"/>
        <w:rPr>
          <w:rFonts w:ascii="Arial" w:hAnsi="Arial" w:cs="Arial"/>
          <w:sz w:val="22"/>
          <w:szCs w:val="22"/>
        </w:rPr>
      </w:pPr>
    </w:p>
    <w:p w14:paraId="5D22ECF9" w14:textId="5386BE0D" w:rsidR="00331ECA" w:rsidRPr="00A64175" w:rsidRDefault="00F30BDF" w:rsidP="00A64175">
      <w:pPr>
        <w:jc w:val="both"/>
        <w:rPr>
          <w:rFonts w:ascii="Arial" w:eastAsia="Times New Roman" w:hAnsi="Arial" w:cs="Arial"/>
          <w:color w:val="000000"/>
          <w:sz w:val="22"/>
          <w:szCs w:val="22"/>
          <w:lang w:eastAsia="fr-FR"/>
        </w:rPr>
      </w:pPr>
      <w:r w:rsidRPr="00A64175">
        <w:rPr>
          <w:rFonts w:ascii="Arial" w:hAnsi="Arial" w:cs="Arial"/>
          <w:b/>
          <w:bCs/>
          <w:sz w:val="22"/>
          <w:szCs w:val="22"/>
        </w:rPr>
        <w:t>Article 17</w:t>
      </w:r>
      <w:r w:rsidR="00FC3A4C">
        <w:rPr>
          <w:rFonts w:ascii="Arial" w:hAnsi="Arial" w:cs="Arial"/>
          <w:b/>
          <w:bCs/>
          <w:sz w:val="22"/>
          <w:szCs w:val="22"/>
        </w:rPr>
        <w:t>6</w:t>
      </w:r>
      <w:r w:rsidR="00507D9C" w:rsidRPr="00A64175">
        <w:rPr>
          <w:rFonts w:ascii="Arial" w:hAnsi="Arial" w:cs="Arial"/>
          <w:b/>
          <w:bCs/>
          <w:sz w:val="22"/>
          <w:szCs w:val="22"/>
        </w:rPr>
        <w:t>. –</w:t>
      </w:r>
      <w:r w:rsidR="00507D9C" w:rsidRPr="00A64175">
        <w:rPr>
          <w:rFonts w:ascii="Arial" w:hAnsi="Arial" w:cs="Arial"/>
          <w:bCs/>
          <w:sz w:val="22"/>
          <w:szCs w:val="22"/>
        </w:rPr>
        <w:t xml:space="preserve"> </w:t>
      </w:r>
      <w:r w:rsidR="00507D9C" w:rsidRPr="00A64175">
        <w:rPr>
          <w:rFonts w:ascii="Arial" w:eastAsia="Times New Roman" w:hAnsi="Arial" w:cs="Arial"/>
          <w:color w:val="000000"/>
          <w:sz w:val="22"/>
          <w:szCs w:val="22"/>
          <w:lang w:eastAsia="fr-FR"/>
        </w:rPr>
        <w:t xml:space="preserve">Les modalités d'émission, les caractéristiques techniques et les droits conférés par les </w:t>
      </w:r>
      <w:r w:rsidR="00507D9C" w:rsidRPr="00A64175">
        <w:rPr>
          <w:rFonts w:ascii="Arial" w:eastAsia="Times New Roman" w:hAnsi="Arial" w:cs="Arial"/>
          <w:i/>
          <w:color w:val="000000"/>
          <w:sz w:val="22"/>
          <w:szCs w:val="22"/>
          <w:lang w:eastAsia="fr-FR"/>
        </w:rPr>
        <w:t>sukuks</w:t>
      </w:r>
      <w:r w:rsidR="00507D9C" w:rsidRPr="00A64175">
        <w:rPr>
          <w:rFonts w:ascii="Arial" w:eastAsia="Times New Roman" w:hAnsi="Arial" w:cs="Arial"/>
          <w:color w:val="000000"/>
          <w:sz w:val="22"/>
          <w:szCs w:val="22"/>
          <w:lang w:eastAsia="fr-FR"/>
        </w:rPr>
        <w:t xml:space="preserve"> sont définis dans</w:t>
      </w:r>
      <w:r w:rsidRPr="00A64175">
        <w:rPr>
          <w:rFonts w:ascii="Arial" w:eastAsia="Times New Roman" w:hAnsi="Arial" w:cs="Arial"/>
          <w:color w:val="000000"/>
          <w:sz w:val="22"/>
          <w:szCs w:val="22"/>
          <w:lang w:eastAsia="fr-FR"/>
        </w:rPr>
        <w:t xml:space="preserve"> une Instruction de la COSUMAF.</w:t>
      </w:r>
    </w:p>
    <w:p w14:paraId="67BEEA53" w14:textId="77777777" w:rsidR="00CF7785" w:rsidRPr="00A64175" w:rsidRDefault="00CF7785" w:rsidP="00A64175">
      <w:pPr>
        <w:jc w:val="both"/>
        <w:rPr>
          <w:rFonts w:ascii="Arial" w:eastAsia="Times New Roman" w:hAnsi="Arial" w:cs="Arial"/>
          <w:color w:val="000000"/>
          <w:sz w:val="22"/>
          <w:szCs w:val="22"/>
          <w:lang w:eastAsia="fr-FR"/>
        </w:rPr>
      </w:pPr>
    </w:p>
    <w:p w14:paraId="69BBC8F6" w14:textId="34139762" w:rsidR="00F70A47" w:rsidRPr="00A64175" w:rsidRDefault="00CF7785" w:rsidP="00A64175">
      <w:pPr>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Une Instruction de la COSUMAF précise les </w:t>
      </w:r>
      <w:r w:rsidR="00F70A47" w:rsidRPr="00A64175">
        <w:rPr>
          <w:rFonts w:ascii="Arial" w:eastAsia="Times New Roman" w:hAnsi="Arial" w:cs="Arial"/>
          <w:color w:val="000000"/>
          <w:sz w:val="22"/>
          <w:szCs w:val="22"/>
          <w:lang w:eastAsia="fr-FR"/>
        </w:rPr>
        <w:t xml:space="preserve">missions et les </w:t>
      </w:r>
      <w:r w:rsidRPr="00A64175">
        <w:rPr>
          <w:rFonts w:ascii="Arial" w:eastAsia="Times New Roman" w:hAnsi="Arial" w:cs="Arial"/>
          <w:color w:val="000000"/>
          <w:sz w:val="22"/>
          <w:szCs w:val="22"/>
          <w:lang w:eastAsia="fr-FR"/>
        </w:rPr>
        <w:t>modalités d'intervention</w:t>
      </w:r>
      <w:r w:rsidR="00F70A47" w:rsidRPr="00A64175">
        <w:rPr>
          <w:rFonts w:ascii="Arial" w:eastAsia="Times New Roman" w:hAnsi="Arial" w:cs="Arial"/>
          <w:color w:val="000000"/>
          <w:sz w:val="22"/>
          <w:szCs w:val="22"/>
          <w:lang w:eastAsia="fr-FR"/>
        </w:rPr>
        <w:t xml:space="preserve"> des organismes chargés du contrôle de la conformité des projets d’émission de </w:t>
      </w:r>
      <w:r w:rsidR="00F70A47" w:rsidRPr="00A64175">
        <w:rPr>
          <w:rFonts w:ascii="Arial" w:eastAsia="Times New Roman" w:hAnsi="Arial" w:cs="Arial"/>
          <w:i/>
          <w:color w:val="000000"/>
          <w:sz w:val="22"/>
          <w:szCs w:val="22"/>
          <w:lang w:eastAsia="fr-FR"/>
        </w:rPr>
        <w:t xml:space="preserve">sukuks </w:t>
      </w:r>
      <w:r w:rsidR="00F70A47" w:rsidRPr="00A64175">
        <w:rPr>
          <w:rFonts w:ascii="Arial" w:eastAsia="Times New Roman" w:hAnsi="Arial" w:cs="Arial"/>
          <w:color w:val="000000"/>
          <w:sz w:val="22"/>
          <w:szCs w:val="22"/>
          <w:lang w:eastAsia="fr-FR"/>
        </w:rPr>
        <w:t>aux principes de la finance islamique.</w:t>
      </w:r>
    </w:p>
    <w:p w14:paraId="22305CC7" w14:textId="6EA3651D" w:rsidR="00CF7785" w:rsidRPr="00A64175" w:rsidRDefault="00CF7785" w:rsidP="00A64175">
      <w:pPr>
        <w:jc w:val="both"/>
        <w:rPr>
          <w:rFonts w:ascii="Arial" w:eastAsia="Times New Roman" w:hAnsi="Arial" w:cs="Arial"/>
          <w:color w:val="000000"/>
          <w:sz w:val="22"/>
          <w:szCs w:val="22"/>
          <w:lang w:eastAsia="fr-FR"/>
        </w:rPr>
      </w:pPr>
      <w:r w:rsidRPr="00A64175">
        <w:rPr>
          <w:rFonts w:ascii="Arial" w:eastAsia="Times New Roman" w:hAnsi="Arial" w:cs="Arial"/>
          <w:color w:val="000000"/>
          <w:sz w:val="22"/>
          <w:szCs w:val="22"/>
          <w:lang w:eastAsia="fr-FR"/>
        </w:rPr>
        <w:t xml:space="preserve"> </w:t>
      </w:r>
    </w:p>
    <w:p w14:paraId="346403FA" w14:textId="77777777" w:rsidR="00CF7785" w:rsidRPr="00A64175" w:rsidRDefault="00CF7785" w:rsidP="00A64175">
      <w:pPr>
        <w:jc w:val="both"/>
        <w:rPr>
          <w:rFonts w:ascii="Arial" w:eastAsia="Times New Roman" w:hAnsi="Arial" w:cs="Arial"/>
          <w:color w:val="000000"/>
          <w:sz w:val="22"/>
          <w:szCs w:val="22"/>
          <w:lang w:eastAsia="fr-FR"/>
        </w:rPr>
      </w:pPr>
    </w:p>
    <w:p w14:paraId="7BF964CF" w14:textId="77777777" w:rsidR="00CF7785" w:rsidRPr="00A64175" w:rsidRDefault="00CF7785" w:rsidP="00A64175">
      <w:pPr>
        <w:jc w:val="both"/>
        <w:rPr>
          <w:rFonts w:ascii="Arial" w:eastAsia="Times New Roman" w:hAnsi="Arial" w:cs="Arial"/>
          <w:color w:val="000000"/>
          <w:sz w:val="22"/>
          <w:szCs w:val="22"/>
          <w:lang w:eastAsia="fr-FR"/>
        </w:rPr>
      </w:pPr>
    </w:p>
    <w:p w14:paraId="40E41146" w14:textId="14F09015" w:rsidR="00496A2F" w:rsidRPr="00A64175" w:rsidRDefault="00496A2F" w:rsidP="00A64175">
      <w:pPr>
        <w:widowControl w:val="0"/>
        <w:autoSpaceDE w:val="0"/>
        <w:autoSpaceDN w:val="0"/>
        <w:adjustRightInd w:val="0"/>
        <w:jc w:val="both"/>
        <w:rPr>
          <w:rFonts w:ascii="Arial" w:hAnsi="Arial" w:cs="Arial"/>
          <w:b/>
          <w:color w:val="000000" w:themeColor="text1"/>
          <w:sz w:val="22"/>
          <w:szCs w:val="22"/>
        </w:rPr>
      </w:pPr>
      <w:r w:rsidRPr="00A64175">
        <w:rPr>
          <w:rFonts w:ascii="Arial" w:hAnsi="Arial" w:cs="Arial"/>
          <w:b/>
          <w:bCs/>
          <w:color w:val="000000"/>
          <w:sz w:val="22"/>
          <w:szCs w:val="22"/>
        </w:rPr>
        <w:t>Section VIII : Dispositions spécifiques au p</w:t>
      </w:r>
      <w:r w:rsidRPr="00A64175">
        <w:rPr>
          <w:rFonts w:ascii="Arial" w:hAnsi="Arial" w:cs="Arial"/>
          <w:b/>
          <w:color w:val="000000" w:themeColor="text1"/>
          <w:sz w:val="22"/>
          <w:szCs w:val="22"/>
        </w:rPr>
        <w:t>lacement de jetons numériques</w:t>
      </w:r>
    </w:p>
    <w:p w14:paraId="4048550B" w14:textId="77777777" w:rsidR="009D70A4" w:rsidRPr="00A64175" w:rsidRDefault="009D70A4" w:rsidP="00A64175">
      <w:pPr>
        <w:jc w:val="both"/>
        <w:rPr>
          <w:rFonts w:ascii="Arial" w:hAnsi="Arial" w:cs="Arial"/>
          <w:sz w:val="22"/>
          <w:szCs w:val="22"/>
          <w:shd w:val="clear" w:color="auto" w:fill="FFFFFF"/>
        </w:rPr>
      </w:pPr>
    </w:p>
    <w:p w14:paraId="60162C14" w14:textId="7335DE3F" w:rsidR="009D70A4" w:rsidRPr="00A64175" w:rsidRDefault="00F30BDF" w:rsidP="00A64175">
      <w:pPr>
        <w:jc w:val="both"/>
        <w:rPr>
          <w:rFonts w:ascii="Arial" w:eastAsia="Times New Roman" w:hAnsi="Arial" w:cs="Arial"/>
          <w:sz w:val="22"/>
          <w:szCs w:val="22"/>
          <w:lang w:eastAsia="fr-FR"/>
        </w:rPr>
      </w:pPr>
      <w:r w:rsidRPr="00A64175">
        <w:rPr>
          <w:rFonts w:ascii="Arial" w:hAnsi="Arial" w:cs="Arial"/>
          <w:b/>
          <w:bCs/>
          <w:sz w:val="22"/>
          <w:szCs w:val="22"/>
        </w:rPr>
        <w:t>Article 17</w:t>
      </w:r>
      <w:r w:rsidR="00FC3A4C">
        <w:rPr>
          <w:rFonts w:ascii="Arial" w:hAnsi="Arial" w:cs="Arial"/>
          <w:b/>
          <w:bCs/>
          <w:sz w:val="22"/>
          <w:szCs w:val="22"/>
        </w:rPr>
        <w:t>7</w:t>
      </w:r>
      <w:r w:rsidR="00496A2F" w:rsidRPr="00A64175">
        <w:rPr>
          <w:rFonts w:ascii="Arial" w:hAnsi="Arial" w:cs="Arial"/>
          <w:b/>
          <w:bCs/>
          <w:sz w:val="22"/>
          <w:szCs w:val="22"/>
        </w:rPr>
        <w:t>. –</w:t>
      </w:r>
      <w:r w:rsidR="00496A2F" w:rsidRPr="00A64175">
        <w:rPr>
          <w:rFonts w:ascii="Arial" w:hAnsi="Arial" w:cs="Arial"/>
          <w:bCs/>
          <w:sz w:val="22"/>
          <w:szCs w:val="22"/>
        </w:rPr>
        <w:t xml:space="preserve"> En vue de pouvoir procéder au placement des </w:t>
      </w:r>
      <w:r w:rsidR="00772B5D" w:rsidRPr="00A64175">
        <w:rPr>
          <w:rFonts w:ascii="Arial" w:hAnsi="Arial" w:cs="Arial"/>
          <w:bCs/>
          <w:sz w:val="22"/>
          <w:szCs w:val="22"/>
        </w:rPr>
        <w:t>jetons numériques</w:t>
      </w:r>
      <w:r w:rsidR="00496A2F" w:rsidRPr="00A64175">
        <w:rPr>
          <w:rFonts w:ascii="Arial" w:hAnsi="Arial" w:cs="Arial"/>
          <w:bCs/>
          <w:sz w:val="22"/>
          <w:szCs w:val="22"/>
        </w:rPr>
        <w:t xml:space="preserve"> visés à l’article </w:t>
      </w:r>
      <w:r w:rsidR="009D70A4" w:rsidRPr="00A64175">
        <w:rPr>
          <w:rFonts w:ascii="Arial" w:hAnsi="Arial" w:cs="Arial"/>
          <w:sz w:val="22"/>
          <w:szCs w:val="22"/>
          <w:shd w:val="clear" w:color="auto" w:fill="FFFFFF"/>
        </w:rPr>
        <w:t xml:space="preserve">76 du </w:t>
      </w:r>
      <w:r w:rsidR="009D70A4" w:rsidRPr="00A64175">
        <w:rPr>
          <w:rFonts w:ascii="Arial" w:hAnsi="Arial" w:cs="Arial"/>
          <w:sz w:val="22"/>
          <w:szCs w:val="22"/>
        </w:rPr>
        <w:t>Règlement     N°01/22/CEMAC/UMAC/CM/COSUMAF</w:t>
      </w:r>
      <w:r w:rsidR="00496A2F" w:rsidRPr="00A64175">
        <w:rPr>
          <w:rFonts w:ascii="Arial" w:hAnsi="Arial" w:cs="Arial"/>
          <w:sz w:val="22"/>
          <w:szCs w:val="22"/>
        </w:rPr>
        <w:t xml:space="preserve"> du 21 juillet 2022, </w:t>
      </w:r>
      <w:r w:rsidR="009D70A4" w:rsidRPr="00A64175">
        <w:rPr>
          <w:rFonts w:ascii="Arial" w:hAnsi="Arial" w:cs="Arial"/>
          <w:sz w:val="22"/>
          <w:szCs w:val="22"/>
        </w:rPr>
        <w:t xml:space="preserve"> </w:t>
      </w:r>
      <w:r w:rsidR="00496A2F" w:rsidRPr="00A64175">
        <w:rPr>
          <w:rFonts w:ascii="Arial" w:hAnsi="Arial" w:cs="Arial"/>
          <w:sz w:val="22"/>
          <w:szCs w:val="22"/>
        </w:rPr>
        <w:t>les émetteurs concernés doivent établir un document d’information soumis au visa de la COSUMAF.</w:t>
      </w:r>
    </w:p>
    <w:p w14:paraId="4DA5DC39" w14:textId="77777777" w:rsidR="009D70A4" w:rsidRPr="00A64175" w:rsidRDefault="009D70A4" w:rsidP="00A64175">
      <w:pPr>
        <w:jc w:val="both"/>
        <w:rPr>
          <w:rFonts w:ascii="Arial" w:eastAsia="Times New Roman" w:hAnsi="Arial" w:cs="Arial"/>
          <w:sz w:val="22"/>
          <w:szCs w:val="22"/>
          <w:lang w:eastAsia="fr-FR"/>
        </w:rPr>
      </w:pPr>
    </w:p>
    <w:p w14:paraId="6EFE5231" w14:textId="77777777" w:rsidR="009D70A4" w:rsidRPr="00A64175" w:rsidRDefault="009D70A4" w:rsidP="00A64175">
      <w:pPr>
        <w:jc w:val="both"/>
        <w:rPr>
          <w:rFonts w:ascii="Arial" w:eastAsia="Times New Roman" w:hAnsi="Arial" w:cs="Arial"/>
          <w:sz w:val="22"/>
          <w:szCs w:val="22"/>
          <w:lang w:eastAsia="fr-FR"/>
        </w:rPr>
      </w:pPr>
    </w:p>
    <w:p w14:paraId="20A20930" w14:textId="749C1BCE" w:rsidR="009D70A4" w:rsidRPr="00A64175" w:rsidRDefault="00F30BDF" w:rsidP="00A64175">
      <w:pPr>
        <w:shd w:val="clear" w:color="auto" w:fill="FFFFFF"/>
        <w:spacing w:after="450"/>
        <w:jc w:val="both"/>
        <w:rPr>
          <w:rFonts w:ascii="Arial" w:eastAsia="Times New Roman" w:hAnsi="Arial" w:cs="Arial"/>
          <w:sz w:val="22"/>
          <w:szCs w:val="22"/>
          <w:lang w:eastAsia="fr-FR"/>
        </w:rPr>
      </w:pPr>
      <w:r w:rsidRPr="00A64175">
        <w:rPr>
          <w:rFonts w:ascii="Arial" w:hAnsi="Arial" w:cs="Arial"/>
          <w:b/>
          <w:bCs/>
          <w:sz w:val="22"/>
          <w:szCs w:val="22"/>
        </w:rPr>
        <w:t>Article 17</w:t>
      </w:r>
      <w:r w:rsidR="00FC3A4C">
        <w:rPr>
          <w:rFonts w:ascii="Arial" w:hAnsi="Arial" w:cs="Arial"/>
          <w:b/>
          <w:bCs/>
          <w:sz w:val="22"/>
          <w:szCs w:val="22"/>
        </w:rPr>
        <w:t>8</w:t>
      </w:r>
      <w:r w:rsidR="00F27A3E" w:rsidRPr="00A64175">
        <w:rPr>
          <w:rFonts w:ascii="Arial" w:hAnsi="Arial" w:cs="Arial"/>
          <w:b/>
          <w:bCs/>
          <w:sz w:val="22"/>
          <w:szCs w:val="22"/>
        </w:rPr>
        <w:t>. –</w:t>
      </w:r>
      <w:r w:rsidR="00F27A3E" w:rsidRPr="00A64175">
        <w:rPr>
          <w:rFonts w:ascii="Arial" w:hAnsi="Arial" w:cs="Arial"/>
          <w:bCs/>
          <w:sz w:val="22"/>
          <w:szCs w:val="22"/>
        </w:rPr>
        <w:t xml:space="preserve"> </w:t>
      </w:r>
      <w:r w:rsidR="009D70A4" w:rsidRPr="00A64175">
        <w:rPr>
          <w:rFonts w:ascii="Arial" w:eastAsia="Times New Roman" w:hAnsi="Arial" w:cs="Arial"/>
          <w:sz w:val="22"/>
          <w:szCs w:val="22"/>
          <w:lang w:eastAsia="fr-FR"/>
        </w:rPr>
        <w:t>Le document d'information</w:t>
      </w:r>
      <w:r w:rsidR="005C4282" w:rsidRPr="00A64175">
        <w:rPr>
          <w:rFonts w:ascii="Arial" w:eastAsia="Times New Roman" w:hAnsi="Arial" w:cs="Arial"/>
          <w:sz w:val="22"/>
          <w:szCs w:val="22"/>
          <w:lang w:eastAsia="fr-FR"/>
        </w:rPr>
        <w:t xml:space="preserve"> établi dans le cadre de l’émission de jetons numériques</w:t>
      </w:r>
      <w:r w:rsidR="009D70A4" w:rsidRPr="00A64175">
        <w:rPr>
          <w:rFonts w:ascii="Arial" w:eastAsia="Times New Roman" w:hAnsi="Arial" w:cs="Arial"/>
          <w:sz w:val="22"/>
          <w:szCs w:val="22"/>
          <w:lang w:eastAsia="fr-FR"/>
        </w:rPr>
        <w:t xml:space="preserve"> contient toutes les informations sur l</w:t>
      </w:r>
      <w:r w:rsidR="005C4282" w:rsidRPr="00A64175">
        <w:rPr>
          <w:rFonts w:ascii="Arial" w:eastAsia="Times New Roman" w:hAnsi="Arial" w:cs="Arial"/>
          <w:sz w:val="22"/>
          <w:szCs w:val="22"/>
          <w:lang w:eastAsia="fr-FR"/>
        </w:rPr>
        <w:t>'émetteur de jetons,</w:t>
      </w:r>
      <w:r w:rsidR="009D70A4" w:rsidRPr="00A64175">
        <w:rPr>
          <w:rFonts w:ascii="Arial" w:eastAsia="Times New Roman" w:hAnsi="Arial" w:cs="Arial"/>
          <w:sz w:val="22"/>
          <w:szCs w:val="22"/>
          <w:lang w:eastAsia="fr-FR"/>
        </w:rPr>
        <w:t xml:space="preserve"> sur</w:t>
      </w:r>
      <w:r w:rsidR="005C4282" w:rsidRPr="00A64175">
        <w:rPr>
          <w:rFonts w:ascii="Arial" w:eastAsia="Times New Roman" w:hAnsi="Arial" w:cs="Arial"/>
          <w:sz w:val="22"/>
          <w:szCs w:val="22"/>
          <w:lang w:eastAsia="fr-FR"/>
        </w:rPr>
        <w:t xml:space="preserve"> les caractéristiques de</w:t>
      </w:r>
      <w:r w:rsidR="009D70A4" w:rsidRPr="00A64175">
        <w:rPr>
          <w:rFonts w:ascii="Arial" w:eastAsia="Times New Roman" w:hAnsi="Arial" w:cs="Arial"/>
          <w:sz w:val="22"/>
          <w:szCs w:val="22"/>
          <w:lang w:eastAsia="fr-FR"/>
        </w:rPr>
        <w:t xml:space="preserve"> l'offre de jetons projetée</w:t>
      </w:r>
      <w:r w:rsidR="005C4282" w:rsidRPr="00A64175">
        <w:rPr>
          <w:rFonts w:ascii="Arial" w:eastAsia="Times New Roman" w:hAnsi="Arial" w:cs="Arial"/>
          <w:sz w:val="22"/>
          <w:szCs w:val="22"/>
          <w:lang w:eastAsia="fr-FR"/>
        </w:rPr>
        <w:t>,</w:t>
      </w:r>
      <w:r w:rsidR="009D70A4" w:rsidRPr="00A64175">
        <w:rPr>
          <w:rFonts w:ascii="Arial" w:eastAsia="Times New Roman" w:hAnsi="Arial" w:cs="Arial"/>
          <w:sz w:val="22"/>
          <w:szCs w:val="22"/>
          <w:lang w:eastAsia="fr-FR"/>
        </w:rPr>
        <w:t xml:space="preserve"> </w:t>
      </w:r>
      <w:r w:rsidR="005C4282" w:rsidRPr="00A64175">
        <w:rPr>
          <w:rFonts w:ascii="Arial" w:eastAsia="Times New Roman" w:hAnsi="Arial" w:cs="Arial"/>
          <w:sz w:val="22"/>
          <w:szCs w:val="22"/>
          <w:lang w:eastAsia="fr-FR"/>
        </w:rPr>
        <w:t xml:space="preserve">et </w:t>
      </w:r>
      <w:r w:rsidR="00F27A3E" w:rsidRPr="00A64175">
        <w:rPr>
          <w:rFonts w:ascii="Arial" w:eastAsia="Times New Roman" w:hAnsi="Arial" w:cs="Arial"/>
          <w:sz w:val="22"/>
          <w:szCs w:val="22"/>
          <w:lang w:eastAsia="fr-FR"/>
        </w:rPr>
        <w:t>les risques inhérents</w:t>
      </w:r>
      <w:r w:rsidR="009D70A4" w:rsidRPr="00A64175">
        <w:rPr>
          <w:rFonts w:ascii="Arial" w:eastAsia="Times New Roman" w:hAnsi="Arial" w:cs="Arial"/>
          <w:sz w:val="22"/>
          <w:szCs w:val="22"/>
          <w:lang w:eastAsia="fr-FR"/>
        </w:rPr>
        <w:t xml:space="preserve"> à l'offre.</w:t>
      </w:r>
    </w:p>
    <w:p w14:paraId="03474318" w14:textId="4CDF2689" w:rsidR="009D70A4" w:rsidRPr="00A64175" w:rsidRDefault="00F27A3E" w:rsidP="00A64175">
      <w:pPr>
        <w:shd w:val="clear" w:color="auto" w:fill="FFFFFF"/>
        <w:spacing w:after="450"/>
        <w:jc w:val="both"/>
        <w:rPr>
          <w:rFonts w:ascii="Arial" w:eastAsia="Times New Roman" w:hAnsi="Arial" w:cs="Arial"/>
          <w:sz w:val="22"/>
          <w:szCs w:val="22"/>
          <w:lang w:eastAsia="fr-FR"/>
        </w:rPr>
      </w:pPr>
      <w:r w:rsidRPr="00A64175">
        <w:rPr>
          <w:rFonts w:ascii="Arial" w:eastAsia="Times New Roman" w:hAnsi="Arial" w:cs="Arial"/>
          <w:sz w:val="22"/>
          <w:szCs w:val="22"/>
          <w:lang w:eastAsia="fr-FR"/>
        </w:rPr>
        <w:t>Le document d’information comprend notamment</w:t>
      </w:r>
      <w:r w:rsidR="009D70A4" w:rsidRPr="00A64175">
        <w:rPr>
          <w:rFonts w:ascii="Arial" w:eastAsia="Times New Roman" w:hAnsi="Arial" w:cs="Arial"/>
          <w:sz w:val="22"/>
          <w:szCs w:val="22"/>
          <w:lang w:eastAsia="fr-FR"/>
        </w:rPr>
        <w:t> :</w:t>
      </w:r>
    </w:p>
    <w:p w14:paraId="5FE59C39"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détaillée du projet de l'émetteur de jetons, de l'offre de jetons, des raisons de l'offre et de l'utilisation prévue des fonds et des actifs numériques recueillis dans le cadre de l'offre ;</w:t>
      </w:r>
    </w:p>
    <w:p w14:paraId="65039252" w14:textId="5F251B0B" w:rsidR="00A93055" w:rsidRPr="00A64175" w:rsidRDefault="00A93055"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de la plate-forme de négociation des jetons ;</w:t>
      </w:r>
    </w:p>
    <w:p w14:paraId="06A732DF"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détaillée des droits et obligations attachés aux jetons ainsi que des modalités et conditions d'exercice de ces droits ;</w:t>
      </w:r>
    </w:p>
    <w:p w14:paraId="5757384D"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détaillée des caractéristiques de l'offre, notamment du nombre de jetons à émettre, du prix d'émission des jetons, des conditions de souscription ainsi que du montant minimum permettant la réalisation du projet et du montant maximum de l'offre ;</w:t>
      </w:r>
    </w:p>
    <w:p w14:paraId="4817D104"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Les modalités techniques de l'émission des jetons ;</w:t>
      </w:r>
    </w:p>
    <w:p w14:paraId="54BA67A2"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détaillée des moyens mis en place pour permettre le suivi et la sauvegarde des fonds et des actifs numériques recueillis dans le cadre de l'offre.</w:t>
      </w:r>
    </w:p>
    <w:p w14:paraId="0E26A23F" w14:textId="77777777" w:rsidR="009D70A4" w:rsidRPr="00A64175" w:rsidRDefault="009D70A4"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des caractéristiques essentielles de l'émetteur de jetons et une présentation des principaux intervenants dans la conception et le développement du projet ;</w:t>
      </w:r>
    </w:p>
    <w:p w14:paraId="7B2B100B" w14:textId="51E12944" w:rsidR="009D70A4" w:rsidRPr="00A64175" w:rsidRDefault="00F27A3E" w:rsidP="00A64175">
      <w:pPr>
        <w:pStyle w:val="Sansinterligne"/>
        <w:numPr>
          <w:ilvl w:val="0"/>
          <w:numId w:val="207"/>
        </w:numPr>
        <w:jc w:val="both"/>
        <w:rPr>
          <w:rFonts w:ascii="Arial" w:hAnsi="Arial" w:cs="Arial"/>
          <w:lang w:eastAsia="fr-FR"/>
        </w:rPr>
      </w:pPr>
      <w:r w:rsidRPr="00A64175">
        <w:rPr>
          <w:rFonts w:ascii="Arial" w:hAnsi="Arial" w:cs="Arial"/>
          <w:lang w:eastAsia="fr-FR"/>
        </w:rPr>
        <w:t>Une description des risques inhér</w:t>
      </w:r>
      <w:r w:rsidR="009D70A4" w:rsidRPr="00A64175">
        <w:rPr>
          <w:rFonts w:ascii="Arial" w:hAnsi="Arial" w:cs="Arial"/>
          <w:lang w:eastAsia="fr-FR"/>
        </w:rPr>
        <w:t>ents à l'émetteur de jetons, aux jetons, à l'offre de jetons et à la réalisation du projet.</w:t>
      </w:r>
    </w:p>
    <w:p w14:paraId="3E1368F0" w14:textId="77777777" w:rsidR="009D70A4" w:rsidRPr="00A64175" w:rsidRDefault="009D70A4" w:rsidP="00A64175">
      <w:pPr>
        <w:pStyle w:val="Sansinterligne"/>
        <w:ind w:left="720"/>
        <w:jc w:val="both"/>
        <w:rPr>
          <w:rFonts w:ascii="Arial" w:hAnsi="Arial" w:cs="Arial"/>
          <w:lang w:eastAsia="fr-FR"/>
        </w:rPr>
      </w:pPr>
    </w:p>
    <w:p w14:paraId="53ED21EA" w14:textId="77777777" w:rsidR="00F27A3E" w:rsidRPr="00A64175" w:rsidRDefault="00F27A3E" w:rsidP="00A64175">
      <w:pPr>
        <w:shd w:val="clear" w:color="auto" w:fill="FFFFFF"/>
        <w:jc w:val="both"/>
        <w:rPr>
          <w:rFonts w:ascii="Arial" w:eastAsia="Times New Roman" w:hAnsi="Arial" w:cs="Arial"/>
          <w:sz w:val="22"/>
          <w:szCs w:val="22"/>
          <w:lang w:eastAsia="fr-FR"/>
        </w:rPr>
      </w:pPr>
    </w:p>
    <w:p w14:paraId="16C5421D" w14:textId="57758B7B" w:rsidR="00C41E6E" w:rsidRPr="00A64175" w:rsidRDefault="00C41E6E" w:rsidP="00A64175">
      <w:pPr>
        <w:shd w:val="clear" w:color="auto" w:fill="FFFFFF"/>
        <w:jc w:val="both"/>
        <w:rPr>
          <w:rFonts w:ascii="Arial" w:eastAsia="Times New Roman" w:hAnsi="Arial" w:cs="Arial"/>
          <w:sz w:val="22"/>
          <w:szCs w:val="22"/>
          <w:lang w:eastAsia="fr-FR"/>
        </w:rPr>
      </w:pPr>
      <w:r w:rsidRPr="00A64175">
        <w:rPr>
          <w:rFonts w:ascii="Arial" w:eastAsia="Times New Roman" w:hAnsi="Arial" w:cs="Arial"/>
          <w:sz w:val="22"/>
          <w:szCs w:val="22"/>
          <w:lang w:eastAsia="fr-FR"/>
        </w:rPr>
        <w:t>Une instruction de la COSUMAF précise le contenu du document d’information et la composition du dossier de demande de visa</w:t>
      </w:r>
      <w:r w:rsidR="0052514E" w:rsidRPr="00A64175">
        <w:rPr>
          <w:rFonts w:ascii="Arial" w:eastAsia="Times New Roman" w:hAnsi="Arial" w:cs="Arial"/>
          <w:sz w:val="22"/>
          <w:szCs w:val="22"/>
          <w:lang w:eastAsia="fr-FR"/>
        </w:rPr>
        <w:t xml:space="preserve"> des émetteurs de jetons numériques.</w:t>
      </w:r>
    </w:p>
    <w:p w14:paraId="3B8013E5" w14:textId="77777777" w:rsidR="00C41E6E" w:rsidRPr="00A64175" w:rsidRDefault="00C41E6E" w:rsidP="00A64175">
      <w:pPr>
        <w:shd w:val="clear" w:color="auto" w:fill="FFFFFF"/>
        <w:jc w:val="both"/>
        <w:rPr>
          <w:rFonts w:ascii="Arial" w:eastAsia="Times New Roman" w:hAnsi="Arial" w:cs="Arial"/>
          <w:sz w:val="22"/>
          <w:szCs w:val="22"/>
          <w:lang w:eastAsia="fr-FR"/>
        </w:rPr>
      </w:pPr>
    </w:p>
    <w:p w14:paraId="6D063BA3" w14:textId="77777777" w:rsidR="00C41E6E" w:rsidRPr="00A64175" w:rsidRDefault="00C41E6E" w:rsidP="00A64175">
      <w:pPr>
        <w:shd w:val="clear" w:color="auto" w:fill="FFFFFF"/>
        <w:jc w:val="both"/>
        <w:rPr>
          <w:rFonts w:ascii="Arial" w:eastAsia="Times New Roman" w:hAnsi="Arial" w:cs="Arial"/>
          <w:sz w:val="22"/>
          <w:szCs w:val="22"/>
          <w:lang w:eastAsia="fr-FR"/>
        </w:rPr>
      </w:pPr>
    </w:p>
    <w:p w14:paraId="45056F99" w14:textId="23E3B708" w:rsidR="0052514E" w:rsidRPr="00A64175" w:rsidRDefault="00F30BDF" w:rsidP="00A64175">
      <w:pPr>
        <w:shd w:val="clear" w:color="auto" w:fill="FFFFFF"/>
        <w:jc w:val="both"/>
        <w:rPr>
          <w:rFonts w:ascii="Arial" w:eastAsia="Times New Roman" w:hAnsi="Arial" w:cs="Arial"/>
          <w:sz w:val="22"/>
          <w:szCs w:val="22"/>
          <w:lang w:eastAsia="fr-FR"/>
        </w:rPr>
      </w:pPr>
      <w:r w:rsidRPr="00A64175">
        <w:rPr>
          <w:rFonts w:ascii="Arial" w:hAnsi="Arial" w:cs="Arial"/>
          <w:b/>
          <w:bCs/>
          <w:sz w:val="22"/>
          <w:szCs w:val="22"/>
        </w:rPr>
        <w:t>Article 17</w:t>
      </w:r>
      <w:r w:rsidR="00FC3A4C">
        <w:rPr>
          <w:rFonts w:ascii="Arial" w:hAnsi="Arial" w:cs="Arial"/>
          <w:b/>
          <w:bCs/>
          <w:sz w:val="22"/>
          <w:szCs w:val="22"/>
        </w:rPr>
        <w:t>9</w:t>
      </w:r>
      <w:r w:rsidR="0052514E" w:rsidRPr="00A64175">
        <w:rPr>
          <w:rFonts w:ascii="Arial" w:hAnsi="Arial" w:cs="Arial"/>
          <w:b/>
          <w:bCs/>
          <w:sz w:val="22"/>
          <w:szCs w:val="22"/>
        </w:rPr>
        <w:t>. –</w:t>
      </w:r>
      <w:r w:rsidR="0052514E" w:rsidRPr="00A64175">
        <w:rPr>
          <w:rFonts w:ascii="Arial" w:hAnsi="Arial" w:cs="Arial"/>
          <w:bCs/>
          <w:sz w:val="22"/>
          <w:szCs w:val="22"/>
        </w:rPr>
        <w:t xml:space="preserve"> </w:t>
      </w:r>
      <w:r w:rsidR="00A3623E" w:rsidRPr="00A64175">
        <w:rPr>
          <w:rFonts w:ascii="Arial" w:eastAsia="Times New Roman" w:hAnsi="Arial" w:cs="Arial"/>
          <w:sz w:val="22"/>
          <w:szCs w:val="22"/>
          <w:lang w:eastAsia="fr-FR"/>
        </w:rPr>
        <w:t>Le placement de jetons numériques se traduit par l</w:t>
      </w:r>
      <w:r w:rsidR="007F521A" w:rsidRPr="00A64175">
        <w:rPr>
          <w:rFonts w:ascii="Arial" w:eastAsia="Times New Roman" w:hAnsi="Arial" w:cs="Arial"/>
          <w:sz w:val="22"/>
          <w:szCs w:val="22"/>
          <w:lang w:eastAsia="fr-FR"/>
        </w:rPr>
        <w:t xml:space="preserve">eur </w:t>
      </w:r>
      <w:r w:rsidR="00A3623E" w:rsidRPr="00A64175">
        <w:rPr>
          <w:rFonts w:ascii="Arial" w:eastAsia="Times New Roman" w:hAnsi="Arial" w:cs="Arial"/>
          <w:sz w:val="22"/>
          <w:szCs w:val="22"/>
          <w:lang w:eastAsia="fr-FR"/>
        </w:rPr>
        <w:t>inscription</w:t>
      </w:r>
      <w:r w:rsidR="007F521A" w:rsidRPr="00A64175">
        <w:rPr>
          <w:rFonts w:ascii="Arial" w:eastAsia="Times New Roman" w:hAnsi="Arial" w:cs="Arial"/>
          <w:sz w:val="22"/>
          <w:szCs w:val="22"/>
          <w:lang w:eastAsia="fr-FR"/>
        </w:rPr>
        <w:t xml:space="preserve"> </w:t>
      </w:r>
      <w:r w:rsidR="00A3623E" w:rsidRPr="00A64175">
        <w:rPr>
          <w:rFonts w:ascii="Arial" w:eastAsia="Times New Roman" w:hAnsi="Arial" w:cs="Arial"/>
          <w:sz w:val="22"/>
          <w:szCs w:val="22"/>
          <w:lang w:eastAsia="fr-FR"/>
        </w:rPr>
        <w:t xml:space="preserve"> dans un dispositif d’enregistrement électronique pa</w:t>
      </w:r>
      <w:r w:rsidR="00AF1939" w:rsidRPr="00A64175">
        <w:rPr>
          <w:rFonts w:ascii="Arial" w:eastAsia="Times New Roman" w:hAnsi="Arial" w:cs="Arial"/>
          <w:sz w:val="22"/>
          <w:szCs w:val="22"/>
          <w:lang w:eastAsia="fr-FR"/>
        </w:rPr>
        <w:t>rtagé</w:t>
      </w:r>
      <w:r w:rsidR="00A3623E" w:rsidRPr="00A64175">
        <w:rPr>
          <w:rFonts w:ascii="Arial" w:eastAsia="Times New Roman" w:hAnsi="Arial" w:cs="Arial"/>
          <w:sz w:val="22"/>
          <w:szCs w:val="22"/>
          <w:lang w:eastAsia="fr-FR"/>
        </w:rPr>
        <w:t>. Cette inscription doit obéir à certaines exigences</w:t>
      </w:r>
      <w:r w:rsidR="00AF1939" w:rsidRPr="00A64175">
        <w:rPr>
          <w:rFonts w:ascii="Arial" w:eastAsia="Times New Roman" w:hAnsi="Arial" w:cs="Arial"/>
          <w:sz w:val="22"/>
          <w:szCs w:val="22"/>
          <w:lang w:eastAsia="fr-FR"/>
        </w:rPr>
        <w:t>. Le dispositif d’enregistrement électronique partagé doit :</w:t>
      </w:r>
    </w:p>
    <w:p w14:paraId="422520F1" w14:textId="729472A5" w:rsidR="007F521A" w:rsidRPr="00A64175" w:rsidRDefault="007F521A" w:rsidP="00A64175">
      <w:pPr>
        <w:pStyle w:val="Paragraphedeliste"/>
        <w:numPr>
          <w:ilvl w:val="0"/>
          <w:numId w:val="21"/>
        </w:numPr>
        <w:shd w:val="clear" w:color="auto" w:fill="FFFFFF"/>
        <w:rPr>
          <w:rFonts w:eastAsia="Times New Roman"/>
          <w:sz w:val="22"/>
          <w:szCs w:val="22"/>
          <w:lang w:eastAsia="fr-FR"/>
        </w:rPr>
      </w:pPr>
      <w:r w:rsidRPr="00A64175">
        <w:rPr>
          <w:rFonts w:eastAsia="Times New Roman"/>
          <w:sz w:val="22"/>
          <w:szCs w:val="22"/>
          <w:lang w:eastAsia="fr-FR"/>
        </w:rPr>
        <w:t>garantir l’enregistrement et l’intégrité des inscriptions ;</w:t>
      </w:r>
    </w:p>
    <w:p w14:paraId="677BD067" w14:textId="43FF275E" w:rsidR="007F521A" w:rsidRPr="00A64175" w:rsidRDefault="007F521A" w:rsidP="00A64175">
      <w:pPr>
        <w:pStyle w:val="Paragraphedeliste"/>
        <w:numPr>
          <w:ilvl w:val="0"/>
          <w:numId w:val="21"/>
        </w:numPr>
        <w:shd w:val="clear" w:color="auto" w:fill="FFFFFF"/>
        <w:rPr>
          <w:rFonts w:eastAsia="Times New Roman"/>
          <w:sz w:val="22"/>
          <w:szCs w:val="22"/>
          <w:lang w:eastAsia="fr-FR"/>
        </w:rPr>
      </w:pPr>
      <w:r w:rsidRPr="00A64175">
        <w:rPr>
          <w:rFonts w:eastAsia="Times New Roman"/>
          <w:sz w:val="22"/>
          <w:szCs w:val="22"/>
          <w:lang w:eastAsia="fr-FR"/>
        </w:rPr>
        <w:t>permettre d’identifier les propriétaires des titres, la nature et le nombre de titres détenus ;</w:t>
      </w:r>
    </w:p>
    <w:p w14:paraId="003FF0F0" w14:textId="2E960BB4" w:rsidR="007F521A" w:rsidRPr="00A64175" w:rsidRDefault="007F521A" w:rsidP="00A64175">
      <w:pPr>
        <w:pStyle w:val="Paragraphedeliste"/>
        <w:numPr>
          <w:ilvl w:val="0"/>
          <w:numId w:val="21"/>
        </w:numPr>
        <w:shd w:val="clear" w:color="auto" w:fill="FFFFFF"/>
        <w:rPr>
          <w:rFonts w:eastAsia="Times New Roman"/>
          <w:sz w:val="22"/>
          <w:szCs w:val="22"/>
          <w:lang w:eastAsia="fr-FR"/>
        </w:rPr>
      </w:pPr>
      <w:r w:rsidRPr="00A64175">
        <w:rPr>
          <w:rFonts w:eastAsia="Times New Roman"/>
          <w:sz w:val="22"/>
          <w:szCs w:val="22"/>
          <w:lang w:eastAsia="fr-FR"/>
        </w:rPr>
        <w:t>assurer la protection et la sauvegarde des inscriptions effectuées, au moyen d’un plan de continuité d’a</w:t>
      </w:r>
      <w:r w:rsidR="00AF1939" w:rsidRPr="00A64175">
        <w:rPr>
          <w:rFonts w:eastAsia="Times New Roman"/>
          <w:sz w:val="22"/>
          <w:szCs w:val="22"/>
          <w:lang w:eastAsia="fr-FR"/>
        </w:rPr>
        <w:t>ctivité comprenant une unité ou structure</w:t>
      </w:r>
      <w:r w:rsidRPr="00A64175">
        <w:rPr>
          <w:rFonts w:eastAsia="Times New Roman"/>
          <w:sz w:val="22"/>
          <w:szCs w:val="22"/>
          <w:lang w:eastAsia="fr-FR"/>
        </w:rPr>
        <w:t xml:space="preserve"> externe de conservation des données ;</w:t>
      </w:r>
    </w:p>
    <w:p w14:paraId="3E338ECC" w14:textId="6F4324D2" w:rsidR="007F521A" w:rsidRPr="00A64175" w:rsidRDefault="007F521A" w:rsidP="00A64175">
      <w:pPr>
        <w:pStyle w:val="Paragraphedeliste"/>
        <w:numPr>
          <w:ilvl w:val="0"/>
          <w:numId w:val="21"/>
        </w:numPr>
        <w:shd w:val="clear" w:color="auto" w:fill="FFFFFF"/>
        <w:rPr>
          <w:rFonts w:eastAsia="Times New Roman"/>
          <w:sz w:val="22"/>
          <w:szCs w:val="22"/>
          <w:lang w:eastAsia="fr-FR"/>
        </w:rPr>
      </w:pPr>
      <w:r w:rsidRPr="00A64175">
        <w:rPr>
          <w:rFonts w:eastAsia="Times New Roman"/>
          <w:sz w:val="22"/>
          <w:szCs w:val="22"/>
          <w:lang w:eastAsia="fr-FR"/>
        </w:rPr>
        <w:t xml:space="preserve">permettre aux propriétaires de titres </w:t>
      </w:r>
      <w:r w:rsidR="00A93055" w:rsidRPr="00A64175">
        <w:rPr>
          <w:rFonts w:eastAsia="Times New Roman"/>
          <w:sz w:val="22"/>
          <w:szCs w:val="22"/>
          <w:lang w:eastAsia="fr-FR"/>
        </w:rPr>
        <w:t>de disposer de relevés des opérations qui leur sont propres ;</w:t>
      </w:r>
    </w:p>
    <w:p w14:paraId="01C6788D" w14:textId="7EA52ACA" w:rsidR="00A3623E" w:rsidRPr="009A7FE0" w:rsidRDefault="00A93055" w:rsidP="00A64175">
      <w:pPr>
        <w:pStyle w:val="Paragraphedeliste"/>
        <w:numPr>
          <w:ilvl w:val="0"/>
          <w:numId w:val="21"/>
        </w:numPr>
        <w:shd w:val="clear" w:color="auto" w:fill="FFFFFF"/>
        <w:rPr>
          <w:rFonts w:eastAsia="Times New Roman"/>
          <w:sz w:val="22"/>
          <w:szCs w:val="22"/>
          <w:lang w:eastAsia="fr-FR"/>
        </w:rPr>
      </w:pPr>
      <w:r w:rsidRPr="00A64175">
        <w:rPr>
          <w:rFonts w:eastAsia="Times New Roman"/>
          <w:sz w:val="22"/>
          <w:szCs w:val="22"/>
          <w:lang w:eastAsia="fr-FR"/>
        </w:rPr>
        <w:t>permettre la transmission des titres ou jetons</w:t>
      </w:r>
      <w:r w:rsidR="00AF1939" w:rsidRPr="00A64175">
        <w:rPr>
          <w:rFonts w:eastAsia="Times New Roman"/>
          <w:sz w:val="22"/>
          <w:szCs w:val="22"/>
          <w:lang w:eastAsia="fr-FR"/>
        </w:rPr>
        <w:t>.</w:t>
      </w:r>
    </w:p>
    <w:p w14:paraId="360B76E4" w14:textId="77777777" w:rsidR="00A3623E" w:rsidRPr="00A64175" w:rsidRDefault="00A3623E" w:rsidP="00A64175">
      <w:pPr>
        <w:shd w:val="clear" w:color="auto" w:fill="FFFFFF"/>
        <w:jc w:val="both"/>
        <w:rPr>
          <w:rFonts w:ascii="Arial" w:eastAsia="Times New Roman" w:hAnsi="Arial" w:cs="Arial"/>
          <w:sz w:val="22"/>
          <w:szCs w:val="22"/>
          <w:lang w:eastAsia="fr-FR"/>
        </w:rPr>
      </w:pPr>
    </w:p>
    <w:p w14:paraId="016B8430" w14:textId="57901779" w:rsidR="00BA3B5C" w:rsidRPr="00A64175" w:rsidRDefault="00F30BDF" w:rsidP="00A64175">
      <w:pPr>
        <w:shd w:val="clear" w:color="auto" w:fill="FFFFFF"/>
        <w:jc w:val="both"/>
        <w:rPr>
          <w:rFonts w:ascii="Arial" w:eastAsia="Times New Roman" w:hAnsi="Arial" w:cs="Arial"/>
          <w:sz w:val="22"/>
          <w:szCs w:val="22"/>
          <w:lang w:eastAsia="fr-FR"/>
        </w:rPr>
      </w:pPr>
      <w:r w:rsidRPr="00A64175">
        <w:rPr>
          <w:rFonts w:ascii="Arial" w:hAnsi="Arial" w:cs="Arial"/>
          <w:b/>
          <w:bCs/>
          <w:sz w:val="22"/>
          <w:szCs w:val="22"/>
        </w:rPr>
        <w:t>Article 1</w:t>
      </w:r>
      <w:r w:rsidR="00FC3A4C">
        <w:rPr>
          <w:rFonts w:ascii="Arial" w:hAnsi="Arial" w:cs="Arial"/>
          <w:b/>
          <w:bCs/>
          <w:sz w:val="22"/>
          <w:szCs w:val="22"/>
        </w:rPr>
        <w:t>80</w:t>
      </w:r>
      <w:r w:rsidR="00BA3B5C" w:rsidRPr="00A64175">
        <w:rPr>
          <w:rFonts w:ascii="Arial" w:hAnsi="Arial" w:cs="Arial"/>
          <w:b/>
          <w:bCs/>
          <w:sz w:val="22"/>
          <w:szCs w:val="22"/>
        </w:rPr>
        <w:t>. –</w:t>
      </w:r>
      <w:r w:rsidR="00BA3B5C" w:rsidRPr="00A64175">
        <w:rPr>
          <w:rFonts w:ascii="Arial" w:hAnsi="Arial" w:cs="Arial"/>
          <w:bCs/>
          <w:sz w:val="22"/>
          <w:szCs w:val="22"/>
        </w:rPr>
        <w:t xml:space="preserve"> </w:t>
      </w:r>
      <w:r w:rsidR="00BA3B5C" w:rsidRPr="00A64175">
        <w:rPr>
          <w:rFonts w:ascii="Arial" w:eastAsia="Times New Roman" w:hAnsi="Arial" w:cs="Arial"/>
          <w:sz w:val="22"/>
          <w:szCs w:val="22"/>
          <w:lang w:eastAsia="fr-FR"/>
        </w:rPr>
        <w:t xml:space="preserve">Le service de placement de jetons numériques relève du monopole des prestataires de services sur actifs numériques visés à l’article 145 du Règlement </w:t>
      </w:r>
      <w:r w:rsidR="00BA3B5C" w:rsidRPr="00A64175">
        <w:rPr>
          <w:rFonts w:ascii="Arial" w:hAnsi="Arial" w:cs="Arial"/>
          <w:sz w:val="22"/>
          <w:szCs w:val="22"/>
        </w:rPr>
        <w:t>n° 01/22/CEMAC/UMAC/CM/COSUMAF du 21 juillet 2022.</w:t>
      </w:r>
    </w:p>
    <w:p w14:paraId="4B3ADE2E" w14:textId="77777777" w:rsidR="00F27A3E" w:rsidRPr="00A64175" w:rsidRDefault="00F27A3E" w:rsidP="00A64175">
      <w:pPr>
        <w:shd w:val="clear" w:color="auto" w:fill="FFFFFF"/>
        <w:jc w:val="both"/>
        <w:rPr>
          <w:rFonts w:ascii="Arial" w:eastAsia="Times New Roman" w:hAnsi="Arial" w:cs="Arial"/>
          <w:sz w:val="22"/>
          <w:szCs w:val="22"/>
          <w:lang w:eastAsia="fr-FR"/>
        </w:rPr>
      </w:pPr>
    </w:p>
    <w:p w14:paraId="790E75AA" w14:textId="31D6C160" w:rsidR="00C41E6E" w:rsidRPr="00A64175" w:rsidRDefault="00BA3B5C" w:rsidP="00A64175">
      <w:pPr>
        <w:shd w:val="clear" w:color="auto" w:fill="FFFFFF"/>
        <w:jc w:val="both"/>
        <w:rPr>
          <w:rFonts w:ascii="Arial" w:eastAsia="Times New Roman" w:hAnsi="Arial" w:cs="Arial"/>
          <w:sz w:val="22"/>
          <w:szCs w:val="22"/>
          <w:lang w:eastAsia="fr-FR"/>
        </w:rPr>
      </w:pPr>
      <w:r w:rsidRPr="00A64175">
        <w:rPr>
          <w:rFonts w:ascii="Arial" w:eastAsia="Times New Roman" w:hAnsi="Arial" w:cs="Arial"/>
          <w:sz w:val="22"/>
          <w:szCs w:val="22"/>
          <w:lang w:eastAsia="fr-FR"/>
        </w:rPr>
        <w:t>Ces prestataires doi</w:t>
      </w:r>
      <w:r w:rsidR="00C41E6E" w:rsidRPr="00A64175">
        <w:rPr>
          <w:rFonts w:ascii="Arial" w:eastAsia="Times New Roman" w:hAnsi="Arial" w:cs="Arial"/>
          <w:sz w:val="22"/>
          <w:szCs w:val="22"/>
          <w:lang w:eastAsia="fr-FR"/>
        </w:rPr>
        <w:t>vent, préalablement,</w:t>
      </w:r>
      <w:r w:rsidRPr="00A64175">
        <w:rPr>
          <w:rFonts w:ascii="Arial" w:eastAsia="Times New Roman" w:hAnsi="Arial" w:cs="Arial"/>
          <w:sz w:val="22"/>
          <w:szCs w:val="22"/>
          <w:lang w:eastAsia="fr-FR"/>
        </w:rPr>
        <w:t xml:space="preserve"> obtenir</w:t>
      </w:r>
      <w:r w:rsidR="00C41E6E" w:rsidRPr="00A64175">
        <w:rPr>
          <w:rFonts w:ascii="Arial" w:eastAsia="Times New Roman" w:hAnsi="Arial" w:cs="Arial"/>
          <w:sz w:val="22"/>
          <w:szCs w:val="22"/>
          <w:lang w:eastAsia="fr-FR"/>
        </w:rPr>
        <w:t xml:space="preserve"> leur agrément auprès de la COSUMAF.</w:t>
      </w:r>
    </w:p>
    <w:p w14:paraId="3AC4FAD0" w14:textId="77777777" w:rsidR="00C41E6E" w:rsidRPr="00A64175" w:rsidRDefault="00C41E6E" w:rsidP="00A64175">
      <w:pPr>
        <w:shd w:val="clear" w:color="auto" w:fill="FFFFFF"/>
        <w:jc w:val="both"/>
        <w:rPr>
          <w:rFonts w:ascii="Arial" w:eastAsia="Times New Roman" w:hAnsi="Arial" w:cs="Arial"/>
          <w:sz w:val="22"/>
          <w:szCs w:val="22"/>
          <w:lang w:eastAsia="fr-FR"/>
        </w:rPr>
      </w:pPr>
    </w:p>
    <w:p w14:paraId="7CF5D0DC" w14:textId="77777777" w:rsidR="00BA3B5C" w:rsidRPr="00A64175" w:rsidRDefault="00BA3B5C" w:rsidP="00A64175">
      <w:pPr>
        <w:shd w:val="clear" w:color="auto" w:fill="FFFFFF"/>
        <w:jc w:val="both"/>
        <w:rPr>
          <w:rFonts w:ascii="Arial" w:eastAsia="Times New Roman" w:hAnsi="Arial" w:cs="Arial"/>
          <w:sz w:val="22"/>
          <w:szCs w:val="22"/>
          <w:lang w:eastAsia="fr-FR"/>
        </w:rPr>
      </w:pPr>
    </w:p>
    <w:p w14:paraId="66A29A21" w14:textId="48AC330A" w:rsidR="009D70A4" w:rsidRPr="00A64175" w:rsidRDefault="00F30BDF" w:rsidP="00A64175">
      <w:pPr>
        <w:shd w:val="clear" w:color="auto" w:fill="FFFFFF"/>
        <w:spacing w:after="450"/>
        <w:jc w:val="both"/>
        <w:rPr>
          <w:rFonts w:ascii="Arial" w:eastAsia="Times New Roman" w:hAnsi="Arial" w:cs="Arial"/>
          <w:sz w:val="22"/>
          <w:szCs w:val="22"/>
          <w:lang w:eastAsia="fr-FR"/>
        </w:rPr>
      </w:pPr>
      <w:r w:rsidRPr="00A64175">
        <w:rPr>
          <w:rFonts w:ascii="Arial" w:hAnsi="Arial" w:cs="Arial"/>
          <w:b/>
          <w:bCs/>
          <w:sz w:val="22"/>
          <w:szCs w:val="22"/>
        </w:rPr>
        <w:t>Article 1</w:t>
      </w:r>
      <w:r w:rsidR="00044B0E">
        <w:rPr>
          <w:rFonts w:ascii="Arial" w:hAnsi="Arial" w:cs="Arial"/>
          <w:b/>
          <w:bCs/>
          <w:sz w:val="22"/>
          <w:szCs w:val="22"/>
        </w:rPr>
        <w:t>8</w:t>
      </w:r>
      <w:r w:rsidR="00FC3A4C">
        <w:rPr>
          <w:rFonts w:ascii="Arial" w:hAnsi="Arial" w:cs="Arial"/>
          <w:b/>
          <w:bCs/>
          <w:sz w:val="22"/>
          <w:szCs w:val="22"/>
        </w:rPr>
        <w:t>1</w:t>
      </w:r>
      <w:r w:rsidR="00BA3B5C" w:rsidRPr="00A64175">
        <w:rPr>
          <w:rFonts w:ascii="Arial" w:hAnsi="Arial" w:cs="Arial"/>
          <w:b/>
          <w:bCs/>
          <w:sz w:val="22"/>
          <w:szCs w:val="22"/>
        </w:rPr>
        <w:t>. –</w:t>
      </w:r>
      <w:r w:rsidR="00BA3B5C" w:rsidRPr="00A64175">
        <w:rPr>
          <w:rFonts w:ascii="Arial" w:hAnsi="Arial" w:cs="Arial"/>
          <w:bCs/>
          <w:sz w:val="22"/>
          <w:szCs w:val="22"/>
        </w:rPr>
        <w:t xml:space="preserve"> </w:t>
      </w:r>
      <w:r w:rsidR="009D70A4" w:rsidRPr="00A64175">
        <w:rPr>
          <w:rFonts w:ascii="Arial" w:eastAsia="Times New Roman" w:hAnsi="Arial" w:cs="Arial"/>
          <w:sz w:val="22"/>
          <w:szCs w:val="22"/>
          <w:lang w:eastAsia="fr-FR"/>
        </w:rPr>
        <w:t>Le document d'information doit faire l'objet d'une diffusion effective</w:t>
      </w:r>
      <w:r w:rsidR="00BA3B5C" w:rsidRPr="00A64175">
        <w:rPr>
          <w:rFonts w:ascii="Arial" w:eastAsia="Times New Roman" w:hAnsi="Arial" w:cs="Arial"/>
          <w:sz w:val="22"/>
          <w:szCs w:val="22"/>
          <w:lang w:eastAsia="fr-FR"/>
        </w:rPr>
        <w:t xml:space="preserve"> selon les formes visées à </w:t>
      </w:r>
      <w:r w:rsidR="00BA3B5C" w:rsidRPr="00C21CF0">
        <w:rPr>
          <w:rFonts w:ascii="Arial" w:eastAsia="Times New Roman" w:hAnsi="Arial" w:cs="Arial"/>
          <w:sz w:val="22"/>
          <w:szCs w:val="22"/>
          <w:lang w:eastAsia="fr-FR"/>
        </w:rPr>
        <w:t xml:space="preserve">l’article </w:t>
      </w:r>
      <w:r w:rsidR="00164E6D" w:rsidRPr="00C21CF0">
        <w:rPr>
          <w:rFonts w:ascii="Arial" w:eastAsia="Times New Roman" w:hAnsi="Arial" w:cs="Arial"/>
          <w:sz w:val="22"/>
          <w:szCs w:val="22"/>
          <w:lang w:eastAsia="fr-FR"/>
        </w:rPr>
        <w:t>17</w:t>
      </w:r>
      <w:r w:rsidR="008800A4">
        <w:rPr>
          <w:rFonts w:ascii="Arial" w:eastAsia="Times New Roman" w:hAnsi="Arial" w:cs="Arial"/>
          <w:sz w:val="22"/>
          <w:szCs w:val="22"/>
          <w:lang w:eastAsia="fr-FR"/>
        </w:rPr>
        <w:t>8</w:t>
      </w:r>
      <w:r w:rsidR="00BA3B5C" w:rsidRPr="00C21CF0">
        <w:rPr>
          <w:rFonts w:ascii="Arial" w:eastAsia="Times New Roman" w:hAnsi="Arial" w:cs="Arial"/>
          <w:sz w:val="22"/>
          <w:szCs w:val="22"/>
          <w:lang w:eastAsia="fr-FR"/>
        </w:rPr>
        <w:t xml:space="preserve"> du présent règlement général</w:t>
      </w:r>
      <w:r w:rsidR="009D70A4" w:rsidRPr="008800A4">
        <w:rPr>
          <w:rFonts w:ascii="Arial" w:eastAsia="Times New Roman" w:hAnsi="Arial" w:cs="Arial"/>
          <w:sz w:val="22"/>
          <w:szCs w:val="22"/>
          <w:lang w:eastAsia="fr-FR"/>
        </w:rPr>
        <w:t>.</w:t>
      </w:r>
    </w:p>
    <w:p w14:paraId="1C503D9F" w14:textId="5D326F16" w:rsidR="009D70A4" w:rsidRPr="00A64175" w:rsidRDefault="00F30BDF" w:rsidP="00A64175">
      <w:pPr>
        <w:shd w:val="clear" w:color="auto" w:fill="FFFFFF"/>
        <w:spacing w:after="450"/>
        <w:jc w:val="both"/>
        <w:rPr>
          <w:rFonts w:ascii="Arial" w:eastAsia="Times New Roman" w:hAnsi="Arial" w:cs="Arial"/>
          <w:sz w:val="22"/>
          <w:szCs w:val="22"/>
          <w:lang w:eastAsia="fr-FR"/>
        </w:rPr>
      </w:pPr>
      <w:r w:rsidRPr="00A64175">
        <w:rPr>
          <w:rFonts w:ascii="Arial" w:hAnsi="Arial" w:cs="Arial"/>
          <w:b/>
          <w:bCs/>
          <w:sz w:val="22"/>
          <w:szCs w:val="22"/>
        </w:rPr>
        <w:t>Article 1</w:t>
      </w:r>
      <w:r w:rsidR="00044B0E">
        <w:rPr>
          <w:rFonts w:ascii="Arial" w:hAnsi="Arial" w:cs="Arial"/>
          <w:b/>
          <w:bCs/>
          <w:sz w:val="22"/>
          <w:szCs w:val="22"/>
        </w:rPr>
        <w:t>8</w:t>
      </w:r>
      <w:r w:rsidR="00FC3A4C">
        <w:rPr>
          <w:rFonts w:ascii="Arial" w:hAnsi="Arial" w:cs="Arial"/>
          <w:b/>
          <w:bCs/>
          <w:sz w:val="22"/>
          <w:szCs w:val="22"/>
        </w:rPr>
        <w:t>2</w:t>
      </w:r>
      <w:r w:rsidR="00BA3B5C" w:rsidRPr="00A64175">
        <w:rPr>
          <w:rFonts w:ascii="Arial" w:hAnsi="Arial" w:cs="Arial"/>
          <w:b/>
          <w:bCs/>
          <w:sz w:val="22"/>
          <w:szCs w:val="22"/>
        </w:rPr>
        <w:t>. –</w:t>
      </w:r>
      <w:r w:rsidR="00BA3B5C" w:rsidRPr="00A64175">
        <w:rPr>
          <w:rFonts w:ascii="Arial" w:hAnsi="Arial" w:cs="Arial"/>
          <w:bCs/>
          <w:sz w:val="22"/>
          <w:szCs w:val="22"/>
        </w:rPr>
        <w:t xml:space="preserve"> </w:t>
      </w:r>
      <w:r w:rsidR="009D70A4" w:rsidRPr="00A64175">
        <w:rPr>
          <w:rFonts w:ascii="Arial" w:eastAsia="Times New Roman" w:hAnsi="Arial" w:cs="Arial"/>
          <w:sz w:val="22"/>
          <w:szCs w:val="22"/>
          <w:lang w:eastAsia="fr-FR"/>
        </w:rPr>
        <w:t>La COSUMAF publie sur son site internet la liste des offres de jetons ayant obtenu son visa et la date d'obtention de celui-ci.</w:t>
      </w:r>
    </w:p>
    <w:p w14:paraId="6F14C157" w14:textId="77777777" w:rsidR="00231137" w:rsidRPr="00A64175" w:rsidRDefault="00231137" w:rsidP="00A64175">
      <w:pPr>
        <w:widowControl w:val="0"/>
        <w:autoSpaceDE w:val="0"/>
        <w:autoSpaceDN w:val="0"/>
        <w:adjustRightInd w:val="0"/>
        <w:jc w:val="both"/>
        <w:rPr>
          <w:rFonts w:ascii="Arial" w:hAnsi="Arial" w:cs="Arial"/>
          <w:color w:val="000000"/>
          <w:kern w:val="1"/>
          <w:sz w:val="22"/>
          <w:szCs w:val="22"/>
        </w:rPr>
      </w:pPr>
    </w:p>
    <w:p w14:paraId="036D96E3" w14:textId="744C37DD" w:rsidR="00231137" w:rsidRPr="00A64175" w:rsidRDefault="00781AE4" w:rsidP="00A64175">
      <w:pPr>
        <w:widowControl w:val="0"/>
        <w:autoSpaceDE w:val="0"/>
        <w:autoSpaceDN w:val="0"/>
        <w:adjustRightInd w:val="0"/>
        <w:jc w:val="both"/>
        <w:rPr>
          <w:rFonts w:ascii="Arial" w:hAnsi="Arial" w:cs="Arial"/>
          <w:kern w:val="1"/>
          <w:sz w:val="22"/>
          <w:szCs w:val="22"/>
        </w:rPr>
      </w:pPr>
      <w:r w:rsidRPr="00A64175">
        <w:rPr>
          <w:rFonts w:ascii="Arial" w:hAnsi="Arial" w:cs="Arial"/>
          <w:b/>
          <w:bCs/>
          <w:sz w:val="22"/>
          <w:szCs w:val="22"/>
        </w:rPr>
        <w:t xml:space="preserve">Section </w:t>
      </w:r>
      <w:r w:rsidR="003C4F40" w:rsidRPr="00A64175">
        <w:rPr>
          <w:rFonts w:ascii="Arial" w:hAnsi="Arial" w:cs="Arial"/>
          <w:b/>
          <w:bCs/>
          <w:sz w:val="22"/>
          <w:szCs w:val="22"/>
        </w:rPr>
        <w:t>I</w:t>
      </w:r>
      <w:r w:rsidRPr="00A64175">
        <w:rPr>
          <w:rFonts w:ascii="Arial" w:hAnsi="Arial" w:cs="Arial"/>
          <w:b/>
          <w:bCs/>
          <w:sz w:val="22"/>
          <w:szCs w:val="22"/>
        </w:rPr>
        <w:t>X</w:t>
      </w:r>
      <w:r w:rsidR="00231137" w:rsidRPr="00A64175">
        <w:rPr>
          <w:rFonts w:ascii="Arial" w:hAnsi="Arial" w:cs="Arial"/>
          <w:b/>
          <w:bCs/>
          <w:sz w:val="22"/>
          <w:szCs w:val="22"/>
        </w:rPr>
        <w:t xml:space="preserve"> : Information financière </w:t>
      </w:r>
    </w:p>
    <w:p w14:paraId="1E42374B" w14:textId="77777777" w:rsidR="00231137" w:rsidRPr="00A64175" w:rsidRDefault="00231137" w:rsidP="00A64175">
      <w:pPr>
        <w:widowControl w:val="0"/>
        <w:autoSpaceDE w:val="0"/>
        <w:autoSpaceDN w:val="0"/>
        <w:adjustRightInd w:val="0"/>
        <w:jc w:val="both"/>
        <w:rPr>
          <w:rFonts w:ascii="Arial" w:hAnsi="Arial" w:cs="Arial"/>
          <w:kern w:val="1"/>
          <w:sz w:val="22"/>
          <w:szCs w:val="22"/>
        </w:rPr>
      </w:pPr>
    </w:p>
    <w:p w14:paraId="27A0BDDA" w14:textId="53EF901F" w:rsidR="00D44235" w:rsidRPr="00A64175" w:rsidRDefault="00D44235" w:rsidP="00A64175">
      <w:pPr>
        <w:ind w:right="1024"/>
        <w:contextualSpacing/>
        <w:jc w:val="both"/>
        <w:rPr>
          <w:rFonts w:ascii="Arial" w:hAnsi="Arial" w:cs="Arial"/>
          <w:b/>
          <w:i/>
          <w:iCs/>
          <w:color w:val="000000" w:themeColor="text1"/>
          <w:sz w:val="22"/>
          <w:szCs w:val="22"/>
        </w:rPr>
      </w:pPr>
      <w:r w:rsidRPr="00A64175">
        <w:rPr>
          <w:rFonts w:ascii="Arial" w:hAnsi="Arial" w:cs="Arial"/>
          <w:b/>
          <w:i/>
          <w:iCs/>
          <w:color w:val="000000" w:themeColor="text1"/>
          <w:sz w:val="22"/>
          <w:szCs w:val="22"/>
        </w:rPr>
        <w:t xml:space="preserve">Sous-section I – </w:t>
      </w:r>
      <w:r w:rsidRPr="00A64175">
        <w:rPr>
          <w:rFonts w:ascii="Arial" w:hAnsi="Arial" w:cs="Arial"/>
          <w:b/>
          <w:i/>
          <w:sz w:val="22"/>
          <w:szCs w:val="22"/>
        </w:rPr>
        <w:t>Information permanente ou occasionnelle</w:t>
      </w:r>
    </w:p>
    <w:p w14:paraId="249D3509" w14:textId="77777777" w:rsidR="00231137" w:rsidRPr="00A64175" w:rsidRDefault="00231137" w:rsidP="00A64175">
      <w:pPr>
        <w:jc w:val="both"/>
        <w:rPr>
          <w:rFonts w:ascii="Arial" w:hAnsi="Arial" w:cs="Arial"/>
          <w:b/>
          <w:bCs/>
          <w:color w:val="000000"/>
          <w:sz w:val="22"/>
          <w:szCs w:val="22"/>
        </w:rPr>
      </w:pPr>
    </w:p>
    <w:p w14:paraId="2B080376" w14:textId="77777777" w:rsidR="00781AE4" w:rsidRPr="00A64175" w:rsidRDefault="00781AE4" w:rsidP="00A64175">
      <w:pPr>
        <w:autoSpaceDE w:val="0"/>
        <w:autoSpaceDN w:val="0"/>
        <w:adjustRightInd w:val="0"/>
        <w:jc w:val="both"/>
        <w:rPr>
          <w:rFonts w:ascii="Arial" w:hAnsi="Arial" w:cs="Arial"/>
          <w:sz w:val="22"/>
          <w:szCs w:val="22"/>
        </w:rPr>
      </w:pPr>
    </w:p>
    <w:p w14:paraId="2EB9EBBE" w14:textId="72DC742F"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3</w:t>
      </w:r>
      <w:r w:rsidR="00781AE4" w:rsidRPr="00A64175">
        <w:rPr>
          <w:rFonts w:ascii="Arial" w:hAnsi="Arial" w:cs="Arial"/>
          <w:b/>
          <w:bCs/>
          <w:sz w:val="22"/>
          <w:szCs w:val="22"/>
        </w:rPr>
        <w:t>. –</w:t>
      </w:r>
      <w:r w:rsidR="00781AE4" w:rsidRPr="00A64175">
        <w:rPr>
          <w:rFonts w:ascii="Arial" w:hAnsi="Arial" w:cs="Arial"/>
          <w:bCs/>
          <w:sz w:val="22"/>
          <w:szCs w:val="22"/>
        </w:rPr>
        <w:t xml:space="preserve"> </w:t>
      </w:r>
      <w:r w:rsidR="00781AE4" w:rsidRPr="00A64175">
        <w:rPr>
          <w:rFonts w:ascii="Arial" w:hAnsi="Arial" w:cs="Arial"/>
          <w:sz w:val="22"/>
          <w:szCs w:val="22"/>
        </w:rPr>
        <w:t>L’émetteur faisant appel public à l’épargne est, par ailleurs, tenu de respecter les obligations suivantes :</w:t>
      </w:r>
    </w:p>
    <w:p w14:paraId="4674B350" w14:textId="77777777" w:rsidR="00781AE4" w:rsidRPr="00A64175" w:rsidRDefault="00781AE4" w:rsidP="00A64175">
      <w:pPr>
        <w:autoSpaceDE w:val="0"/>
        <w:autoSpaceDN w:val="0"/>
        <w:adjustRightInd w:val="0"/>
        <w:jc w:val="both"/>
        <w:rPr>
          <w:rFonts w:ascii="Arial" w:hAnsi="Arial" w:cs="Arial"/>
          <w:sz w:val="22"/>
          <w:szCs w:val="22"/>
        </w:rPr>
      </w:pPr>
    </w:p>
    <w:p w14:paraId="6170CCFE" w14:textId="25F95231"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informer les actionnaires de la tenue des assemblées générales, et leur permettre d’exercer leur droit de vote ;</w:t>
      </w:r>
    </w:p>
    <w:p w14:paraId="093E83C7" w14:textId="32B053D3"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informer les actionnaires du paiement des dividendes, des opérations d’émission d’actions nouvelles, d’attribution, de souscription, de renonciation et de conversion ;</w:t>
      </w:r>
    </w:p>
    <w:p w14:paraId="25B8E3AD" w14:textId="019027A9"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informer en temps utile la COSUMAF de tout projet de modif</w:t>
      </w:r>
      <w:r w:rsidR="00D44235" w:rsidRPr="00A64175">
        <w:rPr>
          <w:rFonts w:ascii="Arial" w:hAnsi="Arial" w:cs="Arial"/>
          <w:sz w:val="22"/>
          <w:szCs w:val="22"/>
        </w:rPr>
        <w:t xml:space="preserve">ication de ses documents légaux </w:t>
      </w:r>
      <w:r w:rsidRPr="00A64175">
        <w:rPr>
          <w:rFonts w:ascii="Arial" w:hAnsi="Arial" w:cs="Arial"/>
          <w:sz w:val="22"/>
          <w:szCs w:val="22"/>
        </w:rPr>
        <w:t>internes ;</w:t>
      </w:r>
    </w:p>
    <w:p w14:paraId="41033525"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informer la COSUMAF des modifications intervenues dans la répartition de son capital ;</w:t>
      </w:r>
    </w:p>
    <w:p w14:paraId="331AA95B"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publier sans délai, toute modification des droits attachés aux différentes catégories de titres émis ;</w:t>
      </w:r>
    </w:p>
    <w:p w14:paraId="20DFC487"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informer la COSUMAF de toute décision judiciaire l’affectant ;</w:t>
      </w:r>
    </w:p>
    <w:p w14:paraId="1C2B9353" w14:textId="57B112CF"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publier dans les meilleurs délais tout fait nouveau important, survenu</w:t>
      </w:r>
      <w:r w:rsidR="00D44235" w:rsidRPr="00A64175">
        <w:rPr>
          <w:rFonts w:ascii="Arial" w:hAnsi="Arial" w:cs="Arial"/>
          <w:sz w:val="22"/>
          <w:szCs w:val="22"/>
        </w:rPr>
        <w:t xml:space="preserve"> dans son secteur d’activité et </w:t>
      </w:r>
      <w:r w:rsidRPr="00A64175">
        <w:rPr>
          <w:rFonts w:ascii="Arial" w:hAnsi="Arial" w:cs="Arial"/>
          <w:sz w:val="22"/>
          <w:szCs w:val="22"/>
        </w:rPr>
        <w:t>de nature à affecter son activité de façon significative ;</w:t>
      </w:r>
    </w:p>
    <w:p w14:paraId="4EBF859B"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assurer un traitement égal des porteurs de titres de même catégorie ;</w:t>
      </w:r>
    </w:p>
    <w:p w14:paraId="24757CD4"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 fournir toutes les informations nécessaires à l’exercice des droits des titulaires de titres émis.</w:t>
      </w:r>
    </w:p>
    <w:p w14:paraId="29F9B622" w14:textId="77777777" w:rsidR="00D44235" w:rsidRPr="00A64175" w:rsidRDefault="00D44235" w:rsidP="00A64175">
      <w:pPr>
        <w:autoSpaceDE w:val="0"/>
        <w:autoSpaceDN w:val="0"/>
        <w:adjustRightInd w:val="0"/>
        <w:jc w:val="both"/>
        <w:rPr>
          <w:rFonts w:ascii="Arial" w:hAnsi="Arial" w:cs="Arial"/>
          <w:sz w:val="22"/>
          <w:szCs w:val="22"/>
        </w:rPr>
      </w:pPr>
    </w:p>
    <w:p w14:paraId="1E5FFE6D" w14:textId="77777777" w:rsidR="00D44235" w:rsidRPr="00A64175" w:rsidRDefault="00D44235" w:rsidP="00A64175">
      <w:pPr>
        <w:autoSpaceDE w:val="0"/>
        <w:autoSpaceDN w:val="0"/>
        <w:adjustRightInd w:val="0"/>
        <w:jc w:val="both"/>
        <w:rPr>
          <w:rFonts w:ascii="Arial" w:hAnsi="Arial" w:cs="Arial"/>
          <w:sz w:val="22"/>
          <w:szCs w:val="22"/>
        </w:rPr>
      </w:pPr>
    </w:p>
    <w:p w14:paraId="186117B2" w14:textId="0E621D13"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4</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L’émetteur dont les titres sont cotés à la Bourse Régionale est t</w:t>
      </w:r>
      <w:r w:rsidR="00D44235" w:rsidRPr="00A64175">
        <w:rPr>
          <w:rFonts w:ascii="Arial" w:hAnsi="Arial" w:cs="Arial"/>
          <w:sz w:val="22"/>
          <w:szCs w:val="22"/>
        </w:rPr>
        <w:t xml:space="preserve">enu d’établir et de diffuser un </w:t>
      </w:r>
      <w:r w:rsidR="00781AE4" w:rsidRPr="00A64175">
        <w:rPr>
          <w:rFonts w:ascii="Arial" w:hAnsi="Arial" w:cs="Arial"/>
          <w:sz w:val="22"/>
          <w:szCs w:val="22"/>
        </w:rPr>
        <w:t>communiqué de presse dans un journal ou sur tout support précisé pa</w:t>
      </w:r>
      <w:r w:rsidR="00D44235" w:rsidRPr="00A64175">
        <w:rPr>
          <w:rFonts w:ascii="Arial" w:hAnsi="Arial" w:cs="Arial"/>
          <w:sz w:val="22"/>
          <w:szCs w:val="22"/>
        </w:rPr>
        <w:t xml:space="preserve">r la COSUMAF, dès la survenance </w:t>
      </w:r>
      <w:r w:rsidR="00781AE4" w:rsidRPr="00A64175">
        <w:rPr>
          <w:rFonts w:ascii="Arial" w:hAnsi="Arial" w:cs="Arial"/>
          <w:sz w:val="22"/>
          <w:szCs w:val="22"/>
        </w:rPr>
        <w:t>d’un changement important qui est susceptible d’exercer une influence notable sur le co</w:t>
      </w:r>
      <w:r w:rsidR="00D44235" w:rsidRPr="00A64175">
        <w:rPr>
          <w:rFonts w:ascii="Arial" w:hAnsi="Arial" w:cs="Arial"/>
          <w:sz w:val="22"/>
          <w:szCs w:val="22"/>
        </w:rPr>
        <w:t xml:space="preserve">urs ou la valeur </w:t>
      </w:r>
      <w:r w:rsidR="00781AE4" w:rsidRPr="00A64175">
        <w:rPr>
          <w:rFonts w:ascii="Arial" w:hAnsi="Arial" w:cs="Arial"/>
          <w:sz w:val="22"/>
          <w:szCs w:val="22"/>
        </w:rPr>
        <w:t>de ses titres.</w:t>
      </w:r>
    </w:p>
    <w:p w14:paraId="13B85C61" w14:textId="77777777" w:rsidR="00D44235" w:rsidRPr="00A64175" w:rsidRDefault="00D44235" w:rsidP="00A64175">
      <w:pPr>
        <w:autoSpaceDE w:val="0"/>
        <w:autoSpaceDN w:val="0"/>
        <w:adjustRightInd w:val="0"/>
        <w:jc w:val="both"/>
        <w:rPr>
          <w:rFonts w:ascii="Arial" w:hAnsi="Arial" w:cs="Arial"/>
          <w:sz w:val="22"/>
          <w:szCs w:val="22"/>
        </w:rPr>
      </w:pPr>
    </w:p>
    <w:p w14:paraId="5FD6D9A2"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Un exemplaire de ce communiqué doit immédiatement être transmis ou déposé auprès de la COSUMAF.</w:t>
      </w:r>
    </w:p>
    <w:p w14:paraId="63B057B0" w14:textId="77777777" w:rsidR="00D44235" w:rsidRPr="00A64175" w:rsidRDefault="00D44235" w:rsidP="00A64175">
      <w:pPr>
        <w:autoSpaceDE w:val="0"/>
        <w:autoSpaceDN w:val="0"/>
        <w:adjustRightInd w:val="0"/>
        <w:jc w:val="both"/>
        <w:rPr>
          <w:rFonts w:ascii="Arial" w:hAnsi="Arial" w:cs="Arial"/>
          <w:sz w:val="22"/>
          <w:szCs w:val="22"/>
        </w:rPr>
      </w:pPr>
    </w:p>
    <w:p w14:paraId="7F20EEB3" w14:textId="77777777" w:rsidR="00D44235" w:rsidRPr="00A64175" w:rsidRDefault="00D44235" w:rsidP="00A64175">
      <w:pPr>
        <w:autoSpaceDE w:val="0"/>
        <w:autoSpaceDN w:val="0"/>
        <w:adjustRightInd w:val="0"/>
        <w:jc w:val="both"/>
        <w:rPr>
          <w:rFonts w:ascii="Arial" w:hAnsi="Arial" w:cs="Arial"/>
          <w:sz w:val="22"/>
          <w:szCs w:val="22"/>
        </w:rPr>
      </w:pPr>
    </w:p>
    <w:p w14:paraId="249285D5" w14:textId="650207E4"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5</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L’établissement d’un communiqué de presse n’est pas exigé lorsqu’il apparaît que sa diffusion fait courir</w:t>
      </w:r>
      <w:r w:rsidR="00D44235" w:rsidRPr="00A64175">
        <w:rPr>
          <w:rFonts w:ascii="Arial" w:hAnsi="Arial" w:cs="Arial"/>
          <w:sz w:val="22"/>
          <w:szCs w:val="22"/>
        </w:rPr>
        <w:t xml:space="preserve"> </w:t>
      </w:r>
      <w:r w:rsidR="00781AE4" w:rsidRPr="00A64175">
        <w:rPr>
          <w:rFonts w:ascii="Arial" w:hAnsi="Arial" w:cs="Arial"/>
          <w:sz w:val="22"/>
          <w:szCs w:val="22"/>
        </w:rPr>
        <w:t>un risque de préjudice grave ou dans toute autre circonstance justifiant le maintien du secret.</w:t>
      </w:r>
    </w:p>
    <w:p w14:paraId="4AC7BA75" w14:textId="77777777" w:rsidR="00D44235" w:rsidRPr="00A64175" w:rsidRDefault="00D44235" w:rsidP="00A64175">
      <w:pPr>
        <w:autoSpaceDE w:val="0"/>
        <w:autoSpaceDN w:val="0"/>
        <w:adjustRightInd w:val="0"/>
        <w:jc w:val="both"/>
        <w:rPr>
          <w:rFonts w:ascii="Arial" w:hAnsi="Arial" w:cs="Arial"/>
          <w:sz w:val="22"/>
          <w:szCs w:val="22"/>
        </w:rPr>
      </w:pPr>
    </w:p>
    <w:p w14:paraId="2424FA46" w14:textId="77777777"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L’émetteur doit néanmoins, à cet effet, solliciter et obtenir l’autorisation préalable de la COSUMAF.</w:t>
      </w:r>
    </w:p>
    <w:p w14:paraId="6B48F756" w14:textId="77777777" w:rsidR="00D44235" w:rsidRPr="00A64175" w:rsidRDefault="00D44235" w:rsidP="00A64175">
      <w:pPr>
        <w:autoSpaceDE w:val="0"/>
        <w:autoSpaceDN w:val="0"/>
        <w:adjustRightInd w:val="0"/>
        <w:jc w:val="both"/>
        <w:rPr>
          <w:rFonts w:ascii="Arial" w:hAnsi="Arial" w:cs="Arial"/>
          <w:sz w:val="22"/>
          <w:szCs w:val="22"/>
        </w:rPr>
      </w:pPr>
    </w:p>
    <w:p w14:paraId="178A0DA1" w14:textId="75F9092B"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Dès que les circonstances justifiant le maintien du secret disparaisse</w:t>
      </w:r>
      <w:r w:rsidR="00D44235" w:rsidRPr="00A64175">
        <w:rPr>
          <w:rFonts w:ascii="Arial" w:hAnsi="Arial" w:cs="Arial"/>
          <w:sz w:val="22"/>
          <w:szCs w:val="22"/>
        </w:rPr>
        <w:t xml:space="preserve">nt, l’émetteur procède, sous le </w:t>
      </w:r>
      <w:r w:rsidRPr="00A64175">
        <w:rPr>
          <w:rFonts w:ascii="Arial" w:hAnsi="Arial" w:cs="Arial"/>
          <w:sz w:val="22"/>
          <w:szCs w:val="22"/>
        </w:rPr>
        <w:t>contrôle de la COSUMAF, à l’établissement et à la diffusion du communiqué de presse.</w:t>
      </w:r>
    </w:p>
    <w:p w14:paraId="213641A5" w14:textId="77777777" w:rsidR="00D44235" w:rsidRPr="00A64175" w:rsidRDefault="00D44235" w:rsidP="00A64175">
      <w:pPr>
        <w:autoSpaceDE w:val="0"/>
        <w:autoSpaceDN w:val="0"/>
        <w:adjustRightInd w:val="0"/>
        <w:jc w:val="both"/>
        <w:rPr>
          <w:rFonts w:ascii="Arial" w:hAnsi="Arial" w:cs="Arial"/>
          <w:sz w:val="22"/>
          <w:szCs w:val="22"/>
        </w:rPr>
      </w:pPr>
    </w:p>
    <w:p w14:paraId="2B5BBA1A" w14:textId="19F59331"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6</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Lorsqu’une personne a été amenée à faire état publiquement de ses inten</w:t>
      </w:r>
      <w:r w:rsidR="00D44235" w:rsidRPr="00A64175">
        <w:rPr>
          <w:rFonts w:ascii="Arial" w:hAnsi="Arial" w:cs="Arial"/>
          <w:sz w:val="22"/>
          <w:szCs w:val="22"/>
        </w:rPr>
        <w:t xml:space="preserve">tions et que, par la suite, ces </w:t>
      </w:r>
      <w:r w:rsidR="00781AE4" w:rsidRPr="00A64175">
        <w:rPr>
          <w:rFonts w:ascii="Arial" w:hAnsi="Arial" w:cs="Arial"/>
          <w:sz w:val="22"/>
          <w:szCs w:val="22"/>
        </w:rPr>
        <w:t xml:space="preserve">dernières sont modifiées, elle est tenue de porter immédiatement </w:t>
      </w:r>
      <w:r w:rsidR="00D44235" w:rsidRPr="00A64175">
        <w:rPr>
          <w:rFonts w:ascii="Arial" w:hAnsi="Arial" w:cs="Arial"/>
          <w:sz w:val="22"/>
          <w:szCs w:val="22"/>
        </w:rPr>
        <w:t xml:space="preserve">à la connaissance du public ses </w:t>
      </w:r>
      <w:r w:rsidR="00781AE4" w:rsidRPr="00A64175">
        <w:rPr>
          <w:rFonts w:ascii="Arial" w:hAnsi="Arial" w:cs="Arial"/>
          <w:sz w:val="22"/>
          <w:szCs w:val="22"/>
        </w:rPr>
        <w:t>nouvelles intentions.</w:t>
      </w:r>
    </w:p>
    <w:p w14:paraId="1EFAC220" w14:textId="77777777" w:rsidR="00D44235" w:rsidRPr="00A64175" w:rsidRDefault="00D44235" w:rsidP="00A64175">
      <w:pPr>
        <w:autoSpaceDE w:val="0"/>
        <w:autoSpaceDN w:val="0"/>
        <w:adjustRightInd w:val="0"/>
        <w:jc w:val="both"/>
        <w:rPr>
          <w:rFonts w:ascii="Arial" w:hAnsi="Arial" w:cs="Arial"/>
          <w:sz w:val="22"/>
          <w:szCs w:val="22"/>
        </w:rPr>
      </w:pPr>
    </w:p>
    <w:p w14:paraId="7F65A054" w14:textId="7D1C7EB6"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7</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Toute personne qui prépare, pour son compte, une opération financière susceptible d’avoir une incidence</w:t>
      </w:r>
      <w:r w:rsidR="00D44235" w:rsidRPr="00A64175">
        <w:rPr>
          <w:rFonts w:ascii="Arial" w:hAnsi="Arial" w:cs="Arial"/>
          <w:sz w:val="22"/>
          <w:szCs w:val="22"/>
        </w:rPr>
        <w:t xml:space="preserve"> </w:t>
      </w:r>
      <w:r w:rsidR="00781AE4" w:rsidRPr="00A64175">
        <w:rPr>
          <w:rFonts w:ascii="Arial" w:hAnsi="Arial" w:cs="Arial"/>
          <w:sz w:val="22"/>
          <w:szCs w:val="22"/>
        </w:rPr>
        <w:t>significative sur le cours d’une valeur ou sur la situation et les droits de</w:t>
      </w:r>
      <w:r w:rsidR="00D44235" w:rsidRPr="00A64175">
        <w:rPr>
          <w:rFonts w:ascii="Arial" w:hAnsi="Arial" w:cs="Arial"/>
          <w:sz w:val="22"/>
          <w:szCs w:val="22"/>
        </w:rPr>
        <w:t xml:space="preserve">s porteurs des titres concernés </w:t>
      </w:r>
      <w:r w:rsidR="00781AE4" w:rsidRPr="00A64175">
        <w:rPr>
          <w:rFonts w:ascii="Arial" w:hAnsi="Arial" w:cs="Arial"/>
          <w:sz w:val="22"/>
          <w:szCs w:val="22"/>
        </w:rPr>
        <w:t>doit, sans délai, porter à la connaissance du public les caractéristiques de cette opération.</w:t>
      </w:r>
    </w:p>
    <w:p w14:paraId="3DA1C195" w14:textId="77777777" w:rsidR="00D44235" w:rsidRPr="00A64175" w:rsidRDefault="00D44235" w:rsidP="00A64175">
      <w:pPr>
        <w:autoSpaceDE w:val="0"/>
        <w:autoSpaceDN w:val="0"/>
        <w:adjustRightInd w:val="0"/>
        <w:jc w:val="both"/>
        <w:rPr>
          <w:rFonts w:ascii="Arial" w:hAnsi="Arial" w:cs="Arial"/>
          <w:sz w:val="22"/>
          <w:szCs w:val="22"/>
        </w:rPr>
      </w:pPr>
    </w:p>
    <w:p w14:paraId="3C6A0DC5" w14:textId="493609FF"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8</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En toutes circonstances, la COSUMAF peut demander à un émetteur dont les</w:t>
      </w:r>
      <w:r w:rsidR="00D44235" w:rsidRPr="00A64175">
        <w:rPr>
          <w:rFonts w:ascii="Arial" w:hAnsi="Arial" w:cs="Arial"/>
          <w:sz w:val="22"/>
          <w:szCs w:val="22"/>
        </w:rPr>
        <w:t xml:space="preserve"> titres sont inscrits à la cote </w:t>
      </w:r>
      <w:r w:rsidR="00781AE4" w:rsidRPr="00A64175">
        <w:rPr>
          <w:rFonts w:ascii="Arial" w:hAnsi="Arial" w:cs="Arial"/>
          <w:sz w:val="22"/>
          <w:szCs w:val="22"/>
        </w:rPr>
        <w:t>de la Bourse Régionale de publier dans les délais appropriés, des inform</w:t>
      </w:r>
      <w:r w:rsidR="00D44235" w:rsidRPr="00A64175">
        <w:rPr>
          <w:rFonts w:ascii="Arial" w:hAnsi="Arial" w:cs="Arial"/>
          <w:sz w:val="22"/>
          <w:szCs w:val="22"/>
        </w:rPr>
        <w:t xml:space="preserve">ations qu’elle juge utiles à la </w:t>
      </w:r>
      <w:r w:rsidR="00781AE4" w:rsidRPr="00A64175">
        <w:rPr>
          <w:rFonts w:ascii="Arial" w:hAnsi="Arial" w:cs="Arial"/>
          <w:sz w:val="22"/>
          <w:szCs w:val="22"/>
        </w:rPr>
        <w:t>protection des investisseurs et au bon fonctionnement du marché.</w:t>
      </w:r>
    </w:p>
    <w:p w14:paraId="4B9F0260" w14:textId="10BDB9DB" w:rsidR="00781AE4" w:rsidRPr="00A64175" w:rsidRDefault="00781AE4" w:rsidP="00A64175">
      <w:pPr>
        <w:autoSpaceDE w:val="0"/>
        <w:autoSpaceDN w:val="0"/>
        <w:adjustRightInd w:val="0"/>
        <w:jc w:val="both"/>
        <w:rPr>
          <w:rFonts w:ascii="Arial" w:hAnsi="Arial" w:cs="Arial"/>
          <w:sz w:val="22"/>
          <w:szCs w:val="22"/>
        </w:rPr>
      </w:pPr>
    </w:p>
    <w:p w14:paraId="437DE2AD" w14:textId="0C71F35D"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A défaut pour l’émetteur de s’exécuter, la COSUMAF procède elle</w:t>
      </w:r>
      <w:r w:rsidR="00D44235" w:rsidRPr="00A64175">
        <w:rPr>
          <w:rFonts w:ascii="Arial" w:hAnsi="Arial" w:cs="Arial"/>
          <w:sz w:val="22"/>
          <w:szCs w:val="22"/>
        </w:rPr>
        <w:t xml:space="preserve">-même à la publication desdites </w:t>
      </w:r>
      <w:r w:rsidRPr="00A64175">
        <w:rPr>
          <w:rFonts w:ascii="Arial" w:hAnsi="Arial" w:cs="Arial"/>
          <w:sz w:val="22"/>
          <w:szCs w:val="22"/>
        </w:rPr>
        <w:t>informations, aux frais de l’émetteur défaillant, sans préjudice de l’application des éventuelles sanctions.</w:t>
      </w:r>
    </w:p>
    <w:p w14:paraId="6F172EF4" w14:textId="77777777" w:rsidR="00D44235" w:rsidRPr="00A64175" w:rsidRDefault="00D44235" w:rsidP="00A64175">
      <w:pPr>
        <w:autoSpaceDE w:val="0"/>
        <w:autoSpaceDN w:val="0"/>
        <w:adjustRightInd w:val="0"/>
        <w:jc w:val="both"/>
        <w:rPr>
          <w:rFonts w:ascii="Arial" w:hAnsi="Arial" w:cs="Arial"/>
          <w:sz w:val="22"/>
          <w:szCs w:val="22"/>
        </w:rPr>
      </w:pPr>
    </w:p>
    <w:p w14:paraId="0ED116CC" w14:textId="392A5B79" w:rsidR="00781AE4"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18</w:t>
      </w:r>
      <w:r w:rsidR="00FC3A4C">
        <w:rPr>
          <w:rFonts w:ascii="Arial" w:hAnsi="Arial" w:cs="Arial"/>
          <w:b/>
          <w:bCs/>
          <w:sz w:val="22"/>
          <w:szCs w:val="22"/>
        </w:rPr>
        <w:t>9</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Les copies d’encarts ou d’annonces publicitaires ou de tous autres documents ou supports destinés à la</w:t>
      </w:r>
      <w:r w:rsidR="00D44235" w:rsidRPr="00A64175">
        <w:rPr>
          <w:rFonts w:ascii="Arial" w:hAnsi="Arial" w:cs="Arial"/>
          <w:sz w:val="22"/>
          <w:szCs w:val="22"/>
        </w:rPr>
        <w:t xml:space="preserve"> </w:t>
      </w:r>
      <w:r w:rsidR="00781AE4" w:rsidRPr="00A64175">
        <w:rPr>
          <w:rFonts w:ascii="Arial" w:hAnsi="Arial" w:cs="Arial"/>
          <w:sz w:val="22"/>
          <w:szCs w:val="22"/>
        </w:rPr>
        <w:t>presse, doivent être préalablement communiquées à la COSUMAF par l’émetteur concerné.</w:t>
      </w:r>
    </w:p>
    <w:p w14:paraId="7484FECD" w14:textId="77777777" w:rsidR="00D44235" w:rsidRPr="00A64175" w:rsidRDefault="00D44235" w:rsidP="00A64175">
      <w:pPr>
        <w:autoSpaceDE w:val="0"/>
        <w:autoSpaceDN w:val="0"/>
        <w:adjustRightInd w:val="0"/>
        <w:jc w:val="both"/>
        <w:rPr>
          <w:rFonts w:ascii="Arial" w:hAnsi="Arial" w:cs="Arial"/>
          <w:sz w:val="22"/>
          <w:szCs w:val="22"/>
        </w:rPr>
      </w:pPr>
    </w:p>
    <w:p w14:paraId="5328F545" w14:textId="235AD54F" w:rsidR="00781AE4" w:rsidRPr="00A64175" w:rsidRDefault="00781AE4" w:rsidP="00A64175">
      <w:pPr>
        <w:autoSpaceDE w:val="0"/>
        <w:autoSpaceDN w:val="0"/>
        <w:adjustRightInd w:val="0"/>
        <w:jc w:val="both"/>
        <w:rPr>
          <w:rFonts w:ascii="Arial" w:hAnsi="Arial" w:cs="Arial"/>
          <w:sz w:val="22"/>
          <w:szCs w:val="22"/>
        </w:rPr>
      </w:pPr>
      <w:r w:rsidRPr="00A64175">
        <w:rPr>
          <w:rFonts w:ascii="Arial" w:hAnsi="Arial" w:cs="Arial"/>
          <w:sz w:val="22"/>
          <w:szCs w:val="22"/>
        </w:rPr>
        <w:t>La COSUMAF dispose d’un délai de</w:t>
      </w:r>
      <w:r w:rsidR="00D44235" w:rsidRPr="00A64175">
        <w:rPr>
          <w:rFonts w:ascii="Arial" w:hAnsi="Arial" w:cs="Arial"/>
          <w:sz w:val="22"/>
          <w:szCs w:val="22"/>
        </w:rPr>
        <w:t xml:space="preserve"> dix (10) jours à compter de la </w:t>
      </w:r>
      <w:r w:rsidRPr="00A64175">
        <w:rPr>
          <w:rFonts w:ascii="Arial" w:hAnsi="Arial" w:cs="Arial"/>
          <w:sz w:val="22"/>
          <w:szCs w:val="22"/>
        </w:rPr>
        <w:t>c</w:t>
      </w:r>
      <w:r w:rsidR="00D44235" w:rsidRPr="00A64175">
        <w:rPr>
          <w:rFonts w:ascii="Arial" w:hAnsi="Arial" w:cs="Arial"/>
          <w:sz w:val="22"/>
          <w:szCs w:val="22"/>
        </w:rPr>
        <w:t xml:space="preserve">ommunication des documents pour </w:t>
      </w:r>
      <w:r w:rsidRPr="00A64175">
        <w:rPr>
          <w:rFonts w:ascii="Arial" w:hAnsi="Arial" w:cs="Arial"/>
          <w:sz w:val="22"/>
          <w:szCs w:val="22"/>
        </w:rPr>
        <w:t>demander une modification du contenu et de la forme des information</w:t>
      </w:r>
      <w:r w:rsidR="00D44235" w:rsidRPr="00A64175">
        <w:rPr>
          <w:rFonts w:ascii="Arial" w:hAnsi="Arial" w:cs="Arial"/>
          <w:sz w:val="22"/>
          <w:szCs w:val="22"/>
        </w:rPr>
        <w:t xml:space="preserve">s. A défaut, et passé ce délai, </w:t>
      </w:r>
      <w:r w:rsidRPr="00A64175">
        <w:rPr>
          <w:rFonts w:ascii="Arial" w:hAnsi="Arial" w:cs="Arial"/>
          <w:sz w:val="22"/>
          <w:szCs w:val="22"/>
        </w:rPr>
        <w:t>l’autorisation de publication est réputée accordée.</w:t>
      </w:r>
    </w:p>
    <w:p w14:paraId="7E646D79" w14:textId="77777777" w:rsidR="00D44235" w:rsidRPr="00A64175" w:rsidRDefault="00D44235" w:rsidP="00A64175">
      <w:pPr>
        <w:autoSpaceDE w:val="0"/>
        <w:autoSpaceDN w:val="0"/>
        <w:adjustRightInd w:val="0"/>
        <w:jc w:val="both"/>
        <w:rPr>
          <w:rFonts w:ascii="Arial" w:hAnsi="Arial" w:cs="Arial"/>
          <w:sz w:val="22"/>
          <w:szCs w:val="22"/>
        </w:rPr>
      </w:pPr>
    </w:p>
    <w:p w14:paraId="6DC8B53D" w14:textId="4F8B9858" w:rsidR="00D44235" w:rsidRPr="00A64175" w:rsidRDefault="00D44235" w:rsidP="00A64175">
      <w:pPr>
        <w:autoSpaceDE w:val="0"/>
        <w:autoSpaceDN w:val="0"/>
        <w:adjustRightInd w:val="0"/>
        <w:jc w:val="both"/>
        <w:rPr>
          <w:rFonts w:ascii="Arial" w:hAnsi="Arial" w:cs="Arial"/>
          <w:sz w:val="22"/>
          <w:szCs w:val="22"/>
        </w:rPr>
      </w:pPr>
      <w:r w:rsidRPr="00A64175">
        <w:rPr>
          <w:rFonts w:ascii="Arial" w:hAnsi="Arial" w:cs="Arial"/>
          <w:b/>
          <w:i/>
          <w:iCs/>
          <w:color w:val="000000" w:themeColor="text1"/>
          <w:sz w:val="22"/>
          <w:szCs w:val="22"/>
        </w:rPr>
        <w:t xml:space="preserve">Sous-section II – </w:t>
      </w:r>
      <w:r w:rsidRPr="00A64175">
        <w:rPr>
          <w:rFonts w:ascii="Arial" w:hAnsi="Arial" w:cs="Arial"/>
          <w:b/>
          <w:i/>
          <w:sz w:val="22"/>
          <w:szCs w:val="22"/>
        </w:rPr>
        <w:t>Information périodique</w:t>
      </w:r>
    </w:p>
    <w:p w14:paraId="3960378B" w14:textId="77777777" w:rsidR="00D44235" w:rsidRPr="00A64175" w:rsidRDefault="00D44235" w:rsidP="00A64175">
      <w:pPr>
        <w:autoSpaceDE w:val="0"/>
        <w:autoSpaceDN w:val="0"/>
        <w:adjustRightInd w:val="0"/>
        <w:jc w:val="both"/>
        <w:rPr>
          <w:rFonts w:ascii="Arial" w:hAnsi="Arial" w:cs="Arial"/>
          <w:b/>
          <w:bCs/>
          <w:sz w:val="22"/>
          <w:szCs w:val="22"/>
        </w:rPr>
      </w:pPr>
    </w:p>
    <w:p w14:paraId="3E0853F7" w14:textId="1733D2EB" w:rsidR="00231137" w:rsidRPr="00A64175" w:rsidRDefault="00F30BDF" w:rsidP="00A64175">
      <w:pPr>
        <w:autoSpaceDE w:val="0"/>
        <w:autoSpaceDN w:val="0"/>
        <w:adjustRightInd w:val="0"/>
        <w:jc w:val="both"/>
        <w:rPr>
          <w:rFonts w:ascii="Arial" w:hAnsi="Arial" w:cs="Arial"/>
          <w:sz w:val="22"/>
          <w:szCs w:val="22"/>
        </w:rPr>
      </w:pPr>
      <w:r w:rsidRPr="00A64175">
        <w:rPr>
          <w:rFonts w:ascii="Arial" w:hAnsi="Arial" w:cs="Arial"/>
          <w:b/>
          <w:bCs/>
          <w:sz w:val="22"/>
          <w:szCs w:val="22"/>
        </w:rPr>
        <w:t>Article 1</w:t>
      </w:r>
      <w:r w:rsidR="001956AF">
        <w:rPr>
          <w:rFonts w:ascii="Arial" w:hAnsi="Arial" w:cs="Arial"/>
          <w:b/>
          <w:bCs/>
          <w:sz w:val="22"/>
          <w:szCs w:val="22"/>
        </w:rPr>
        <w:t>90</w:t>
      </w:r>
      <w:r w:rsidR="00D44235" w:rsidRPr="00A64175">
        <w:rPr>
          <w:rFonts w:ascii="Arial" w:hAnsi="Arial" w:cs="Arial"/>
          <w:b/>
          <w:bCs/>
          <w:sz w:val="22"/>
          <w:szCs w:val="22"/>
        </w:rPr>
        <w:t>. –</w:t>
      </w:r>
      <w:r w:rsidR="00D44235" w:rsidRPr="00A64175">
        <w:rPr>
          <w:rFonts w:ascii="Arial" w:hAnsi="Arial" w:cs="Arial"/>
          <w:bCs/>
          <w:sz w:val="22"/>
          <w:szCs w:val="22"/>
        </w:rPr>
        <w:t xml:space="preserve"> </w:t>
      </w:r>
      <w:r w:rsidR="00781AE4" w:rsidRPr="00A64175">
        <w:rPr>
          <w:rFonts w:ascii="Arial" w:hAnsi="Arial" w:cs="Arial"/>
          <w:sz w:val="22"/>
          <w:szCs w:val="22"/>
        </w:rPr>
        <w:t>Les émetteurs faisant appel public à l’épargne sont tenus de publier des</w:t>
      </w:r>
      <w:r w:rsidR="00D44235" w:rsidRPr="00A64175">
        <w:rPr>
          <w:rFonts w:ascii="Arial" w:hAnsi="Arial" w:cs="Arial"/>
          <w:sz w:val="22"/>
          <w:szCs w:val="22"/>
        </w:rPr>
        <w:t xml:space="preserve"> informations périodiques selon d</w:t>
      </w:r>
      <w:r w:rsidR="00781AE4" w:rsidRPr="00A64175">
        <w:rPr>
          <w:rFonts w:ascii="Arial" w:hAnsi="Arial" w:cs="Arial"/>
          <w:sz w:val="22"/>
          <w:szCs w:val="22"/>
        </w:rPr>
        <w:t xml:space="preserve">es modalités et </w:t>
      </w:r>
      <w:r w:rsidR="00772B5D" w:rsidRPr="00A64175">
        <w:rPr>
          <w:rFonts w:ascii="Arial" w:hAnsi="Arial" w:cs="Arial"/>
          <w:sz w:val="22"/>
          <w:szCs w:val="22"/>
        </w:rPr>
        <w:t>une fréquence précisée</w:t>
      </w:r>
      <w:r w:rsidR="00781AE4" w:rsidRPr="00A64175">
        <w:rPr>
          <w:rFonts w:ascii="Arial" w:hAnsi="Arial" w:cs="Arial"/>
          <w:sz w:val="22"/>
          <w:szCs w:val="22"/>
        </w:rPr>
        <w:t xml:space="preserve"> dans une instruction de la COSUMAF.</w:t>
      </w:r>
    </w:p>
    <w:p w14:paraId="69B3DBF7" w14:textId="77777777" w:rsidR="00231137" w:rsidRPr="00A64175" w:rsidRDefault="00231137" w:rsidP="00A64175">
      <w:pPr>
        <w:widowControl w:val="0"/>
        <w:autoSpaceDE w:val="0"/>
        <w:autoSpaceDN w:val="0"/>
        <w:adjustRightInd w:val="0"/>
        <w:jc w:val="both"/>
        <w:rPr>
          <w:rFonts w:ascii="Arial" w:hAnsi="Arial" w:cs="Arial"/>
          <w:color w:val="000000"/>
          <w:kern w:val="1"/>
          <w:sz w:val="22"/>
          <w:szCs w:val="22"/>
        </w:rPr>
      </w:pPr>
    </w:p>
    <w:p w14:paraId="4F4FCAFD" w14:textId="77777777" w:rsidR="00043502" w:rsidRPr="00A64175" w:rsidRDefault="00043502" w:rsidP="00A64175">
      <w:pPr>
        <w:widowControl w:val="0"/>
        <w:autoSpaceDE w:val="0"/>
        <w:autoSpaceDN w:val="0"/>
        <w:adjustRightInd w:val="0"/>
        <w:jc w:val="both"/>
        <w:rPr>
          <w:rFonts w:ascii="Arial" w:hAnsi="Arial" w:cs="Arial"/>
          <w:color w:val="000000"/>
          <w:kern w:val="1"/>
          <w:sz w:val="22"/>
          <w:szCs w:val="22"/>
        </w:rPr>
      </w:pPr>
    </w:p>
    <w:p w14:paraId="432B2F1E" w14:textId="16E868D8" w:rsidR="00043502" w:rsidRPr="00A64175" w:rsidRDefault="0026180D"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sz w:val="22"/>
          <w:szCs w:val="22"/>
        </w:rPr>
        <w:t xml:space="preserve">Chapitre II – </w:t>
      </w:r>
      <w:r w:rsidRPr="00A64175">
        <w:rPr>
          <w:rFonts w:ascii="Arial" w:hAnsi="Arial" w:cs="Arial"/>
          <w:b/>
          <w:color w:val="000000" w:themeColor="text1"/>
          <w:sz w:val="22"/>
          <w:szCs w:val="22"/>
        </w:rPr>
        <w:t>Enregistrement des opérations de placement privé</w:t>
      </w:r>
    </w:p>
    <w:p w14:paraId="6ABB5841" w14:textId="77777777" w:rsidR="00043502" w:rsidRPr="00A64175" w:rsidRDefault="00043502" w:rsidP="00A64175">
      <w:pPr>
        <w:widowControl w:val="0"/>
        <w:autoSpaceDE w:val="0"/>
        <w:autoSpaceDN w:val="0"/>
        <w:adjustRightInd w:val="0"/>
        <w:jc w:val="both"/>
        <w:rPr>
          <w:rFonts w:ascii="Arial" w:hAnsi="Arial" w:cs="Arial"/>
          <w:color w:val="000000"/>
          <w:kern w:val="1"/>
          <w:sz w:val="22"/>
          <w:szCs w:val="22"/>
        </w:rPr>
      </w:pPr>
    </w:p>
    <w:p w14:paraId="540D9B19" w14:textId="77777777" w:rsidR="00C83DE8" w:rsidRPr="00A64175" w:rsidRDefault="00C83DE8" w:rsidP="00A64175">
      <w:pPr>
        <w:widowControl w:val="0"/>
        <w:autoSpaceDE w:val="0"/>
        <w:autoSpaceDN w:val="0"/>
        <w:adjustRightInd w:val="0"/>
        <w:jc w:val="both"/>
        <w:rPr>
          <w:rFonts w:ascii="Arial" w:hAnsi="Arial" w:cs="Arial"/>
          <w:color w:val="000000"/>
          <w:kern w:val="1"/>
          <w:sz w:val="22"/>
          <w:szCs w:val="22"/>
        </w:rPr>
      </w:pPr>
    </w:p>
    <w:p w14:paraId="7CAA22C9" w14:textId="3A2F4734" w:rsidR="0026180D" w:rsidRPr="00A64175" w:rsidRDefault="00F30BDF" w:rsidP="00A64175">
      <w:pPr>
        <w:widowControl w:val="0"/>
        <w:autoSpaceDE w:val="0"/>
        <w:adjustRightInd w:val="0"/>
        <w:spacing w:before="29"/>
        <w:ind w:left="111" w:right="67"/>
        <w:jc w:val="both"/>
        <w:rPr>
          <w:rFonts w:ascii="Arial" w:hAnsi="Arial" w:cs="Arial"/>
          <w:sz w:val="22"/>
          <w:szCs w:val="22"/>
        </w:rPr>
      </w:pPr>
      <w:r w:rsidRPr="00A64175">
        <w:rPr>
          <w:rFonts w:ascii="Arial" w:hAnsi="Arial" w:cs="Arial"/>
          <w:b/>
          <w:bCs/>
          <w:sz w:val="22"/>
          <w:szCs w:val="22"/>
        </w:rPr>
        <w:t>Article 1</w:t>
      </w:r>
      <w:r w:rsidR="00044B0E">
        <w:rPr>
          <w:rFonts w:ascii="Arial" w:hAnsi="Arial" w:cs="Arial"/>
          <w:b/>
          <w:bCs/>
          <w:sz w:val="22"/>
          <w:szCs w:val="22"/>
        </w:rPr>
        <w:t>9</w:t>
      </w:r>
      <w:r w:rsidR="001956AF">
        <w:rPr>
          <w:rFonts w:ascii="Arial" w:hAnsi="Arial" w:cs="Arial"/>
          <w:b/>
          <w:bCs/>
          <w:sz w:val="22"/>
          <w:szCs w:val="22"/>
        </w:rPr>
        <w:t>1</w:t>
      </w:r>
      <w:r w:rsidR="00C83DE8" w:rsidRPr="00A64175">
        <w:rPr>
          <w:rFonts w:ascii="Arial" w:hAnsi="Arial" w:cs="Arial"/>
          <w:b/>
          <w:bCs/>
          <w:sz w:val="22"/>
          <w:szCs w:val="22"/>
        </w:rPr>
        <w:t>. –</w:t>
      </w:r>
      <w:r w:rsidR="00C83DE8" w:rsidRPr="00A64175">
        <w:rPr>
          <w:rFonts w:ascii="Arial" w:hAnsi="Arial" w:cs="Arial"/>
          <w:bCs/>
          <w:sz w:val="22"/>
          <w:szCs w:val="22"/>
        </w:rPr>
        <w:t xml:space="preserve"> Conformément aux dispositions de l’article 90 du</w:t>
      </w:r>
      <w:r w:rsidR="000A3CA0" w:rsidRPr="00A64175">
        <w:rPr>
          <w:rFonts w:ascii="Arial" w:hAnsi="Arial" w:cs="Arial"/>
          <w:color w:val="000000"/>
          <w:sz w:val="22"/>
          <w:szCs w:val="22"/>
        </w:rPr>
        <w:t xml:space="preserve"> Règlement n°01/22/CEMAC/UMAC/CM/COSUMAF du 21 juillet 2022,</w:t>
      </w:r>
      <w:r w:rsidR="00C83DE8" w:rsidRPr="00A64175">
        <w:rPr>
          <w:rFonts w:ascii="Arial" w:hAnsi="Arial" w:cs="Arial"/>
          <w:bCs/>
          <w:sz w:val="22"/>
          <w:szCs w:val="22"/>
        </w:rPr>
        <w:t xml:space="preserve"> </w:t>
      </w:r>
      <w:r w:rsidR="000A3CA0" w:rsidRPr="00A64175">
        <w:rPr>
          <w:rFonts w:ascii="Arial" w:hAnsi="Arial" w:cs="Arial"/>
          <w:bCs/>
          <w:sz w:val="22"/>
          <w:szCs w:val="22"/>
        </w:rPr>
        <w:t>l</w:t>
      </w:r>
      <w:r w:rsidR="0026180D" w:rsidRPr="00A64175">
        <w:rPr>
          <w:rFonts w:ascii="Arial" w:hAnsi="Arial" w:cs="Arial"/>
          <w:sz w:val="22"/>
          <w:szCs w:val="22"/>
        </w:rPr>
        <w:t>’é</w:t>
      </w:r>
      <w:r w:rsidR="0026180D" w:rsidRPr="00A64175">
        <w:rPr>
          <w:rFonts w:ascii="Arial" w:hAnsi="Arial" w:cs="Arial"/>
          <w:spacing w:val="-2"/>
          <w:sz w:val="22"/>
          <w:szCs w:val="22"/>
        </w:rPr>
        <w:t>m</w:t>
      </w:r>
      <w:r w:rsidR="0026180D" w:rsidRPr="00A64175">
        <w:rPr>
          <w:rFonts w:ascii="Arial" w:hAnsi="Arial" w:cs="Arial"/>
          <w:sz w:val="22"/>
          <w:szCs w:val="22"/>
        </w:rPr>
        <w:t>ission</w:t>
      </w:r>
      <w:r w:rsidR="0026180D" w:rsidRPr="00A64175">
        <w:rPr>
          <w:rFonts w:ascii="Arial" w:hAnsi="Arial" w:cs="Arial"/>
          <w:spacing w:val="1"/>
          <w:sz w:val="22"/>
          <w:szCs w:val="22"/>
        </w:rPr>
        <w:t xml:space="preserve"> </w:t>
      </w:r>
      <w:r w:rsidR="0026180D" w:rsidRPr="00A64175">
        <w:rPr>
          <w:rFonts w:ascii="Arial" w:hAnsi="Arial" w:cs="Arial"/>
          <w:sz w:val="22"/>
          <w:szCs w:val="22"/>
        </w:rPr>
        <w:t>ou</w:t>
      </w:r>
      <w:r w:rsidR="0026180D" w:rsidRPr="00A64175">
        <w:rPr>
          <w:rFonts w:ascii="Arial" w:hAnsi="Arial" w:cs="Arial"/>
          <w:spacing w:val="1"/>
          <w:sz w:val="22"/>
          <w:szCs w:val="22"/>
        </w:rPr>
        <w:t xml:space="preserve"> </w:t>
      </w:r>
      <w:r w:rsidR="0026180D" w:rsidRPr="00A64175">
        <w:rPr>
          <w:rFonts w:ascii="Arial" w:hAnsi="Arial" w:cs="Arial"/>
          <w:sz w:val="22"/>
          <w:szCs w:val="22"/>
        </w:rPr>
        <w:t>la</w:t>
      </w:r>
      <w:r w:rsidR="0026180D" w:rsidRPr="00A64175">
        <w:rPr>
          <w:rFonts w:ascii="Arial" w:hAnsi="Arial" w:cs="Arial"/>
          <w:spacing w:val="1"/>
          <w:sz w:val="22"/>
          <w:szCs w:val="22"/>
        </w:rPr>
        <w:t xml:space="preserve"> </w:t>
      </w:r>
      <w:r w:rsidR="0026180D" w:rsidRPr="00A64175">
        <w:rPr>
          <w:rFonts w:ascii="Arial" w:hAnsi="Arial" w:cs="Arial"/>
          <w:sz w:val="22"/>
          <w:szCs w:val="22"/>
        </w:rPr>
        <w:t>ces</w:t>
      </w:r>
      <w:r w:rsidR="0026180D" w:rsidRPr="00A64175">
        <w:rPr>
          <w:rFonts w:ascii="Arial" w:hAnsi="Arial" w:cs="Arial"/>
          <w:spacing w:val="-1"/>
          <w:sz w:val="22"/>
          <w:szCs w:val="22"/>
        </w:rPr>
        <w:t>s</w:t>
      </w:r>
      <w:r w:rsidR="0026180D" w:rsidRPr="00A64175">
        <w:rPr>
          <w:rFonts w:ascii="Arial" w:hAnsi="Arial" w:cs="Arial"/>
          <w:sz w:val="22"/>
          <w:szCs w:val="22"/>
        </w:rPr>
        <w:t>i</w:t>
      </w:r>
      <w:r w:rsidR="0026180D" w:rsidRPr="00A64175">
        <w:rPr>
          <w:rFonts w:ascii="Arial" w:hAnsi="Arial" w:cs="Arial"/>
          <w:spacing w:val="-1"/>
          <w:sz w:val="22"/>
          <w:szCs w:val="22"/>
        </w:rPr>
        <w:t>o</w:t>
      </w:r>
      <w:r w:rsidR="0026180D" w:rsidRPr="00A64175">
        <w:rPr>
          <w:rFonts w:ascii="Arial" w:hAnsi="Arial" w:cs="Arial"/>
          <w:sz w:val="22"/>
          <w:szCs w:val="22"/>
        </w:rPr>
        <w:t>n</w:t>
      </w:r>
      <w:r w:rsidR="0026180D" w:rsidRPr="00A64175">
        <w:rPr>
          <w:rFonts w:ascii="Arial" w:hAnsi="Arial" w:cs="Arial"/>
          <w:spacing w:val="1"/>
          <w:sz w:val="22"/>
          <w:szCs w:val="22"/>
        </w:rPr>
        <w:t xml:space="preserve"> </w:t>
      </w:r>
      <w:r w:rsidR="0026180D" w:rsidRPr="00A64175">
        <w:rPr>
          <w:rFonts w:ascii="Arial" w:hAnsi="Arial" w:cs="Arial"/>
          <w:sz w:val="22"/>
          <w:szCs w:val="22"/>
        </w:rPr>
        <w:t>de</w:t>
      </w:r>
      <w:r w:rsidR="0026180D" w:rsidRPr="00A64175">
        <w:rPr>
          <w:rFonts w:ascii="Arial" w:hAnsi="Arial" w:cs="Arial"/>
          <w:spacing w:val="1"/>
          <w:sz w:val="22"/>
          <w:szCs w:val="22"/>
        </w:rPr>
        <w:t xml:space="preserve"> </w:t>
      </w:r>
      <w:r w:rsidR="0026180D" w:rsidRPr="00A64175">
        <w:rPr>
          <w:rFonts w:ascii="Arial" w:hAnsi="Arial" w:cs="Arial"/>
          <w:sz w:val="22"/>
          <w:szCs w:val="22"/>
        </w:rPr>
        <w:t>titres e</w:t>
      </w:r>
      <w:r w:rsidR="0026180D" w:rsidRPr="00A64175">
        <w:rPr>
          <w:rFonts w:ascii="Arial" w:hAnsi="Arial" w:cs="Arial"/>
          <w:spacing w:val="-1"/>
          <w:sz w:val="22"/>
          <w:szCs w:val="22"/>
        </w:rPr>
        <w:t>ff</w:t>
      </w:r>
      <w:r w:rsidR="0026180D" w:rsidRPr="00A64175">
        <w:rPr>
          <w:rFonts w:ascii="Arial" w:hAnsi="Arial" w:cs="Arial"/>
          <w:sz w:val="22"/>
          <w:szCs w:val="22"/>
        </w:rPr>
        <w:t>ectuée</w:t>
      </w:r>
      <w:r w:rsidR="0026180D" w:rsidRPr="00A64175">
        <w:rPr>
          <w:rFonts w:ascii="Arial" w:hAnsi="Arial" w:cs="Arial"/>
          <w:spacing w:val="1"/>
          <w:sz w:val="22"/>
          <w:szCs w:val="22"/>
        </w:rPr>
        <w:t xml:space="preserve"> </w:t>
      </w:r>
      <w:r w:rsidR="0026180D" w:rsidRPr="00A64175">
        <w:rPr>
          <w:rFonts w:ascii="Arial" w:hAnsi="Arial" w:cs="Arial"/>
          <w:sz w:val="22"/>
          <w:szCs w:val="22"/>
        </w:rPr>
        <w:t>da</w:t>
      </w:r>
      <w:r w:rsidR="0026180D" w:rsidRPr="00A64175">
        <w:rPr>
          <w:rFonts w:ascii="Arial" w:hAnsi="Arial" w:cs="Arial"/>
          <w:spacing w:val="-1"/>
          <w:sz w:val="22"/>
          <w:szCs w:val="22"/>
        </w:rPr>
        <w:t>n</w:t>
      </w:r>
      <w:r w:rsidR="0026180D" w:rsidRPr="00A64175">
        <w:rPr>
          <w:rFonts w:ascii="Arial" w:hAnsi="Arial" w:cs="Arial"/>
          <w:sz w:val="22"/>
          <w:szCs w:val="22"/>
        </w:rPr>
        <w:t>s le cad</w:t>
      </w:r>
      <w:r w:rsidR="0026180D" w:rsidRPr="00A64175">
        <w:rPr>
          <w:rFonts w:ascii="Arial" w:hAnsi="Arial" w:cs="Arial"/>
          <w:spacing w:val="-1"/>
          <w:sz w:val="22"/>
          <w:szCs w:val="22"/>
        </w:rPr>
        <w:t>r</w:t>
      </w:r>
      <w:r w:rsidR="0026180D" w:rsidRPr="00A64175">
        <w:rPr>
          <w:rFonts w:ascii="Arial" w:hAnsi="Arial" w:cs="Arial"/>
          <w:sz w:val="22"/>
          <w:szCs w:val="22"/>
        </w:rPr>
        <w:t>e</w:t>
      </w:r>
      <w:r w:rsidR="0026180D" w:rsidRPr="00A64175">
        <w:rPr>
          <w:rFonts w:ascii="Arial" w:hAnsi="Arial" w:cs="Arial"/>
          <w:spacing w:val="2"/>
          <w:sz w:val="22"/>
          <w:szCs w:val="22"/>
        </w:rPr>
        <w:t xml:space="preserve"> </w:t>
      </w:r>
      <w:r w:rsidR="0026180D" w:rsidRPr="00A64175">
        <w:rPr>
          <w:rFonts w:ascii="Arial" w:hAnsi="Arial" w:cs="Arial"/>
          <w:sz w:val="22"/>
          <w:szCs w:val="22"/>
        </w:rPr>
        <w:t>d’</w:t>
      </w:r>
      <w:r w:rsidR="0026180D" w:rsidRPr="00A64175">
        <w:rPr>
          <w:rFonts w:ascii="Arial" w:hAnsi="Arial" w:cs="Arial"/>
          <w:spacing w:val="-1"/>
          <w:sz w:val="22"/>
          <w:szCs w:val="22"/>
        </w:rPr>
        <w:t>u</w:t>
      </w:r>
      <w:r w:rsidR="0026180D" w:rsidRPr="00A64175">
        <w:rPr>
          <w:rFonts w:ascii="Arial" w:hAnsi="Arial" w:cs="Arial"/>
          <w:sz w:val="22"/>
          <w:szCs w:val="22"/>
        </w:rPr>
        <w:t>n</w:t>
      </w:r>
      <w:r w:rsidR="0026180D" w:rsidRPr="00A64175">
        <w:rPr>
          <w:rFonts w:ascii="Arial" w:hAnsi="Arial" w:cs="Arial"/>
          <w:spacing w:val="1"/>
          <w:sz w:val="22"/>
          <w:szCs w:val="22"/>
        </w:rPr>
        <w:t xml:space="preserve"> </w:t>
      </w:r>
      <w:r w:rsidR="0026180D" w:rsidRPr="00A64175">
        <w:rPr>
          <w:rFonts w:ascii="Arial" w:hAnsi="Arial" w:cs="Arial"/>
          <w:sz w:val="22"/>
          <w:szCs w:val="22"/>
        </w:rPr>
        <w:t>pla</w:t>
      </w:r>
      <w:r w:rsidR="0026180D" w:rsidRPr="00A64175">
        <w:rPr>
          <w:rFonts w:ascii="Arial" w:hAnsi="Arial" w:cs="Arial"/>
          <w:spacing w:val="-1"/>
          <w:sz w:val="22"/>
          <w:szCs w:val="22"/>
        </w:rPr>
        <w:t>c</w:t>
      </w:r>
      <w:r w:rsidR="0026180D" w:rsidRPr="00A64175">
        <w:rPr>
          <w:rFonts w:ascii="Arial" w:hAnsi="Arial" w:cs="Arial"/>
          <w:sz w:val="22"/>
          <w:szCs w:val="22"/>
        </w:rPr>
        <w:t>e</w:t>
      </w:r>
      <w:r w:rsidR="0026180D" w:rsidRPr="00A64175">
        <w:rPr>
          <w:rFonts w:ascii="Arial" w:hAnsi="Arial" w:cs="Arial"/>
          <w:spacing w:val="-2"/>
          <w:sz w:val="22"/>
          <w:szCs w:val="22"/>
        </w:rPr>
        <w:t>m</w:t>
      </w:r>
      <w:r w:rsidR="0026180D" w:rsidRPr="00A64175">
        <w:rPr>
          <w:rFonts w:ascii="Arial" w:hAnsi="Arial" w:cs="Arial"/>
          <w:sz w:val="22"/>
          <w:szCs w:val="22"/>
        </w:rPr>
        <w:t>ent</w:t>
      </w:r>
      <w:r w:rsidR="0026180D" w:rsidRPr="00A64175">
        <w:rPr>
          <w:rFonts w:ascii="Arial" w:hAnsi="Arial" w:cs="Arial"/>
          <w:spacing w:val="2"/>
          <w:sz w:val="22"/>
          <w:szCs w:val="22"/>
        </w:rPr>
        <w:t xml:space="preserve"> </w:t>
      </w:r>
      <w:r w:rsidR="0026180D" w:rsidRPr="00A64175">
        <w:rPr>
          <w:rFonts w:ascii="Arial" w:hAnsi="Arial" w:cs="Arial"/>
          <w:sz w:val="22"/>
          <w:szCs w:val="22"/>
        </w:rPr>
        <w:t>privé e</w:t>
      </w:r>
      <w:r w:rsidR="0026180D" w:rsidRPr="00A64175">
        <w:rPr>
          <w:rFonts w:ascii="Arial" w:hAnsi="Arial" w:cs="Arial"/>
          <w:spacing w:val="-1"/>
          <w:sz w:val="22"/>
          <w:szCs w:val="22"/>
        </w:rPr>
        <w:t>s</w:t>
      </w:r>
      <w:r w:rsidR="0026180D" w:rsidRPr="00A64175">
        <w:rPr>
          <w:rFonts w:ascii="Arial" w:hAnsi="Arial" w:cs="Arial"/>
          <w:sz w:val="22"/>
          <w:szCs w:val="22"/>
        </w:rPr>
        <w:t>t</w:t>
      </w:r>
      <w:r w:rsidR="0026180D" w:rsidRPr="00A64175">
        <w:rPr>
          <w:rFonts w:ascii="Arial" w:hAnsi="Arial" w:cs="Arial"/>
          <w:spacing w:val="2"/>
          <w:sz w:val="22"/>
          <w:szCs w:val="22"/>
        </w:rPr>
        <w:t xml:space="preserve"> </w:t>
      </w:r>
      <w:r w:rsidR="0026180D" w:rsidRPr="00A64175">
        <w:rPr>
          <w:rFonts w:ascii="Arial" w:hAnsi="Arial" w:cs="Arial"/>
          <w:sz w:val="22"/>
          <w:szCs w:val="22"/>
        </w:rPr>
        <w:t>s</w:t>
      </w:r>
      <w:r w:rsidR="0026180D" w:rsidRPr="00A64175">
        <w:rPr>
          <w:rFonts w:ascii="Arial" w:hAnsi="Arial" w:cs="Arial"/>
          <w:spacing w:val="-1"/>
          <w:sz w:val="22"/>
          <w:szCs w:val="22"/>
        </w:rPr>
        <w:t>o</w:t>
      </w:r>
      <w:r w:rsidR="0026180D" w:rsidRPr="00A64175">
        <w:rPr>
          <w:rFonts w:ascii="Arial" w:hAnsi="Arial" w:cs="Arial"/>
          <w:sz w:val="22"/>
          <w:szCs w:val="22"/>
        </w:rPr>
        <w:t>u</w:t>
      </w:r>
      <w:r w:rsidR="0026180D" w:rsidRPr="00A64175">
        <w:rPr>
          <w:rFonts w:ascii="Arial" w:hAnsi="Arial" w:cs="Arial"/>
          <w:spacing w:val="-2"/>
          <w:sz w:val="22"/>
          <w:szCs w:val="22"/>
        </w:rPr>
        <w:t>m</w:t>
      </w:r>
      <w:r w:rsidR="0026180D" w:rsidRPr="00A64175">
        <w:rPr>
          <w:rFonts w:ascii="Arial" w:hAnsi="Arial" w:cs="Arial"/>
          <w:sz w:val="22"/>
          <w:szCs w:val="22"/>
        </w:rPr>
        <w:t>ise</w:t>
      </w:r>
      <w:r w:rsidR="0026180D" w:rsidRPr="00A64175">
        <w:rPr>
          <w:rFonts w:ascii="Arial" w:hAnsi="Arial" w:cs="Arial"/>
          <w:spacing w:val="2"/>
          <w:sz w:val="22"/>
          <w:szCs w:val="22"/>
        </w:rPr>
        <w:t xml:space="preserve"> </w:t>
      </w:r>
      <w:r w:rsidR="0026180D" w:rsidRPr="00A64175">
        <w:rPr>
          <w:rFonts w:ascii="Arial" w:hAnsi="Arial" w:cs="Arial"/>
          <w:sz w:val="22"/>
          <w:szCs w:val="22"/>
        </w:rPr>
        <w:t>à</w:t>
      </w:r>
      <w:r w:rsidR="0026180D" w:rsidRPr="00A64175">
        <w:rPr>
          <w:rFonts w:ascii="Arial" w:hAnsi="Arial" w:cs="Arial"/>
          <w:spacing w:val="2"/>
          <w:sz w:val="22"/>
          <w:szCs w:val="22"/>
        </w:rPr>
        <w:t xml:space="preserve"> </w:t>
      </w:r>
      <w:r w:rsidR="0026180D" w:rsidRPr="00A64175">
        <w:rPr>
          <w:rFonts w:ascii="Arial" w:hAnsi="Arial" w:cs="Arial"/>
          <w:sz w:val="22"/>
          <w:szCs w:val="22"/>
        </w:rPr>
        <w:t>la</w:t>
      </w:r>
      <w:r w:rsidR="0026180D" w:rsidRPr="00A64175">
        <w:rPr>
          <w:rFonts w:ascii="Arial" w:hAnsi="Arial" w:cs="Arial"/>
          <w:spacing w:val="2"/>
          <w:sz w:val="22"/>
          <w:szCs w:val="22"/>
        </w:rPr>
        <w:t xml:space="preserve"> </w:t>
      </w:r>
      <w:r w:rsidR="0026180D" w:rsidRPr="00A64175">
        <w:rPr>
          <w:rFonts w:ascii="Arial" w:hAnsi="Arial" w:cs="Arial"/>
          <w:spacing w:val="-2"/>
          <w:sz w:val="22"/>
          <w:szCs w:val="22"/>
        </w:rPr>
        <w:t>f</w:t>
      </w:r>
      <w:r w:rsidR="0026180D" w:rsidRPr="00A64175">
        <w:rPr>
          <w:rFonts w:ascii="Arial" w:hAnsi="Arial" w:cs="Arial"/>
          <w:sz w:val="22"/>
          <w:szCs w:val="22"/>
        </w:rPr>
        <w:t>or</w:t>
      </w:r>
      <w:r w:rsidR="0026180D" w:rsidRPr="00A64175">
        <w:rPr>
          <w:rFonts w:ascii="Arial" w:hAnsi="Arial" w:cs="Arial"/>
          <w:spacing w:val="-2"/>
          <w:sz w:val="22"/>
          <w:szCs w:val="22"/>
        </w:rPr>
        <w:t>m</w:t>
      </w:r>
      <w:r w:rsidR="0026180D" w:rsidRPr="00A64175">
        <w:rPr>
          <w:rFonts w:ascii="Arial" w:hAnsi="Arial" w:cs="Arial"/>
          <w:sz w:val="22"/>
          <w:szCs w:val="22"/>
        </w:rPr>
        <w:t>alité de l’enregistre</w:t>
      </w:r>
      <w:r w:rsidR="0026180D" w:rsidRPr="00A64175">
        <w:rPr>
          <w:rFonts w:ascii="Arial" w:hAnsi="Arial" w:cs="Arial"/>
          <w:spacing w:val="-2"/>
          <w:sz w:val="22"/>
          <w:szCs w:val="22"/>
        </w:rPr>
        <w:t>m</w:t>
      </w:r>
      <w:r w:rsidR="0026180D" w:rsidRPr="00A64175">
        <w:rPr>
          <w:rFonts w:ascii="Arial" w:hAnsi="Arial" w:cs="Arial"/>
          <w:sz w:val="22"/>
          <w:szCs w:val="22"/>
        </w:rPr>
        <w:t>ent par la COSUMAF.</w:t>
      </w:r>
    </w:p>
    <w:p w14:paraId="31362E24" w14:textId="77777777" w:rsidR="000A3CA0" w:rsidRPr="00A64175" w:rsidRDefault="000A3CA0" w:rsidP="00A64175">
      <w:pPr>
        <w:widowControl w:val="0"/>
        <w:autoSpaceDE w:val="0"/>
        <w:adjustRightInd w:val="0"/>
        <w:spacing w:before="29"/>
        <w:ind w:left="111" w:right="67"/>
        <w:jc w:val="both"/>
        <w:rPr>
          <w:rFonts w:ascii="Arial" w:hAnsi="Arial" w:cs="Arial"/>
          <w:sz w:val="22"/>
          <w:szCs w:val="22"/>
        </w:rPr>
      </w:pPr>
    </w:p>
    <w:p w14:paraId="26056E49" w14:textId="0FB1CA6B" w:rsidR="0026180D" w:rsidRPr="00A64175" w:rsidRDefault="0026180D" w:rsidP="00A64175">
      <w:pPr>
        <w:widowControl w:val="0"/>
        <w:autoSpaceDE w:val="0"/>
        <w:adjustRightInd w:val="0"/>
        <w:ind w:left="111" w:right="67"/>
        <w:jc w:val="both"/>
        <w:rPr>
          <w:rFonts w:ascii="Arial" w:hAnsi="Arial" w:cs="Arial"/>
          <w:sz w:val="22"/>
          <w:szCs w:val="22"/>
        </w:rPr>
      </w:pPr>
      <w:r w:rsidRPr="00A64175">
        <w:rPr>
          <w:rFonts w:ascii="Arial" w:hAnsi="Arial" w:cs="Arial"/>
          <w:sz w:val="22"/>
          <w:szCs w:val="22"/>
        </w:rPr>
        <w:t>Tout</w:t>
      </w:r>
      <w:r w:rsidRPr="00A64175">
        <w:rPr>
          <w:rFonts w:ascii="Arial" w:hAnsi="Arial" w:cs="Arial"/>
          <w:spacing w:val="17"/>
          <w:sz w:val="22"/>
          <w:szCs w:val="22"/>
        </w:rPr>
        <w:t xml:space="preserve"> </w:t>
      </w:r>
      <w:r w:rsidRPr="00A64175">
        <w:rPr>
          <w:rFonts w:ascii="Arial" w:hAnsi="Arial" w:cs="Arial"/>
          <w:sz w:val="22"/>
          <w:szCs w:val="22"/>
        </w:rPr>
        <w:t>é</w:t>
      </w:r>
      <w:r w:rsidRPr="00A64175">
        <w:rPr>
          <w:rFonts w:ascii="Arial" w:hAnsi="Arial" w:cs="Arial"/>
          <w:spacing w:val="-2"/>
          <w:sz w:val="22"/>
          <w:szCs w:val="22"/>
        </w:rPr>
        <w:t>m</w:t>
      </w:r>
      <w:r w:rsidRPr="00A64175">
        <w:rPr>
          <w:rFonts w:ascii="Arial" w:hAnsi="Arial" w:cs="Arial"/>
          <w:sz w:val="22"/>
          <w:szCs w:val="22"/>
        </w:rPr>
        <w:t>etteur</w:t>
      </w:r>
      <w:r w:rsidRPr="00A64175">
        <w:rPr>
          <w:rFonts w:ascii="Arial" w:hAnsi="Arial" w:cs="Arial"/>
          <w:spacing w:val="17"/>
          <w:sz w:val="22"/>
          <w:szCs w:val="22"/>
        </w:rPr>
        <w:t xml:space="preserve"> </w:t>
      </w:r>
      <w:r w:rsidRPr="00A64175">
        <w:rPr>
          <w:rFonts w:ascii="Arial" w:hAnsi="Arial" w:cs="Arial"/>
          <w:sz w:val="22"/>
          <w:szCs w:val="22"/>
        </w:rPr>
        <w:t>souhaitant</w:t>
      </w:r>
      <w:r w:rsidRPr="00A64175">
        <w:rPr>
          <w:rFonts w:ascii="Arial" w:hAnsi="Arial" w:cs="Arial"/>
          <w:spacing w:val="17"/>
          <w:sz w:val="22"/>
          <w:szCs w:val="22"/>
        </w:rPr>
        <w:t xml:space="preserve"> </w:t>
      </w:r>
      <w:r w:rsidRPr="00A64175">
        <w:rPr>
          <w:rFonts w:ascii="Arial" w:hAnsi="Arial" w:cs="Arial"/>
          <w:sz w:val="22"/>
          <w:szCs w:val="22"/>
        </w:rPr>
        <w:t>réaliser,</w:t>
      </w:r>
      <w:r w:rsidRPr="00A64175">
        <w:rPr>
          <w:rFonts w:ascii="Arial" w:hAnsi="Arial" w:cs="Arial"/>
          <w:spacing w:val="16"/>
          <w:sz w:val="22"/>
          <w:szCs w:val="22"/>
        </w:rPr>
        <w:t xml:space="preserve"> </w:t>
      </w:r>
      <w:r w:rsidR="000A3CA0" w:rsidRPr="00A64175">
        <w:rPr>
          <w:rFonts w:ascii="Arial" w:hAnsi="Arial" w:cs="Arial"/>
          <w:sz w:val="22"/>
          <w:szCs w:val="22"/>
        </w:rPr>
        <w:t xml:space="preserve">sur le territoire des Etats membres de </w:t>
      </w:r>
      <w:r w:rsidR="00772B5D" w:rsidRPr="00A64175">
        <w:rPr>
          <w:rFonts w:ascii="Arial" w:hAnsi="Arial" w:cs="Arial"/>
          <w:sz w:val="22"/>
          <w:szCs w:val="22"/>
        </w:rPr>
        <w:t xml:space="preserve">la </w:t>
      </w:r>
      <w:r w:rsidR="00772B5D" w:rsidRPr="00A64175">
        <w:rPr>
          <w:rFonts w:ascii="Arial" w:hAnsi="Arial" w:cs="Arial"/>
          <w:spacing w:val="16"/>
          <w:sz w:val="22"/>
          <w:szCs w:val="22"/>
        </w:rPr>
        <w:t>CEMAC</w:t>
      </w:r>
      <w:r w:rsidRPr="00A64175">
        <w:rPr>
          <w:rFonts w:ascii="Arial" w:hAnsi="Arial" w:cs="Arial"/>
          <w:sz w:val="22"/>
          <w:szCs w:val="22"/>
        </w:rPr>
        <w:t>,</w:t>
      </w:r>
      <w:r w:rsidRPr="00A64175">
        <w:rPr>
          <w:rFonts w:ascii="Arial" w:hAnsi="Arial" w:cs="Arial"/>
          <w:spacing w:val="16"/>
          <w:sz w:val="22"/>
          <w:szCs w:val="22"/>
        </w:rPr>
        <w:t xml:space="preserve"> </w:t>
      </w:r>
      <w:r w:rsidRPr="00A64175">
        <w:rPr>
          <w:rFonts w:ascii="Arial" w:hAnsi="Arial" w:cs="Arial"/>
          <w:sz w:val="22"/>
          <w:szCs w:val="22"/>
        </w:rPr>
        <w:t>une</w:t>
      </w:r>
      <w:r w:rsidRPr="00A64175">
        <w:rPr>
          <w:rFonts w:ascii="Arial" w:hAnsi="Arial" w:cs="Arial"/>
          <w:spacing w:val="16"/>
          <w:sz w:val="22"/>
          <w:szCs w:val="22"/>
        </w:rPr>
        <w:t xml:space="preserve"> </w:t>
      </w:r>
      <w:r w:rsidRPr="00A64175">
        <w:rPr>
          <w:rFonts w:ascii="Arial" w:hAnsi="Arial" w:cs="Arial"/>
          <w:sz w:val="22"/>
          <w:szCs w:val="22"/>
        </w:rPr>
        <w:t>opération</w:t>
      </w:r>
      <w:r w:rsidRPr="00A64175">
        <w:rPr>
          <w:rFonts w:ascii="Arial" w:hAnsi="Arial" w:cs="Arial"/>
          <w:spacing w:val="17"/>
          <w:sz w:val="22"/>
          <w:szCs w:val="22"/>
        </w:rPr>
        <w:t xml:space="preserve"> </w:t>
      </w:r>
      <w:r w:rsidRPr="00A64175">
        <w:rPr>
          <w:rFonts w:ascii="Arial" w:hAnsi="Arial" w:cs="Arial"/>
          <w:sz w:val="22"/>
          <w:szCs w:val="22"/>
        </w:rPr>
        <w:t>de</w:t>
      </w:r>
      <w:r w:rsidRPr="00A64175">
        <w:rPr>
          <w:rFonts w:ascii="Arial" w:hAnsi="Arial" w:cs="Arial"/>
          <w:spacing w:val="17"/>
          <w:sz w:val="22"/>
          <w:szCs w:val="22"/>
        </w:rPr>
        <w:t xml:space="preserve"> </w:t>
      </w:r>
      <w:r w:rsidRPr="00A64175">
        <w:rPr>
          <w:rFonts w:ascii="Arial" w:hAnsi="Arial" w:cs="Arial"/>
          <w:sz w:val="22"/>
          <w:szCs w:val="22"/>
        </w:rPr>
        <w:t>place</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17"/>
          <w:sz w:val="22"/>
          <w:szCs w:val="22"/>
        </w:rPr>
        <w:t xml:space="preserve"> </w:t>
      </w:r>
      <w:r w:rsidRPr="00A64175">
        <w:rPr>
          <w:rFonts w:ascii="Arial" w:hAnsi="Arial" w:cs="Arial"/>
          <w:sz w:val="22"/>
          <w:szCs w:val="22"/>
        </w:rPr>
        <w:t>privé</w:t>
      </w:r>
      <w:r w:rsidR="000A3CA0" w:rsidRPr="00A64175">
        <w:rPr>
          <w:rFonts w:ascii="Arial" w:hAnsi="Arial" w:cs="Arial"/>
          <w:sz w:val="22"/>
          <w:szCs w:val="22"/>
        </w:rPr>
        <w:t>,</w:t>
      </w:r>
      <w:r w:rsidRPr="00A64175">
        <w:rPr>
          <w:rFonts w:ascii="Arial" w:hAnsi="Arial" w:cs="Arial"/>
          <w:spacing w:val="17"/>
          <w:sz w:val="22"/>
          <w:szCs w:val="22"/>
        </w:rPr>
        <w:t xml:space="preserve"> </w:t>
      </w:r>
      <w:r w:rsidRPr="00A64175">
        <w:rPr>
          <w:rFonts w:ascii="Arial" w:hAnsi="Arial" w:cs="Arial"/>
          <w:sz w:val="22"/>
          <w:szCs w:val="22"/>
        </w:rPr>
        <w:t>adresse</w:t>
      </w:r>
      <w:r w:rsidRPr="00A64175">
        <w:rPr>
          <w:rFonts w:ascii="Arial" w:hAnsi="Arial" w:cs="Arial"/>
          <w:spacing w:val="17"/>
          <w:sz w:val="22"/>
          <w:szCs w:val="22"/>
        </w:rPr>
        <w:t xml:space="preserve"> </w:t>
      </w:r>
      <w:r w:rsidRPr="00A64175">
        <w:rPr>
          <w:rFonts w:ascii="Arial" w:hAnsi="Arial" w:cs="Arial"/>
          <w:sz w:val="22"/>
          <w:szCs w:val="22"/>
        </w:rPr>
        <w:t>à</w:t>
      </w:r>
      <w:r w:rsidRPr="00A64175">
        <w:rPr>
          <w:rFonts w:ascii="Arial" w:hAnsi="Arial" w:cs="Arial"/>
          <w:spacing w:val="17"/>
          <w:sz w:val="22"/>
          <w:szCs w:val="22"/>
        </w:rPr>
        <w:t xml:space="preserve"> </w:t>
      </w:r>
      <w:r w:rsidRPr="00A64175">
        <w:rPr>
          <w:rFonts w:ascii="Arial" w:hAnsi="Arial" w:cs="Arial"/>
          <w:sz w:val="22"/>
          <w:szCs w:val="22"/>
        </w:rPr>
        <w:t>la COSU</w:t>
      </w:r>
      <w:r w:rsidRPr="00A64175">
        <w:rPr>
          <w:rFonts w:ascii="Arial" w:hAnsi="Arial" w:cs="Arial"/>
          <w:spacing w:val="1"/>
          <w:sz w:val="22"/>
          <w:szCs w:val="22"/>
        </w:rPr>
        <w:t>M</w:t>
      </w:r>
      <w:r w:rsidRPr="00A64175">
        <w:rPr>
          <w:rFonts w:ascii="Arial" w:hAnsi="Arial" w:cs="Arial"/>
          <w:spacing w:val="-1"/>
          <w:sz w:val="22"/>
          <w:szCs w:val="22"/>
        </w:rPr>
        <w:t>A</w:t>
      </w:r>
      <w:r w:rsidRPr="00A64175">
        <w:rPr>
          <w:rFonts w:ascii="Arial" w:hAnsi="Arial" w:cs="Arial"/>
          <w:sz w:val="22"/>
          <w:szCs w:val="22"/>
        </w:rPr>
        <w:t>F une lettre de de</w:t>
      </w:r>
      <w:r w:rsidRPr="00A64175">
        <w:rPr>
          <w:rFonts w:ascii="Arial" w:hAnsi="Arial" w:cs="Arial"/>
          <w:spacing w:val="-2"/>
          <w:sz w:val="22"/>
          <w:szCs w:val="22"/>
        </w:rPr>
        <w:t>m</w:t>
      </w:r>
      <w:r w:rsidRPr="00A64175">
        <w:rPr>
          <w:rFonts w:ascii="Arial" w:hAnsi="Arial" w:cs="Arial"/>
          <w:sz w:val="22"/>
          <w:szCs w:val="22"/>
        </w:rPr>
        <w:t>ande d’enregistrement.</w:t>
      </w:r>
    </w:p>
    <w:p w14:paraId="530379AF" w14:textId="77777777" w:rsidR="000A3CA0" w:rsidRPr="00A64175" w:rsidRDefault="000A3CA0" w:rsidP="00A64175">
      <w:pPr>
        <w:widowControl w:val="0"/>
        <w:autoSpaceDE w:val="0"/>
        <w:adjustRightInd w:val="0"/>
        <w:ind w:left="111" w:right="67"/>
        <w:jc w:val="both"/>
        <w:rPr>
          <w:rFonts w:ascii="Arial" w:hAnsi="Arial" w:cs="Arial"/>
          <w:sz w:val="22"/>
          <w:szCs w:val="22"/>
        </w:rPr>
      </w:pPr>
    </w:p>
    <w:p w14:paraId="1EF98531" w14:textId="77777777" w:rsidR="000A3CA0" w:rsidRPr="00A64175" w:rsidRDefault="0026180D" w:rsidP="00A64175">
      <w:pPr>
        <w:widowControl w:val="0"/>
        <w:autoSpaceDE w:val="0"/>
        <w:adjustRightInd w:val="0"/>
        <w:ind w:left="111" w:right="68"/>
        <w:jc w:val="both"/>
        <w:rPr>
          <w:rFonts w:ascii="Arial" w:hAnsi="Arial" w:cs="Arial"/>
          <w:spacing w:val="3"/>
          <w:sz w:val="22"/>
          <w:szCs w:val="22"/>
        </w:rPr>
      </w:pPr>
      <w:r w:rsidRPr="00A64175">
        <w:rPr>
          <w:rFonts w:ascii="Arial" w:hAnsi="Arial" w:cs="Arial"/>
          <w:sz w:val="22"/>
          <w:szCs w:val="22"/>
        </w:rPr>
        <w:t>La</w:t>
      </w:r>
      <w:r w:rsidRPr="00A64175">
        <w:rPr>
          <w:rFonts w:ascii="Arial" w:hAnsi="Arial" w:cs="Arial"/>
          <w:spacing w:val="2"/>
          <w:sz w:val="22"/>
          <w:szCs w:val="22"/>
        </w:rPr>
        <w:t xml:space="preserve"> </w:t>
      </w:r>
      <w:r w:rsidRPr="00A64175">
        <w:rPr>
          <w:rFonts w:ascii="Arial" w:hAnsi="Arial" w:cs="Arial"/>
          <w:sz w:val="22"/>
          <w:szCs w:val="22"/>
        </w:rPr>
        <w:t>lettre</w:t>
      </w:r>
      <w:r w:rsidRPr="00A64175">
        <w:rPr>
          <w:rFonts w:ascii="Arial" w:hAnsi="Arial" w:cs="Arial"/>
          <w:spacing w:val="2"/>
          <w:sz w:val="22"/>
          <w:szCs w:val="22"/>
        </w:rPr>
        <w:t xml:space="preserve"> </w:t>
      </w:r>
      <w:r w:rsidR="000A3CA0" w:rsidRPr="00A64175">
        <w:rPr>
          <w:rFonts w:ascii="Arial" w:hAnsi="Arial" w:cs="Arial"/>
          <w:sz w:val="22"/>
          <w:szCs w:val="22"/>
        </w:rPr>
        <w:t xml:space="preserve">de l’émetteur </w:t>
      </w:r>
      <w:r w:rsidRPr="00A64175">
        <w:rPr>
          <w:rFonts w:ascii="Arial" w:hAnsi="Arial" w:cs="Arial"/>
          <w:sz w:val="22"/>
          <w:szCs w:val="22"/>
        </w:rPr>
        <w:t>est</w:t>
      </w:r>
      <w:r w:rsidRPr="00A64175">
        <w:rPr>
          <w:rFonts w:ascii="Arial" w:hAnsi="Arial" w:cs="Arial"/>
          <w:spacing w:val="2"/>
          <w:sz w:val="22"/>
          <w:szCs w:val="22"/>
        </w:rPr>
        <w:t xml:space="preserve"> </w:t>
      </w:r>
      <w:r w:rsidRPr="00A64175">
        <w:rPr>
          <w:rFonts w:ascii="Arial" w:hAnsi="Arial" w:cs="Arial"/>
          <w:sz w:val="22"/>
          <w:szCs w:val="22"/>
        </w:rPr>
        <w:t>acco</w:t>
      </w:r>
      <w:r w:rsidRPr="00A64175">
        <w:rPr>
          <w:rFonts w:ascii="Arial" w:hAnsi="Arial" w:cs="Arial"/>
          <w:spacing w:val="-2"/>
          <w:sz w:val="22"/>
          <w:szCs w:val="22"/>
        </w:rPr>
        <w:t>m</w:t>
      </w:r>
      <w:r w:rsidRPr="00A64175">
        <w:rPr>
          <w:rFonts w:ascii="Arial" w:hAnsi="Arial" w:cs="Arial"/>
          <w:sz w:val="22"/>
          <w:szCs w:val="22"/>
        </w:rPr>
        <w:t>pagnée</w:t>
      </w:r>
      <w:r w:rsidRPr="00A64175">
        <w:rPr>
          <w:rFonts w:ascii="Arial" w:hAnsi="Arial" w:cs="Arial"/>
          <w:spacing w:val="2"/>
          <w:sz w:val="22"/>
          <w:szCs w:val="22"/>
        </w:rPr>
        <w:t xml:space="preserve"> </w:t>
      </w:r>
      <w:r w:rsidRPr="00A64175">
        <w:rPr>
          <w:rFonts w:ascii="Arial" w:hAnsi="Arial" w:cs="Arial"/>
          <w:sz w:val="22"/>
          <w:szCs w:val="22"/>
        </w:rPr>
        <w:t>d’un</w:t>
      </w:r>
      <w:r w:rsidRPr="00A64175">
        <w:rPr>
          <w:rFonts w:ascii="Arial" w:hAnsi="Arial" w:cs="Arial"/>
          <w:spacing w:val="2"/>
          <w:sz w:val="22"/>
          <w:szCs w:val="22"/>
        </w:rPr>
        <w:t xml:space="preserve"> </w:t>
      </w:r>
      <w:r w:rsidRPr="00A64175">
        <w:rPr>
          <w:rFonts w:ascii="Arial" w:hAnsi="Arial" w:cs="Arial"/>
          <w:sz w:val="22"/>
          <w:szCs w:val="22"/>
        </w:rPr>
        <w:t>dossier</w:t>
      </w:r>
      <w:r w:rsidRPr="00A64175">
        <w:rPr>
          <w:rFonts w:ascii="Arial" w:hAnsi="Arial" w:cs="Arial"/>
          <w:spacing w:val="2"/>
          <w:sz w:val="22"/>
          <w:szCs w:val="22"/>
        </w:rPr>
        <w:t xml:space="preserve"> </w:t>
      </w:r>
      <w:r w:rsidRPr="00A64175">
        <w:rPr>
          <w:rFonts w:ascii="Arial" w:hAnsi="Arial" w:cs="Arial"/>
          <w:sz w:val="22"/>
          <w:szCs w:val="22"/>
        </w:rPr>
        <w:t>q</w:t>
      </w:r>
      <w:r w:rsidRPr="00A64175">
        <w:rPr>
          <w:rFonts w:ascii="Arial" w:hAnsi="Arial" w:cs="Arial"/>
          <w:spacing w:val="-1"/>
          <w:sz w:val="22"/>
          <w:szCs w:val="22"/>
        </w:rPr>
        <w:t>u</w:t>
      </w:r>
      <w:r w:rsidRPr="00A64175">
        <w:rPr>
          <w:rFonts w:ascii="Arial" w:hAnsi="Arial" w:cs="Arial"/>
          <w:sz w:val="22"/>
          <w:szCs w:val="22"/>
        </w:rPr>
        <w:t>i co</w:t>
      </w:r>
      <w:r w:rsidRPr="00A64175">
        <w:rPr>
          <w:rFonts w:ascii="Arial" w:hAnsi="Arial" w:cs="Arial"/>
          <w:spacing w:val="-2"/>
          <w:sz w:val="22"/>
          <w:szCs w:val="22"/>
        </w:rPr>
        <w:t>m</w:t>
      </w:r>
      <w:r w:rsidRPr="00A64175">
        <w:rPr>
          <w:rFonts w:ascii="Arial" w:hAnsi="Arial" w:cs="Arial"/>
          <w:sz w:val="22"/>
          <w:szCs w:val="22"/>
        </w:rPr>
        <w:t>prend</w:t>
      </w:r>
      <w:r w:rsidRPr="00A64175">
        <w:rPr>
          <w:rFonts w:ascii="Arial" w:hAnsi="Arial" w:cs="Arial"/>
          <w:spacing w:val="1"/>
          <w:sz w:val="22"/>
          <w:szCs w:val="22"/>
        </w:rPr>
        <w:t xml:space="preserve"> </w:t>
      </w:r>
      <w:r w:rsidRPr="00A64175">
        <w:rPr>
          <w:rFonts w:ascii="Arial" w:hAnsi="Arial" w:cs="Arial"/>
          <w:sz w:val="22"/>
          <w:szCs w:val="22"/>
        </w:rPr>
        <w:t>un</w:t>
      </w:r>
      <w:r w:rsidRPr="00A64175">
        <w:rPr>
          <w:rFonts w:ascii="Arial" w:hAnsi="Arial" w:cs="Arial"/>
          <w:spacing w:val="1"/>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1"/>
          <w:sz w:val="22"/>
          <w:szCs w:val="22"/>
        </w:rPr>
        <w:t xml:space="preserve"> </w:t>
      </w:r>
      <w:r w:rsidRPr="00A64175">
        <w:rPr>
          <w:rFonts w:ascii="Arial" w:hAnsi="Arial" w:cs="Arial"/>
          <w:sz w:val="22"/>
          <w:szCs w:val="22"/>
        </w:rPr>
        <w:t>d’infor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1"/>
          <w:sz w:val="22"/>
          <w:szCs w:val="22"/>
        </w:rPr>
        <w:t xml:space="preserve"> </w:t>
      </w:r>
      <w:r w:rsidRPr="00A64175">
        <w:rPr>
          <w:rFonts w:ascii="Arial" w:hAnsi="Arial" w:cs="Arial"/>
          <w:sz w:val="22"/>
          <w:szCs w:val="22"/>
        </w:rPr>
        <w:t>si</w:t>
      </w:r>
      <w:r w:rsidRPr="00A64175">
        <w:rPr>
          <w:rFonts w:ascii="Arial" w:hAnsi="Arial" w:cs="Arial"/>
          <w:spacing w:val="-2"/>
          <w:sz w:val="22"/>
          <w:szCs w:val="22"/>
        </w:rPr>
        <w:t>m</w:t>
      </w:r>
      <w:r w:rsidRPr="00A64175">
        <w:rPr>
          <w:rFonts w:ascii="Arial" w:hAnsi="Arial" w:cs="Arial"/>
          <w:sz w:val="22"/>
          <w:szCs w:val="22"/>
        </w:rPr>
        <w:t>plifié</w:t>
      </w:r>
      <w:r w:rsidRPr="00A64175">
        <w:rPr>
          <w:rFonts w:ascii="Arial" w:hAnsi="Arial" w:cs="Arial"/>
          <w:spacing w:val="1"/>
          <w:sz w:val="22"/>
          <w:szCs w:val="22"/>
        </w:rPr>
        <w:t xml:space="preserve"> </w:t>
      </w:r>
      <w:r w:rsidRPr="00A64175">
        <w:rPr>
          <w:rFonts w:ascii="Arial" w:hAnsi="Arial" w:cs="Arial"/>
          <w:sz w:val="22"/>
          <w:szCs w:val="22"/>
        </w:rPr>
        <w:t>et</w:t>
      </w:r>
      <w:r w:rsidRPr="00A64175">
        <w:rPr>
          <w:rFonts w:ascii="Arial" w:hAnsi="Arial" w:cs="Arial"/>
          <w:spacing w:val="1"/>
          <w:sz w:val="22"/>
          <w:szCs w:val="22"/>
        </w:rPr>
        <w:t xml:space="preserve"> </w:t>
      </w:r>
      <w:r w:rsidRPr="00A64175">
        <w:rPr>
          <w:rFonts w:ascii="Arial" w:hAnsi="Arial" w:cs="Arial"/>
          <w:sz w:val="22"/>
          <w:szCs w:val="22"/>
        </w:rPr>
        <w:t>d’autres élé</w:t>
      </w:r>
      <w:r w:rsidRPr="00A64175">
        <w:rPr>
          <w:rFonts w:ascii="Arial" w:hAnsi="Arial" w:cs="Arial"/>
          <w:spacing w:val="-2"/>
          <w:sz w:val="22"/>
          <w:szCs w:val="22"/>
        </w:rPr>
        <w:t>m</w:t>
      </w:r>
      <w:r w:rsidRPr="00A64175">
        <w:rPr>
          <w:rFonts w:ascii="Arial" w:hAnsi="Arial" w:cs="Arial"/>
          <w:sz w:val="22"/>
          <w:szCs w:val="22"/>
        </w:rPr>
        <w:t>ents</w:t>
      </w:r>
      <w:r w:rsidRPr="00A64175">
        <w:rPr>
          <w:rFonts w:ascii="Arial" w:hAnsi="Arial" w:cs="Arial"/>
          <w:spacing w:val="1"/>
          <w:sz w:val="22"/>
          <w:szCs w:val="22"/>
        </w:rPr>
        <w:t xml:space="preserve"> </w:t>
      </w:r>
      <w:r w:rsidRPr="00A64175">
        <w:rPr>
          <w:rFonts w:ascii="Arial" w:hAnsi="Arial" w:cs="Arial"/>
          <w:sz w:val="22"/>
          <w:szCs w:val="22"/>
        </w:rPr>
        <w:t>précisés dans une</w:t>
      </w:r>
      <w:r w:rsidRPr="00A64175">
        <w:rPr>
          <w:rFonts w:ascii="Arial" w:hAnsi="Arial" w:cs="Arial"/>
          <w:spacing w:val="1"/>
          <w:sz w:val="22"/>
          <w:szCs w:val="22"/>
        </w:rPr>
        <w:t xml:space="preserve"> </w:t>
      </w:r>
      <w:r w:rsidRPr="00A64175">
        <w:rPr>
          <w:rFonts w:ascii="Arial" w:hAnsi="Arial" w:cs="Arial"/>
          <w:sz w:val="22"/>
          <w:szCs w:val="22"/>
        </w:rPr>
        <w:t>instruction</w:t>
      </w:r>
      <w:r w:rsidRPr="00A64175">
        <w:rPr>
          <w:rFonts w:ascii="Arial" w:hAnsi="Arial" w:cs="Arial"/>
          <w:spacing w:val="1"/>
          <w:sz w:val="22"/>
          <w:szCs w:val="22"/>
        </w:rPr>
        <w:t xml:space="preserve"> </w:t>
      </w:r>
      <w:r w:rsidRPr="00A64175">
        <w:rPr>
          <w:rFonts w:ascii="Arial" w:hAnsi="Arial" w:cs="Arial"/>
          <w:sz w:val="22"/>
          <w:szCs w:val="22"/>
        </w:rPr>
        <w:t>de</w:t>
      </w:r>
      <w:r w:rsidRPr="00A64175">
        <w:rPr>
          <w:rFonts w:ascii="Arial" w:hAnsi="Arial" w:cs="Arial"/>
          <w:spacing w:val="1"/>
          <w:sz w:val="22"/>
          <w:szCs w:val="22"/>
        </w:rPr>
        <w:t xml:space="preserve"> </w:t>
      </w:r>
      <w:r w:rsidRPr="00A64175">
        <w:rPr>
          <w:rFonts w:ascii="Arial" w:hAnsi="Arial" w:cs="Arial"/>
          <w:sz w:val="22"/>
          <w:szCs w:val="22"/>
        </w:rPr>
        <w:t>la COSUMAF.</w:t>
      </w:r>
      <w:r w:rsidRPr="00A64175">
        <w:rPr>
          <w:rFonts w:ascii="Arial" w:hAnsi="Arial" w:cs="Arial"/>
          <w:spacing w:val="3"/>
          <w:sz w:val="22"/>
          <w:szCs w:val="22"/>
        </w:rPr>
        <w:t xml:space="preserve"> </w:t>
      </w:r>
    </w:p>
    <w:p w14:paraId="33CA8B89" w14:textId="77777777" w:rsidR="000A3CA0" w:rsidRPr="00A64175" w:rsidRDefault="000A3CA0" w:rsidP="00A64175">
      <w:pPr>
        <w:widowControl w:val="0"/>
        <w:autoSpaceDE w:val="0"/>
        <w:adjustRightInd w:val="0"/>
        <w:ind w:left="111" w:right="68"/>
        <w:jc w:val="both"/>
        <w:rPr>
          <w:rFonts w:ascii="Arial" w:hAnsi="Arial" w:cs="Arial"/>
          <w:spacing w:val="3"/>
          <w:sz w:val="22"/>
          <w:szCs w:val="22"/>
        </w:rPr>
      </w:pPr>
    </w:p>
    <w:p w14:paraId="3964A456" w14:textId="65777B85" w:rsidR="0026180D" w:rsidRPr="00A64175" w:rsidRDefault="0026180D"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Le</w:t>
      </w:r>
      <w:r w:rsidRPr="00A64175">
        <w:rPr>
          <w:rFonts w:ascii="Arial" w:hAnsi="Arial" w:cs="Arial"/>
          <w:spacing w:val="3"/>
          <w:sz w:val="22"/>
          <w:szCs w:val="22"/>
        </w:rPr>
        <w:t xml:space="preserve"> </w:t>
      </w:r>
      <w:r w:rsidRPr="00A64175">
        <w:rPr>
          <w:rFonts w:ascii="Arial" w:hAnsi="Arial" w:cs="Arial"/>
          <w:sz w:val="22"/>
          <w:szCs w:val="22"/>
        </w:rPr>
        <w:t>docu</w:t>
      </w:r>
      <w:r w:rsidRPr="00A64175">
        <w:rPr>
          <w:rFonts w:ascii="Arial" w:hAnsi="Arial" w:cs="Arial"/>
          <w:spacing w:val="-2"/>
          <w:sz w:val="22"/>
          <w:szCs w:val="22"/>
        </w:rPr>
        <w:t>m</w:t>
      </w:r>
      <w:r w:rsidRPr="00A64175">
        <w:rPr>
          <w:rFonts w:ascii="Arial" w:hAnsi="Arial" w:cs="Arial"/>
          <w:sz w:val="22"/>
          <w:szCs w:val="22"/>
        </w:rPr>
        <w:t>ent</w:t>
      </w:r>
      <w:r w:rsidRPr="00A64175">
        <w:rPr>
          <w:rFonts w:ascii="Arial" w:hAnsi="Arial" w:cs="Arial"/>
          <w:spacing w:val="3"/>
          <w:sz w:val="22"/>
          <w:szCs w:val="22"/>
        </w:rPr>
        <w:t xml:space="preserve"> </w:t>
      </w:r>
      <w:r w:rsidRPr="00A64175">
        <w:rPr>
          <w:rFonts w:ascii="Arial" w:hAnsi="Arial" w:cs="Arial"/>
          <w:sz w:val="22"/>
          <w:szCs w:val="22"/>
        </w:rPr>
        <w:t>d’in</w:t>
      </w:r>
      <w:r w:rsidRPr="00A64175">
        <w:rPr>
          <w:rFonts w:ascii="Arial" w:hAnsi="Arial" w:cs="Arial"/>
          <w:spacing w:val="-1"/>
          <w:sz w:val="22"/>
          <w:szCs w:val="22"/>
        </w:rPr>
        <w:t>f</w:t>
      </w:r>
      <w:r w:rsidRPr="00A64175">
        <w:rPr>
          <w:rFonts w:ascii="Arial" w:hAnsi="Arial" w:cs="Arial"/>
          <w:sz w:val="22"/>
          <w:szCs w:val="22"/>
        </w:rPr>
        <w:t>or</w:t>
      </w:r>
      <w:r w:rsidRPr="00A64175">
        <w:rPr>
          <w:rFonts w:ascii="Arial" w:hAnsi="Arial" w:cs="Arial"/>
          <w:spacing w:val="-2"/>
          <w:sz w:val="22"/>
          <w:szCs w:val="22"/>
        </w:rPr>
        <w:t>m</w:t>
      </w:r>
      <w:r w:rsidRPr="00A64175">
        <w:rPr>
          <w:rFonts w:ascii="Arial" w:hAnsi="Arial" w:cs="Arial"/>
          <w:sz w:val="22"/>
          <w:szCs w:val="22"/>
        </w:rPr>
        <w:t>ation</w:t>
      </w:r>
      <w:r w:rsidRPr="00A64175">
        <w:rPr>
          <w:rFonts w:ascii="Arial" w:hAnsi="Arial" w:cs="Arial"/>
          <w:spacing w:val="3"/>
          <w:sz w:val="22"/>
          <w:szCs w:val="22"/>
        </w:rPr>
        <w:t xml:space="preserve"> </w:t>
      </w:r>
      <w:r w:rsidRPr="00A64175">
        <w:rPr>
          <w:rFonts w:ascii="Arial" w:hAnsi="Arial" w:cs="Arial"/>
          <w:spacing w:val="-1"/>
          <w:sz w:val="22"/>
          <w:szCs w:val="22"/>
        </w:rPr>
        <w:t>s</w:t>
      </w:r>
      <w:r w:rsidRPr="00A64175">
        <w:rPr>
          <w:rFonts w:ascii="Arial" w:hAnsi="Arial" w:cs="Arial"/>
          <w:sz w:val="22"/>
          <w:szCs w:val="22"/>
        </w:rPr>
        <w:t>i</w:t>
      </w:r>
      <w:r w:rsidRPr="00A64175">
        <w:rPr>
          <w:rFonts w:ascii="Arial" w:hAnsi="Arial" w:cs="Arial"/>
          <w:spacing w:val="-2"/>
          <w:sz w:val="22"/>
          <w:szCs w:val="22"/>
        </w:rPr>
        <w:t>m</w:t>
      </w:r>
      <w:r w:rsidRPr="00A64175">
        <w:rPr>
          <w:rFonts w:ascii="Arial" w:hAnsi="Arial" w:cs="Arial"/>
          <w:sz w:val="22"/>
          <w:szCs w:val="22"/>
        </w:rPr>
        <w:t>pli</w:t>
      </w:r>
      <w:r w:rsidRPr="00A64175">
        <w:rPr>
          <w:rFonts w:ascii="Arial" w:hAnsi="Arial" w:cs="Arial"/>
          <w:spacing w:val="-1"/>
          <w:sz w:val="22"/>
          <w:szCs w:val="22"/>
        </w:rPr>
        <w:t>f</w:t>
      </w:r>
      <w:r w:rsidRPr="00A64175">
        <w:rPr>
          <w:rFonts w:ascii="Arial" w:hAnsi="Arial" w:cs="Arial"/>
          <w:sz w:val="22"/>
          <w:szCs w:val="22"/>
        </w:rPr>
        <w:t>ié</w:t>
      </w:r>
      <w:r w:rsidRPr="00A64175">
        <w:rPr>
          <w:rFonts w:ascii="Arial" w:hAnsi="Arial" w:cs="Arial"/>
          <w:spacing w:val="3"/>
          <w:sz w:val="22"/>
          <w:szCs w:val="22"/>
        </w:rPr>
        <w:t xml:space="preserve"> </w:t>
      </w:r>
      <w:r w:rsidRPr="00A64175">
        <w:rPr>
          <w:rFonts w:ascii="Arial" w:hAnsi="Arial" w:cs="Arial"/>
          <w:sz w:val="22"/>
          <w:szCs w:val="22"/>
        </w:rPr>
        <w:t>doit</w:t>
      </w:r>
      <w:r w:rsidRPr="00A64175">
        <w:rPr>
          <w:rFonts w:ascii="Arial" w:hAnsi="Arial" w:cs="Arial"/>
          <w:spacing w:val="3"/>
          <w:sz w:val="22"/>
          <w:szCs w:val="22"/>
        </w:rPr>
        <w:t xml:space="preserve"> </w:t>
      </w:r>
      <w:r w:rsidRPr="00A64175">
        <w:rPr>
          <w:rFonts w:ascii="Arial" w:hAnsi="Arial" w:cs="Arial"/>
          <w:sz w:val="22"/>
          <w:szCs w:val="22"/>
        </w:rPr>
        <w:t>n</w:t>
      </w:r>
      <w:r w:rsidRPr="00A64175">
        <w:rPr>
          <w:rFonts w:ascii="Arial" w:hAnsi="Arial" w:cs="Arial"/>
          <w:spacing w:val="-2"/>
          <w:sz w:val="22"/>
          <w:szCs w:val="22"/>
        </w:rPr>
        <w:t>o</w:t>
      </w:r>
      <w:r w:rsidRPr="00A64175">
        <w:rPr>
          <w:rFonts w:ascii="Arial" w:hAnsi="Arial" w:cs="Arial"/>
          <w:sz w:val="22"/>
          <w:szCs w:val="22"/>
        </w:rPr>
        <w:t>tamment</w:t>
      </w:r>
      <w:r w:rsidRPr="00A64175">
        <w:rPr>
          <w:rFonts w:ascii="Arial" w:hAnsi="Arial" w:cs="Arial"/>
          <w:spacing w:val="3"/>
          <w:sz w:val="22"/>
          <w:szCs w:val="22"/>
        </w:rPr>
        <w:t xml:space="preserve"> </w:t>
      </w:r>
      <w:r w:rsidRPr="00A64175">
        <w:rPr>
          <w:rFonts w:ascii="Arial" w:hAnsi="Arial" w:cs="Arial"/>
          <w:sz w:val="22"/>
          <w:szCs w:val="22"/>
        </w:rPr>
        <w:t>préciser</w:t>
      </w:r>
      <w:r w:rsidRPr="00A64175">
        <w:rPr>
          <w:rFonts w:ascii="Arial" w:hAnsi="Arial" w:cs="Arial"/>
          <w:spacing w:val="3"/>
          <w:sz w:val="22"/>
          <w:szCs w:val="22"/>
        </w:rPr>
        <w:t xml:space="preserve"> </w:t>
      </w:r>
      <w:r w:rsidRPr="00A64175">
        <w:rPr>
          <w:rFonts w:ascii="Arial" w:hAnsi="Arial" w:cs="Arial"/>
          <w:sz w:val="22"/>
          <w:szCs w:val="22"/>
        </w:rPr>
        <w:t>la</w:t>
      </w:r>
      <w:r w:rsidRPr="00A64175">
        <w:rPr>
          <w:rFonts w:ascii="Arial" w:hAnsi="Arial" w:cs="Arial"/>
          <w:spacing w:val="3"/>
          <w:sz w:val="22"/>
          <w:szCs w:val="22"/>
        </w:rPr>
        <w:t xml:space="preserve"> </w:t>
      </w:r>
      <w:r w:rsidRPr="00A64175">
        <w:rPr>
          <w:rFonts w:ascii="Arial" w:hAnsi="Arial" w:cs="Arial"/>
          <w:sz w:val="22"/>
          <w:szCs w:val="22"/>
        </w:rPr>
        <w:t>nature et</w:t>
      </w:r>
      <w:r w:rsidRPr="00A64175">
        <w:rPr>
          <w:rFonts w:ascii="Arial" w:hAnsi="Arial" w:cs="Arial"/>
          <w:spacing w:val="3"/>
          <w:sz w:val="22"/>
          <w:szCs w:val="22"/>
        </w:rPr>
        <w:t xml:space="preserve"> </w:t>
      </w:r>
      <w:r w:rsidRPr="00A64175">
        <w:rPr>
          <w:rFonts w:ascii="Arial" w:hAnsi="Arial" w:cs="Arial"/>
          <w:sz w:val="22"/>
          <w:szCs w:val="22"/>
        </w:rPr>
        <w:t>les</w:t>
      </w:r>
      <w:r w:rsidRPr="00A64175">
        <w:rPr>
          <w:rFonts w:ascii="Arial" w:hAnsi="Arial" w:cs="Arial"/>
          <w:spacing w:val="3"/>
          <w:sz w:val="22"/>
          <w:szCs w:val="22"/>
        </w:rPr>
        <w:t xml:space="preserve"> </w:t>
      </w:r>
      <w:r w:rsidRPr="00A64175">
        <w:rPr>
          <w:rFonts w:ascii="Arial" w:hAnsi="Arial" w:cs="Arial"/>
          <w:spacing w:val="-2"/>
          <w:sz w:val="22"/>
          <w:szCs w:val="22"/>
        </w:rPr>
        <w:t>m</w:t>
      </w:r>
      <w:r w:rsidRPr="00A64175">
        <w:rPr>
          <w:rFonts w:ascii="Arial" w:hAnsi="Arial" w:cs="Arial"/>
          <w:sz w:val="22"/>
          <w:szCs w:val="22"/>
        </w:rPr>
        <w:t>od</w:t>
      </w:r>
      <w:r w:rsidRPr="00A64175">
        <w:rPr>
          <w:rFonts w:ascii="Arial" w:hAnsi="Arial" w:cs="Arial"/>
          <w:spacing w:val="1"/>
          <w:sz w:val="22"/>
          <w:szCs w:val="22"/>
        </w:rPr>
        <w:t>a</w:t>
      </w:r>
      <w:r w:rsidRPr="00A64175">
        <w:rPr>
          <w:rFonts w:ascii="Arial" w:hAnsi="Arial" w:cs="Arial"/>
          <w:sz w:val="22"/>
          <w:szCs w:val="22"/>
        </w:rPr>
        <w:t>lités</w:t>
      </w:r>
      <w:r w:rsidRPr="00A64175">
        <w:rPr>
          <w:rFonts w:ascii="Arial" w:hAnsi="Arial" w:cs="Arial"/>
          <w:spacing w:val="3"/>
          <w:sz w:val="22"/>
          <w:szCs w:val="22"/>
        </w:rPr>
        <w:t xml:space="preserve"> </w:t>
      </w:r>
      <w:r w:rsidRPr="00A64175">
        <w:rPr>
          <w:rFonts w:ascii="Arial" w:hAnsi="Arial" w:cs="Arial"/>
          <w:sz w:val="22"/>
          <w:szCs w:val="22"/>
        </w:rPr>
        <w:t>de l’opération avant son lance</w:t>
      </w:r>
      <w:r w:rsidRPr="00A64175">
        <w:rPr>
          <w:rFonts w:ascii="Arial" w:hAnsi="Arial" w:cs="Arial"/>
          <w:spacing w:val="-2"/>
          <w:sz w:val="22"/>
          <w:szCs w:val="22"/>
        </w:rPr>
        <w:t>m</w:t>
      </w:r>
      <w:r w:rsidRPr="00A64175">
        <w:rPr>
          <w:rFonts w:ascii="Arial" w:hAnsi="Arial" w:cs="Arial"/>
          <w:sz w:val="22"/>
          <w:szCs w:val="22"/>
        </w:rPr>
        <w:t>ent.</w:t>
      </w:r>
    </w:p>
    <w:p w14:paraId="7C57E806" w14:textId="77777777" w:rsidR="000A3CA0" w:rsidRPr="00A64175" w:rsidRDefault="000A3CA0" w:rsidP="00A64175">
      <w:pPr>
        <w:widowControl w:val="0"/>
        <w:autoSpaceDE w:val="0"/>
        <w:adjustRightInd w:val="0"/>
        <w:ind w:left="111" w:right="68"/>
        <w:jc w:val="both"/>
        <w:rPr>
          <w:rFonts w:ascii="Arial" w:hAnsi="Arial" w:cs="Arial"/>
          <w:sz w:val="22"/>
          <w:szCs w:val="22"/>
        </w:rPr>
      </w:pPr>
    </w:p>
    <w:p w14:paraId="65014B76" w14:textId="77777777" w:rsidR="0026180D" w:rsidRPr="00A64175" w:rsidRDefault="0026180D" w:rsidP="00A64175">
      <w:pPr>
        <w:widowControl w:val="0"/>
        <w:autoSpaceDE w:val="0"/>
        <w:adjustRightInd w:val="0"/>
        <w:ind w:left="111" w:right="68"/>
        <w:jc w:val="both"/>
        <w:rPr>
          <w:rFonts w:ascii="Arial" w:hAnsi="Arial" w:cs="Arial"/>
          <w:sz w:val="22"/>
          <w:szCs w:val="22"/>
        </w:rPr>
      </w:pPr>
      <w:r w:rsidRPr="00A64175">
        <w:rPr>
          <w:rFonts w:ascii="Arial" w:hAnsi="Arial" w:cs="Arial"/>
          <w:sz w:val="22"/>
          <w:szCs w:val="22"/>
        </w:rPr>
        <w:t>Une instruction de la COSUMAF préci</w:t>
      </w:r>
      <w:r w:rsidRPr="00A64175">
        <w:rPr>
          <w:rFonts w:ascii="Arial" w:hAnsi="Arial" w:cs="Arial"/>
          <w:spacing w:val="-1"/>
          <w:sz w:val="22"/>
          <w:szCs w:val="22"/>
        </w:rPr>
        <w:t>s</w:t>
      </w:r>
      <w:r w:rsidRPr="00A64175">
        <w:rPr>
          <w:rFonts w:ascii="Arial" w:hAnsi="Arial" w:cs="Arial"/>
          <w:sz w:val="22"/>
          <w:szCs w:val="22"/>
        </w:rPr>
        <w:t>e</w:t>
      </w:r>
      <w:r w:rsidRPr="00A64175">
        <w:rPr>
          <w:rFonts w:ascii="Arial" w:hAnsi="Arial" w:cs="Arial"/>
          <w:spacing w:val="1"/>
          <w:sz w:val="22"/>
          <w:szCs w:val="22"/>
        </w:rPr>
        <w:t xml:space="preserve"> </w:t>
      </w:r>
      <w:r w:rsidRPr="00A64175">
        <w:rPr>
          <w:rFonts w:ascii="Arial" w:hAnsi="Arial" w:cs="Arial"/>
          <w:sz w:val="22"/>
          <w:szCs w:val="22"/>
        </w:rPr>
        <w:t>le c</w:t>
      </w:r>
      <w:r w:rsidRPr="00A64175">
        <w:rPr>
          <w:rFonts w:ascii="Arial" w:hAnsi="Arial" w:cs="Arial"/>
          <w:spacing w:val="-1"/>
          <w:sz w:val="22"/>
          <w:szCs w:val="22"/>
        </w:rPr>
        <w:t>o</w:t>
      </w:r>
      <w:r w:rsidRPr="00A64175">
        <w:rPr>
          <w:rFonts w:ascii="Arial" w:hAnsi="Arial" w:cs="Arial"/>
          <w:sz w:val="22"/>
          <w:szCs w:val="22"/>
        </w:rPr>
        <w:t>ntenu du docu</w:t>
      </w:r>
      <w:r w:rsidRPr="00A64175">
        <w:rPr>
          <w:rFonts w:ascii="Arial" w:hAnsi="Arial" w:cs="Arial"/>
          <w:spacing w:val="-2"/>
          <w:sz w:val="22"/>
          <w:szCs w:val="22"/>
        </w:rPr>
        <w:t>m</w:t>
      </w:r>
      <w:r w:rsidRPr="00A64175">
        <w:rPr>
          <w:rFonts w:ascii="Arial" w:hAnsi="Arial" w:cs="Arial"/>
          <w:sz w:val="22"/>
          <w:szCs w:val="22"/>
        </w:rPr>
        <w:t>ent d’info</w:t>
      </w:r>
      <w:r w:rsidRPr="00A64175">
        <w:rPr>
          <w:rFonts w:ascii="Arial" w:hAnsi="Arial" w:cs="Arial"/>
          <w:spacing w:val="2"/>
          <w:sz w:val="22"/>
          <w:szCs w:val="22"/>
        </w:rPr>
        <w:t>r</w:t>
      </w:r>
      <w:r w:rsidRPr="00A64175">
        <w:rPr>
          <w:rFonts w:ascii="Arial" w:hAnsi="Arial" w:cs="Arial"/>
          <w:spacing w:val="-2"/>
          <w:sz w:val="22"/>
          <w:szCs w:val="22"/>
        </w:rPr>
        <w:t>m</w:t>
      </w:r>
      <w:r w:rsidRPr="00A64175">
        <w:rPr>
          <w:rFonts w:ascii="Arial" w:hAnsi="Arial" w:cs="Arial"/>
          <w:sz w:val="22"/>
          <w:szCs w:val="22"/>
        </w:rPr>
        <w:t>ation simplifié et les frais d’enregistre</w:t>
      </w:r>
      <w:r w:rsidRPr="00A64175">
        <w:rPr>
          <w:rFonts w:ascii="Arial" w:hAnsi="Arial" w:cs="Arial"/>
          <w:spacing w:val="-2"/>
          <w:sz w:val="22"/>
          <w:szCs w:val="22"/>
        </w:rPr>
        <w:t>m</w:t>
      </w:r>
      <w:r w:rsidRPr="00A64175">
        <w:rPr>
          <w:rFonts w:ascii="Arial" w:hAnsi="Arial" w:cs="Arial"/>
          <w:sz w:val="22"/>
          <w:szCs w:val="22"/>
        </w:rPr>
        <w:t>ent y afférents.</w:t>
      </w:r>
    </w:p>
    <w:p w14:paraId="7DB8CDFF" w14:textId="77777777" w:rsidR="0026180D" w:rsidRPr="00A64175" w:rsidRDefault="0026180D" w:rsidP="00A64175">
      <w:pPr>
        <w:widowControl w:val="0"/>
        <w:autoSpaceDE w:val="0"/>
        <w:adjustRightInd w:val="0"/>
        <w:ind w:left="111" w:right="68"/>
        <w:jc w:val="both"/>
        <w:rPr>
          <w:rFonts w:ascii="Arial" w:hAnsi="Arial" w:cs="Arial"/>
          <w:sz w:val="22"/>
          <w:szCs w:val="22"/>
        </w:rPr>
      </w:pPr>
    </w:p>
    <w:p w14:paraId="209E8508" w14:textId="42CB7AD2" w:rsidR="00DA3934" w:rsidRPr="008078C5" w:rsidRDefault="00044B0E" w:rsidP="00DA3934">
      <w:pPr>
        <w:widowControl w:val="0"/>
        <w:autoSpaceDE w:val="0"/>
        <w:autoSpaceDN w:val="0"/>
        <w:adjustRightInd w:val="0"/>
        <w:jc w:val="both"/>
        <w:rPr>
          <w:rFonts w:ascii="Arial" w:hAnsi="Arial" w:cs="Arial"/>
          <w:color w:val="000000"/>
          <w:kern w:val="1"/>
          <w:sz w:val="22"/>
          <w:szCs w:val="22"/>
        </w:rPr>
      </w:pPr>
      <w:r w:rsidRPr="00DB26E6">
        <w:rPr>
          <w:rFonts w:ascii="Arial" w:hAnsi="Arial" w:cs="Arial"/>
          <w:b/>
          <w:bCs/>
          <w:color w:val="000000"/>
          <w:sz w:val="22"/>
          <w:szCs w:val="22"/>
        </w:rPr>
        <w:t>Article 19</w:t>
      </w:r>
      <w:r w:rsidR="001956AF" w:rsidRPr="00DB26E6">
        <w:rPr>
          <w:rFonts w:ascii="Arial" w:hAnsi="Arial" w:cs="Arial"/>
          <w:b/>
          <w:bCs/>
          <w:color w:val="000000"/>
          <w:sz w:val="22"/>
          <w:szCs w:val="22"/>
        </w:rPr>
        <w:t>2</w:t>
      </w:r>
      <w:r w:rsidR="00DA3934" w:rsidRPr="00DB26E6">
        <w:rPr>
          <w:rFonts w:ascii="Arial" w:hAnsi="Arial" w:cs="Arial"/>
          <w:color w:val="000000"/>
          <w:sz w:val="22"/>
          <w:szCs w:val="22"/>
        </w:rPr>
        <w:t xml:space="preserve"> Tout émetteur</w:t>
      </w:r>
      <w:r w:rsidR="00FE737F" w:rsidRPr="00DB26E6">
        <w:rPr>
          <w:rFonts w:ascii="Arial" w:hAnsi="Arial" w:cs="Arial"/>
          <w:color w:val="000000"/>
          <w:sz w:val="22"/>
          <w:szCs w:val="22"/>
        </w:rPr>
        <w:t xml:space="preserve"> de titres dans le cadre d’un </w:t>
      </w:r>
      <w:r w:rsidR="00DA3934" w:rsidRPr="00DB26E6">
        <w:rPr>
          <w:rFonts w:ascii="Arial" w:hAnsi="Arial" w:cs="Arial"/>
          <w:color w:val="000000"/>
          <w:sz w:val="22"/>
          <w:szCs w:val="22"/>
        </w:rPr>
        <w:t xml:space="preserve">placement privé est tenu, en cas de changement important survenu, après </w:t>
      </w:r>
      <w:r w:rsidR="00772B5D" w:rsidRPr="00DB26E6">
        <w:rPr>
          <w:rFonts w:ascii="Arial" w:hAnsi="Arial" w:cs="Arial"/>
          <w:color w:val="000000"/>
          <w:sz w:val="22"/>
          <w:szCs w:val="22"/>
        </w:rPr>
        <w:t>l’enregistrement</w:t>
      </w:r>
      <w:r w:rsidR="00DA3934" w:rsidRPr="00DB26E6">
        <w:rPr>
          <w:rFonts w:ascii="Arial" w:hAnsi="Arial" w:cs="Arial"/>
          <w:color w:val="000000"/>
          <w:sz w:val="22"/>
          <w:szCs w:val="22"/>
        </w:rPr>
        <w:t xml:space="preserve"> du document d’information</w:t>
      </w:r>
      <w:r w:rsidR="00FE737F" w:rsidRPr="00DB26E6">
        <w:rPr>
          <w:rFonts w:ascii="Arial" w:hAnsi="Arial" w:cs="Arial"/>
          <w:color w:val="000000"/>
          <w:sz w:val="22"/>
          <w:szCs w:val="22"/>
        </w:rPr>
        <w:t xml:space="preserve"> simplifié</w:t>
      </w:r>
      <w:r w:rsidR="00DA3934" w:rsidRPr="00DB26E6">
        <w:rPr>
          <w:rFonts w:ascii="Arial" w:hAnsi="Arial" w:cs="Arial"/>
          <w:color w:val="000000"/>
          <w:sz w:val="22"/>
          <w:szCs w:val="22"/>
        </w:rPr>
        <w:t>, d’en informer immédiatement la COSUMAF et de soumettre à son enregistrement, un nouveau document d’information</w:t>
      </w:r>
      <w:r w:rsidR="00FE737F" w:rsidRPr="00DB26E6">
        <w:rPr>
          <w:rFonts w:ascii="Arial" w:hAnsi="Arial" w:cs="Arial"/>
          <w:color w:val="000000"/>
          <w:sz w:val="22"/>
          <w:szCs w:val="22"/>
        </w:rPr>
        <w:t xml:space="preserve"> simplifié</w:t>
      </w:r>
      <w:r w:rsidR="00DA3934" w:rsidRPr="00DB26E6">
        <w:rPr>
          <w:rFonts w:ascii="Arial" w:hAnsi="Arial" w:cs="Arial"/>
          <w:color w:val="000000"/>
          <w:sz w:val="22"/>
          <w:szCs w:val="22"/>
        </w:rPr>
        <w:t xml:space="preserve"> avant l’expiration d’un délai de quinze (15) jours courant à compter de la date de survenance du changement. </w:t>
      </w:r>
    </w:p>
    <w:p w14:paraId="4C89A55E" w14:textId="77777777" w:rsidR="000A3CA0" w:rsidRPr="008078C5" w:rsidRDefault="000A3CA0" w:rsidP="00A64175">
      <w:pPr>
        <w:widowControl w:val="0"/>
        <w:autoSpaceDE w:val="0"/>
        <w:adjustRightInd w:val="0"/>
        <w:ind w:left="111" w:right="68"/>
        <w:jc w:val="both"/>
        <w:rPr>
          <w:rFonts w:ascii="Arial" w:hAnsi="Arial" w:cs="Arial"/>
          <w:sz w:val="22"/>
          <w:szCs w:val="22"/>
        </w:rPr>
      </w:pPr>
    </w:p>
    <w:p w14:paraId="43CB8C2E" w14:textId="13339778" w:rsidR="000A3CA0" w:rsidRPr="008078C5" w:rsidRDefault="00F30BDF" w:rsidP="00DB26E6">
      <w:pPr>
        <w:widowControl w:val="0"/>
        <w:autoSpaceDE w:val="0"/>
        <w:adjustRightInd w:val="0"/>
        <w:ind w:right="68"/>
        <w:jc w:val="both"/>
        <w:rPr>
          <w:rFonts w:ascii="Arial" w:hAnsi="Arial" w:cs="Arial"/>
          <w:sz w:val="22"/>
          <w:szCs w:val="22"/>
        </w:rPr>
      </w:pPr>
      <w:r w:rsidRPr="008078C5">
        <w:rPr>
          <w:rFonts w:ascii="Arial" w:hAnsi="Arial" w:cs="Arial"/>
          <w:b/>
          <w:bCs/>
          <w:sz w:val="22"/>
          <w:szCs w:val="22"/>
        </w:rPr>
        <w:t>Article 1</w:t>
      </w:r>
      <w:r w:rsidR="00044B0E" w:rsidRPr="008F3C2C">
        <w:rPr>
          <w:rFonts w:ascii="Arial" w:hAnsi="Arial" w:cs="Arial"/>
          <w:b/>
          <w:bCs/>
          <w:sz w:val="22"/>
          <w:szCs w:val="22"/>
        </w:rPr>
        <w:t>9</w:t>
      </w:r>
      <w:r w:rsidR="001956AF" w:rsidRPr="008F3C2C">
        <w:rPr>
          <w:rFonts w:ascii="Arial" w:hAnsi="Arial" w:cs="Arial"/>
          <w:b/>
          <w:bCs/>
          <w:sz w:val="22"/>
          <w:szCs w:val="22"/>
        </w:rPr>
        <w:t>3</w:t>
      </w:r>
      <w:r w:rsidR="000A3CA0" w:rsidRPr="008F3C2C">
        <w:rPr>
          <w:rFonts w:ascii="Arial" w:hAnsi="Arial" w:cs="Arial"/>
          <w:b/>
          <w:bCs/>
          <w:sz w:val="22"/>
          <w:szCs w:val="22"/>
        </w:rPr>
        <w:t>. –</w:t>
      </w:r>
      <w:r w:rsidR="000A3CA0" w:rsidRPr="008F3C2C">
        <w:rPr>
          <w:rFonts w:ascii="Arial" w:hAnsi="Arial" w:cs="Arial"/>
          <w:bCs/>
          <w:sz w:val="22"/>
          <w:szCs w:val="22"/>
        </w:rPr>
        <w:t xml:space="preserve"> Les dossiers de demande d’enregistrement des opérations de placement privé sont instruits dans un délai ne pouvant dépasser dix (10) jours à compter de la </w:t>
      </w:r>
      <w:r w:rsidR="000A3CA0" w:rsidRPr="008078C5">
        <w:rPr>
          <w:rFonts w:ascii="Arial" w:hAnsi="Arial" w:cs="Arial"/>
          <w:bCs/>
          <w:sz w:val="22"/>
          <w:szCs w:val="22"/>
        </w:rPr>
        <w:t>réception d’un dossier complet par la COSUMAF.</w:t>
      </w:r>
    </w:p>
    <w:p w14:paraId="72CDA93C" w14:textId="77777777" w:rsidR="000A3CA0" w:rsidRPr="008078C5" w:rsidRDefault="000A3CA0" w:rsidP="00A64175">
      <w:pPr>
        <w:widowControl w:val="0"/>
        <w:autoSpaceDE w:val="0"/>
        <w:autoSpaceDN w:val="0"/>
        <w:adjustRightInd w:val="0"/>
        <w:jc w:val="both"/>
        <w:rPr>
          <w:rFonts w:ascii="Arial" w:hAnsi="Arial" w:cs="Arial"/>
          <w:color w:val="000000"/>
          <w:kern w:val="1"/>
          <w:sz w:val="22"/>
          <w:szCs w:val="22"/>
        </w:rPr>
      </w:pPr>
    </w:p>
    <w:p w14:paraId="4ABE5949" w14:textId="77777777" w:rsidR="00DA3934" w:rsidRDefault="00DA3934" w:rsidP="00A64175">
      <w:pPr>
        <w:widowControl w:val="0"/>
        <w:autoSpaceDE w:val="0"/>
        <w:autoSpaceDN w:val="0"/>
        <w:adjustRightInd w:val="0"/>
        <w:jc w:val="both"/>
        <w:rPr>
          <w:rFonts w:ascii="Arial" w:hAnsi="Arial" w:cs="Arial"/>
          <w:color w:val="000000"/>
          <w:kern w:val="1"/>
          <w:sz w:val="22"/>
          <w:szCs w:val="22"/>
        </w:rPr>
      </w:pPr>
    </w:p>
    <w:p w14:paraId="03743026" w14:textId="77777777" w:rsidR="00DA3934" w:rsidRPr="00A64175" w:rsidRDefault="00DA3934" w:rsidP="00A64175">
      <w:pPr>
        <w:widowControl w:val="0"/>
        <w:autoSpaceDE w:val="0"/>
        <w:autoSpaceDN w:val="0"/>
        <w:adjustRightInd w:val="0"/>
        <w:jc w:val="both"/>
        <w:rPr>
          <w:rFonts w:ascii="Arial" w:hAnsi="Arial" w:cs="Arial"/>
          <w:color w:val="000000"/>
          <w:kern w:val="1"/>
          <w:sz w:val="22"/>
          <w:szCs w:val="22"/>
        </w:rPr>
      </w:pPr>
    </w:p>
    <w:p w14:paraId="0ABB4C03" w14:textId="39160E09" w:rsidR="00143DC4" w:rsidRPr="00A64175" w:rsidRDefault="00143DC4" w:rsidP="00A64175">
      <w:pPr>
        <w:widowControl w:val="0"/>
        <w:autoSpaceDE w:val="0"/>
        <w:autoSpaceDN w:val="0"/>
        <w:adjustRightInd w:val="0"/>
        <w:jc w:val="both"/>
        <w:rPr>
          <w:rFonts w:ascii="Arial" w:hAnsi="Arial" w:cs="Arial"/>
          <w:color w:val="000000"/>
          <w:kern w:val="1"/>
          <w:sz w:val="22"/>
          <w:szCs w:val="22"/>
        </w:rPr>
      </w:pPr>
      <w:r w:rsidRPr="00A64175">
        <w:rPr>
          <w:rFonts w:ascii="Arial" w:hAnsi="Arial" w:cs="Arial"/>
          <w:b/>
          <w:bCs/>
          <w:sz w:val="22"/>
          <w:szCs w:val="22"/>
        </w:rPr>
        <w:t xml:space="preserve">Chapitre III – </w:t>
      </w:r>
      <w:r w:rsidRPr="00A64175">
        <w:rPr>
          <w:rFonts w:ascii="Arial" w:hAnsi="Arial" w:cs="Arial"/>
          <w:b/>
          <w:color w:val="000000" w:themeColor="text1"/>
          <w:sz w:val="22"/>
          <w:szCs w:val="22"/>
        </w:rPr>
        <w:t>Offres publiques</w:t>
      </w:r>
    </w:p>
    <w:p w14:paraId="3D06F78E" w14:textId="77777777" w:rsidR="00051790" w:rsidRPr="00A64175" w:rsidRDefault="00051790" w:rsidP="00A64175">
      <w:pPr>
        <w:widowControl w:val="0"/>
        <w:autoSpaceDE w:val="0"/>
        <w:autoSpaceDN w:val="0"/>
        <w:adjustRightInd w:val="0"/>
        <w:jc w:val="both"/>
        <w:rPr>
          <w:rFonts w:ascii="Arial" w:hAnsi="Arial" w:cs="Arial"/>
          <w:color w:val="000000"/>
          <w:kern w:val="1"/>
          <w:sz w:val="22"/>
          <w:szCs w:val="22"/>
        </w:rPr>
      </w:pPr>
    </w:p>
    <w:tbl>
      <w:tblPr>
        <w:tblStyle w:val="Grilledutableau"/>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0"/>
      </w:tblGrid>
      <w:tr w:rsidR="001D4AF3" w:rsidRPr="00A64175" w14:paraId="68D52AEE" w14:textId="77777777" w:rsidTr="001B69F3">
        <w:trPr>
          <w:jc w:val="center"/>
        </w:trPr>
        <w:tc>
          <w:tcPr>
            <w:tcW w:w="10380" w:type="dxa"/>
          </w:tcPr>
          <w:p w14:paraId="1E25521A" w14:textId="77777777" w:rsidR="00143DC4" w:rsidRPr="00A64175" w:rsidRDefault="00143DC4" w:rsidP="00A64175">
            <w:pPr>
              <w:jc w:val="both"/>
              <w:rPr>
                <w:rFonts w:ascii="Arial" w:hAnsi="Arial" w:cs="Arial"/>
              </w:rPr>
            </w:pPr>
          </w:p>
          <w:tbl>
            <w:tblPr>
              <w:tblStyle w:val="Grilledutableau"/>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6"/>
            </w:tblGrid>
            <w:tr w:rsidR="001D4AF3" w:rsidRPr="00A64175" w14:paraId="2534F221" w14:textId="77777777" w:rsidTr="00B27D90">
              <w:tc>
                <w:tcPr>
                  <w:tcW w:w="9986" w:type="dxa"/>
                  <w:shd w:val="clear" w:color="auto" w:fill="auto"/>
                </w:tcPr>
                <w:p w14:paraId="0554E72A"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r w:rsidRPr="00A64175">
                    <w:rPr>
                      <w:rFonts w:ascii="Arial" w:hAnsi="Arial" w:cs="Arial"/>
                      <w:b/>
                      <w:bCs/>
                      <w:color w:val="000000" w:themeColor="text1"/>
                    </w:rPr>
                    <w:t>Section I : Dispositions générales</w:t>
                  </w:r>
                </w:p>
              </w:tc>
            </w:tr>
            <w:tr w:rsidR="001D4AF3" w:rsidRPr="00A64175" w14:paraId="7790074A" w14:textId="77777777" w:rsidTr="00B27D90">
              <w:tc>
                <w:tcPr>
                  <w:tcW w:w="9986" w:type="dxa"/>
                  <w:shd w:val="clear" w:color="auto" w:fill="auto"/>
                </w:tcPr>
                <w:p w14:paraId="7B39947B" w14:textId="77777777" w:rsidR="001D4AF3" w:rsidRPr="001B69F3" w:rsidRDefault="001D4AF3" w:rsidP="00A64175">
                  <w:pPr>
                    <w:ind w:right="1024"/>
                    <w:jc w:val="both"/>
                    <w:rPr>
                      <w:rFonts w:ascii="Arial" w:hAnsi="Arial" w:cs="Arial"/>
                      <w:b/>
                      <w:bCs/>
                      <w:color w:val="000000" w:themeColor="text1"/>
                      <w:kern w:val="1"/>
                    </w:rPr>
                  </w:pPr>
                </w:p>
                <w:p w14:paraId="6B02313C" w14:textId="3D468D84" w:rsidR="001D4AF3" w:rsidRPr="001B69F3" w:rsidRDefault="00F30BDF" w:rsidP="00A64175">
                  <w:pPr>
                    <w:ind w:right="1024"/>
                    <w:jc w:val="both"/>
                    <w:rPr>
                      <w:rFonts w:ascii="Arial" w:hAnsi="Arial" w:cs="Arial"/>
                      <w:b/>
                      <w:bCs/>
                      <w:color w:val="000000" w:themeColor="text1"/>
                      <w:kern w:val="1"/>
                    </w:rPr>
                  </w:pPr>
                  <w:r w:rsidRPr="001B69F3">
                    <w:rPr>
                      <w:rFonts w:ascii="Arial" w:hAnsi="Arial" w:cs="Arial"/>
                      <w:b/>
                      <w:bCs/>
                      <w:color w:val="000000" w:themeColor="text1"/>
                      <w:kern w:val="1"/>
                    </w:rPr>
                    <w:t>Article 19</w:t>
                  </w:r>
                  <w:r w:rsidR="001956AF">
                    <w:rPr>
                      <w:rFonts w:ascii="Arial" w:hAnsi="Arial" w:cs="Arial"/>
                      <w:b/>
                      <w:bCs/>
                      <w:color w:val="000000" w:themeColor="text1"/>
                      <w:kern w:val="1"/>
                    </w:rPr>
                    <w:t>4</w:t>
                  </w:r>
                  <w:r w:rsidRPr="001B69F3">
                    <w:rPr>
                      <w:rFonts w:ascii="Arial" w:hAnsi="Arial" w:cs="Arial"/>
                      <w:b/>
                      <w:bCs/>
                      <w:color w:val="000000" w:themeColor="text1"/>
                      <w:kern w:val="1"/>
                    </w:rPr>
                    <w:t xml:space="preserve"> -</w:t>
                  </w:r>
                  <w:r w:rsidR="001D4AF3" w:rsidRPr="001B69F3">
                    <w:rPr>
                      <w:rFonts w:ascii="Arial" w:hAnsi="Arial" w:cs="Arial"/>
                      <w:b/>
                      <w:bCs/>
                      <w:color w:val="000000" w:themeColor="text1"/>
                      <w:kern w:val="1"/>
                    </w:rPr>
                    <w:t xml:space="preserve"> </w:t>
                  </w:r>
                </w:p>
                <w:p w14:paraId="4E27C30E" w14:textId="77777777" w:rsidR="001D4AF3" w:rsidRPr="001B69F3" w:rsidRDefault="001D4AF3" w:rsidP="00A64175">
                  <w:pPr>
                    <w:ind w:right="1024"/>
                    <w:jc w:val="both"/>
                    <w:rPr>
                      <w:rFonts w:ascii="Arial" w:hAnsi="Arial" w:cs="Arial"/>
                      <w:b/>
                      <w:bCs/>
                      <w:color w:val="000000" w:themeColor="text1"/>
                      <w:kern w:val="1"/>
                    </w:rPr>
                  </w:pPr>
                </w:p>
                <w:p w14:paraId="6672DE74" w14:textId="515D7E41" w:rsidR="001D4AF3" w:rsidRPr="001B69F3" w:rsidRDefault="001D4AF3" w:rsidP="00A64175">
                  <w:pPr>
                    <w:pStyle w:val="Paragraphedeliste"/>
                    <w:numPr>
                      <w:ilvl w:val="0"/>
                      <w:numId w:val="208"/>
                    </w:numPr>
                    <w:spacing w:before="0" w:beforeAutospacing="0" w:afterAutospacing="0"/>
                    <w:ind w:left="317" w:right="1024"/>
                    <w:rPr>
                      <w:color w:val="000000" w:themeColor="text1"/>
                    </w:rPr>
                  </w:pPr>
                  <w:r w:rsidRPr="001B69F3">
                    <w:rPr>
                      <w:color w:val="000000" w:themeColor="text1"/>
                    </w:rPr>
                    <w:t>La période de pré offre est le temps s'écoulant entre la publication de la déclaration faite par la personne ayant l’intention de</w:t>
                  </w:r>
                  <w:r w:rsidR="008F17FE" w:rsidRPr="001B69F3">
                    <w:rPr>
                      <w:color w:val="000000" w:themeColor="text1"/>
                    </w:rPr>
                    <w:t xml:space="preserve"> déposer une offre </w:t>
                  </w:r>
                  <w:r w:rsidRPr="001B69F3">
                    <w:rPr>
                      <w:color w:val="000000" w:themeColor="text1"/>
                    </w:rPr>
                    <w:t>et le début de la période d'offre ;</w:t>
                  </w:r>
                </w:p>
                <w:p w14:paraId="5FCCF755" w14:textId="77777777" w:rsidR="001D4AF3" w:rsidRPr="001B69F3" w:rsidRDefault="001D4AF3" w:rsidP="00A64175">
                  <w:pPr>
                    <w:numPr>
                      <w:ilvl w:val="0"/>
                      <w:numId w:val="208"/>
                    </w:numPr>
                    <w:ind w:left="284" w:right="1024"/>
                    <w:jc w:val="both"/>
                    <w:rPr>
                      <w:rFonts w:ascii="Arial" w:hAnsi="Arial" w:cs="Arial"/>
                      <w:color w:val="000000" w:themeColor="text1"/>
                    </w:rPr>
                  </w:pPr>
                  <w:r w:rsidRPr="001B69F3">
                    <w:rPr>
                      <w:rFonts w:ascii="Arial" w:hAnsi="Arial" w:cs="Arial"/>
                      <w:color w:val="000000" w:themeColor="text1"/>
                    </w:rPr>
                    <w:t>La période d'offre est le temps s'écoulant entre la publication des principales dispositions du projet d'offre, préalablement déposées à la COSUMAF, et la publication des résultats de l'offre ou, le cas échéant, des résultats de sa réouverture ;</w:t>
                  </w:r>
                </w:p>
                <w:p w14:paraId="553966FF" w14:textId="77777777" w:rsidR="001D4AF3" w:rsidRPr="001B69F3" w:rsidRDefault="001D4AF3" w:rsidP="00A64175">
                  <w:pPr>
                    <w:ind w:left="284" w:right="1024"/>
                    <w:jc w:val="both"/>
                    <w:rPr>
                      <w:rFonts w:ascii="Arial" w:hAnsi="Arial" w:cs="Arial"/>
                      <w:color w:val="000000" w:themeColor="text1"/>
                    </w:rPr>
                  </w:pPr>
                </w:p>
                <w:p w14:paraId="16312CCA" w14:textId="075DEB40" w:rsidR="001D4AF3" w:rsidRPr="001B69F3" w:rsidRDefault="001D4AF3" w:rsidP="00A64175">
                  <w:pPr>
                    <w:numPr>
                      <w:ilvl w:val="0"/>
                      <w:numId w:val="208"/>
                    </w:numPr>
                    <w:ind w:left="284" w:right="1024"/>
                    <w:jc w:val="both"/>
                    <w:rPr>
                      <w:rFonts w:ascii="Arial" w:hAnsi="Arial" w:cs="Arial"/>
                      <w:color w:val="000000" w:themeColor="text1"/>
                    </w:rPr>
                  </w:pPr>
                  <w:r w:rsidRPr="001B69F3">
                    <w:rPr>
                      <w:rFonts w:ascii="Arial" w:hAnsi="Arial" w:cs="Arial"/>
                      <w:color w:val="000000" w:themeColor="text1"/>
                    </w:rPr>
                    <w:t>La durée de l'offre est le temps s'écoulant entre la date d'ouverture et la date de clôture de l'offre</w:t>
                  </w:r>
                  <w:r w:rsidR="00143DC4" w:rsidRPr="001B69F3">
                    <w:rPr>
                      <w:rFonts w:ascii="Arial" w:hAnsi="Arial" w:cs="Arial"/>
                      <w:color w:val="000000" w:themeColor="text1"/>
                    </w:rPr>
                    <w:t>.</w:t>
                  </w:r>
                  <w:r w:rsidRPr="001B69F3">
                    <w:rPr>
                      <w:rFonts w:ascii="Arial" w:hAnsi="Arial" w:cs="Arial"/>
                      <w:color w:val="000000" w:themeColor="text1"/>
                    </w:rPr>
                    <w:t xml:space="preserve"> </w:t>
                  </w:r>
                  <w:r w:rsidR="0080126C" w:rsidRPr="001B69F3">
                    <w:rPr>
                      <w:rFonts w:ascii="Arial" w:hAnsi="Arial" w:cs="Arial"/>
                      <w:color w:val="000000" w:themeColor="text1"/>
                    </w:rPr>
                    <w:t>Sauf circonstances exceptionnelles dûment justifiées, la durée de l’offre doit être inférieure ou égale à quarante-cinq (45) jours.</w:t>
                  </w:r>
                </w:p>
              </w:tc>
            </w:tr>
            <w:tr w:rsidR="001D4AF3" w:rsidRPr="00A64175" w14:paraId="6FF1F5DA" w14:textId="77777777" w:rsidTr="00B27D90">
              <w:tc>
                <w:tcPr>
                  <w:tcW w:w="9986" w:type="dxa"/>
                  <w:shd w:val="clear" w:color="auto" w:fill="auto"/>
                </w:tcPr>
                <w:p w14:paraId="6B748DC7"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p>
                <w:p w14:paraId="716FFAB5" w14:textId="56AFE043" w:rsidR="001D4AF3" w:rsidRPr="00A64175" w:rsidRDefault="008C0B8E" w:rsidP="00A64175">
                  <w:pPr>
                    <w:ind w:right="1024"/>
                    <w:jc w:val="both"/>
                    <w:rPr>
                      <w:rFonts w:ascii="Arial" w:hAnsi="Arial" w:cs="Arial"/>
                      <w:b/>
                      <w:bCs/>
                      <w:color w:val="000000" w:themeColor="text1"/>
                      <w:kern w:val="1"/>
                    </w:rPr>
                  </w:pPr>
                  <w:r w:rsidRPr="00A64175">
                    <w:rPr>
                      <w:rFonts w:ascii="Arial" w:hAnsi="Arial" w:cs="Arial"/>
                      <w:b/>
                      <w:bCs/>
                      <w:color w:val="000000" w:themeColor="text1"/>
                      <w:kern w:val="1"/>
                    </w:rPr>
                    <w:t>Article 19</w:t>
                  </w:r>
                  <w:r w:rsidR="001956AF">
                    <w:rPr>
                      <w:rFonts w:ascii="Arial" w:hAnsi="Arial" w:cs="Arial"/>
                      <w:b/>
                      <w:bCs/>
                      <w:color w:val="000000" w:themeColor="text1"/>
                      <w:kern w:val="1"/>
                    </w:rPr>
                    <w:t>5</w:t>
                  </w:r>
                  <w:r w:rsidR="001D4AF3" w:rsidRPr="00A64175">
                    <w:rPr>
                      <w:rFonts w:ascii="Arial" w:hAnsi="Arial" w:cs="Arial"/>
                      <w:b/>
                      <w:bCs/>
                      <w:color w:val="000000" w:themeColor="text1"/>
                      <w:kern w:val="1"/>
                    </w:rPr>
                    <w:t xml:space="preserve"> - </w:t>
                  </w:r>
                  <w:r w:rsidR="001D4AF3" w:rsidRPr="00A64175">
                    <w:rPr>
                      <w:rFonts w:ascii="Arial" w:hAnsi="Arial" w:cs="Arial"/>
                      <w:color w:val="000000" w:themeColor="text1"/>
                    </w:rPr>
                    <w:t xml:space="preserve">Dès le dépôt du projet d'offre, toute </w:t>
                  </w:r>
                  <w:r w:rsidR="00772B5D" w:rsidRPr="00A64175">
                    <w:rPr>
                      <w:rFonts w:ascii="Arial" w:hAnsi="Arial" w:cs="Arial"/>
                      <w:color w:val="000000" w:themeColor="text1"/>
                    </w:rPr>
                    <w:t>clause d’accord conclue</w:t>
                  </w:r>
                  <w:r w:rsidR="001D4AF3" w:rsidRPr="00A64175">
                    <w:rPr>
                      <w:rFonts w:ascii="Arial" w:hAnsi="Arial" w:cs="Arial"/>
                      <w:color w:val="000000" w:themeColor="text1"/>
                    </w:rPr>
                    <w:t xml:space="preserve"> par les personnes concernées par l'offre, ou leurs actionnaires, susceptible d'avoir une incidence sur l'appréc</w:t>
                  </w:r>
                  <w:r w:rsidR="00143DC4" w:rsidRPr="00A64175">
                    <w:rPr>
                      <w:rFonts w:ascii="Arial" w:hAnsi="Arial" w:cs="Arial"/>
                      <w:color w:val="000000" w:themeColor="text1"/>
                    </w:rPr>
                    <w:t>iation de l'offre ou son issue</w:t>
                  </w:r>
                  <w:r w:rsidR="001D4AF3" w:rsidRPr="00A64175">
                    <w:rPr>
                      <w:rFonts w:ascii="Arial" w:hAnsi="Arial" w:cs="Arial"/>
                      <w:color w:val="000000" w:themeColor="text1"/>
                    </w:rPr>
                    <w:t xml:space="preserve">, doit être portée à la connaissance des personnes concernées par l'offre, de la COSUMAF et du public. </w:t>
                  </w:r>
                </w:p>
              </w:tc>
            </w:tr>
            <w:tr w:rsidR="001D4AF3" w:rsidRPr="00A64175" w14:paraId="0DA6F1B2" w14:textId="77777777" w:rsidTr="00B27D90">
              <w:tc>
                <w:tcPr>
                  <w:tcW w:w="9986" w:type="dxa"/>
                  <w:shd w:val="clear" w:color="auto" w:fill="auto"/>
                </w:tcPr>
                <w:p w14:paraId="30718F07" w14:textId="77777777" w:rsidR="001D4AF3" w:rsidRPr="00A64175" w:rsidRDefault="001D4AF3" w:rsidP="00A64175">
                  <w:pPr>
                    <w:widowControl w:val="0"/>
                    <w:autoSpaceDE w:val="0"/>
                    <w:adjustRightInd w:val="0"/>
                    <w:spacing w:before="100" w:beforeAutospacing="1"/>
                    <w:ind w:right="1024"/>
                    <w:jc w:val="both"/>
                    <w:rPr>
                      <w:rFonts w:ascii="Arial" w:hAnsi="Arial" w:cs="Arial"/>
                      <w:b/>
                      <w:bCs/>
                      <w:color w:val="000000" w:themeColor="text1"/>
                    </w:rPr>
                  </w:pPr>
                </w:p>
                <w:p w14:paraId="0F88C980" w14:textId="343B45FA" w:rsidR="001D4AF3" w:rsidRPr="00A64175" w:rsidRDefault="008C0B8E" w:rsidP="00A64175">
                  <w:pPr>
                    <w:ind w:right="1024"/>
                    <w:jc w:val="both"/>
                    <w:rPr>
                      <w:rFonts w:ascii="Arial" w:hAnsi="Arial" w:cs="Arial"/>
                      <w:color w:val="000000" w:themeColor="text1"/>
                    </w:rPr>
                  </w:pPr>
                  <w:r w:rsidRPr="00A64175">
                    <w:rPr>
                      <w:rFonts w:ascii="Arial" w:hAnsi="Arial" w:cs="Arial"/>
                      <w:b/>
                      <w:bCs/>
                      <w:color w:val="000000" w:themeColor="text1"/>
                      <w:kern w:val="1"/>
                    </w:rPr>
                    <w:t>Article 19</w:t>
                  </w:r>
                  <w:r w:rsidR="001956AF">
                    <w:rPr>
                      <w:rFonts w:ascii="Arial" w:hAnsi="Arial" w:cs="Arial"/>
                      <w:b/>
                      <w:bCs/>
                      <w:color w:val="000000" w:themeColor="text1"/>
                      <w:kern w:val="1"/>
                    </w:rPr>
                    <w:t>6</w:t>
                  </w:r>
                  <w:r w:rsidR="001D4AF3" w:rsidRPr="00A64175">
                    <w:rPr>
                      <w:rFonts w:ascii="Arial" w:hAnsi="Arial" w:cs="Arial"/>
                      <w:b/>
                      <w:bCs/>
                      <w:color w:val="000000" w:themeColor="text1"/>
                      <w:kern w:val="1"/>
                    </w:rPr>
                    <w:t xml:space="preserve"> - </w:t>
                  </w:r>
                  <w:r w:rsidRPr="00A64175">
                    <w:rPr>
                      <w:rFonts w:ascii="Arial" w:hAnsi="Arial" w:cs="Arial"/>
                      <w:color w:val="000000" w:themeColor="text1"/>
                    </w:rPr>
                    <w:t>L</w:t>
                  </w:r>
                  <w:r w:rsidR="001D4AF3" w:rsidRPr="00A64175">
                    <w:rPr>
                      <w:rFonts w:ascii="Arial" w:hAnsi="Arial" w:cs="Arial"/>
                      <w:color w:val="000000" w:themeColor="text1"/>
                    </w:rPr>
                    <w:t xml:space="preserve">'offre doit viser la totalité des titres de capital et </w:t>
                  </w:r>
                  <w:r w:rsidR="00143DC4" w:rsidRPr="00A64175">
                    <w:rPr>
                      <w:rFonts w:ascii="Arial" w:hAnsi="Arial" w:cs="Arial"/>
                      <w:color w:val="000000" w:themeColor="text1"/>
                    </w:rPr>
                    <w:t xml:space="preserve">de </w:t>
                  </w:r>
                  <w:r w:rsidR="001D4AF3" w:rsidRPr="00A64175">
                    <w:rPr>
                      <w:rFonts w:ascii="Arial" w:hAnsi="Arial" w:cs="Arial"/>
                      <w:color w:val="000000" w:themeColor="text1"/>
                    </w:rPr>
                    <w:t>créance de la société visée.</w:t>
                  </w:r>
                </w:p>
              </w:tc>
            </w:tr>
            <w:tr w:rsidR="001D4AF3" w:rsidRPr="00A64175" w14:paraId="6C9DC490" w14:textId="77777777" w:rsidTr="00B27D90">
              <w:tc>
                <w:tcPr>
                  <w:tcW w:w="9986" w:type="dxa"/>
                  <w:shd w:val="clear" w:color="auto" w:fill="auto"/>
                </w:tcPr>
                <w:p w14:paraId="5892E3FF"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p>
                <w:p w14:paraId="16419F88" w14:textId="60F86747" w:rsidR="001D4AF3" w:rsidRPr="00A64175" w:rsidRDefault="00874982" w:rsidP="00A64175">
                  <w:pPr>
                    <w:widowControl w:val="0"/>
                    <w:autoSpaceDE w:val="0"/>
                    <w:adjustRightInd w:val="0"/>
                    <w:ind w:right="1024"/>
                    <w:jc w:val="both"/>
                    <w:rPr>
                      <w:rFonts w:ascii="Arial" w:hAnsi="Arial" w:cs="Arial"/>
                      <w:color w:val="000000" w:themeColor="text1"/>
                    </w:rPr>
                  </w:pPr>
                  <w:r w:rsidRPr="00A64175">
                    <w:rPr>
                      <w:rFonts w:ascii="Arial" w:hAnsi="Arial" w:cs="Arial"/>
                      <w:b/>
                      <w:bCs/>
                      <w:color w:val="000000" w:themeColor="text1"/>
                      <w:kern w:val="1"/>
                    </w:rPr>
                    <w:t>Article 19</w:t>
                  </w:r>
                  <w:r w:rsidR="001956AF">
                    <w:rPr>
                      <w:rFonts w:ascii="Arial" w:hAnsi="Arial" w:cs="Arial"/>
                      <w:b/>
                      <w:bCs/>
                      <w:color w:val="000000" w:themeColor="text1"/>
                      <w:kern w:val="1"/>
                    </w:rPr>
                    <w:t>7</w:t>
                  </w:r>
                  <w:r w:rsidR="001D4AF3" w:rsidRPr="00A64175">
                    <w:rPr>
                      <w:rFonts w:ascii="Arial" w:hAnsi="Arial" w:cs="Arial"/>
                      <w:b/>
                      <w:bCs/>
                      <w:color w:val="000000" w:themeColor="text1"/>
                      <w:kern w:val="1"/>
                    </w:rPr>
                    <w:t xml:space="preserve"> - </w:t>
                  </w:r>
                  <w:r w:rsidR="001D4AF3" w:rsidRPr="00A64175">
                    <w:rPr>
                      <w:rFonts w:ascii="Arial" w:hAnsi="Arial" w:cs="Arial"/>
                      <w:color w:val="000000" w:themeColor="text1"/>
                    </w:rPr>
                    <w:t>Pendant la période d’offre publique, l’initiateur et la société visée s’assurent que leurs actes, décisions et déclarations n’ont pas pour effet de compromettre l’intérêt social et l’égalité de traitement ou d’information des détenteurs de valeurs mobilières des sociétés concernées.</w:t>
                  </w:r>
                </w:p>
                <w:p w14:paraId="6E91DB7A"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r w:rsidRPr="00A64175">
                    <w:rPr>
                      <w:rFonts w:ascii="Arial" w:hAnsi="Arial" w:cs="Arial"/>
                      <w:color w:val="000000" w:themeColor="text1"/>
                    </w:rPr>
                    <w:t>Si le conseil d’administration ou l’administrateur général décide de prendre une décision dont la mise en œuvre est susceptible de faire échouer l’offre, il en informe la COSUMAF.</w:t>
                  </w:r>
                </w:p>
              </w:tc>
            </w:tr>
            <w:tr w:rsidR="001D4AF3" w:rsidRPr="00A64175" w14:paraId="4B3991A5" w14:textId="77777777" w:rsidTr="00B27D90">
              <w:tc>
                <w:tcPr>
                  <w:tcW w:w="9986" w:type="dxa"/>
                  <w:shd w:val="clear" w:color="auto" w:fill="auto"/>
                </w:tcPr>
                <w:p w14:paraId="7B8AC238"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p>
                <w:p w14:paraId="1549CC91" w14:textId="349EF85E" w:rsidR="001D4AF3" w:rsidRPr="00A64175" w:rsidRDefault="00874982" w:rsidP="00A64175">
                  <w:pPr>
                    <w:widowControl w:val="0"/>
                    <w:autoSpaceDE w:val="0"/>
                    <w:adjustRightInd w:val="0"/>
                    <w:ind w:right="1024"/>
                    <w:jc w:val="both"/>
                    <w:rPr>
                      <w:rFonts w:ascii="Arial" w:hAnsi="Arial" w:cs="Arial"/>
                      <w:color w:val="000000" w:themeColor="text1"/>
                    </w:rPr>
                  </w:pPr>
                  <w:r w:rsidRPr="00A64175">
                    <w:rPr>
                      <w:rFonts w:ascii="Arial" w:hAnsi="Arial" w:cs="Arial"/>
                      <w:b/>
                      <w:bCs/>
                      <w:color w:val="000000" w:themeColor="text1"/>
                      <w:kern w:val="1"/>
                    </w:rPr>
                    <w:t>Article 19</w:t>
                  </w:r>
                  <w:r w:rsidR="001956AF">
                    <w:rPr>
                      <w:rFonts w:ascii="Arial" w:hAnsi="Arial" w:cs="Arial"/>
                      <w:b/>
                      <w:bCs/>
                      <w:color w:val="000000" w:themeColor="text1"/>
                      <w:kern w:val="1"/>
                    </w:rPr>
                    <w:t>8</w:t>
                  </w:r>
                  <w:r w:rsidR="001D4AF3" w:rsidRPr="00A64175">
                    <w:rPr>
                      <w:rFonts w:ascii="Arial" w:hAnsi="Arial" w:cs="Arial"/>
                      <w:b/>
                      <w:bCs/>
                      <w:color w:val="000000" w:themeColor="text1"/>
                      <w:kern w:val="1"/>
                    </w:rPr>
                    <w:t xml:space="preserve"> - </w:t>
                  </w:r>
                  <w:r w:rsidR="001D4AF3" w:rsidRPr="00A64175">
                    <w:rPr>
                      <w:rFonts w:ascii="Arial" w:hAnsi="Arial" w:cs="Arial"/>
                      <w:color w:val="000000" w:themeColor="text1"/>
                    </w:rPr>
                    <w:t>Aucune clause d’agrément statutaire d’une société visée ne peut être opposée à l’initiateur d’une offre publique.</w:t>
                  </w:r>
                </w:p>
              </w:tc>
            </w:tr>
            <w:tr w:rsidR="001D4AF3" w:rsidRPr="00A64175" w14:paraId="46D00BA5" w14:textId="77777777" w:rsidTr="00B27D90">
              <w:tc>
                <w:tcPr>
                  <w:tcW w:w="9986" w:type="dxa"/>
                  <w:shd w:val="clear" w:color="auto" w:fill="auto"/>
                </w:tcPr>
                <w:p w14:paraId="7A953EE7"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481ACA4F" w14:textId="679217D3" w:rsidR="001D4AF3" w:rsidRPr="00A64175" w:rsidRDefault="001D4AF3" w:rsidP="00A64175">
                  <w:pPr>
                    <w:pStyle w:val="Paragraphedeliste"/>
                    <w:widowControl w:val="0"/>
                    <w:autoSpaceDE w:val="0"/>
                    <w:adjustRightInd w:val="0"/>
                    <w:spacing w:before="0" w:beforeAutospacing="0" w:afterAutospacing="0"/>
                    <w:ind w:left="312" w:right="1024"/>
                    <w:rPr>
                      <w:color w:val="000000" w:themeColor="text1"/>
                    </w:rPr>
                  </w:pPr>
                </w:p>
              </w:tc>
            </w:tr>
            <w:tr w:rsidR="001D4AF3" w:rsidRPr="00A64175" w14:paraId="728AEF48" w14:textId="77777777" w:rsidTr="00B27D90">
              <w:tc>
                <w:tcPr>
                  <w:tcW w:w="9986" w:type="dxa"/>
                  <w:shd w:val="clear" w:color="auto" w:fill="auto"/>
                </w:tcPr>
                <w:p w14:paraId="365B95B4" w14:textId="77777777" w:rsidR="001D4AF3" w:rsidRPr="00A64175" w:rsidRDefault="001D4AF3" w:rsidP="00A64175">
                  <w:pPr>
                    <w:widowControl w:val="0"/>
                    <w:autoSpaceDE w:val="0"/>
                    <w:adjustRightInd w:val="0"/>
                    <w:ind w:right="1024"/>
                    <w:jc w:val="both"/>
                    <w:rPr>
                      <w:rFonts w:ascii="Arial" w:hAnsi="Arial" w:cs="Arial"/>
                      <w:b/>
                      <w:bCs/>
                      <w:color w:val="000000" w:themeColor="text1"/>
                    </w:rPr>
                  </w:pPr>
                  <w:r w:rsidRPr="00A64175">
                    <w:rPr>
                      <w:rFonts w:ascii="Arial" w:hAnsi="Arial" w:cs="Arial"/>
                      <w:b/>
                      <w:bCs/>
                      <w:color w:val="000000" w:themeColor="text1"/>
                    </w:rPr>
                    <w:t>Section II : Déclarations et communications</w:t>
                  </w:r>
                </w:p>
              </w:tc>
            </w:tr>
            <w:tr w:rsidR="001D4AF3" w:rsidRPr="00A64175" w14:paraId="16F1BA17" w14:textId="77777777" w:rsidTr="00B27D90">
              <w:tc>
                <w:tcPr>
                  <w:tcW w:w="9986" w:type="dxa"/>
                  <w:shd w:val="clear" w:color="auto" w:fill="auto"/>
                </w:tcPr>
                <w:p w14:paraId="570A95A4"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4C1B916A" w14:textId="51AB055D" w:rsidR="001D4AF3" w:rsidRPr="00A64175" w:rsidRDefault="0069692E" w:rsidP="00A64175">
                  <w:pPr>
                    <w:widowControl w:val="0"/>
                    <w:autoSpaceDE w:val="0"/>
                    <w:adjustRightInd w:val="0"/>
                    <w:ind w:right="1024"/>
                    <w:jc w:val="both"/>
                    <w:rPr>
                      <w:rFonts w:ascii="Arial" w:hAnsi="Arial" w:cs="Arial"/>
                      <w:b/>
                      <w:bCs/>
                      <w:color w:val="000000" w:themeColor="text1"/>
                    </w:rPr>
                  </w:pPr>
                  <w:r w:rsidRPr="00A64175">
                    <w:rPr>
                      <w:rFonts w:ascii="Arial" w:hAnsi="Arial" w:cs="Arial"/>
                      <w:b/>
                      <w:bCs/>
                      <w:color w:val="000000" w:themeColor="text1"/>
                      <w:kern w:val="1"/>
                    </w:rPr>
                    <w:t>Article 19</w:t>
                  </w:r>
                  <w:r w:rsidR="001956AF">
                    <w:rPr>
                      <w:rFonts w:ascii="Arial" w:hAnsi="Arial" w:cs="Arial"/>
                      <w:b/>
                      <w:bCs/>
                      <w:color w:val="000000" w:themeColor="text1"/>
                      <w:kern w:val="1"/>
                    </w:rPr>
                    <w:t>9</w:t>
                  </w:r>
                  <w:r w:rsidR="001D4AF3" w:rsidRPr="00A64175">
                    <w:rPr>
                      <w:rFonts w:ascii="Arial" w:hAnsi="Arial" w:cs="Arial"/>
                      <w:b/>
                      <w:bCs/>
                      <w:color w:val="000000" w:themeColor="text1"/>
                      <w:kern w:val="1"/>
                    </w:rPr>
                    <w:t xml:space="preserve"> - </w:t>
                  </w:r>
                </w:p>
                <w:p w14:paraId="58A66B5E" w14:textId="77777777" w:rsidR="001D4AF3" w:rsidRPr="00A64175" w:rsidRDefault="001D4AF3" w:rsidP="00A64175">
                  <w:pPr>
                    <w:widowControl w:val="0"/>
                    <w:autoSpaceDE w:val="0"/>
                    <w:adjustRightInd w:val="0"/>
                    <w:ind w:right="1024"/>
                    <w:jc w:val="both"/>
                    <w:rPr>
                      <w:rFonts w:ascii="Arial" w:hAnsi="Arial" w:cs="Arial"/>
                      <w:color w:val="000000" w:themeColor="text1"/>
                    </w:rPr>
                  </w:pPr>
                </w:p>
                <w:p w14:paraId="0371E984" w14:textId="77777777" w:rsidR="001D4AF3" w:rsidRPr="00A64175" w:rsidRDefault="001D4AF3" w:rsidP="00A64175">
                  <w:pPr>
                    <w:pStyle w:val="Paragraphedeliste"/>
                    <w:widowControl w:val="0"/>
                    <w:numPr>
                      <w:ilvl w:val="0"/>
                      <w:numId w:val="210"/>
                    </w:numPr>
                    <w:autoSpaceDE w:val="0"/>
                    <w:adjustRightInd w:val="0"/>
                    <w:spacing w:before="0" w:beforeAutospacing="0" w:afterAutospacing="0"/>
                    <w:ind w:right="1024"/>
                    <w:rPr>
                      <w:color w:val="000000" w:themeColor="text1"/>
                    </w:rPr>
                  </w:pPr>
                  <w:r w:rsidRPr="00A64175">
                    <w:rPr>
                      <w:color w:val="000000" w:themeColor="text1"/>
                    </w:rPr>
                    <w:t xml:space="preserve">Les personnes concernées, leurs dirigeants et leurs conseils doivent faire preuve d'une vigilance particulière dans leurs déclarations. </w:t>
                  </w:r>
                </w:p>
                <w:p w14:paraId="441823CD" w14:textId="77777777" w:rsidR="001D4AF3" w:rsidRPr="00A64175" w:rsidRDefault="001D4AF3" w:rsidP="00A64175">
                  <w:pPr>
                    <w:pStyle w:val="Paragraphedeliste"/>
                    <w:widowControl w:val="0"/>
                    <w:numPr>
                      <w:ilvl w:val="0"/>
                      <w:numId w:val="210"/>
                    </w:numPr>
                    <w:autoSpaceDE w:val="0"/>
                    <w:adjustRightInd w:val="0"/>
                    <w:spacing w:before="0" w:beforeAutospacing="0" w:afterAutospacing="0"/>
                    <w:ind w:right="1024"/>
                    <w:rPr>
                      <w:color w:val="000000" w:themeColor="text1"/>
                    </w:rPr>
                  </w:pPr>
                  <w:r w:rsidRPr="00A64175">
                    <w:rPr>
                      <w:color w:val="000000" w:themeColor="text1"/>
                    </w:rPr>
                    <w:t xml:space="preserve">Les communications à caractère promotionnel, quels que soient leur forme et leur mode de diffusion, sont communiquées à la COSUMAF préalablement à leur diffusion. Ces communications doivent : </w:t>
                  </w:r>
                </w:p>
                <w:p w14:paraId="6D2247D0" w14:textId="77777777" w:rsidR="001D4AF3" w:rsidRPr="00A64175" w:rsidRDefault="001D4AF3" w:rsidP="00A64175">
                  <w:pPr>
                    <w:pStyle w:val="Paragraphedeliste"/>
                    <w:widowControl w:val="0"/>
                    <w:numPr>
                      <w:ilvl w:val="0"/>
                      <w:numId w:val="46"/>
                    </w:numPr>
                    <w:tabs>
                      <w:tab w:val="left" w:pos="220"/>
                      <w:tab w:val="left" w:pos="720"/>
                    </w:tabs>
                    <w:autoSpaceDE w:val="0"/>
                    <w:adjustRightInd w:val="0"/>
                    <w:spacing w:before="0" w:beforeAutospacing="0" w:afterAutospacing="0"/>
                    <w:ind w:right="1024"/>
                    <w:rPr>
                      <w:color w:val="000000" w:themeColor="text1"/>
                    </w:rPr>
                  </w:pPr>
                  <w:r w:rsidRPr="00A64175">
                    <w:rPr>
                      <w:color w:val="000000" w:themeColor="text1"/>
                    </w:rPr>
                    <w:t xml:space="preserve">annoncer qu'une note d'information ou une note en réponse a été ou sera publiée et indiquer où les investisseurs peuvent ou pourront se la procurer ; </w:t>
                  </w:r>
                  <w:r w:rsidRPr="00A64175">
                    <w:rPr>
                      <w:rFonts w:ascii="MS Gothic" w:eastAsia="MS Gothic" w:hAnsi="MS Gothic" w:cs="MS Gothic"/>
                      <w:color w:val="000000" w:themeColor="text1"/>
                    </w:rPr>
                    <w:t> </w:t>
                  </w:r>
                </w:p>
                <w:p w14:paraId="5729D652" w14:textId="77777777" w:rsidR="001D4AF3" w:rsidRPr="00A64175" w:rsidRDefault="001D4AF3" w:rsidP="00A64175">
                  <w:pPr>
                    <w:pStyle w:val="Paragraphedeliste"/>
                    <w:widowControl w:val="0"/>
                    <w:numPr>
                      <w:ilvl w:val="0"/>
                      <w:numId w:val="53"/>
                    </w:numPr>
                    <w:tabs>
                      <w:tab w:val="left" w:pos="220"/>
                      <w:tab w:val="left" w:pos="720"/>
                    </w:tabs>
                    <w:autoSpaceDE w:val="0"/>
                    <w:adjustRightInd w:val="0"/>
                    <w:spacing w:before="0" w:beforeAutospacing="0" w:afterAutospacing="0"/>
                    <w:ind w:right="1024"/>
                    <w:rPr>
                      <w:color w:val="000000" w:themeColor="text1"/>
                    </w:rPr>
                  </w:pPr>
                  <w:r w:rsidRPr="00A64175">
                    <w:rPr>
                      <w:color w:val="000000" w:themeColor="text1"/>
                    </w:rPr>
                    <w:t xml:space="preserve">être clairement reconnaissables en tant que telles ; </w:t>
                  </w:r>
                  <w:r w:rsidRPr="00A64175">
                    <w:rPr>
                      <w:rFonts w:ascii="MS Gothic" w:eastAsia="MS Gothic" w:hAnsi="MS Gothic" w:cs="MS Gothic"/>
                      <w:color w:val="000000" w:themeColor="text1"/>
                    </w:rPr>
                    <w:t> </w:t>
                  </w:r>
                </w:p>
                <w:p w14:paraId="7B0FE705" w14:textId="77777777" w:rsidR="001D4AF3" w:rsidRPr="00A64175" w:rsidRDefault="001D4AF3" w:rsidP="00A64175">
                  <w:pPr>
                    <w:pStyle w:val="Paragraphedeliste"/>
                    <w:widowControl w:val="0"/>
                    <w:numPr>
                      <w:ilvl w:val="0"/>
                      <w:numId w:val="54"/>
                    </w:numPr>
                    <w:tabs>
                      <w:tab w:val="left" w:pos="220"/>
                      <w:tab w:val="left" w:pos="720"/>
                    </w:tabs>
                    <w:autoSpaceDE w:val="0"/>
                    <w:adjustRightInd w:val="0"/>
                    <w:spacing w:before="0" w:beforeAutospacing="0" w:afterAutospacing="0"/>
                    <w:ind w:right="1024"/>
                    <w:rPr>
                      <w:color w:val="000000" w:themeColor="text1"/>
                    </w:rPr>
                  </w:pPr>
                  <w:r w:rsidRPr="00A64175">
                    <w:rPr>
                      <w:color w:val="000000" w:themeColor="text1"/>
                    </w:rPr>
                    <w:t xml:space="preserve">ne pas comporter d'indications de nature à induire le public en erreur ou susceptibles de jeter le discrédit sur l'initiateur de l'offre ou la société visée par l'offre ; </w:t>
                  </w:r>
                  <w:r w:rsidRPr="00A64175">
                    <w:rPr>
                      <w:rFonts w:ascii="MS Gothic" w:eastAsia="MS Gothic" w:hAnsi="MS Gothic" w:cs="MS Gothic"/>
                      <w:color w:val="000000" w:themeColor="text1"/>
                    </w:rPr>
                    <w:t> </w:t>
                  </w:r>
                </w:p>
                <w:p w14:paraId="2C1EA5DA" w14:textId="77777777" w:rsidR="001D4AF3" w:rsidRPr="00A64175" w:rsidRDefault="001D4AF3" w:rsidP="00A64175">
                  <w:pPr>
                    <w:pStyle w:val="Paragraphedeliste"/>
                    <w:widowControl w:val="0"/>
                    <w:numPr>
                      <w:ilvl w:val="0"/>
                      <w:numId w:val="55"/>
                    </w:numPr>
                    <w:tabs>
                      <w:tab w:val="left" w:pos="220"/>
                      <w:tab w:val="left" w:pos="720"/>
                    </w:tabs>
                    <w:autoSpaceDE w:val="0"/>
                    <w:adjustRightInd w:val="0"/>
                    <w:spacing w:before="0" w:beforeAutospacing="0" w:afterAutospacing="0"/>
                    <w:ind w:right="1024"/>
                    <w:rPr>
                      <w:color w:val="000000" w:themeColor="text1"/>
                    </w:rPr>
                  </w:pPr>
                  <w:r w:rsidRPr="00A64175">
                    <w:rPr>
                      <w:color w:val="000000" w:themeColor="text1"/>
                    </w:rPr>
                    <w:t xml:space="preserve">être cohérentes avec les informations contenues dans les communiqués, la note d'information ou la note en réponse ; </w:t>
                  </w:r>
                </w:p>
                <w:p w14:paraId="2ECD5990" w14:textId="77777777" w:rsidR="001D4AF3" w:rsidRPr="00A64175" w:rsidRDefault="001D4AF3" w:rsidP="00A64175">
                  <w:pPr>
                    <w:pStyle w:val="Paragraphedeliste"/>
                    <w:widowControl w:val="0"/>
                    <w:numPr>
                      <w:ilvl w:val="0"/>
                      <w:numId w:val="210"/>
                    </w:numPr>
                    <w:autoSpaceDE w:val="0"/>
                    <w:adjustRightInd w:val="0"/>
                    <w:spacing w:before="0" w:beforeAutospacing="0" w:afterAutospacing="0"/>
                    <w:ind w:right="1024"/>
                    <w:rPr>
                      <w:b/>
                      <w:bCs/>
                      <w:color w:val="000000" w:themeColor="text1"/>
                    </w:rPr>
                  </w:pPr>
                  <w:r w:rsidRPr="00A64175">
                    <w:rPr>
                      <w:color w:val="000000" w:themeColor="text1"/>
                    </w:rPr>
                    <w:t>Les communications à caractère promotionnel doivent, le cas échéant, comporter, à la demande de la COSUMAF, un avertissement sur certaines caractéristiques exceptionnelles de l'initiateur, de la société visée ou des instruments financiers qui font l'objet de l'offre.</w:t>
                  </w:r>
                </w:p>
              </w:tc>
            </w:tr>
            <w:tr w:rsidR="001D4AF3" w:rsidRPr="00A64175" w14:paraId="79AAA46D" w14:textId="77777777" w:rsidTr="00B27D90">
              <w:tc>
                <w:tcPr>
                  <w:tcW w:w="9986" w:type="dxa"/>
                  <w:shd w:val="clear" w:color="auto" w:fill="auto"/>
                </w:tcPr>
                <w:p w14:paraId="527CB07D" w14:textId="0D262159" w:rsidR="001D4AF3" w:rsidRPr="00A64175" w:rsidRDefault="0069692E" w:rsidP="00A64175">
                  <w:pPr>
                    <w:widowControl w:val="0"/>
                    <w:autoSpaceDE w:val="0"/>
                    <w:adjustRightInd w:val="0"/>
                    <w:ind w:right="1024"/>
                    <w:jc w:val="both"/>
                    <w:rPr>
                      <w:rFonts w:ascii="Arial" w:hAnsi="Arial" w:cs="Arial"/>
                      <w:b/>
                      <w:bCs/>
                      <w:color w:val="000000" w:themeColor="text1"/>
                      <w:kern w:val="1"/>
                    </w:rPr>
                  </w:pPr>
                  <w:r w:rsidRPr="00A64175">
                    <w:rPr>
                      <w:rFonts w:ascii="Arial" w:hAnsi="Arial" w:cs="Arial"/>
                      <w:b/>
                      <w:bCs/>
                      <w:color w:val="000000" w:themeColor="text1"/>
                      <w:kern w:val="1"/>
                    </w:rPr>
                    <w:t xml:space="preserve">Article </w:t>
                  </w:r>
                  <w:r w:rsidR="001956AF">
                    <w:rPr>
                      <w:rFonts w:ascii="Arial" w:hAnsi="Arial" w:cs="Arial"/>
                      <w:b/>
                      <w:bCs/>
                      <w:color w:val="000000" w:themeColor="text1"/>
                      <w:kern w:val="1"/>
                    </w:rPr>
                    <w:t>200</w:t>
                  </w:r>
                  <w:r w:rsidR="001D4AF3" w:rsidRPr="00A64175">
                    <w:rPr>
                      <w:rFonts w:ascii="Arial" w:hAnsi="Arial" w:cs="Arial"/>
                      <w:b/>
                      <w:bCs/>
                      <w:color w:val="000000" w:themeColor="text1"/>
                      <w:kern w:val="1"/>
                    </w:rPr>
                    <w:t xml:space="preserve"> – </w:t>
                  </w:r>
                </w:p>
                <w:p w14:paraId="148B84BA"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476F9AD4" w14:textId="77777777" w:rsidR="001D4AF3" w:rsidRPr="00A64175" w:rsidRDefault="001D4AF3" w:rsidP="00A64175">
                  <w:pPr>
                    <w:pStyle w:val="Paragraphedeliste"/>
                    <w:widowControl w:val="0"/>
                    <w:numPr>
                      <w:ilvl w:val="0"/>
                      <w:numId w:val="211"/>
                    </w:numPr>
                    <w:autoSpaceDE w:val="0"/>
                    <w:adjustRightInd w:val="0"/>
                    <w:spacing w:before="0" w:beforeAutospacing="0" w:afterAutospacing="0"/>
                    <w:ind w:right="1024"/>
                    <w:rPr>
                      <w:b/>
                      <w:bCs/>
                      <w:color w:val="000000" w:themeColor="text1"/>
                    </w:rPr>
                  </w:pPr>
                  <w:r w:rsidRPr="00A64175">
                    <w:rPr>
                      <w:color w:val="000000" w:themeColor="text1"/>
                    </w:rPr>
                    <w:t>Le contenu des déclarations des franchissements de seuils est précisé dans une instruction de la COSUMAF</w:t>
                  </w:r>
                  <w:r w:rsidRPr="00A64175">
                    <w:rPr>
                      <w:b/>
                      <w:bCs/>
                      <w:color w:val="000000" w:themeColor="text1"/>
                    </w:rPr>
                    <w:t>.</w:t>
                  </w:r>
                </w:p>
                <w:p w14:paraId="702EB421" w14:textId="77777777" w:rsidR="001D4AF3" w:rsidRPr="00A64175" w:rsidRDefault="001D4AF3" w:rsidP="00A64175">
                  <w:pPr>
                    <w:pStyle w:val="Paragraphedeliste"/>
                    <w:widowControl w:val="0"/>
                    <w:numPr>
                      <w:ilvl w:val="0"/>
                      <w:numId w:val="211"/>
                    </w:numPr>
                    <w:autoSpaceDE w:val="0"/>
                    <w:adjustRightInd w:val="0"/>
                    <w:spacing w:before="0" w:beforeAutospacing="0" w:afterAutospacing="0"/>
                    <w:ind w:right="1024"/>
                    <w:rPr>
                      <w:color w:val="000000" w:themeColor="text1"/>
                    </w:rPr>
                  </w:pPr>
                  <w:r w:rsidRPr="00A64175">
                    <w:rPr>
                      <w:color w:val="000000" w:themeColor="text1"/>
                    </w:rPr>
                    <w:t>Les frais liés à ces déclarations</w:t>
                  </w:r>
                  <w:r w:rsidR="0069692E" w:rsidRPr="00A64175">
                    <w:rPr>
                      <w:color w:val="000000" w:themeColor="text1"/>
                    </w:rPr>
                    <w:t xml:space="preserve"> sont précisés dans une instruction</w:t>
                  </w:r>
                  <w:r w:rsidRPr="00A64175">
                    <w:rPr>
                      <w:color w:val="000000" w:themeColor="text1"/>
                    </w:rPr>
                    <w:t xml:space="preserve"> de la COSUMAF.</w:t>
                  </w:r>
                </w:p>
                <w:p w14:paraId="1F9386E4" w14:textId="64851749" w:rsidR="0069692E" w:rsidRPr="00A64175" w:rsidRDefault="0069692E" w:rsidP="00A64175">
                  <w:pPr>
                    <w:pStyle w:val="Paragraphedeliste"/>
                    <w:widowControl w:val="0"/>
                    <w:autoSpaceDE w:val="0"/>
                    <w:adjustRightInd w:val="0"/>
                    <w:spacing w:before="0" w:beforeAutospacing="0" w:afterAutospacing="0"/>
                    <w:ind w:right="1024"/>
                    <w:rPr>
                      <w:color w:val="000000" w:themeColor="text1"/>
                    </w:rPr>
                  </w:pPr>
                </w:p>
              </w:tc>
            </w:tr>
            <w:tr w:rsidR="001D4AF3" w:rsidRPr="00A64175" w14:paraId="7AED4916" w14:textId="77777777" w:rsidTr="00B27D90">
              <w:tc>
                <w:tcPr>
                  <w:tcW w:w="9986" w:type="dxa"/>
                  <w:shd w:val="clear" w:color="auto" w:fill="auto"/>
                </w:tcPr>
                <w:p w14:paraId="2272F45E" w14:textId="0ADA1473" w:rsidR="001D4AF3" w:rsidRPr="00A64175" w:rsidRDefault="0069692E" w:rsidP="00A64175">
                  <w:pPr>
                    <w:widowControl w:val="0"/>
                    <w:autoSpaceDE w:val="0"/>
                    <w:adjustRightInd w:val="0"/>
                    <w:ind w:right="1024"/>
                    <w:jc w:val="both"/>
                    <w:rPr>
                      <w:rFonts w:ascii="Arial" w:hAnsi="Arial" w:cs="Arial"/>
                      <w:b/>
                      <w:bCs/>
                      <w:color w:val="000000" w:themeColor="text1"/>
                      <w:kern w:val="1"/>
                    </w:rPr>
                  </w:pPr>
                  <w:r w:rsidRPr="00A64175">
                    <w:rPr>
                      <w:rFonts w:ascii="Arial" w:hAnsi="Arial" w:cs="Arial"/>
                      <w:b/>
                      <w:bCs/>
                      <w:color w:val="000000" w:themeColor="text1"/>
                      <w:kern w:val="1"/>
                    </w:rPr>
                    <w:t xml:space="preserve">Article </w:t>
                  </w:r>
                  <w:r w:rsidR="00044B0E">
                    <w:rPr>
                      <w:rFonts w:ascii="Arial" w:hAnsi="Arial" w:cs="Arial"/>
                      <w:b/>
                      <w:bCs/>
                      <w:color w:val="000000" w:themeColor="text1"/>
                      <w:kern w:val="1"/>
                    </w:rPr>
                    <w:t>20</w:t>
                  </w:r>
                  <w:r w:rsidR="001956AF">
                    <w:rPr>
                      <w:rFonts w:ascii="Arial" w:hAnsi="Arial" w:cs="Arial"/>
                      <w:b/>
                      <w:bCs/>
                      <w:color w:val="000000" w:themeColor="text1"/>
                      <w:kern w:val="1"/>
                    </w:rPr>
                    <w:t>1</w:t>
                  </w:r>
                  <w:r w:rsidR="001D4AF3" w:rsidRPr="00A64175">
                    <w:rPr>
                      <w:rFonts w:ascii="Arial" w:hAnsi="Arial" w:cs="Arial"/>
                      <w:b/>
                      <w:bCs/>
                      <w:color w:val="000000" w:themeColor="text1"/>
                      <w:kern w:val="1"/>
                    </w:rPr>
                    <w:t xml:space="preserve"> – </w:t>
                  </w:r>
                </w:p>
                <w:p w14:paraId="2F157CE9"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6665CA6A" w14:textId="465A4545" w:rsidR="001D4AF3" w:rsidRPr="00A64175" w:rsidRDefault="0069692E" w:rsidP="00A64175">
                  <w:pPr>
                    <w:pStyle w:val="Paragraphedeliste"/>
                    <w:widowControl w:val="0"/>
                    <w:numPr>
                      <w:ilvl w:val="0"/>
                      <w:numId w:val="214"/>
                    </w:numPr>
                    <w:autoSpaceDE w:val="0"/>
                    <w:adjustRightInd w:val="0"/>
                    <w:spacing w:before="0" w:beforeAutospacing="0" w:afterAutospacing="0"/>
                    <w:ind w:right="1024"/>
                    <w:rPr>
                      <w:b/>
                      <w:bCs/>
                      <w:color w:val="000000" w:themeColor="text1"/>
                      <w:kern w:val="1"/>
                    </w:rPr>
                  </w:pPr>
                  <w:r w:rsidRPr="00A64175">
                    <w:rPr>
                      <w:color w:val="000000" w:themeColor="text1"/>
                      <w:kern w:val="1"/>
                    </w:rPr>
                    <w:t xml:space="preserve">La </w:t>
                  </w:r>
                  <w:r w:rsidR="001D4AF3" w:rsidRPr="00A64175">
                    <w:rPr>
                      <w:color w:val="000000" w:themeColor="text1"/>
                    </w:rPr>
                    <w:t>COSUMAF peut demander aux personnes dont il y a des motifs raisonnables de penser qu'elles préparent, seules ou de concert, une offre publique d'acquisition, d'informer</w:t>
                  </w:r>
                  <w:r w:rsidR="00252251" w:rsidRPr="00A64175">
                    <w:rPr>
                      <w:color w:val="000000" w:themeColor="text1"/>
                    </w:rPr>
                    <w:t xml:space="preserve"> le public</w:t>
                  </w:r>
                  <w:r w:rsidR="001D4AF3" w:rsidRPr="00A64175">
                    <w:rPr>
                      <w:color w:val="000000" w:themeColor="text1"/>
                    </w:rPr>
                    <w:t xml:space="preserve">, dans </w:t>
                  </w:r>
                  <w:r w:rsidR="00252251" w:rsidRPr="00A64175">
                    <w:rPr>
                      <w:color w:val="000000" w:themeColor="text1"/>
                    </w:rPr>
                    <w:t>un délai qu'elle fixe,</w:t>
                  </w:r>
                  <w:r w:rsidR="001D4AF3" w:rsidRPr="00A64175">
                    <w:rPr>
                      <w:color w:val="000000" w:themeColor="text1"/>
                    </w:rPr>
                    <w:t xml:space="preserve"> de leurs intentions. Il en est ainsi, notamment, en cas de discussions entre les émetteurs concernés ou de désignation de conseils, en vue de la préparation d'une offre publique. </w:t>
                  </w:r>
                </w:p>
                <w:p w14:paraId="6A132131" w14:textId="7C6836CA" w:rsidR="001F43EF" w:rsidRPr="00B40C88" w:rsidRDefault="001D4AF3" w:rsidP="00B40C88">
                  <w:pPr>
                    <w:pStyle w:val="Paragraphedeliste"/>
                    <w:widowControl w:val="0"/>
                    <w:numPr>
                      <w:ilvl w:val="0"/>
                      <w:numId w:val="214"/>
                    </w:numPr>
                    <w:autoSpaceDE w:val="0"/>
                    <w:adjustRightInd w:val="0"/>
                    <w:spacing w:before="0" w:beforeAutospacing="0" w:afterAutospacing="0"/>
                    <w:ind w:right="1024"/>
                    <w:rPr>
                      <w:color w:val="000000" w:themeColor="text1"/>
                    </w:rPr>
                  </w:pPr>
                  <w:r w:rsidRPr="00A64175">
                    <w:rPr>
                      <w:color w:val="000000" w:themeColor="text1"/>
                    </w:rPr>
                    <w:t xml:space="preserve">L'information visée à l’alinéa précédent est portée à la connaissance du public par voie de communiqué soumis préalablement à l'appréciation de la COSUMAF et dont l’auteur assure la diffusion effective et intégrale dans les États membres de la CEMAC. </w:t>
                  </w:r>
                </w:p>
              </w:tc>
            </w:tr>
            <w:tr w:rsidR="001D4AF3" w:rsidRPr="00A64175" w14:paraId="066E4012" w14:textId="77777777" w:rsidTr="00B27D90">
              <w:tc>
                <w:tcPr>
                  <w:tcW w:w="9986" w:type="dxa"/>
                  <w:shd w:val="clear" w:color="auto" w:fill="auto"/>
                </w:tcPr>
                <w:p w14:paraId="7C19CD98" w14:textId="6B4F2D55" w:rsidR="001D4AF3" w:rsidRPr="00A64175" w:rsidRDefault="001F43EF" w:rsidP="00A64175">
                  <w:pPr>
                    <w:widowControl w:val="0"/>
                    <w:autoSpaceDE w:val="0"/>
                    <w:adjustRightInd w:val="0"/>
                    <w:ind w:right="1024"/>
                    <w:jc w:val="both"/>
                    <w:rPr>
                      <w:rFonts w:ascii="Arial" w:hAnsi="Arial" w:cs="Arial"/>
                      <w:b/>
                      <w:bCs/>
                      <w:color w:val="000000" w:themeColor="text1"/>
                      <w:kern w:val="1"/>
                    </w:rPr>
                  </w:pPr>
                  <w:r w:rsidRPr="00A64175">
                    <w:rPr>
                      <w:rFonts w:ascii="Arial" w:hAnsi="Arial" w:cs="Arial"/>
                      <w:b/>
                      <w:bCs/>
                      <w:color w:val="000000" w:themeColor="text1"/>
                      <w:kern w:val="1"/>
                    </w:rPr>
                    <w:t xml:space="preserve">Article </w:t>
                  </w:r>
                  <w:r w:rsidR="00044B0E">
                    <w:rPr>
                      <w:rFonts w:ascii="Arial" w:hAnsi="Arial" w:cs="Arial"/>
                      <w:b/>
                      <w:bCs/>
                      <w:color w:val="000000" w:themeColor="text1"/>
                      <w:kern w:val="1"/>
                    </w:rPr>
                    <w:t>20</w:t>
                  </w:r>
                  <w:r w:rsidR="001956AF">
                    <w:rPr>
                      <w:rFonts w:ascii="Arial" w:hAnsi="Arial" w:cs="Arial"/>
                      <w:b/>
                      <w:bCs/>
                      <w:color w:val="000000" w:themeColor="text1"/>
                      <w:kern w:val="1"/>
                    </w:rPr>
                    <w:t>2</w:t>
                  </w:r>
                  <w:r w:rsidR="001D4AF3" w:rsidRPr="00A64175">
                    <w:rPr>
                      <w:rFonts w:ascii="Arial" w:hAnsi="Arial" w:cs="Arial"/>
                      <w:b/>
                      <w:bCs/>
                      <w:color w:val="000000" w:themeColor="text1"/>
                      <w:kern w:val="1"/>
                    </w:rPr>
                    <w:t xml:space="preserve"> – </w:t>
                  </w:r>
                </w:p>
                <w:p w14:paraId="04F1431F"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36A8BC54" w14:textId="694F6BD5" w:rsidR="001D4AF3" w:rsidRPr="00A64175" w:rsidRDefault="001D4AF3" w:rsidP="00A64175">
                  <w:pPr>
                    <w:pStyle w:val="Paragraphedeliste"/>
                    <w:widowControl w:val="0"/>
                    <w:numPr>
                      <w:ilvl w:val="0"/>
                      <w:numId w:val="212"/>
                    </w:numPr>
                    <w:autoSpaceDE w:val="0"/>
                    <w:adjustRightInd w:val="0"/>
                    <w:spacing w:before="0" w:beforeAutospacing="0" w:afterAutospacing="0"/>
                    <w:ind w:right="1024"/>
                    <w:rPr>
                      <w:color w:val="000000" w:themeColor="text1"/>
                    </w:rPr>
                  </w:pPr>
                  <w:r w:rsidRPr="00A64175">
                    <w:rPr>
                      <w:color w:val="000000" w:themeColor="text1"/>
                    </w:rPr>
                    <w:t>Lorsque les personnes mentionnées à</w:t>
                  </w:r>
                  <w:r w:rsidR="001F43EF" w:rsidRPr="00A64175">
                    <w:rPr>
                      <w:color w:val="000000" w:themeColor="text1"/>
                    </w:rPr>
                    <w:t xml:space="preserve"> </w:t>
                  </w:r>
                  <w:r w:rsidR="001F43EF" w:rsidRPr="00C21CF0">
                    <w:rPr>
                      <w:color w:val="000000" w:themeColor="text1"/>
                    </w:rPr>
                    <w:t xml:space="preserve">l’article </w:t>
                  </w:r>
                  <w:r w:rsidR="007F68A6" w:rsidRPr="00C21CF0">
                    <w:rPr>
                      <w:color w:val="000000" w:themeColor="text1"/>
                    </w:rPr>
                    <w:t>201</w:t>
                  </w:r>
                  <w:r w:rsidR="001F43EF" w:rsidRPr="00C21CF0">
                    <w:rPr>
                      <w:color w:val="000000" w:themeColor="text1"/>
                    </w:rPr>
                    <w:t xml:space="preserve"> du présent r</w:t>
                  </w:r>
                  <w:r w:rsidRPr="00C21CF0">
                    <w:rPr>
                      <w:color w:val="000000" w:themeColor="text1"/>
                    </w:rPr>
                    <w:t>èglement</w:t>
                  </w:r>
                  <w:r w:rsidR="001F43EF" w:rsidRPr="00C21CF0">
                    <w:rPr>
                      <w:color w:val="000000" w:themeColor="text1"/>
                    </w:rPr>
                    <w:t xml:space="preserve"> général</w:t>
                  </w:r>
                  <w:r w:rsidRPr="00A64175">
                    <w:rPr>
                      <w:color w:val="000000" w:themeColor="text1"/>
                    </w:rPr>
                    <w:t xml:space="preserve"> déclarent avoir l'intention de déposer un projet d'offre, la COSUMAF fixe la date à laquelle elles doivent publier un communiqué portant sur les caractéristiques du projet d'offre ou, selon le cas, déposer un projet d'offre. </w:t>
                  </w:r>
                </w:p>
                <w:p w14:paraId="024DA19C" w14:textId="77777777" w:rsidR="001D4AF3" w:rsidRPr="00A64175" w:rsidRDefault="001D4AF3" w:rsidP="00A64175">
                  <w:pPr>
                    <w:pStyle w:val="Paragraphedeliste"/>
                    <w:widowControl w:val="0"/>
                    <w:numPr>
                      <w:ilvl w:val="0"/>
                      <w:numId w:val="212"/>
                    </w:numPr>
                    <w:autoSpaceDE w:val="0"/>
                    <w:adjustRightInd w:val="0"/>
                    <w:spacing w:before="0" w:beforeAutospacing="0" w:afterAutospacing="0"/>
                    <w:ind w:right="1024"/>
                    <w:rPr>
                      <w:color w:val="000000" w:themeColor="text1"/>
                    </w:rPr>
                  </w:pPr>
                  <w:r w:rsidRPr="00A64175">
                    <w:rPr>
                      <w:color w:val="000000" w:themeColor="text1"/>
                    </w:rPr>
                    <w:t xml:space="preserve">Le communiqué mentionné au premier alinéa porte notamment sur les conditions financières du projet d'offre, les accords pouvant avoir une incidence sur sa réalisation, la participation détenue dans le capital de l'émetteur concerné, les éventuelles conditions préalables au dépôt du projet d'offre et le calendrier envisagé. </w:t>
                  </w:r>
                </w:p>
                <w:p w14:paraId="773D8EE6" w14:textId="77777777" w:rsidR="001D4AF3" w:rsidRPr="00A64175" w:rsidRDefault="001D4AF3" w:rsidP="00A64175">
                  <w:pPr>
                    <w:pStyle w:val="Paragraphedeliste"/>
                    <w:widowControl w:val="0"/>
                    <w:numPr>
                      <w:ilvl w:val="0"/>
                      <w:numId w:val="212"/>
                    </w:numPr>
                    <w:autoSpaceDE w:val="0"/>
                    <w:adjustRightInd w:val="0"/>
                    <w:spacing w:before="0" w:beforeAutospacing="0" w:afterAutospacing="0"/>
                    <w:ind w:right="1024"/>
                    <w:rPr>
                      <w:color w:val="000000" w:themeColor="text1"/>
                    </w:rPr>
                  </w:pPr>
                  <w:r w:rsidRPr="00A64175">
                    <w:rPr>
                      <w:color w:val="000000" w:themeColor="text1"/>
                    </w:rPr>
                    <w:t xml:space="preserve">La COSUMAF peut demander tout renseignement qu'elle juge nécessaire. </w:t>
                  </w:r>
                </w:p>
                <w:p w14:paraId="0F9FF45D" w14:textId="602BBA05" w:rsidR="001D4AF3" w:rsidRPr="00A64175" w:rsidRDefault="001D4AF3" w:rsidP="00A64175">
                  <w:pPr>
                    <w:pStyle w:val="Paragraphedeliste"/>
                    <w:widowControl w:val="0"/>
                    <w:numPr>
                      <w:ilvl w:val="0"/>
                      <w:numId w:val="212"/>
                    </w:numPr>
                    <w:autoSpaceDE w:val="0"/>
                    <w:adjustRightInd w:val="0"/>
                    <w:spacing w:before="0" w:beforeAutospacing="0" w:afterAutospacing="0"/>
                    <w:ind w:right="1024"/>
                    <w:rPr>
                      <w:color w:val="000000" w:themeColor="text1"/>
                    </w:rPr>
                  </w:pPr>
                  <w:r w:rsidRPr="00A64175">
                    <w:rPr>
                      <w:color w:val="000000" w:themeColor="text1"/>
                    </w:rPr>
                    <w:t>Lorsque les caractéristiques du projet d'offre n'ont pas été communiquées ou lorsqu'un projet d'offre n'a pas été déposé dans le délai mentionné au premier alinéa, les personnes concernées sont réputées ne pas avoir l'intention de déposer un projet d'offre et sont soumises aux dispositions de</w:t>
                  </w:r>
                  <w:r w:rsidR="001F43EF" w:rsidRPr="00A64175">
                    <w:rPr>
                      <w:color w:val="000000" w:themeColor="text1"/>
                    </w:rPr>
                    <w:t xml:space="preserve"> </w:t>
                  </w:r>
                  <w:r w:rsidR="001F43EF" w:rsidRPr="00C21CF0">
                    <w:rPr>
                      <w:color w:val="000000" w:themeColor="text1"/>
                    </w:rPr>
                    <w:t xml:space="preserve">l’article </w:t>
                  </w:r>
                  <w:r w:rsidR="000916CE" w:rsidRPr="00C21CF0">
                    <w:rPr>
                      <w:color w:val="000000" w:themeColor="text1"/>
                    </w:rPr>
                    <w:t>204</w:t>
                  </w:r>
                  <w:r w:rsidR="001F43EF" w:rsidRPr="00C21CF0">
                    <w:rPr>
                      <w:color w:val="000000" w:themeColor="text1"/>
                    </w:rPr>
                    <w:t xml:space="preserve"> du présent règlement général.</w:t>
                  </w:r>
                  <w:r w:rsidRPr="00A64175">
                    <w:rPr>
                      <w:color w:val="000000" w:themeColor="text1"/>
                    </w:rPr>
                    <w:t xml:space="preserve"> </w:t>
                  </w:r>
                </w:p>
              </w:tc>
            </w:tr>
            <w:tr w:rsidR="001D4AF3" w:rsidRPr="00A64175" w14:paraId="28855EF6" w14:textId="77777777" w:rsidTr="00B27D90">
              <w:tc>
                <w:tcPr>
                  <w:tcW w:w="9986" w:type="dxa"/>
                  <w:shd w:val="clear" w:color="auto" w:fill="auto"/>
                </w:tcPr>
                <w:p w14:paraId="4E9CB36D" w14:textId="578B0080" w:rsidR="001D4AF3" w:rsidRPr="00A64175" w:rsidRDefault="001F43EF" w:rsidP="00A64175">
                  <w:pPr>
                    <w:widowControl w:val="0"/>
                    <w:autoSpaceDE w:val="0"/>
                    <w:adjustRightInd w:val="0"/>
                    <w:ind w:right="1024"/>
                    <w:jc w:val="both"/>
                    <w:rPr>
                      <w:rFonts w:ascii="Arial" w:hAnsi="Arial" w:cs="Arial"/>
                      <w:b/>
                      <w:bCs/>
                      <w:color w:val="000000" w:themeColor="text1"/>
                      <w:kern w:val="1"/>
                    </w:rPr>
                  </w:pPr>
                  <w:r w:rsidRPr="00A64175">
                    <w:rPr>
                      <w:rFonts w:ascii="Arial" w:hAnsi="Arial" w:cs="Arial"/>
                      <w:b/>
                      <w:bCs/>
                      <w:color w:val="000000" w:themeColor="text1"/>
                      <w:kern w:val="1"/>
                    </w:rPr>
                    <w:t xml:space="preserve">Article </w:t>
                  </w:r>
                  <w:r w:rsidR="00044B0E">
                    <w:rPr>
                      <w:rFonts w:ascii="Arial" w:hAnsi="Arial" w:cs="Arial"/>
                      <w:b/>
                      <w:bCs/>
                      <w:color w:val="000000" w:themeColor="text1"/>
                      <w:kern w:val="1"/>
                    </w:rPr>
                    <w:t>20</w:t>
                  </w:r>
                  <w:r w:rsidR="001956AF">
                    <w:rPr>
                      <w:rFonts w:ascii="Arial" w:hAnsi="Arial" w:cs="Arial"/>
                      <w:b/>
                      <w:bCs/>
                      <w:color w:val="000000" w:themeColor="text1"/>
                      <w:kern w:val="1"/>
                    </w:rPr>
                    <w:t>3</w:t>
                  </w:r>
                  <w:r w:rsidR="001D4AF3" w:rsidRPr="00A64175">
                    <w:rPr>
                      <w:rFonts w:ascii="Arial" w:hAnsi="Arial" w:cs="Arial"/>
                      <w:b/>
                      <w:bCs/>
                      <w:color w:val="000000" w:themeColor="text1"/>
                      <w:kern w:val="1"/>
                    </w:rPr>
                    <w:t xml:space="preserve"> – </w:t>
                  </w:r>
                </w:p>
                <w:p w14:paraId="6C9C41F9" w14:textId="77777777" w:rsidR="001D4AF3" w:rsidRPr="00A64175" w:rsidRDefault="001D4AF3" w:rsidP="00A64175">
                  <w:pPr>
                    <w:widowControl w:val="0"/>
                    <w:autoSpaceDE w:val="0"/>
                    <w:adjustRightInd w:val="0"/>
                    <w:ind w:right="1024"/>
                    <w:jc w:val="both"/>
                    <w:rPr>
                      <w:rFonts w:ascii="Arial" w:hAnsi="Arial" w:cs="Arial"/>
                      <w:b/>
                      <w:bCs/>
                      <w:color w:val="000000" w:themeColor="text1"/>
                      <w:kern w:val="1"/>
                    </w:rPr>
                  </w:pPr>
                </w:p>
                <w:p w14:paraId="419BE472" w14:textId="691DCC29" w:rsidR="001D4AF3" w:rsidRPr="00A64175" w:rsidRDefault="001D4AF3" w:rsidP="00A64175">
                  <w:pPr>
                    <w:pStyle w:val="Paragraphedeliste"/>
                    <w:widowControl w:val="0"/>
                    <w:numPr>
                      <w:ilvl w:val="0"/>
                      <w:numId w:val="213"/>
                    </w:numPr>
                    <w:autoSpaceDE w:val="0"/>
                    <w:adjustRightInd w:val="0"/>
                    <w:spacing w:before="0" w:beforeAutospacing="0" w:afterAutospacing="0"/>
                    <w:ind w:right="1024"/>
                    <w:rPr>
                      <w:color w:val="000000" w:themeColor="text1"/>
                    </w:rPr>
                  </w:pPr>
                  <w:r w:rsidRPr="00A64175">
                    <w:rPr>
                      <w:color w:val="000000" w:themeColor="text1"/>
                    </w:rPr>
                    <w:t>Lorsqu'en application</w:t>
                  </w:r>
                  <w:r w:rsidR="001F43EF" w:rsidRPr="00A64175">
                    <w:rPr>
                      <w:color w:val="000000" w:themeColor="text1"/>
                    </w:rPr>
                    <w:t xml:space="preserve"> des dispositions de </w:t>
                  </w:r>
                  <w:r w:rsidR="001F43EF" w:rsidRPr="00C21CF0">
                    <w:rPr>
                      <w:color w:val="000000" w:themeColor="text1"/>
                    </w:rPr>
                    <w:t xml:space="preserve">l’article </w:t>
                  </w:r>
                  <w:r w:rsidR="0020613F" w:rsidRPr="00C21CF0">
                    <w:rPr>
                      <w:color w:val="000000" w:themeColor="text1"/>
                    </w:rPr>
                    <w:t>201</w:t>
                  </w:r>
                  <w:r w:rsidR="001F43EF" w:rsidRPr="00C21CF0">
                    <w:rPr>
                      <w:color w:val="000000" w:themeColor="text1"/>
                    </w:rPr>
                    <w:t xml:space="preserve"> du présent règlement général</w:t>
                  </w:r>
                  <w:r w:rsidR="001F43EF" w:rsidRPr="00A64175">
                    <w:rPr>
                      <w:color w:val="000000" w:themeColor="text1"/>
                    </w:rPr>
                    <w:t>,</w:t>
                  </w:r>
                  <w:r w:rsidRPr="00A64175">
                    <w:rPr>
                      <w:color w:val="000000" w:themeColor="text1"/>
                    </w:rPr>
                    <w:t xml:space="preserve"> une personne porte à la connaissance du public les caractéristiques d'un projet d'offre, notamment la nature de l'offre et le prix ou la parité envisagée, elle en informe immédiatement la COSUMAF qui en informe le marché par une publication. </w:t>
                  </w:r>
                </w:p>
                <w:p w14:paraId="1497ADFA" w14:textId="77777777" w:rsidR="001D4AF3" w:rsidRPr="00A64175" w:rsidRDefault="001D4AF3" w:rsidP="00A64175">
                  <w:pPr>
                    <w:pStyle w:val="Paragraphedeliste"/>
                    <w:widowControl w:val="0"/>
                    <w:numPr>
                      <w:ilvl w:val="0"/>
                      <w:numId w:val="213"/>
                    </w:numPr>
                    <w:autoSpaceDE w:val="0"/>
                    <w:adjustRightInd w:val="0"/>
                    <w:spacing w:before="0" w:beforeAutospacing="0" w:afterAutospacing="0"/>
                    <w:ind w:right="1024"/>
                    <w:rPr>
                      <w:color w:val="000000" w:themeColor="text1"/>
                    </w:rPr>
                  </w:pPr>
                  <w:r w:rsidRPr="00A64175">
                    <w:rPr>
                      <w:color w:val="000000" w:themeColor="text1"/>
                    </w:rPr>
                    <w:t xml:space="preserve">Lorsque la personne mentionnée au premier alinéa renonce à son projet d'offre, elle en informe immédiatement la COSUMAF. </w:t>
                  </w:r>
                </w:p>
                <w:p w14:paraId="19FA0B04" w14:textId="4FAA202F" w:rsidR="001D4AF3" w:rsidRPr="00A64175" w:rsidRDefault="001D4AF3" w:rsidP="00A64175">
                  <w:pPr>
                    <w:pStyle w:val="Paragraphedeliste"/>
                    <w:widowControl w:val="0"/>
                    <w:numPr>
                      <w:ilvl w:val="0"/>
                      <w:numId w:val="213"/>
                    </w:numPr>
                    <w:autoSpaceDE w:val="0"/>
                    <w:adjustRightInd w:val="0"/>
                    <w:spacing w:before="0" w:beforeAutospacing="0" w:afterAutospacing="0"/>
                    <w:ind w:right="1024"/>
                    <w:rPr>
                      <w:color w:val="000000" w:themeColor="text1"/>
                    </w:rPr>
                  </w:pPr>
                  <w:r w:rsidRPr="00A64175">
                    <w:rPr>
                      <w:color w:val="000000" w:themeColor="text1"/>
                    </w:rPr>
                    <w:t>Dans le cas visé à l'alinéa précédent, ou lorsqu'un projet d'offre n'a pas été déposé dans le délai mentionné à</w:t>
                  </w:r>
                  <w:r w:rsidR="001F43EF" w:rsidRPr="00A64175">
                    <w:rPr>
                      <w:color w:val="000000" w:themeColor="text1"/>
                    </w:rPr>
                    <w:t xml:space="preserve"> </w:t>
                  </w:r>
                  <w:r w:rsidR="001F43EF" w:rsidRPr="00C21CF0">
                    <w:rPr>
                      <w:color w:val="000000" w:themeColor="text1"/>
                    </w:rPr>
                    <w:t xml:space="preserve">l’article </w:t>
                  </w:r>
                  <w:r w:rsidR="007D00EF" w:rsidRPr="00C21CF0">
                    <w:rPr>
                      <w:color w:val="000000" w:themeColor="text1"/>
                    </w:rPr>
                    <w:t>202</w:t>
                  </w:r>
                  <w:r w:rsidR="001F43EF" w:rsidRPr="00C21CF0">
                    <w:rPr>
                      <w:color w:val="000000" w:themeColor="text1"/>
                    </w:rPr>
                    <w:t xml:space="preserve"> du présent r</w:t>
                  </w:r>
                  <w:r w:rsidRPr="00C21CF0">
                    <w:rPr>
                      <w:color w:val="000000" w:themeColor="text1"/>
                    </w:rPr>
                    <w:t>èglement</w:t>
                  </w:r>
                  <w:r w:rsidR="001F43EF" w:rsidRPr="00C21CF0">
                    <w:rPr>
                      <w:color w:val="000000" w:themeColor="text1"/>
                    </w:rPr>
                    <w:t xml:space="preserve"> général</w:t>
                  </w:r>
                  <w:r w:rsidRPr="00A64175">
                    <w:rPr>
                      <w:color w:val="000000" w:themeColor="text1"/>
                    </w:rPr>
                    <w:t xml:space="preserve">, la COSUMAF informe le marché par une publication. </w:t>
                  </w:r>
                </w:p>
              </w:tc>
            </w:tr>
            <w:tr w:rsidR="001D4AF3" w:rsidRPr="00A64175" w14:paraId="46FB3AC0" w14:textId="77777777" w:rsidTr="00B27D90">
              <w:tc>
                <w:tcPr>
                  <w:tcW w:w="9986" w:type="dxa"/>
                  <w:shd w:val="clear" w:color="auto" w:fill="auto"/>
                </w:tcPr>
                <w:p w14:paraId="1F98DA49" w14:textId="0A9F1AA0" w:rsidR="001D4AF3" w:rsidRPr="00A64175" w:rsidRDefault="00B27D90" w:rsidP="00A64175">
                  <w:pPr>
                    <w:widowControl w:val="0"/>
                    <w:autoSpaceDE w:val="0"/>
                    <w:adjustRightInd w:val="0"/>
                    <w:ind w:right="1024"/>
                    <w:jc w:val="both"/>
                    <w:rPr>
                      <w:rFonts w:ascii="Arial" w:hAnsi="Arial" w:cs="Arial"/>
                      <w:color w:val="000000" w:themeColor="text1"/>
                    </w:rPr>
                  </w:pPr>
                  <w:r w:rsidRPr="00A64175">
                    <w:rPr>
                      <w:rFonts w:ascii="Arial" w:hAnsi="Arial" w:cs="Arial"/>
                      <w:b/>
                      <w:bCs/>
                      <w:color w:val="000000" w:themeColor="text1"/>
                      <w:kern w:val="1"/>
                    </w:rPr>
                    <w:t>Article</w:t>
                  </w:r>
                  <w:r w:rsidR="001F43EF" w:rsidRPr="00A64175">
                    <w:rPr>
                      <w:rFonts w:ascii="Arial" w:hAnsi="Arial" w:cs="Arial"/>
                      <w:b/>
                      <w:bCs/>
                      <w:color w:val="000000" w:themeColor="text1"/>
                      <w:kern w:val="1"/>
                    </w:rPr>
                    <w:t>.</w:t>
                  </w:r>
                  <w:r w:rsidRPr="00A64175">
                    <w:rPr>
                      <w:rFonts w:ascii="Arial" w:hAnsi="Arial" w:cs="Arial"/>
                      <w:b/>
                      <w:bCs/>
                      <w:color w:val="000000" w:themeColor="text1"/>
                      <w:kern w:val="1"/>
                    </w:rPr>
                    <w:t xml:space="preserv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4</w:t>
                  </w:r>
                  <w:r w:rsidR="001D4AF3" w:rsidRPr="00A64175">
                    <w:rPr>
                      <w:rFonts w:ascii="Arial" w:hAnsi="Arial" w:cs="Arial"/>
                      <w:b/>
                      <w:bCs/>
                      <w:color w:val="000000" w:themeColor="text1"/>
                      <w:kern w:val="1"/>
                    </w:rPr>
                    <w:t xml:space="preserve"> – </w:t>
                  </w:r>
                  <w:r w:rsidR="001D4AF3" w:rsidRPr="00A64175">
                    <w:rPr>
                      <w:rFonts w:ascii="Arial" w:hAnsi="Arial" w:cs="Arial"/>
                      <w:color w:val="000000" w:themeColor="text1"/>
                    </w:rPr>
                    <w:t>Lorsqu'elles déclarent ne pas avoir l'intention de déposer un projet d'offre, ou lorsqu'elles sont réputées ne pas avoir une telle intention en application du dernier alinéa de</w:t>
                  </w:r>
                  <w:r w:rsidR="001F43EF" w:rsidRPr="00A64175">
                    <w:rPr>
                      <w:rFonts w:ascii="Arial" w:hAnsi="Arial" w:cs="Arial"/>
                      <w:color w:val="000000" w:themeColor="text1"/>
                    </w:rPr>
                    <w:t xml:space="preserve"> l’article 198 du présent règlement général</w:t>
                  </w:r>
                  <w:r w:rsidR="001D4AF3" w:rsidRPr="00A64175">
                    <w:rPr>
                      <w:rFonts w:ascii="Arial" w:hAnsi="Arial" w:cs="Arial"/>
                      <w:color w:val="000000" w:themeColor="text1"/>
                    </w:rPr>
                    <w:t xml:space="preserve">, les personnes mentionnées </w:t>
                  </w:r>
                  <w:r w:rsidR="001D4AF3" w:rsidRPr="00583131">
                    <w:rPr>
                      <w:rFonts w:ascii="Arial" w:hAnsi="Arial" w:cs="Arial"/>
                      <w:color w:val="000000" w:themeColor="text1"/>
                    </w:rPr>
                    <w:t>à</w:t>
                  </w:r>
                  <w:r w:rsidR="001F43EF" w:rsidRPr="00583131">
                    <w:rPr>
                      <w:rFonts w:ascii="Arial" w:hAnsi="Arial" w:cs="Arial"/>
                      <w:color w:val="000000" w:themeColor="text1"/>
                    </w:rPr>
                    <w:t xml:space="preserve"> l’</w:t>
                  </w:r>
                  <w:r w:rsidR="001F43EF" w:rsidRPr="00C21CF0">
                    <w:rPr>
                      <w:rFonts w:ascii="Arial" w:hAnsi="Arial" w:cs="Arial"/>
                      <w:color w:val="000000" w:themeColor="text1"/>
                    </w:rPr>
                    <w:t xml:space="preserve">article </w:t>
                  </w:r>
                  <w:r w:rsidR="00790999" w:rsidRPr="00C21CF0">
                    <w:rPr>
                      <w:rFonts w:ascii="Arial" w:hAnsi="Arial" w:cs="Arial"/>
                      <w:color w:val="000000" w:themeColor="text1"/>
                    </w:rPr>
                    <w:t>201</w:t>
                  </w:r>
                  <w:r w:rsidR="001F43EF" w:rsidRPr="00C21CF0">
                    <w:rPr>
                      <w:rFonts w:ascii="Arial" w:hAnsi="Arial" w:cs="Arial"/>
                      <w:color w:val="000000" w:themeColor="text1"/>
                    </w:rPr>
                    <w:t xml:space="preserve"> du présent règlement général,</w:t>
                  </w:r>
                  <w:r w:rsidR="001D4AF3" w:rsidRPr="00583131">
                    <w:rPr>
                      <w:rFonts w:ascii="Arial" w:hAnsi="Arial" w:cs="Arial"/>
                      <w:color w:val="000000" w:themeColor="text1"/>
                    </w:rPr>
                    <w:t xml:space="preserve"> ne peuvent, pendant un délai de six (6) mois à compter de leur déclaration ou de l'échéance du délai mentionné au dernier alinéa de</w:t>
                  </w:r>
                  <w:r w:rsidR="001F43EF" w:rsidRPr="00583131">
                    <w:rPr>
                      <w:rFonts w:ascii="Arial" w:hAnsi="Arial" w:cs="Arial"/>
                      <w:color w:val="000000" w:themeColor="text1"/>
                    </w:rPr>
                    <w:t xml:space="preserve"> </w:t>
                  </w:r>
                  <w:r w:rsidR="001F43EF" w:rsidRPr="00C21CF0">
                    <w:rPr>
                      <w:rFonts w:ascii="Arial" w:hAnsi="Arial" w:cs="Arial"/>
                      <w:color w:val="000000" w:themeColor="text1"/>
                    </w:rPr>
                    <w:t xml:space="preserve">l’article </w:t>
                  </w:r>
                  <w:r w:rsidR="00470DB6" w:rsidRPr="00C21CF0">
                    <w:rPr>
                      <w:rFonts w:ascii="Arial" w:hAnsi="Arial" w:cs="Arial"/>
                      <w:color w:val="000000" w:themeColor="text1"/>
                    </w:rPr>
                    <w:t>202</w:t>
                  </w:r>
                  <w:r w:rsidR="001F43EF" w:rsidRPr="00C21CF0">
                    <w:rPr>
                      <w:rFonts w:ascii="Arial" w:hAnsi="Arial" w:cs="Arial"/>
                      <w:color w:val="000000" w:themeColor="text1"/>
                    </w:rPr>
                    <w:t xml:space="preserve"> du présent règlement général</w:t>
                  </w:r>
                  <w:r w:rsidR="001D4AF3" w:rsidRPr="00C21CF0">
                    <w:rPr>
                      <w:rFonts w:ascii="Arial" w:hAnsi="Arial" w:cs="Arial"/>
                      <w:color w:val="000000" w:themeColor="text1"/>
                    </w:rPr>
                    <w:t>,</w:t>
                  </w:r>
                  <w:r w:rsidR="001D4AF3" w:rsidRPr="00583131">
                    <w:rPr>
                      <w:rFonts w:ascii="Arial" w:hAnsi="Arial" w:cs="Arial"/>
                      <w:color w:val="000000" w:themeColor="text1"/>
                    </w:rPr>
                    <w:t xml:space="preserve"> procéder au dépôt d'un projet d'offre, sauf si elles justifient</w:t>
                  </w:r>
                  <w:r w:rsidR="001D4AF3" w:rsidRPr="00A64175">
                    <w:rPr>
                      <w:rFonts w:ascii="Arial" w:hAnsi="Arial" w:cs="Arial"/>
                      <w:color w:val="000000" w:themeColor="text1"/>
                    </w:rPr>
                    <w:t xml:space="preserve"> de modifications importantes dans l'environnement, la situation ou l'actionnariat des personnes concernées, y compris l'émetteur lui-même. </w:t>
                  </w:r>
                </w:p>
                <w:p w14:paraId="1D76EDFA" w14:textId="77777777" w:rsidR="001D4AF3" w:rsidRPr="00A64175" w:rsidRDefault="001D4AF3" w:rsidP="00A64175">
                  <w:pPr>
                    <w:widowControl w:val="0"/>
                    <w:autoSpaceDE w:val="0"/>
                    <w:adjustRightInd w:val="0"/>
                    <w:ind w:right="1024"/>
                    <w:jc w:val="both"/>
                    <w:rPr>
                      <w:rFonts w:ascii="Arial" w:hAnsi="Arial" w:cs="Arial"/>
                      <w:color w:val="000000" w:themeColor="text1"/>
                    </w:rPr>
                  </w:pPr>
                </w:p>
                <w:p w14:paraId="45FAF0F8" w14:textId="77777777" w:rsidR="000E3743" w:rsidRPr="00A64175" w:rsidRDefault="000E3743" w:rsidP="00A64175">
                  <w:pPr>
                    <w:widowControl w:val="0"/>
                    <w:autoSpaceDE w:val="0"/>
                    <w:adjustRightInd w:val="0"/>
                    <w:ind w:right="1024"/>
                    <w:jc w:val="both"/>
                    <w:rPr>
                      <w:rFonts w:ascii="Arial" w:hAnsi="Arial" w:cs="Arial"/>
                      <w:color w:val="000000" w:themeColor="text1"/>
                    </w:rPr>
                  </w:pPr>
                </w:p>
              </w:tc>
            </w:tr>
            <w:tr w:rsidR="001D4AF3" w:rsidRPr="00A64175" w14:paraId="23C06A94" w14:textId="77777777" w:rsidTr="00B27D90">
              <w:tc>
                <w:tcPr>
                  <w:tcW w:w="9986" w:type="dxa"/>
                  <w:shd w:val="clear" w:color="auto" w:fill="auto"/>
                </w:tcPr>
                <w:p w14:paraId="2F09BDBB" w14:textId="37A1D4B8" w:rsidR="001D4AF3" w:rsidRPr="00A64175" w:rsidRDefault="001D4AF3" w:rsidP="00A64175">
                  <w:pPr>
                    <w:widowControl w:val="0"/>
                    <w:autoSpaceDE w:val="0"/>
                    <w:adjustRightInd w:val="0"/>
                    <w:ind w:right="1024"/>
                    <w:jc w:val="both"/>
                    <w:rPr>
                      <w:rFonts w:ascii="Arial" w:hAnsi="Arial" w:cs="Arial"/>
                      <w:b/>
                      <w:bCs/>
                      <w:color w:val="000000" w:themeColor="text1"/>
                    </w:rPr>
                  </w:pPr>
                  <w:r w:rsidRPr="00A64175">
                    <w:rPr>
                      <w:rFonts w:ascii="Arial" w:hAnsi="Arial" w:cs="Arial"/>
                      <w:b/>
                      <w:bCs/>
                      <w:color w:val="000000" w:themeColor="text1"/>
                    </w:rPr>
                    <w:t xml:space="preserve">Section </w:t>
                  </w:r>
                  <w:r w:rsidR="00F038C6" w:rsidRPr="00A64175">
                    <w:rPr>
                      <w:rFonts w:ascii="Arial" w:hAnsi="Arial" w:cs="Arial"/>
                      <w:b/>
                      <w:bCs/>
                      <w:color w:val="000000" w:themeColor="text1"/>
                    </w:rPr>
                    <w:t>II : Offres publiques d’achat ou</w:t>
                  </w:r>
                  <w:r w:rsidRPr="00A64175">
                    <w:rPr>
                      <w:rFonts w:ascii="Arial" w:hAnsi="Arial" w:cs="Arial"/>
                      <w:b/>
                      <w:bCs/>
                      <w:color w:val="000000" w:themeColor="text1"/>
                    </w:rPr>
                    <w:t xml:space="preserve"> d’échange</w:t>
                  </w:r>
                </w:p>
              </w:tc>
            </w:tr>
            <w:tr w:rsidR="001D4AF3" w:rsidRPr="00A64175" w14:paraId="5DDB6C65" w14:textId="77777777" w:rsidTr="00B27D90">
              <w:tc>
                <w:tcPr>
                  <w:tcW w:w="9986" w:type="dxa"/>
                  <w:shd w:val="clear" w:color="auto" w:fill="auto"/>
                </w:tcPr>
                <w:p w14:paraId="27C579B9" w14:textId="566A6CDC" w:rsidR="001D4AF3" w:rsidRPr="00A64175" w:rsidRDefault="001D4AF3" w:rsidP="00A64175">
                  <w:pPr>
                    <w:widowControl w:val="0"/>
                    <w:autoSpaceDE w:val="0"/>
                    <w:adjustRightInd w:val="0"/>
                    <w:ind w:right="1024"/>
                    <w:jc w:val="both"/>
                    <w:rPr>
                      <w:rFonts w:ascii="Arial" w:hAnsi="Arial" w:cs="Arial"/>
                      <w:b/>
                      <w:iCs/>
                      <w:color w:val="000000" w:themeColor="text1"/>
                    </w:rPr>
                  </w:pPr>
                </w:p>
              </w:tc>
            </w:tr>
            <w:tr w:rsidR="001D4AF3" w:rsidRPr="00A64175" w14:paraId="1EA4A904" w14:textId="77777777" w:rsidTr="00B27D90">
              <w:tc>
                <w:tcPr>
                  <w:tcW w:w="9986" w:type="dxa"/>
                  <w:shd w:val="clear" w:color="auto" w:fill="auto"/>
                </w:tcPr>
                <w:p w14:paraId="2CFBABBD" w14:textId="77777777" w:rsidR="00B27D90" w:rsidRPr="00A64175" w:rsidRDefault="00B27D90" w:rsidP="00A64175">
                  <w:pPr>
                    <w:autoSpaceDE w:val="0"/>
                    <w:autoSpaceDN w:val="0"/>
                    <w:adjustRightInd w:val="0"/>
                    <w:jc w:val="both"/>
                    <w:rPr>
                      <w:rFonts w:ascii="Arial" w:hAnsi="Arial" w:cs="Arial"/>
                    </w:rPr>
                  </w:pPr>
                </w:p>
                <w:p w14:paraId="54442DBB" w14:textId="14CD23BA" w:rsidR="00B27D90" w:rsidRPr="00A64175" w:rsidRDefault="00B27D90"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5</w:t>
                  </w:r>
                  <w:r w:rsidRPr="00A64175">
                    <w:rPr>
                      <w:rFonts w:ascii="Arial" w:hAnsi="Arial" w:cs="Arial"/>
                      <w:b/>
                      <w:bCs/>
                      <w:color w:val="000000" w:themeColor="text1"/>
                      <w:kern w:val="1"/>
                    </w:rPr>
                    <w:t xml:space="preserve"> – </w:t>
                  </w:r>
                  <w:r w:rsidRPr="00A64175">
                    <w:rPr>
                      <w:rFonts w:ascii="Arial" w:hAnsi="Arial" w:cs="Arial"/>
                    </w:rPr>
                    <w:t xml:space="preserve">L’offre publique d’achat ou d’échange est l’offre que lance une personne physique ou morale en vue d’acheter ou d’échanger, à un prix indiqué, selon les conditions et dans </w:t>
                  </w:r>
                  <w:r w:rsidR="00772B5D" w:rsidRPr="00A64175">
                    <w:rPr>
                      <w:rFonts w:ascii="Arial" w:hAnsi="Arial" w:cs="Arial"/>
                    </w:rPr>
                    <w:t>les limites fixées</w:t>
                  </w:r>
                  <w:r w:rsidRPr="00A64175">
                    <w:rPr>
                      <w:rFonts w:ascii="Arial" w:hAnsi="Arial" w:cs="Arial"/>
                    </w:rPr>
                    <w:t xml:space="preserve"> par elle, les titres d’une société admise à la Cote de la Bourse des Valeurs Mobilières de l’Afrique Centrale.</w:t>
                  </w:r>
                </w:p>
                <w:p w14:paraId="0D7A6EDC" w14:textId="77777777" w:rsidR="00B27D90" w:rsidRPr="00A64175" w:rsidRDefault="00B27D90" w:rsidP="00A64175">
                  <w:pPr>
                    <w:autoSpaceDE w:val="0"/>
                    <w:autoSpaceDN w:val="0"/>
                    <w:adjustRightInd w:val="0"/>
                    <w:jc w:val="both"/>
                    <w:rPr>
                      <w:rFonts w:ascii="Arial" w:hAnsi="Arial" w:cs="Arial"/>
                    </w:rPr>
                  </w:pPr>
                </w:p>
                <w:p w14:paraId="1592EB1A" w14:textId="1CE04182" w:rsidR="00B27D90" w:rsidRPr="00A64175" w:rsidRDefault="00B27D90"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6</w:t>
                  </w:r>
                  <w:r w:rsidRPr="00A64175">
                    <w:rPr>
                      <w:rFonts w:ascii="Arial" w:hAnsi="Arial" w:cs="Arial"/>
                      <w:b/>
                      <w:bCs/>
                      <w:color w:val="000000" w:themeColor="text1"/>
                      <w:kern w:val="1"/>
                    </w:rPr>
                    <w:t xml:space="preserve">– </w:t>
                  </w:r>
                  <w:r w:rsidRPr="00A64175">
                    <w:rPr>
                      <w:rFonts w:ascii="Arial" w:hAnsi="Arial" w:cs="Arial"/>
                    </w:rPr>
                    <w:t>Un dossier d’offre est déposé ou adressé à la Commission par une ou plusieurs Sociétés de Bourse. Ce dossier comprend notamment une lettre et un projet de document d’information soumis au visa préalable de la COSUMAF.</w:t>
                  </w:r>
                </w:p>
                <w:p w14:paraId="2106159F" w14:textId="77777777" w:rsidR="00B27D90" w:rsidRPr="00A64175" w:rsidRDefault="00B27D90" w:rsidP="00A64175">
                  <w:pPr>
                    <w:autoSpaceDE w:val="0"/>
                    <w:autoSpaceDN w:val="0"/>
                    <w:adjustRightInd w:val="0"/>
                    <w:jc w:val="both"/>
                    <w:rPr>
                      <w:rFonts w:ascii="Arial" w:hAnsi="Arial" w:cs="Arial"/>
                    </w:rPr>
                  </w:pPr>
                </w:p>
                <w:p w14:paraId="405200D6" w14:textId="77777777" w:rsidR="00B27D90" w:rsidRPr="00A64175" w:rsidRDefault="00B27D90" w:rsidP="00A64175">
                  <w:pPr>
                    <w:autoSpaceDE w:val="0"/>
                    <w:autoSpaceDN w:val="0"/>
                    <w:adjustRightInd w:val="0"/>
                    <w:jc w:val="both"/>
                    <w:rPr>
                      <w:rFonts w:ascii="Arial" w:hAnsi="Arial" w:cs="Arial"/>
                    </w:rPr>
                  </w:pPr>
                  <w:r w:rsidRPr="00A64175">
                    <w:rPr>
                      <w:rFonts w:ascii="Arial" w:hAnsi="Arial" w:cs="Arial"/>
                    </w:rPr>
                    <w:t>La lettre précise les objectifs et intentions de l’initiateur.</w:t>
                  </w:r>
                </w:p>
                <w:p w14:paraId="017836DA" w14:textId="77777777" w:rsidR="00B27D90" w:rsidRPr="00A64175" w:rsidRDefault="00B27D90" w:rsidP="00A64175">
                  <w:pPr>
                    <w:autoSpaceDE w:val="0"/>
                    <w:autoSpaceDN w:val="0"/>
                    <w:adjustRightInd w:val="0"/>
                    <w:jc w:val="both"/>
                    <w:rPr>
                      <w:rFonts w:ascii="Arial" w:hAnsi="Arial" w:cs="Arial"/>
                    </w:rPr>
                  </w:pPr>
                </w:p>
                <w:p w14:paraId="24F6FB05" w14:textId="77777777" w:rsidR="00B27D90" w:rsidRPr="00A64175" w:rsidRDefault="00B27D90" w:rsidP="00A64175">
                  <w:pPr>
                    <w:autoSpaceDE w:val="0"/>
                    <w:autoSpaceDN w:val="0"/>
                    <w:adjustRightInd w:val="0"/>
                    <w:jc w:val="both"/>
                    <w:rPr>
                      <w:rFonts w:ascii="Arial" w:hAnsi="Arial" w:cs="Arial"/>
                    </w:rPr>
                  </w:pPr>
                  <w:r w:rsidRPr="00A64175">
                    <w:rPr>
                      <w:rFonts w:ascii="Arial" w:hAnsi="Arial" w:cs="Arial"/>
                    </w:rPr>
                    <w:t>Le projet de document d’information est adressé le même jour à la société visée par l’offre.</w:t>
                  </w:r>
                </w:p>
                <w:p w14:paraId="7BDD049C" w14:textId="77777777" w:rsidR="00B27D90" w:rsidRPr="00A64175" w:rsidRDefault="00B27D90" w:rsidP="00A64175">
                  <w:pPr>
                    <w:autoSpaceDE w:val="0"/>
                    <w:autoSpaceDN w:val="0"/>
                    <w:adjustRightInd w:val="0"/>
                    <w:jc w:val="both"/>
                    <w:rPr>
                      <w:rFonts w:ascii="Arial" w:hAnsi="Arial" w:cs="Arial"/>
                    </w:rPr>
                  </w:pPr>
                </w:p>
                <w:p w14:paraId="1174BB58" w14:textId="49DCAB65" w:rsidR="00B27D90" w:rsidRPr="00A64175" w:rsidRDefault="00B27D90" w:rsidP="00A64175">
                  <w:pPr>
                    <w:autoSpaceDE w:val="0"/>
                    <w:autoSpaceDN w:val="0"/>
                    <w:adjustRightInd w:val="0"/>
                    <w:jc w:val="both"/>
                    <w:rPr>
                      <w:rFonts w:ascii="Arial" w:hAnsi="Arial" w:cs="Arial"/>
                    </w:rPr>
                  </w:pPr>
                  <w:r w:rsidRPr="00A64175">
                    <w:rPr>
                      <w:rFonts w:ascii="Arial" w:hAnsi="Arial" w:cs="Arial"/>
                    </w:rPr>
                    <w:t>Le dépôt du dossier d’offre entraîne la suspension de la cotation des titres visés, jusqu’à l’ouverture de la période d’offre.</w:t>
                  </w:r>
                </w:p>
                <w:p w14:paraId="6906D672" w14:textId="77777777" w:rsidR="00B27D90" w:rsidRPr="00A64175" w:rsidRDefault="00B27D90" w:rsidP="00A64175">
                  <w:pPr>
                    <w:autoSpaceDE w:val="0"/>
                    <w:autoSpaceDN w:val="0"/>
                    <w:adjustRightInd w:val="0"/>
                    <w:jc w:val="both"/>
                    <w:rPr>
                      <w:rFonts w:ascii="Arial" w:hAnsi="Arial" w:cs="Arial"/>
                    </w:rPr>
                  </w:pPr>
                </w:p>
                <w:p w14:paraId="4643C748" w14:textId="77777777" w:rsidR="00B27D90" w:rsidRPr="00A64175" w:rsidRDefault="00B27D90" w:rsidP="00A64175">
                  <w:pPr>
                    <w:autoSpaceDE w:val="0"/>
                    <w:autoSpaceDN w:val="0"/>
                    <w:adjustRightInd w:val="0"/>
                    <w:jc w:val="both"/>
                    <w:rPr>
                      <w:rFonts w:ascii="Arial" w:hAnsi="Arial" w:cs="Arial"/>
                    </w:rPr>
                  </w:pPr>
                  <w:r w:rsidRPr="00A64175">
                    <w:rPr>
                      <w:rFonts w:ascii="Arial" w:hAnsi="Arial" w:cs="Arial"/>
                    </w:rPr>
                    <w:t>La COSUMAF publie les principales modalités du projet d’offre publique qui lui est soumis.</w:t>
                  </w:r>
                </w:p>
                <w:p w14:paraId="4DF845E1" w14:textId="77777777" w:rsidR="00B27D90" w:rsidRPr="00A64175" w:rsidRDefault="00B27D90" w:rsidP="00A64175">
                  <w:pPr>
                    <w:autoSpaceDE w:val="0"/>
                    <w:autoSpaceDN w:val="0"/>
                    <w:adjustRightInd w:val="0"/>
                    <w:jc w:val="both"/>
                    <w:rPr>
                      <w:rFonts w:ascii="Arial" w:hAnsi="Arial" w:cs="Arial"/>
                    </w:rPr>
                  </w:pPr>
                </w:p>
                <w:p w14:paraId="5742FCF3" w14:textId="77777777" w:rsidR="00F038C6" w:rsidRPr="00A64175" w:rsidRDefault="00F038C6" w:rsidP="00A64175">
                  <w:pPr>
                    <w:autoSpaceDE w:val="0"/>
                    <w:autoSpaceDN w:val="0"/>
                    <w:adjustRightInd w:val="0"/>
                    <w:jc w:val="both"/>
                    <w:rPr>
                      <w:rFonts w:ascii="Arial" w:hAnsi="Arial" w:cs="Arial"/>
                    </w:rPr>
                  </w:pPr>
                </w:p>
                <w:p w14:paraId="1274B99E" w14:textId="623DCEC6"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7</w:t>
                  </w:r>
                  <w:r w:rsidRPr="00A64175">
                    <w:rPr>
                      <w:rFonts w:ascii="Arial" w:hAnsi="Arial" w:cs="Arial"/>
                      <w:b/>
                      <w:bCs/>
                      <w:color w:val="000000" w:themeColor="text1"/>
                      <w:kern w:val="1"/>
                    </w:rPr>
                    <w:t xml:space="preserve"> – </w:t>
                  </w:r>
                  <w:r w:rsidR="00B27D90" w:rsidRPr="00A64175">
                    <w:rPr>
                      <w:rFonts w:ascii="Arial" w:hAnsi="Arial" w:cs="Arial"/>
                    </w:rPr>
                    <w:t>Lorsque l’offre publique est inamicale, un document d’information en ré</w:t>
                  </w:r>
                  <w:r w:rsidRPr="00A64175">
                    <w:rPr>
                      <w:rFonts w:ascii="Arial" w:hAnsi="Arial" w:cs="Arial"/>
                    </w:rPr>
                    <w:t xml:space="preserve">ponse est établi par la société </w:t>
                  </w:r>
                  <w:r w:rsidR="00B27D90" w:rsidRPr="00A64175">
                    <w:rPr>
                      <w:rFonts w:ascii="Arial" w:hAnsi="Arial" w:cs="Arial"/>
                    </w:rPr>
                    <w:t>visée. Ce document est soumis au visa de la COSUMAF.</w:t>
                  </w:r>
                </w:p>
                <w:p w14:paraId="0C6C7AA0" w14:textId="77777777" w:rsidR="00F038C6" w:rsidRPr="00A64175" w:rsidRDefault="00F038C6" w:rsidP="00A64175">
                  <w:pPr>
                    <w:autoSpaceDE w:val="0"/>
                    <w:autoSpaceDN w:val="0"/>
                    <w:adjustRightInd w:val="0"/>
                    <w:jc w:val="both"/>
                    <w:rPr>
                      <w:rFonts w:ascii="Arial" w:hAnsi="Arial" w:cs="Arial"/>
                    </w:rPr>
                  </w:pPr>
                </w:p>
                <w:p w14:paraId="10A88F7D" w14:textId="783264C2"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8</w:t>
                  </w:r>
                  <w:r w:rsidRPr="00A64175">
                    <w:rPr>
                      <w:rFonts w:ascii="Arial" w:hAnsi="Arial" w:cs="Arial"/>
                      <w:b/>
                      <w:bCs/>
                      <w:color w:val="000000" w:themeColor="text1"/>
                      <w:kern w:val="1"/>
                    </w:rPr>
                    <w:t xml:space="preserve"> – </w:t>
                  </w:r>
                  <w:r w:rsidR="00B27D90" w:rsidRPr="00A64175">
                    <w:rPr>
                      <w:rFonts w:ascii="Arial" w:hAnsi="Arial" w:cs="Arial"/>
                    </w:rPr>
                    <w:t>Les offres publiques d’achat ou d'échange peuvent faire l’objet d’offres publiques concurrentes.</w:t>
                  </w:r>
                </w:p>
                <w:p w14:paraId="2D955E5E" w14:textId="4426825A" w:rsidR="00B27D90" w:rsidRPr="00A64175" w:rsidRDefault="00B27D90" w:rsidP="00A64175">
                  <w:pPr>
                    <w:autoSpaceDE w:val="0"/>
                    <w:autoSpaceDN w:val="0"/>
                    <w:adjustRightInd w:val="0"/>
                    <w:jc w:val="both"/>
                    <w:rPr>
                      <w:rFonts w:ascii="Arial" w:hAnsi="Arial" w:cs="Arial"/>
                    </w:rPr>
                  </w:pPr>
                </w:p>
                <w:p w14:paraId="14639E8D" w14:textId="77777777" w:rsidR="00F038C6" w:rsidRPr="00A64175" w:rsidRDefault="00F038C6" w:rsidP="00A64175">
                  <w:pPr>
                    <w:autoSpaceDE w:val="0"/>
                    <w:autoSpaceDN w:val="0"/>
                    <w:adjustRightInd w:val="0"/>
                    <w:jc w:val="both"/>
                    <w:rPr>
                      <w:rFonts w:ascii="Arial" w:hAnsi="Arial" w:cs="Arial"/>
                    </w:rPr>
                  </w:pPr>
                </w:p>
                <w:p w14:paraId="300403AE" w14:textId="405056B8"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20</w:t>
                  </w:r>
                  <w:r w:rsidR="001956AF">
                    <w:rPr>
                      <w:rFonts w:ascii="Arial" w:hAnsi="Arial" w:cs="Arial"/>
                      <w:b/>
                      <w:bCs/>
                      <w:color w:val="000000" w:themeColor="text1"/>
                      <w:kern w:val="1"/>
                    </w:rPr>
                    <w:t>9</w:t>
                  </w:r>
                  <w:r w:rsidRPr="00A64175">
                    <w:rPr>
                      <w:rFonts w:ascii="Arial" w:hAnsi="Arial" w:cs="Arial"/>
                      <w:b/>
                      <w:bCs/>
                      <w:color w:val="000000" w:themeColor="text1"/>
                      <w:kern w:val="1"/>
                    </w:rPr>
                    <w:t xml:space="preserve"> – </w:t>
                  </w:r>
                  <w:r w:rsidR="00B27D90" w:rsidRPr="00A64175">
                    <w:rPr>
                      <w:rFonts w:ascii="Arial" w:hAnsi="Arial" w:cs="Arial"/>
                    </w:rPr>
                    <w:t>Une offre publique concurrente ne peut être déposée que si elle amé</w:t>
                  </w:r>
                  <w:r w:rsidRPr="00A64175">
                    <w:rPr>
                      <w:rFonts w:ascii="Arial" w:hAnsi="Arial" w:cs="Arial"/>
                    </w:rPr>
                    <w:t xml:space="preserve">liore les conditions de prix ou </w:t>
                  </w:r>
                  <w:r w:rsidR="00B27D90" w:rsidRPr="00A64175">
                    <w:rPr>
                      <w:rFonts w:ascii="Arial" w:hAnsi="Arial" w:cs="Arial"/>
                    </w:rPr>
                    <w:t xml:space="preserve">d’échange de la première offre et à condition que le dépôt intervienne au </w:t>
                  </w:r>
                  <w:r w:rsidRPr="00A64175">
                    <w:rPr>
                      <w:rFonts w:ascii="Arial" w:hAnsi="Arial" w:cs="Arial"/>
                    </w:rPr>
                    <w:t xml:space="preserve">moins dix (10) jours avant </w:t>
                  </w:r>
                  <w:r w:rsidR="00B27D90" w:rsidRPr="00A64175">
                    <w:rPr>
                      <w:rFonts w:ascii="Arial" w:hAnsi="Arial" w:cs="Arial"/>
                    </w:rPr>
                    <w:t>l’expiration du délai fixé pour la réception des ordres passés en réponse à l’offre initiale.</w:t>
                  </w:r>
                </w:p>
                <w:p w14:paraId="6BB1BF2E" w14:textId="77777777" w:rsidR="00F038C6" w:rsidRPr="00A64175" w:rsidRDefault="00F038C6" w:rsidP="00A64175">
                  <w:pPr>
                    <w:autoSpaceDE w:val="0"/>
                    <w:autoSpaceDN w:val="0"/>
                    <w:adjustRightInd w:val="0"/>
                    <w:jc w:val="both"/>
                    <w:rPr>
                      <w:rFonts w:ascii="Arial" w:hAnsi="Arial" w:cs="Arial"/>
                    </w:rPr>
                  </w:pPr>
                </w:p>
                <w:p w14:paraId="350582A4" w14:textId="72054685"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w:t>
                  </w:r>
                  <w:r w:rsidR="001956AF">
                    <w:rPr>
                      <w:rFonts w:ascii="Arial" w:hAnsi="Arial" w:cs="Arial"/>
                      <w:b/>
                      <w:bCs/>
                      <w:color w:val="000000" w:themeColor="text1"/>
                      <w:kern w:val="1"/>
                    </w:rPr>
                    <w:t>10</w:t>
                  </w:r>
                  <w:r w:rsidRPr="00A64175">
                    <w:rPr>
                      <w:rFonts w:ascii="Arial" w:hAnsi="Arial" w:cs="Arial"/>
                      <w:b/>
                      <w:bCs/>
                      <w:color w:val="000000" w:themeColor="text1"/>
                      <w:kern w:val="1"/>
                    </w:rPr>
                    <w:t xml:space="preserve"> – </w:t>
                  </w:r>
                  <w:r w:rsidR="00B27D90" w:rsidRPr="00A64175">
                    <w:rPr>
                      <w:rFonts w:ascii="Arial" w:hAnsi="Arial" w:cs="Arial"/>
                    </w:rPr>
                    <w:t>L’offre publique concurrente donne lieu à l’établissement et</w:t>
                  </w:r>
                  <w:r w:rsidRPr="00A64175">
                    <w:rPr>
                      <w:rFonts w:ascii="Arial" w:hAnsi="Arial" w:cs="Arial"/>
                    </w:rPr>
                    <w:t xml:space="preserve"> à la publication d’un document </w:t>
                  </w:r>
                  <w:r w:rsidR="00B27D90" w:rsidRPr="00A64175">
                    <w:rPr>
                      <w:rFonts w:ascii="Arial" w:hAnsi="Arial" w:cs="Arial"/>
                    </w:rPr>
                    <w:t>d’information visé par la COSUMAF, dans les mêmes conditions que l’offre initiale.</w:t>
                  </w:r>
                </w:p>
                <w:p w14:paraId="2F522811" w14:textId="77777777" w:rsidR="00F038C6" w:rsidRPr="00A64175" w:rsidRDefault="00F038C6" w:rsidP="00A64175">
                  <w:pPr>
                    <w:autoSpaceDE w:val="0"/>
                    <w:autoSpaceDN w:val="0"/>
                    <w:adjustRightInd w:val="0"/>
                    <w:jc w:val="both"/>
                    <w:rPr>
                      <w:rFonts w:ascii="Arial" w:hAnsi="Arial" w:cs="Arial"/>
                    </w:rPr>
                  </w:pPr>
                </w:p>
                <w:p w14:paraId="4B5FF43F" w14:textId="4F6F4597"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w:t>
                  </w:r>
                  <w:r w:rsidR="00044B0E">
                    <w:rPr>
                      <w:rFonts w:ascii="Arial" w:hAnsi="Arial" w:cs="Arial"/>
                      <w:b/>
                      <w:bCs/>
                      <w:color w:val="000000" w:themeColor="text1"/>
                      <w:kern w:val="1"/>
                    </w:rPr>
                    <w:t>1</w:t>
                  </w:r>
                  <w:r w:rsidR="001956AF">
                    <w:rPr>
                      <w:rFonts w:ascii="Arial" w:hAnsi="Arial" w:cs="Arial"/>
                      <w:b/>
                      <w:bCs/>
                      <w:color w:val="000000" w:themeColor="text1"/>
                      <w:kern w:val="1"/>
                    </w:rPr>
                    <w:t>1</w:t>
                  </w:r>
                  <w:r w:rsidRPr="00A64175">
                    <w:rPr>
                      <w:rFonts w:ascii="Arial" w:hAnsi="Arial" w:cs="Arial"/>
                      <w:b/>
                      <w:bCs/>
                      <w:color w:val="000000" w:themeColor="text1"/>
                      <w:kern w:val="1"/>
                    </w:rPr>
                    <w:t xml:space="preserve"> – </w:t>
                  </w:r>
                  <w:r w:rsidR="00B27D90" w:rsidRPr="00A64175">
                    <w:rPr>
                      <w:rFonts w:ascii="Arial" w:hAnsi="Arial" w:cs="Arial"/>
                    </w:rPr>
                    <w:t xml:space="preserve">La COSUMAF peut autoriser le recours à une procédure d’offre publique </w:t>
                  </w:r>
                  <w:r w:rsidRPr="00A64175">
                    <w:rPr>
                      <w:rFonts w:ascii="Arial" w:hAnsi="Arial" w:cs="Arial"/>
                    </w:rPr>
                    <w:t xml:space="preserve">simplifiée lorsque l’initiateur </w:t>
                  </w:r>
                  <w:r w:rsidR="00B27D90" w:rsidRPr="00A64175">
                    <w:rPr>
                      <w:rFonts w:ascii="Arial" w:hAnsi="Arial" w:cs="Arial"/>
                    </w:rPr>
                    <w:t xml:space="preserve">de l’offre détient déjà, seul ou de concert, au moins les deux tiers du capital de la </w:t>
                  </w:r>
                  <w:r w:rsidRPr="00A64175">
                    <w:rPr>
                      <w:rFonts w:ascii="Arial" w:hAnsi="Arial" w:cs="Arial"/>
                    </w:rPr>
                    <w:t xml:space="preserve">société dont les titres </w:t>
                  </w:r>
                  <w:r w:rsidR="00B27D90" w:rsidRPr="00A64175">
                    <w:rPr>
                      <w:rFonts w:ascii="Arial" w:hAnsi="Arial" w:cs="Arial"/>
                    </w:rPr>
                    <w:t>sont visés par l’offre et qu’il s’engage à acquérir sans limitation les titres qui lui seraient présentés.</w:t>
                  </w:r>
                </w:p>
                <w:p w14:paraId="20F63444" w14:textId="77777777" w:rsidR="00F038C6" w:rsidRPr="00A64175" w:rsidRDefault="00F038C6" w:rsidP="00A64175">
                  <w:pPr>
                    <w:autoSpaceDE w:val="0"/>
                    <w:autoSpaceDN w:val="0"/>
                    <w:adjustRightInd w:val="0"/>
                    <w:jc w:val="both"/>
                    <w:rPr>
                      <w:rFonts w:ascii="Arial" w:hAnsi="Arial" w:cs="Arial"/>
                    </w:rPr>
                  </w:pPr>
                </w:p>
                <w:p w14:paraId="3B29FE16" w14:textId="77777777" w:rsidR="00B27D90" w:rsidRPr="00A64175" w:rsidRDefault="00B27D90" w:rsidP="00A64175">
                  <w:pPr>
                    <w:autoSpaceDE w:val="0"/>
                    <w:autoSpaceDN w:val="0"/>
                    <w:adjustRightInd w:val="0"/>
                    <w:jc w:val="both"/>
                    <w:rPr>
                      <w:rFonts w:ascii="Arial" w:hAnsi="Arial" w:cs="Arial"/>
                    </w:rPr>
                  </w:pPr>
                  <w:r w:rsidRPr="00A64175">
                    <w:rPr>
                      <w:rFonts w:ascii="Arial" w:hAnsi="Arial" w:cs="Arial"/>
                    </w:rPr>
                    <w:t>Cette procédure est également autorisée en cas d’offre de rachat de ses titres par une société.</w:t>
                  </w:r>
                </w:p>
                <w:p w14:paraId="203FD0CC" w14:textId="77777777" w:rsidR="00F038C6" w:rsidRPr="00A64175" w:rsidRDefault="00F038C6" w:rsidP="00A64175">
                  <w:pPr>
                    <w:autoSpaceDE w:val="0"/>
                    <w:autoSpaceDN w:val="0"/>
                    <w:adjustRightInd w:val="0"/>
                    <w:jc w:val="both"/>
                    <w:rPr>
                      <w:rFonts w:ascii="Arial" w:hAnsi="Arial" w:cs="Arial"/>
                    </w:rPr>
                  </w:pPr>
                </w:p>
                <w:p w14:paraId="4B39EF83" w14:textId="77777777" w:rsidR="00F038C6" w:rsidRPr="00A64175" w:rsidRDefault="00F038C6" w:rsidP="00A64175">
                  <w:pPr>
                    <w:autoSpaceDE w:val="0"/>
                    <w:autoSpaceDN w:val="0"/>
                    <w:adjustRightInd w:val="0"/>
                    <w:jc w:val="both"/>
                    <w:rPr>
                      <w:rFonts w:ascii="Arial" w:hAnsi="Arial" w:cs="Arial"/>
                    </w:rPr>
                  </w:pPr>
                </w:p>
                <w:p w14:paraId="3FA98132" w14:textId="7ACD93A2"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w:t>
                  </w:r>
                  <w:r w:rsidR="00044B0E">
                    <w:rPr>
                      <w:rFonts w:ascii="Arial" w:hAnsi="Arial" w:cs="Arial"/>
                      <w:b/>
                      <w:bCs/>
                      <w:color w:val="000000" w:themeColor="text1"/>
                      <w:kern w:val="1"/>
                    </w:rPr>
                    <w:t>1</w:t>
                  </w:r>
                  <w:r w:rsidR="001956AF">
                    <w:rPr>
                      <w:rFonts w:ascii="Arial" w:hAnsi="Arial" w:cs="Arial"/>
                      <w:b/>
                      <w:bCs/>
                      <w:color w:val="000000" w:themeColor="text1"/>
                      <w:kern w:val="1"/>
                    </w:rPr>
                    <w:t>2</w:t>
                  </w:r>
                  <w:r w:rsidRPr="00A64175">
                    <w:rPr>
                      <w:rFonts w:ascii="Arial" w:hAnsi="Arial" w:cs="Arial"/>
                      <w:b/>
                      <w:bCs/>
                      <w:color w:val="000000" w:themeColor="text1"/>
                      <w:kern w:val="1"/>
                    </w:rPr>
                    <w:t xml:space="preserve"> – </w:t>
                  </w:r>
                  <w:r w:rsidR="00B27D90" w:rsidRPr="00A64175">
                    <w:rPr>
                      <w:rFonts w:ascii="Arial" w:hAnsi="Arial" w:cs="Arial"/>
                    </w:rPr>
                    <w:t>Dans le cadre de la procédure simplifiée, l’initiateur s’engage irrévoc</w:t>
                  </w:r>
                  <w:r w:rsidRPr="00A64175">
                    <w:rPr>
                      <w:rFonts w:ascii="Arial" w:hAnsi="Arial" w:cs="Arial"/>
                    </w:rPr>
                    <w:t xml:space="preserve">ablement auprès de la COSUMAF à </w:t>
                  </w:r>
                  <w:r w:rsidR="00B27D90" w:rsidRPr="00A64175">
                    <w:rPr>
                      <w:rFonts w:ascii="Arial" w:hAnsi="Arial" w:cs="Arial"/>
                    </w:rPr>
                    <w:t xml:space="preserve">acquérir sur le marché ou à accepter, en échange d’actions déjà émises </w:t>
                  </w:r>
                  <w:r w:rsidRPr="00A64175">
                    <w:rPr>
                      <w:rFonts w:ascii="Arial" w:hAnsi="Arial" w:cs="Arial"/>
                    </w:rPr>
                    <w:t xml:space="preserve">ou à émettre, toute quantité de </w:t>
                  </w:r>
                  <w:r w:rsidR="00B27D90" w:rsidRPr="00A64175">
                    <w:rPr>
                      <w:rFonts w:ascii="Arial" w:hAnsi="Arial" w:cs="Arial"/>
                    </w:rPr>
                    <w:t>titres de la société visée qui lui seraient proposés.</w:t>
                  </w:r>
                </w:p>
                <w:p w14:paraId="6D021BD0" w14:textId="77777777" w:rsidR="00F038C6" w:rsidRPr="00A64175" w:rsidRDefault="00F038C6" w:rsidP="00A64175">
                  <w:pPr>
                    <w:autoSpaceDE w:val="0"/>
                    <w:autoSpaceDN w:val="0"/>
                    <w:adjustRightInd w:val="0"/>
                    <w:jc w:val="both"/>
                    <w:rPr>
                      <w:rFonts w:ascii="Arial" w:hAnsi="Arial" w:cs="Arial"/>
                    </w:rPr>
                  </w:pPr>
                </w:p>
                <w:p w14:paraId="04F1FDB1" w14:textId="77777777" w:rsidR="00F038C6" w:rsidRPr="00A64175" w:rsidRDefault="00F038C6" w:rsidP="00A64175">
                  <w:pPr>
                    <w:autoSpaceDE w:val="0"/>
                    <w:autoSpaceDN w:val="0"/>
                    <w:adjustRightInd w:val="0"/>
                    <w:jc w:val="both"/>
                    <w:rPr>
                      <w:rFonts w:ascii="Arial" w:hAnsi="Arial" w:cs="Arial"/>
                    </w:rPr>
                  </w:pPr>
                </w:p>
                <w:p w14:paraId="6799A1E6" w14:textId="3BA5AFA1"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w:t>
                  </w:r>
                  <w:r w:rsidR="00044B0E">
                    <w:rPr>
                      <w:rFonts w:ascii="Arial" w:hAnsi="Arial" w:cs="Arial"/>
                      <w:b/>
                      <w:bCs/>
                      <w:color w:val="000000" w:themeColor="text1"/>
                      <w:kern w:val="1"/>
                    </w:rPr>
                    <w:t>1</w:t>
                  </w:r>
                  <w:r w:rsidR="001956AF">
                    <w:rPr>
                      <w:rFonts w:ascii="Arial" w:hAnsi="Arial" w:cs="Arial"/>
                      <w:b/>
                      <w:bCs/>
                      <w:color w:val="000000" w:themeColor="text1"/>
                      <w:kern w:val="1"/>
                    </w:rPr>
                    <w:t>3</w:t>
                  </w:r>
                  <w:r w:rsidRPr="00A64175">
                    <w:rPr>
                      <w:rFonts w:ascii="Arial" w:hAnsi="Arial" w:cs="Arial"/>
                      <w:b/>
                      <w:bCs/>
                      <w:color w:val="000000" w:themeColor="text1"/>
                      <w:kern w:val="1"/>
                    </w:rPr>
                    <w:t xml:space="preserve"> – </w:t>
                  </w:r>
                  <w:r w:rsidR="00B27D90" w:rsidRPr="00A64175">
                    <w:rPr>
                      <w:rFonts w:ascii="Arial" w:hAnsi="Arial" w:cs="Arial"/>
                    </w:rPr>
                    <w:t>Les documents d’information établis dans le cadre d’une offre publique</w:t>
                  </w:r>
                  <w:r w:rsidRPr="00A64175">
                    <w:rPr>
                      <w:rFonts w:ascii="Arial" w:hAnsi="Arial" w:cs="Arial"/>
                    </w:rPr>
                    <w:t xml:space="preserve"> simplifiée sont soumis au visa </w:t>
                  </w:r>
                  <w:r w:rsidR="00B27D90" w:rsidRPr="00A64175">
                    <w:rPr>
                      <w:rFonts w:ascii="Arial" w:hAnsi="Arial" w:cs="Arial"/>
                    </w:rPr>
                    <w:t>préalable de la COSUMAF.</w:t>
                  </w:r>
                </w:p>
                <w:p w14:paraId="19B913F2" w14:textId="77777777" w:rsidR="00F038C6" w:rsidRPr="00A64175" w:rsidRDefault="00F038C6" w:rsidP="00A64175">
                  <w:pPr>
                    <w:autoSpaceDE w:val="0"/>
                    <w:autoSpaceDN w:val="0"/>
                    <w:adjustRightInd w:val="0"/>
                    <w:jc w:val="both"/>
                    <w:rPr>
                      <w:rFonts w:ascii="Arial" w:hAnsi="Arial" w:cs="Arial"/>
                    </w:rPr>
                  </w:pPr>
                </w:p>
                <w:p w14:paraId="6C3EF564" w14:textId="77777777" w:rsidR="00F038C6" w:rsidRPr="00A64175" w:rsidRDefault="00F038C6" w:rsidP="00A64175">
                  <w:pPr>
                    <w:autoSpaceDE w:val="0"/>
                    <w:autoSpaceDN w:val="0"/>
                    <w:adjustRightInd w:val="0"/>
                    <w:jc w:val="both"/>
                    <w:rPr>
                      <w:rFonts w:ascii="Arial" w:hAnsi="Arial" w:cs="Arial"/>
                    </w:rPr>
                  </w:pPr>
                </w:p>
                <w:p w14:paraId="0C03B7F2" w14:textId="2AA33B92"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4</w:t>
                  </w:r>
                  <w:r w:rsidRPr="00A64175">
                    <w:rPr>
                      <w:rFonts w:ascii="Arial" w:hAnsi="Arial" w:cs="Arial"/>
                      <w:b/>
                      <w:bCs/>
                      <w:color w:val="000000" w:themeColor="text1"/>
                      <w:kern w:val="1"/>
                    </w:rPr>
                    <w:t xml:space="preserve"> – </w:t>
                  </w:r>
                  <w:r w:rsidR="00B27D90" w:rsidRPr="00A64175">
                    <w:rPr>
                      <w:rFonts w:ascii="Arial" w:hAnsi="Arial" w:cs="Arial"/>
                    </w:rPr>
                    <w:t>Lorsqu’une personne physique ou morale vient à détenir une participation</w:t>
                  </w:r>
                  <w:r w:rsidRPr="00A64175">
                    <w:rPr>
                      <w:rFonts w:ascii="Arial" w:hAnsi="Arial" w:cs="Arial"/>
                    </w:rPr>
                    <w:t xml:space="preserve"> supérieure au tiers du capital </w:t>
                  </w:r>
                  <w:r w:rsidR="00B27D90" w:rsidRPr="00A64175">
                    <w:rPr>
                      <w:rFonts w:ascii="Arial" w:hAnsi="Arial" w:cs="Arial"/>
                    </w:rPr>
                    <w:t>social d’une société dont les titres sont admis à la négociation sur l</w:t>
                  </w:r>
                  <w:r w:rsidRPr="00A64175">
                    <w:rPr>
                      <w:rFonts w:ascii="Arial" w:hAnsi="Arial" w:cs="Arial"/>
                    </w:rPr>
                    <w:t xml:space="preserve">e Marché Financier de l’Afrique </w:t>
                  </w:r>
                  <w:r w:rsidR="00772B5D" w:rsidRPr="00A64175">
                    <w:rPr>
                      <w:rFonts w:ascii="Arial" w:hAnsi="Arial" w:cs="Arial"/>
                    </w:rPr>
                    <w:t>centrale</w:t>
                  </w:r>
                  <w:r w:rsidR="00B27D90" w:rsidRPr="00A64175">
                    <w:rPr>
                      <w:rFonts w:ascii="Arial" w:hAnsi="Arial" w:cs="Arial"/>
                    </w:rPr>
                    <w:t>, elle en informe sans délai la COSUMAF et doit déposer un pr</w:t>
                  </w:r>
                  <w:r w:rsidRPr="00A64175">
                    <w:rPr>
                      <w:rFonts w:ascii="Arial" w:hAnsi="Arial" w:cs="Arial"/>
                    </w:rPr>
                    <w:t xml:space="preserve">ojet d’offre publique visant la </w:t>
                  </w:r>
                  <w:r w:rsidR="00B27D90" w:rsidRPr="00A64175">
                    <w:rPr>
                      <w:rFonts w:ascii="Arial" w:hAnsi="Arial" w:cs="Arial"/>
                    </w:rPr>
                    <w:t>totalité du capital, et libellé à des conditions telles qu’il puisse être déclaré recevable par la COSUMAF.</w:t>
                  </w:r>
                </w:p>
                <w:p w14:paraId="2D1F5DCB" w14:textId="77777777" w:rsidR="00F038C6" w:rsidRPr="00A64175" w:rsidRDefault="00F038C6" w:rsidP="00A64175">
                  <w:pPr>
                    <w:autoSpaceDE w:val="0"/>
                    <w:autoSpaceDN w:val="0"/>
                    <w:adjustRightInd w:val="0"/>
                    <w:jc w:val="both"/>
                    <w:rPr>
                      <w:rFonts w:ascii="Arial" w:hAnsi="Arial" w:cs="Arial"/>
                    </w:rPr>
                  </w:pPr>
                </w:p>
                <w:p w14:paraId="275E063C" w14:textId="77777777" w:rsidR="00F038C6" w:rsidRPr="00A64175" w:rsidRDefault="00F038C6" w:rsidP="00A64175">
                  <w:pPr>
                    <w:autoSpaceDE w:val="0"/>
                    <w:autoSpaceDN w:val="0"/>
                    <w:adjustRightInd w:val="0"/>
                    <w:jc w:val="both"/>
                    <w:rPr>
                      <w:rFonts w:ascii="Arial" w:hAnsi="Arial" w:cs="Arial"/>
                    </w:rPr>
                  </w:pPr>
                </w:p>
                <w:p w14:paraId="4C19C1AE" w14:textId="53312621"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5</w:t>
                  </w:r>
                  <w:r w:rsidRPr="00A64175">
                    <w:rPr>
                      <w:rFonts w:ascii="Arial" w:hAnsi="Arial" w:cs="Arial"/>
                      <w:b/>
                      <w:bCs/>
                      <w:color w:val="000000" w:themeColor="text1"/>
                      <w:kern w:val="1"/>
                    </w:rPr>
                    <w:t xml:space="preserve"> – </w:t>
                  </w:r>
                  <w:r w:rsidR="00B27D90" w:rsidRPr="00A64175">
                    <w:rPr>
                      <w:rFonts w:ascii="Arial" w:hAnsi="Arial" w:cs="Arial"/>
                    </w:rPr>
                    <w:t>Les personnes qui détiennent directement ou indirectement un nombre comp</w:t>
                  </w:r>
                  <w:r w:rsidRPr="00A64175">
                    <w:rPr>
                      <w:rFonts w:ascii="Arial" w:hAnsi="Arial" w:cs="Arial"/>
                    </w:rPr>
                    <w:t xml:space="preserve">ris entre le tiers et la moitié </w:t>
                  </w:r>
                  <w:r w:rsidR="00B27D90" w:rsidRPr="00A64175">
                    <w:rPr>
                      <w:rFonts w:ascii="Arial" w:hAnsi="Arial" w:cs="Arial"/>
                    </w:rPr>
                    <w:t xml:space="preserve">du capital d’une société informent sans délai la COSUMAF des variations du nombre de titres </w:t>
                  </w:r>
                  <w:r w:rsidRPr="00A64175">
                    <w:rPr>
                      <w:rFonts w:ascii="Arial" w:hAnsi="Arial" w:cs="Arial"/>
                    </w:rPr>
                    <w:t xml:space="preserve">de capital </w:t>
                  </w:r>
                  <w:r w:rsidR="00B27D90" w:rsidRPr="00A64175">
                    <w:rPr>
                      <w:rFonts w:ascii="Arial" w:hAnsi="Arial" w:cs="Arial"/>
                    </w:rPr>
                    <w:t>qu’elles détiennent. Ces informations sont publiées par la COSUMAF.</w:t>
                  </w:r>
                </w:p>
                <w:p w14:paraId="77B19FD6" w14:textId="77777777" w:rsidR="00F038C6" w:rsidRPr="00A64175" w:rsidRDefault="00F038C6" w:rsidP="00A64175">
                  <w:pPr>
                    <w:autoSpaceDE w:val="0"/>
                    <w:autoSpaceDN w:val="0"/>
                    <w:adjustRightInd w:val="0"/>
                    <w:jc w:val="both"/>
                    <w:rPr>
                      <w:rFonts w:ascii="Arial" w:hAnsi="Arial" w:cs="Arial"/>
                    </w:rPr>
                  </w:pPr>
                </w:p>
                <w:p w14:paraId="744DC5E2" w14:textId="77777777" w:rsidR="00F038C6" w:rsidRPr="00A64175" w:rsidRDefault="00F038C6" w:rsidP="00A64175">
                  <w:pPr>
                    <w:autoSpaceDE w:val="0"/>
                    <w:autoSpaceDN w:val="0"/>
                    <w:adjustRightInd w:val="0"/>
                    <w:jc w:val="both"/>
                    <w:rPr>
                      <w:rFonts w:ascii="Arial" w:hAnsi="Arial" w:cs="Arial"/>
                    </w:rPr>
                  </w:pPr>
                </w:p>
                <w:p w14:paraId="7D1D2BD0" w14:textId="1F90B4E1"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6</w:t>
                  </w:r>
                  <w:r w:rsidRPr="00A64175">
                    <w:rPr>
                      <w:rFonts w:ascii="Arial" w:hAnsi="Arial" w:cs="Arial"/>
                      <w:b/>
                      <w:bCs/>
                      <w:color w:val="000000" w:themeColor="text1"/>
                      <w:kern w:val="1"/>
                    </w:rPr>
                    <w:t xml:space="preserve"> – </w:t>
                  </w:r>
                  <w:r w:rsidR="00B27D90" w:rsidRPr="00A64175">
                    <w:rPr>
                      <w:rFonts w:ascii="Arial" w:hAnsi="Arial" w:cs="Arial"/>
                    </w:rPr>
                    <w:t>Les dérogations à l’obligation de déposer un projet d’offre publique sont déterminées par la COSUMAF.</w:t>
                  </w:r>
                </w:p>
                <w:p w14:paraId="195586E0" w14:textId="77777777" w:rsidR="00F038C6" w:rsidRPr="00A64175" w:rsidRDefault="00F038C6" w:rsidP="00A64175">
                  <w:pPr>
                    <w:autoSpaceDE w:val="0"/>
                    <w:autoSpaceDN w:val="0"/>
                    <w:adjustRightInd w:val="0"/>
                    <w:jc w:val="both"/>
                    <w:rPr>
                      <w:rFonts w:ascii="Arial" w:hAnsi="Arial" w:cs="Arial"/>
                    </w:rPr>
                  </w:pPr>
                </w:p>
                <w:p w14:paraId="0F6B3A91" w14:textId="77777777" w:rsidR="00F038C6" w:rsidRPr="00A64175" w:rsidRDefault="00F038C6" w:rsidP="00A64175">
                  <w:pPr>
                    <w:autoSpaceDE w:val="0"/>
                    <w:autoSpaceDN w:val="0"/>
                    <w:adjustRightInd w:val="0"/>
                    <w:jc w:val="both"/>
                    <w:rPr>
                      <w:rFonts w:ascii="Arial" w:hAnsi="Arial" w:cs="Arial"/>
                    </w:rPr>
                  </w:pPr>
                </w:p>
                <w:p w14:paraId="01240177" w14:textId="223976CA" w:rsidR="00F038C6"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rPr>
                    <w:t>Section II : Dispositions diverses</w:t>
                  </w:r>
                </w:p>
                <w:p w14:paraId="118EF176" w14:textId="77777777" w:rsidR="00F038C6" w:rsidRPr="00A64175" w:rsidRDefault="00F038C6" w:rsidP="00A64175">
                  <w:pPr>
                    <w:autoSpaceDE w:val="0"/>
                    <w:autoSpaceDN w:val="0"/>
                    <w:adjustRightInd w:val="0"/>
                    <w:jc w:val="both"/>
                    <w:rPr>
                      <w:rFonts w:ascii="Arial" w:hAnsi="Arial" w:cs="Arial"/>
                    </w:rPr>
                  </w:pPr>
                </w:p>
                <w:p w14:paraId="46BA89B9" w14:textId="0D77DD01"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7</w:t>
                  </w:r>
                  <w:r w:rsidRPr="00A64175">
                    <w:rPr>
                      <w:rFonts w:ascii="Arial" w:hAnsi="Arial" w:cs="Arial"/>
                      <w:b/>
                      <w:bCs/>
                      <w:color w:val="000000" w:themeColor="text1"/>
                      <w:kern w:val="1"/>
                    </w:rPr>
                    <w:t xml:space="preserve"> – </w:t>
                  </w:r>
                  <w:r w:rsidR="00B27D90" w:rsidRPr="00A64175">
                    <w:rPr>
                      <w:rFonts w:ascii="Arial" w:hAnsi="Arial" w:cs="Arial"/>
                    </w:rPr>
                    <w:t xml:space="preserve">La COSUMAF détermine les conditions de mise en </w:t>
                  </w:r>
                  <w:r w:rsidR="008F3C2C" w:rsidRPr="00A64175">
                    <w:rPr>
                      <w:rFonts w:ascii="Arial" w:hAnsi="Arial" w:cs="Arial"/>
                    </w:rPr>
                    <w:t>œuvre</w:t>
                  </w:r>
                  <w:r w:rsidR="00B27D90" w:rsidRPr="00A64175">
                    <w:rPr>
                      <w:rFonts w:ascii="Arial" w:hAnsi="Arial" w:cs="Arial"/>
                    </w:rPr>
                    <w:t xml:space="preserve"> de la procédure </w:t>
                  </w:r>
                  <w:r w:rsidR="000D34EC" w:rsidRPr="00A64175">
                    <w:rPr>
                      <w:rFonts w:ascii="Arial" w:hAnsi="Arial" w:cs="Arial"/>
                    </w:rPr>
                    <w:t xml:space="preserve">de garantie de cours applicable </w:t>
                  </w:r>
                  <w:r w:rsidR="00B27D90" w:rsidRPr="00A64175">
                    <w:rPr>
                      <w:rFonts w:ascii="Arial" w:hAnsi="Arial" w:cs="Arial"/>
                    </w:rPr>
                    <w:t>à tout acquéreur d’un bloc de titres conférant une position de contrôle du</w:t>
                  </w:r>
                  <w:r w:rsidR="000D34EC" w:rsidRPr="00A64175">
                    <w:rPr>
                      <w:rFonts w:ascii="Arial" w:hAnsi="Arial" w:cs="Arial"/>
                    </w:rPr>
                    <w:t xml:space="preserve"> capital d’une société dont les </w:t>
                  </w:r>
                  <w:r w:rsidR="00B27D90" w:rsidRPr="00A64175">
                    <w:rPr>
                      <w:rFonts w:ascii="Arial" w:hAnsi="Arial" w:cs="Arial"/>
                    </w:rPr>
                    <w:t>titres sont admis à la cote de la Bourse Régionale.</w:t>
                  </w:r>
                </w:p>
                <w:p w14:paraId="4B5439A6" w14:textId="77777777" w:rsidR="000D34EC" w:rsidRPr="00A64175" w:rsidRDefault="000D34EC" w:rsidP="00A64175">
                  <w:pPr>
                    <w:autoSpaceDE w:val="0"/>
                    <w:autoSpaceDN w:val="0"/>
                    <w:adjustRightInd w:val="0"/>
                    <w:jc w:val="both"/>
                    <w:rPr>
                      <w:rFonts w:ascii="Arial" w:hAnsi="Arial" w:cs="Arial"/>
                    </w:rPr>
                  </w:pPr>
                </w:p>
                <w:p w14:paraId="751057D7" w14:textId="64668048" w:rsidR="00B27D90" w:rsidRPr="00A64175" w:rsidRDefault="00B27D90" w:rsidP="00A64175">
                  <w:pPr>
                    <w:autoSpaceDE w:val="0"/>
                    <w:autoSpaceDN w:val="0"/>
                    <w:adjustRightInd w:val="0"/>
                    <w:jc w:val="both"/>
                    <w:rPr>
                      <w:rFonts w:ascii="Arial" w:hAnsi="Arial" w:cs="Arial"/>
                    </w:rPr>
                  </w:pPr>
                  <w:r w:rsidRPr="00A64175">
                    <w:rPr>
                      <w:rFonts w:ascii="Arial" w:hAnsi="Arial" w:cs="Arial"/>
                    </w:rPr>
                    <w:t>Cette procédure donne lieu à l’établissement par les sociétés con</w:t>
                  </w:r>
                  <w:r w:rsidR="000D34EC" w:rsidRPr="00A64175">
                    <w:rPr>
                      <w:rFonts w:ascii="Arial" w:hAnsi="Arial" w:cs="Arial"/>
                    </w:rPr>
                    <w:t xml:space="preserve">cernées d’un projet de document </w:t>
                  </w:r>
                  <w:r w:rsidRPr="00A64175">
                    <w:rPr>
                      <w:rFonts w:ascii="Arial" w:hAnsi="Arial" w:cs="Arial"/>
                    </w:rPr>
                    <w:t>d’information soumis au visa de la COSUMAF.</w:t>
                  </w:r>
                </w:p>
                <w:p w14:paraId="08EEE44E" w14:textId="77777777" w:rsidR="00F038C6" w:rsidRPr="00A64175" w:rsidRDefault="00F038C6" w:rsidP="00A64175">
                  <w:pPr>
                    <w:autoSpaceDE w:val="0"/>
                    <w:autoSpaceDN w:val="0"/>
                    <w:adjustRightInd w:val="0"/>
                    <w:jc w:val="both"/>
                    <w:rPr>
                      <w:rFonts w:ascii="Arial" w:hAnsi="Arial" w:cs="Arial"/>
                    </w:rPr>
                  </w:pPr>
                </w:p>
                <w:p w14:paraId="4FB93676" w14:textId="77777777" w:rsidR="00F038C6" w:rsidRPr="00A64175" w:rsidRDefault="00F038C6" w:rsidP="00A64175">
                  <w:pPr>
                    <w:autoSpaceDE w:val="0"/>
                    <w:autoSpaceDN w:val="0"/>
                    <w:adjustRightInd w:val="0"/>
                    <w:jc w:val="both"/>
                    <w:rPr>
                      <w:rFonts w:ascii="Arial" w:hAnsi="Arial" w:cs="Arial"/>
                    </w:rPr>
                  </w:pPr>
                </w:p>
                <w:p w14:paraId="77527CD5" w14:textId="4A662ADB"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8</w:t>
                  </w:r>
                  <w:r w:rsidRPr="00A64175">
                    <w:rPr>
                      <w:rFonts w:ascii="Arial" w:hAnsi="Arial" w:cs="Arial"/>
                      <w:b/>
                      <w:bCs/>
                      <w:color w:val="000000" w:themeColor="text1"/>
                      <w:kern w:val="1"/>
                    </w:rPr>
                    <w:t xml:space="preserve"> – </w:t>
                  </w:r>
                  <w:r w:rsidR="00B27D90" w:rsidRPr="00A64175">
                    <w:rPr>
                      <w:rFonts w:ascii="Arial" w:hAnsi="Arial" w:cs="Arial"/>
                    </w:rPr>
                    <w:t xml:space="preserve">La COSUMAF détermine les conditions de mise en </w:t>
                  </w:r>
                  <w:r w:rsidR="00772B5D" w:rsidRPr="00A64175">
                    <w:rPr>
                      <w:rFonts w:ascii="Arial" w:hAnsi="Arial" w:cs="Arial"/>
                    </w:rPr>
                    <w:t>œuvre</w:t>
                  </w:r>
                  <w:r w:rsidR="00B27D90" w:rsidRPr="00A64175">
                    <w:rPr>
                      <w:rFonts w:ascii="Arial" w:hAnsi="Arial" w:cs="Arial"/>
                    </w:rPr>
                    <w:t xml:space="preserve"> de la procéd</w:t>
                  </w:r>
                  <w:r w:rsidRPr="00A64175">
                    <w:rPr>
                      <w:rFonts w:ascii="Arial" w:hAnsi="Arial" w:cs="Arial"/>
                    </w:rPr>
                    <w:t xml:space="preserve">ure d’offre publique de retrait </w:t>
                  </w:r>
                  <w:r w:rsidR="00B27D90" w:rsidRPr="00A64175">
                    <w:rPr>
                      <w:rFonts w:ascii="Arial" w:hAnsi="Arial" w:cs="Arial"/>
                    </w:rPr>
                    <w:t>applicable lorsqu’un actionnaire ou un groupe d’actionnaires détiennent un</w:t>
                  </w:r>
                  <w:r w:rsidR="000D34EC" w:rsidRPr="00A64175">
                    <w:rPr>
                      <w:rFonts w:ascii="Arial" w:hAnsi="Arial" w:cs="Arial"/>
                    </w:rPr>
                    <w:t xml:space="preserve">e participation de 95 % dans le </w:t>
                  </w:r>
                  <w:r w:rsidR="00B27D90" w:rsidRPr="00A64175">
                    <w:rPr>
                      <w:rFonts w:ascii="Arial" w:hAnsi="Arial" w:cs="Arial"/>
                    </w:rPr>
                    <w:t>capital d’une société dont les titres sont admis à la négociation sur le March</w:t>
                  </w:r>
                  <w:r w:rsidR="000D34EC" w:rsidRPr="00A64175">
                    <w:rPr>
                      <w:rFonts w:ascii="Arial" w:hAnsi="Arial" w:cs="Arial"/>
                    </w:rPr>
                    <w:t xml:space="preserve">é Financier régional, et visant </w:t>
                  </w:r>
                  <w:r w:rsidR="00B27D90" w:rsidRPr="00A64175">
                    <w:rPr>
                      <w:rFonts w:ascii="Arial" w:hAnsi="Arial" w:cs="Arial"/>
                    </w:rPr>
                    <w:t xml:space="preserve">à permettre l’acquisition de la totalité des titres représentant le solde </w:t>
                  </w:r>
                  <w:r w:rsidRPr="00A64175">
                    <w:rPr>
                      <w:rFonts w:ascii="Arial" w:hAnsi="Arial" w:cs="Arial"/>
                    </w:rPr>
                    <w:t xml:space="preserve">minoritaire de 5% du capital de </w:t>
                  </w:r>
                  <w:r w:rsidR="00B27D90" w:rsidRPr="00A64175">
                    <w:rPr>
                      <w:rFonts w:ascii="Arial" w:hAnsi="Arial" w:cs="Arial"/>
                    </w:rPr>
                    <w:t>ladite société.</w:t>
                  </w:r>
                </w:p>
                <w:p w14:paraId="28D9D7FE" w14:textId="77777777" w:rsidR="000D34EC" w:rsidRPr="00A64175" w:rsidRDefault="000D34EC" w:rsidP="00A64175">
                  <w:pPr>
                    <w:autoSpaceDE w:val="0"/>
                    <w:autoSpaceDN w:val="0"/>
                    <w:adjustRightInd w:val="0"/>
                    <w:jc w:val="both"/>
                    <w:rPr>
                      <w:rFonts w:ascii="Arial" w:hAnsi="Arial" w:cs="Arial"/>
                    </w:rPr>
                  </w:pPr>
                </w:p>
                <w:p w14:paraId="3E5E042F" w14:textId="024A7B62" w:rsidR="00B27D90" w:rsidRPr="00A64175" w:rsidRDefault="00B27D90" w:rsidP="00A64175">
                  <w:pPr>
                    <w:autoSpaceDE w:val="0"/>
                    <w:autoSpaceDN w:val="0"/>
                    <w:adjustRightInd w:val="0"/>
                    <w:jc w:val="both"/>
                    <w:rPr>
                      <w:rFonts w:ascii="Arial" w:hAnsi="Arial" w:cs="Arial"/>
                    </w:rPr>
                  </w:pPr>
                  <w:r w:rsidRPr="00A64175">
                    <w:rPr>
                      <w:rFonts w:ascii="Arial" w:hAnsi="Arial" w:cs="Arial"/>
                    </w:rPr>
                    <w:t xml:space="preserve">L’offre publique de retrait donne lieu à l’établissement d’un document d’information soumis </w:t>
                  </w:r>
                  <w:r w:rsidR="00F038C6" w:rsidRPr="00A64175">
                    <w:rPr>
                      <w:rFonts w:ascii="Arial" w:hAnsi="Arial" w:cs="Arial"/>
                    </w:rPr>
                    <w:t xml:space="preserve">au visa de </w:t>
                  </w:r>
                  <w:r w:rsidRPr="00A64175">
                    <w:rPr>
                      <w:rFonts w:ascii="Arial" w:hAnsi="Arial" w:cs="Arial"/>
                    </w:rPr>
                    <w:t>la COSUMAF et publié par les personnes ou sociétés concernées.</w:t>
                  </w:r>
                </w:p>
                <w:p w14:paraId="1FB27D28" w14:textId="77777777" w:rsidR="00F038C6" w:rsidRPr="00A64175" w:rsidRDefault="00F038C6" w:rsidP="00A64175">
                  <w:pPr>
                    <w:autoSpaceDE w:val="0"/>
                    <w:autoSpaceDN w:val="0"/>
                    <w:adjustRightInd w:val="0"/>
                    <w:jc w:val="both"/>
                    <w:rPr>
                      <w:rFonts w:ascii="Arial" w:hAnsi="Arial" w:cs="Arial"/>
                    </w:rPr>
                  </w:pPr>
                </w:p>
                <w:p w14:paraId="1D782F04" w14:textId="77777777" w:rsidR="00F038C6" w:rsidRPr="00A64175" w:rsidRDefault="00F038C6" w:rsidP="00A64175">
                  <w:pPr>
                    <w:autoSpaceDE w:val="0"/>
                    <w:autoSpaceDN w:val="0"/>
                    <w:adjustRightInd w:val="0"/>
                    <w:jc w:val="both"/>
                    <w:rPr>
                      <w:rFonts w:ascii="Arial" w:hAnsi="Arial" w:cs="Arial"/>
                    </w:rPr>
                  </w:pPr>
                </w:p>
                <w:p w14:paraId="423D7839" w14:textId="4C86F5F0"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21</w:t>
                  </w:r>
                  <w:r w:rsidR="001956AF">
                    <w:rPr>
                      <w:rFonts w:ascii="Arial" w:hAnsi="Arial" w:cs="Arial"/>
                      <w:b/>
                      <w:bCs/>
                      <w:color w:val="000000" w:themeColor="text1"/>
                      <w:kern w:val="1"/>
                    </w:rPr>
                    <w:t>9</w:t>
                  </w:r>
                  <w:r w:rsidRPr="00A64175">
                    <w:rPr>
                      <w:rFonts w:ascii="Arial" w:hAnsi="Arial" w:cs="Arial"/>
                      <w:b/>
                      <w:bCs/>
                      <w:color w:val="000000" w:themeColor="text1"/>
                      <w:kern w:val="1"/>
                    </w:rPr>
                    <w:t xml:space="preserve"> – </w:t>
                  </w:r>
                  <w:r w:rsidR="00B27D90" w:rsidRPr="00A64175">
                    <w:rPr>
                      <w:rFonts w:ascii="Arial" w:hAnsi="Arial" w:cs="Arial"/>
                    </w:rPr>
                    <w:t>Les modalités de contrôle des procédures d’offre publique sont déterminées par la COSUMAF.</w:t>
                  </w:r>
                </w:p>
                <w:p w14:paraId="26B06ADF" w14:textId="77777777" w:rsidR="00F038C6" w:rsidRPr="00A64175" w:rsidRDefault="00F038C6" w:rsidP="00A64175">
                  <w:pPr>
                    <w:autoSpaceDE w:val="0"/>
                    <w:autoSpaceDN w:val="0"/>
                    <w:adjustRightInd w:val="0"/>
                    <w:jc w:val="both"/>
                    <w:rPr>
                      <w:rFonts w:ascii="Arial" w:hAnsi="Arial" w:cs="Arial"/>
                    </w:rPr>
                  </w:pPr>
                </w:p>
                <w:p w14:paraId="5900AC40" w14:textId="77777777" w:rsidR="00F038C6" w:rsidRPr="00A64175" w:rsidRDefault="00F038C6" w:rsidP="00A64175">
                  <w:pPr>
                    <w:autoSpaceDE w:val="0"/>
                    <w:autoSpaceDN w:val="0"/>
                    <w:adjustRightInd w:val="0"/>
                    <w:jc w:val="both"/>
                    <w:rPr>
                      <w:rFonts w:ascii="Arial" w:hAnsi="Arial" w:cs="Arial"/>
                    </w:rPr>
                  </w:pPr>
                </w:p>
                <w:p w14:paraId="79F414DB" w14:textId="417E677F" w:rsidR="00B27D90" w:rsidRPr="00A64175" w:rsidRDefault="00F038C6" w:rsidP="00A64175">
                  <w:pPr>
                    <w:autoSpaceDE w:val="0"/>
                    <w:autoSpaceDN w:val="0"/>
                    <w:adjustRightInd w:val="0"/>
                    <w:jc w:val="both"/>
                    <w:rPr>
                      <w:rFonts w:ascii="Arial" w:hAnsi="Arial" w:cs="Arial"/>
                    </w:rPr>
                  </w:pPr>
                  <w:r w:rsidRPr="00A64175">
                    <w:rPr>
                      <w:rFonts w:ascii="Arial" w:hAnsi="Arial" w:cs="Arial"/>
                      <w:b/>
                      <w:bCs/>
                      <w:color w:val="000000" w:themeColor="text1"/>
                      <w:kern w:val="1"/>
                    </w:rPr>
                    <w:t xml:space="preserve">Article </w:t>
                  </w:r>
                  <w:r w:rsidR="001F43EF" w:rsidRPr="00A64175">
                    <w:rPr>
                      <w:rFonts w:ascii="Arial" w:hAnsi="Arial" w:cs="Arial"/>
                      <w:b/>
                      <w:bCs/>
                      <w:color w:val="000000" w:themeColor="text1"/>
                      <w:kern w:val="1"/>
                    </w:rPr>
                    <w:t>2</w:t>
                  </w:r>
                  <w:r w:rsidR="001956AF">
                    <w:rPr>
                      <w:rFonts w:ascii="Arial" w:hAnsi="Arial" w:cs="Arial"/>
                      <w:b/>
                      <w:bCs/>
                      <w:color w:val="000000" w:themeColor="text1"/>
                      <w:kern w:val="1"/>
                    </w:rPr>
                    <w:t>20</w:t>
                  </w:r>
                  <w:r w:rsidRPr="00A64175">
                    <w:rPr>
                      <w:rFonts w:ascii="Arial" w:hAnsi="Arial" w:cs="Arial"/>
                      <w:b/>
                      <w:bCs/>
                      <w:color w:val="000000" w:themeColor="text1"/>
                      <w:kern w:val="1"/>
                    </w:rPr>
                    <w:t xml:space="preserve"> – </w:t>
                  </w:r>
                  <w:r w:rsidR="00B27D90" w:rsidRPr="00A64175">
                    <w:rPr>
                      <w:rFonts w:ascii="Arial" w:hAnsi="Arial" w:cs="Arial"/>
                    </w:rPr>
                    <w:t>Le règlemen</w:t>
                  </w:r>
                  <w:r w:rsidRPr="00A64175">
                    <w:rPr>
                      <w:rFonts w:ascii="Arial" w:hAnsi="Arial" w:cs="Arial"/>
                    </w:rPr>
                    <w:t>t général de la BVMAC</w:t>
                  </w:r>
                  <w:r w:rsidR="00B27D90" w:rsidRPr="00A64175">
                    <w:rPr>
                      <w:rFonts w:ascii="Arial" w:hAnsi="Arial" w:cs="Arial"/>
                    </w:rPr>
                    <w:t xml:space="preserve"> définit les conditions et la pr</w:t>
                  </w:r>
                  <w:r w:rsidRPr="00A64175">
                    <w:rPr>
                      <w:rFonts w:ascii="Arial" w:hAnsi="Arial" w:cs="Arial"/>
                    </w:rPr>
                    <w:t xml:space="preserve">océdure des offres publiques de </w:t>
                  </w:r>
                  <w:r w:rsidR="00B27D90" w:rsidRPr="00A64175">
                    <w:rPr>
                      <w:rFonts w:ascii="Arial" w:hAnsi="Arial" w:cs="Arial"/>
                    </w:rPr>
                    <w:t>vente ou offres à prix ferme. L’initiateur de telles offres établit un</w:t>
                  </w:r>
                  <w:r w:rsidRPr="00A64175">
                    <w:rPr>
                      <w:rFonts w:ascii="Arial" w:hAnsi="Arial" w:cs="Arial"/>
                    </w:rPr>
                    <w:t xml:space="preserve"> document d’information soumis, </w:t>
                  </w:r>
                  <w:r w:rsidR="00B27D90" w:rsidRPr="00A64175">
                    <w:rPr>
                      <w:rFonts w:ascii="Arial" w:hAnsi="Arial" w:cs="Arial"/>
                    </w:rPr>
                    <w:t>préalablement à sa diffusion, au visa de la COSUMAF.</w:t>
                  </w:r>
                </w:p>
                <w:p w14:paraId="08F01F86" w14:textId="77777777" w:rsidR="00F038C6" w:rsidRPr="00A64175" w:rsidRDefault="00F038C6" w:rsidP="00A64175">
                  <w:pPr>
                    <w:autoSpaceDE w:val="0"/>
                    <w:autoSpaceDN w:val="0"/>
                    <w:adjustRightInd w:val="0"/>
                    <w:jc w:val="both"/>
                    <w:rPr>
                      <w:rFonts w:ascii="Arial" w:hAnsi="Arial" w:cs="Arial"/>
                    </w:rPr>
                  </w:pPr>
                </w:p>
                <w:p w14:paraId="27E08424" w14:textId="1F462440" w:rsidR="00B27D90" w:rsidRPr="00A64175" w:rsidRDefault="00B27D90" w:rsidP="00A64175">
                  <w:pPr>
                    <w:autoSpaceDE w:val="0"/>
                    <w:autoSpaceDN w:val="0"/>
                    <w:adjustRightInd w:val="0"/>
                    <w:jc w:val="both"/>
                    <w:rPr>
                      <w:rFonts w:ascii="Arial" w:hAnsi="Arial" w:cs="Arial"/>
                    </w:rPr>
                  </w:pPr>
                  <w:r w:rsidRPr="00A64175">
                    <w:rPr>
                      <w:rFonts w:ascii="Arial" w:hAnsi="Arial" w:cs="Arial"/>
                    </w:rPr>
                    <w:t>Ce document peut être établi conjointement par l’initiateur et la société do</w:t>
                  </w:r>
                  <w:r w:rsidR="00F038C6" w:rsidRPr="00A64175">
                    <w:rPr>
                      <w:rFonts w:ascii="Arial" w:hAnsi="Arial" w:cs="Arial"/>
                    </w:rPr>
                    <w:t xml:space="preserve">nt les titres sont offerts à la </w:t>
                  </w:r>
                  <w:r w:rsidRPr="00A64175">
                    <w:rPr>
                      <w:rFonts w:ascii="Arial" w:hAnsi="Arial" w:cs="Arial"/>
                    </w:rPr>
                    <w:t>vente.</w:t>
                  </w:r>
                </w:p>
                <w:p w14:paraId="7EF612DF" w14:textId="77777777" w:rsidR="00F038C6" w:rsidRPr="00A64175" w:rsidRDefault="00F038C6" w:rsidP="00A64175">
                  <w:pPr>
                    <w:autoSpaceDE w:val="0"/>
                    <w:autoSpaceDN w:val="0"/>
                    <w:adjustRightInd w:val="0"/>
                    <w:jc w:val="both"/>
                    <w:rPr>
                      <w:rFonts w:ascii="Arial" w:hAnsi="Arial" w:cs="Arial"/>
                    </w:rPr>
                  </w:pPr>
                </w:p>
                <w:p w14:paraId="31F9DBF8" w14:textId="4EA0D52E" w:rsidR="00B27D90" w:rsidRPr="00A64175" w:rsidRDefault="00B27D90" w:rsidP="00A64175">
                  <w:pPr>
                    <w:autoSpaceDE w:val="0"/>
                    <w:autoSpaceDN w:val="0"/>
                    <w:adjustRightInd w:val="0"/>
                    <w:jc w:val="both"/>
                    <w:rPr>
                      <w:rFonts w:ascii="Arial" w:hAnsi="Arial" w:cs="Arial"/>
                    </w:rPr>
                  </w:pPr>
                  <w:r w:rsidRPr="00A64175">
                    <w:rPr>
                      <w:rFonts w:ascii="Arial" w:hAnsi="Arial" w:cs="Arial"/>
                    </w:rPr>
                    <w:t>La recevabilité des offres publiques de vente ou offres à prix ferme relèv</w:t>
                  </w:r>
                  <w:r w:rsidR="00F038C6" w:rsidRPr="00A64175">
                    <w:rPr>
                      <w:rFonts w:ascii="Arial" w:hAnsi="Arial" w:cs="Arial"/>
                    </w:rPr>
                    <w:t>e de la compétence de la BVMAC</w:t>
                  </w:r>
                  <w:r w:rsidRPr="00A64175">
                    <w:rPr>
                      <w:rFonts w:ascii="Arial" w:hAnsi="Arial" w:cs="Arial"/>
                    </w:rPr>
                    <w:t>.</w:t>
                  </w:r>
                </w:p>
                <w:p w14:paraId="413EE1E2" w14:textId="77777777" w:rsidR="00F038C6" w:rsidRPr="00A64175" w:rsidRDefault="00F038C6" w:rsidP="00A64175">
                  <w:pPr>
                    <w:autoSpaceDE w:val="0"/>
                    <w:autoSpaceDN w:val="0"/>
                    <w:adjustRightInd w:val="0"/>
                    <w:jc w:val="both"/>
                    <w:rPr>
                      <w:rFonts w:ascii="Arial" w:hAnsi="Arial" w:cs="Arial"/>
                    </w:rPr>
                  </w:pPr>
                </w:p>
                <w:p w14:paraId="7CB418FD" w14:textId="77777777" w:rsidR="001D4AF3" w:rsidRPr="00A64175" w:rsidRDefault="00F038C6" w:rsidP="00A64175">
                  <w:pPr>
                    <w:autoSpaceDE w:val="0"/>
                    <w:autoSpaceDN w:val="0"/>
                    <w:adjustRightInd w:val="0"/>
                    <w:jc w:val="both"/>
                    <w:rPr>
                      <w:rFonts w:ascii="Arial" w:hAnsi="Arial" w:cs="Arial"/>
                    </w:rPr>
                  </w:pPr>
                  <w:r w:rsidRPr="00A64175">
                    <w:rPr>
                      <w:rFonts w:ascii="Arial" w:hAnsi="Arial" w:cs="Arial"/>
                    </w:rPr>
                    <w:t>La BVMAC</w:t>
                  </w:r>
                  <w:r w:rsidR="00B27D90" w:rsidRPr="00A64175">
                    <w:rPr>
                      <w:rFonts w:ascii="Arial" w:hAnsi="Arial" w:cs="Arial"/>
                    </w:rPr>
                    <w:t xml:space="preserve"> apprécie le montant du prix proposé par l’auteur de l’o</w:t>
                  </w:r>
                  <w:r w:rsidRPr="00A64175">
                    <w:rPr>
                      <w:rFonts w:ascii="Arial" w:hAnsi="Arial" w:cs="Arial"/>
                    </w:rPr>
                    <w:t xml:space="preserve">ffre et vérifie la cohérence de </w:t>
                  </w:r>
                  <w:r w:rsidR="00B27D90" w:rsidRPr="00A64175">
                    <w:rPr>
                      <w:rFonts w:ascii="Arial" w:hAnsi="Arial" w:cs="Arial"/>
                    </w:rPr>
                    <w:t>ce prix avec les conditions du marché.</w:t>
                  </w:r>
                </w:p>
                <w:p w14:paraId="641898A4" w14:textId="0461893A" w:rsidR="001F43EF" w:rsidRPr="00A64175" w:rsidRDefault="001F43EF" w:rsidP="00A64175">
                  <w:pPr>
                    <w:autoSpaceDE w:val="0"/>
                    <w:autoSpaceDN w:val="0"/>
                    <w:adjustRightInd w:val="0"/>
                    <w:jc w:val="both"/>
                    <w:rPr>
                      <w:rFonts w:ascii="Arial" w:hAnsi="Arial" w:cs="Arial"/>
                    </w:rPr>
                  </w:pPr>
                </w:p>
              </w:tc>
            </w:tr>
            <w:tr w:rsidR="001D4AF3" w:rsidRPr="00A64175" w14:paraId="58A847F3" w14:textId="77777777" w:rsidTr="00B27D90">
              <w:trPr>
                <w:trHeight w:val="8012"/>
              </w:trPr>
              <w:tc>
                <w:tcPr>
                  <w:tcW w:w="9986" w:type="dxa"/>
                  <w:shd w:val="clear" w:color="auto" w:fill="auto"/>
                </w:tcPr>
                <w:p w14:paraId="4008C968" w14:textId="3267E57E" w:rsidR="007077DD" w:rsidRDefault="007077DD" w:rsidP="007077DD">
                  <w:pPr>
                    <w:rPr>
                      <w:rFonts w:ascii="Arial" w:eastAsia="Calibri" w:hAnsi="Arial" w:cs="Arial"/>
                    </w:rPr>
                  </w:pPr>
                </w:p>
                <w:p w14:paraId="2C1DA843" w14:textId="77777777" w:rsidR="007077DD" w:rsidRPr="007077DD" w:rsidRDefault="007077DD" w:rsidP="007077DD">
                  <w:pPr>
                    <w:rPr>
                      <w:rFonts w:ascii="Arial" w:eastAsia="Calibri" w:hAnsi="Arial" w:cs="Arial"/>
                    </w:rPr>
                  </w:pPr>
                </w:p>
                <w:p w14:paraId="3463025D" w14:textId="77777777" w:rsidR="007077DD" w:rsidRPr="007077DD" w:rsidRDefault="007077DD" w:rsidP="007077DD">
                  <w:pPr>
                    <w:rPr>
                      <w:rFonts w:ascii="Arial" w:eastAsia="Calibri" w:hAnsi="Arial" w:cs="Arial"/>
                    </w:rPr>
                  </w:pPr>
                </w:p>
                <w:p w14:paraId="25038D46" w14:textId="77777777" w:rsidR="007077DD" w:rsidRPr="007077DD" w:rsidRDefault="007077DD" w:rsidP="007077DD">
                  <w:pPr>
                    <w:rPr>
                      <w:rFonts w:ascii="Arial" w:eastAsia="Calibri" w:hAnsi="Arial" w:cs="Arial"/>
                    </w:rPr>
                  </w:pPr>
                </w:p>
                <w:p w14:paraId="49956D4D" w14:textId="77777777" w:rsidR="007077DD" w:rsidRPr="007077DD" w:rsidRDefault="007077DD" w:rsidP="007077DD">
                  <w:pPr>
                    <w:rPr>
                      <w:rFonts w:ascii="Arial" w:eastAsia="Calibri" w:hAnsi="Arial" w:cs="Arial"/>
                    </w:rPr>
                  </w:pPr>
                </w:p>
                <w:p w14:paraId="7CEA24B4" w14:textId="77777777" w:rsidR="007077DD" w:rsidRPr="007077DD" w:rsidRDefault="007077DD" w:rsidP="007077DD">
                  <w:pPr>
                    <w:rPr>
                      <w:rFonts w:ascii="Arial" w:eastAsia="Calibri" w:hAnsi="Arial" w:cs="Arial"/>
                    </w:rPr>
                  </w:pPr>
                </w:p>
                <w:p w14:paraId="3559A2C3" w14:textId="77777777" w:rsidR="007077DD" w:rsidRPr="007077DD" w:rsidRDefault="007077DD" w:rsidP="007077DD">
                  <w:pPr>
                    <w:rPr>
                      <w:rFonts w:ascii="Arial" w:eastAsia="Calibri" w:hAnsi="Arial" w:cs="Arial"/>
                    </w:rPr>
                  </w:pPr>
                </w:p>
                <w:p w14:paraId="22BFE74B" w14:textId="77777777" w:rsidR="007077DD" w:rsidRPr="007077DD" w:rsidRDefault="007077DD" w:rsidP="007077DD">
                  <w:pPr>
                    <w:rPr>
                      <w:rFonts w:ascii="Arial" w:eastAsia="Calibri" w:hAnsi="Arial" w:cs="Arial"/>
                    </w:rPr>
                  </w:pPr>
                </w:p>
                <w:p w14:paraId="54D3BEC7" w14:textId="77777777" w:rsidR="007077DD" w:rsidRPr="007077DD" w:rsidRDefault="007077DD" w:rsidP="007077DD">
                  <w:pPr>
                    <w:rPr>
                      <w:rFonts w:ascii="Arial" w:eastAsia="Calibri" w:hAnsi="Arial" w:cs="Arial"/>
                    </w:rPr>
                  </w:pPr>
                </w:p>
                <w:p w14:paraId="7E083AE0" w14:textId="77777777" w:rsidR="007077DD" w:rsidRPr="007077DD" w:rsidRDefault="007077DD" w:rsidP="007077DD">
                  <w:pPr>
                    <w:rPr>
                      <w:rFonts w:ascii="Arial" w:eastAsia="Calibri" w:hAnsi="Arial" w:cs="Arial"/>
                    </w:rPr>
                  </w:pPr>
                </w:p>
                <w:p w14:paraId="3006AB85" w14:textId="77777777" w:rsidR="007077DD" w:rsidRPr="007077DD" w:rsidRDefault="007077DD" w:rsidP="007077DD">
                  <w:pPr>
                    <w:rPr>
                      <w:rFonts w:ascii="Arial" w:eastAsia="Calibri" w:hAnsi="Arial" w:cs="Arial"/>
                    </w:rPr>
                  </w:pPr>
                </w:p>
                <w:p w14:paraId="0743FC72" w14:textId="77777777" w:rsidR="007077DD" w:rsidRPr="007077DD" w:rsidRDefault="007077DD" w:rsidP="007077DD">
                  <w:pPr>
                    <w:rPr>
                      <w:rFonts w:ascii="Arial" w:eastAsia="Calibri" w:hAnsi="Arial" w:cs="Arial"/>
                    </w:rPr>
                  </w:pPr>
                </w:p>
                <w:p w14:paraId="47CA7B45" w14:textId="77777777" w:rsidR="007077DD" w:rsidRPr="007077DD" w:rsidRDefault="007077DD" w:rsidP="007077DD">
                  <w:pPr>
                    <w:rPr>
                      <w:rFonts w:ascii="Arial" w:eastAsia="Calibri" w:hAnsi="Arial" w:cs="Arial"/>
                    </w:rPr>
                  </w:pPr>
                </w:p>
                <w:p w14:paraId="04D02A16" w14:textId="77777777" w:rsidR="007077DD" w:rsidRPr="007077DD" w:rsidRDefault="007077DD" w:rsidP="007077DD">
                  <w:pPr>
                    <w:rPr>
                      <w:rFonts w:ascii="Arial" w:eastAsia="Calibri" w:hAnsi="Arial" w:cs="Arial"/>
                    </w:rPr>
                  </w:pPr>
                </w:p>
                <w:p w14:paraId="1A21E274" w14:textId="77777777" w:rsidR="007077DD" w:rsidRPr="007077DD" w:rsidRDefault="007077DD" w:rsidP="007077DD">
                  <w:pPr>
                    <w:rPr>
                      <w:rFonts w:ascii="Arial" w:eastAsia="Calibri" w:hAnsi="Arial" w:cs="Arial"/>
                    </w:rPr>
                  </w:pPr>
                </w:p>
                <w:p w14:paraId="1314AD08" w14:textId="77777777" w:rsidR="007077DD" w:rsidRPr="007077DD" w:rsidRDefault="007077DD" w:rsidP="007077DD">
                  <w:pPr>
                    <w:rPr>
                      <w:rFonts w:ascii="Arial" w:eastAsia="Calibri" w:hAnsi="Arial" w:cs="Arial"/>
                    </w:rPr>
                  </w:pPr>
                </w:p>
                <w:p w14:paraId="5018D198" w14:textId="77777777" w:rsidR="007077DD" w:rsidRPr="007077DD" w:rsidRDefault="007077DD" w:rsidP="007077DD">
                  <w:pPr>
                    <w:rPr>
                      <w:rFonts w:ascii="Arial" w:eastAsia="Calibri" w:hAnsi="Arial" w:cs="Arial"/>
                    </w:rPr>
                  </w:pPr>
                </w:p>
                <w:p w14:paraId="65FD43A1" w14:textId="77777777" w:rsidR="007077DD" w:rsidRPr="007077DD" w:rsidRDefault="007077DD" w:rsidP="007077DD">
                  <w:pPr>
                    <w:rPr>
                      <w:rFonts w:ascii="Arial" w:eastAsia="Calibri" w:hAnsi="Arial" w:cs="Arial"/>
                    </w:rPr>
                  </w:pPr>
                </w:p>
                <w:p w14:paraId="00762F5F" w14:textId="77777777" w:rsidR="007077DD" w:rsidRPr="007077DD" w:rsidRDefault="007077DD" w:rsidP="007077DD">
                  <w:pPr>
                    <w:rPr>
                      <w:rFonts w:ascii="Arial" w:eastAsia="Calibri" w:hAnsi="Arial" w:cs="Arial"/>
                    </w:rPr>
                  </w:pPr>
                </w:p>
                <w:p w14:paraId="22D68B5E" w14:textId="77777777" w:rsidR="007077DD" w:rsidRPr="007077DD" w:rsidRDefault="007077DD" w:rsidP="007077DD">
                  <w:pPr>
                    <w:rPr>
                      <w:rFonts w:ascii="Arial" w:eastAsia="Calibri" w:hAnsi="Arial" w:cs="Arial"/>
                    </w:rPr>
                  </w:pPr>
                </w:p>
                <w:p w14:paraId="66627EC5" w14:textId="77777777" w:rsidR="007077DD" w:rsidRPr="007077DD" w:rsidRDefault="007077DD" w:rsidP="007077DD">
                  <w:pPr>
                    <w:rPr>
                      <w:rFonts w:ascii="Arial" w:eastAsia="Calibri" w:hAnsi="Arial" w:cs="Arial"/>
                    </w:rPr>
                  </w:pPr>
                </w:p>
                <w:p w14:paraId="656519DC" w14:textId="77777777" w:rsidR="007077DD" w:rsidRPr="007077DD" w:rsidRDefault="007077DD" w:rsidP="007077DD">
                  <w:pPr>
                    <w:rPr>
                      <w:rFonts w:ascii="Arial" w:eastAsia="Calibri" w:hAnsi="Arial" w:cs="Arial"/>
                    </w:rPr>
                  </w:pPr>
                </w:p>
                <w:p w14:paraId="2EAA9883" w14:textId="77777777" w:rsidR="007077DD" w:rsidRPr="007077DD" w:rsidRDefault="007077DD" w:rsidP="007077DD">
                  <w:pPr>
                    <w:rPr>
                      <w:rFonts w:ascii="Arial" w:eastAsia="Calibri" w:hAnsi="Arial" w:cs="Arial"/>
                    </w:rPr>
                  </w:pPr>
                </w:p>
                <w:p w14:paraId="4649D526" w14:textId="77777777" w:rsidR="007077DD" w:rsidRPr="007077DD" w:rsidRDefault="007077DD" w:rsidP="007077DD">
                  <w:pPr>
                    <w:rPr>
                      <w:rFonts w:ascii="Arial" w:eastAsia="Calibri" w:hAnsi="Arial" w:cs="Arial"/>
                    </w:rPr>
                  </w:pPr>
                </w:p>
                <w:p w14:paraId="51246BF0" w14:textId="77777777" w:rsidR="007077DD" w:rsidRPr="007077DD" w:rsidRDefault="007077DD" w:rsidP="007077DD">
                  <w:pPr>
                    <w:rPr>
                      <w:rFonts w:ascii="Arial" w:eastAsia="Calibri" w:hAnsi="Arial" w:cs="Arial"/>
                    </w:rPr>
                  </w:pPr>
                </w:p>
                <w:p w14:paraId="2866CE37" w14:textId="77777777" w:rsidR="007077DD" w:rsidRPr="007077DD" w:rsidRDefault="007077DD" w:rsidP="007077DD">
                  <w:pPr>
                    <w:rPr>
                      <w:rFonts w:ascii="Arial" w:eastAsia="Calibri" w:hAnsi="Arial" w:cs="Arial"/>
                    </w:rPr>
                  </w:pPr>
                </w:p>
                <w:p w14:paraId="6401E37A" w14:textId="77777777" w:rsidR="007077DD" w:rsidRPr="007077DD" w:rsidRDefault="007077DD" w:rsidP="007077DD">
                  <w:pPr>
                    <w:rPr>
                      <w:rFonts w:ascii="Arial" w:eastAsia="Calibri" w:hAnsi="Arial" w:cs="Arial"/>
                    </w:rPr>
                  </w:pPr>
                </w:p>
                <w:p w14:paraId="5DE7AFE4" w14:textId="77777777" w:rsidR="007077DD" w:rsidRPr="007077DD" w:rsidRDefault="007077DD" w:rsidP="007077DD">
                  <w:pPr>
                    <w:rPr>
                      <w:rFonts w:ascii="Arial" w:eastAsia="Calibri" w:hAnsi="Arial" w:cs="Arial"/>
                    </w:rPr>
                  </w:pPr>
                </w:p>
                <w:p w14:paraId="4DEE4CCB" w14:textId="77777777" w:rsidR="007077DD" w:rsidRPr="007077DD" w:rsidRDefault="007077DD" w:rsidP="007077DD">
                  <w:pPr>
                    <w:rPr>
                      <w:rFonts w:ascii="Arial" w:eastAsia="Calibri" w:hAnsi="Arial" w:cs="Arial"/>
                    </w:rPr>
                  </w:pPr>
                </w:p>
                <w:p w14:paraId="56DBDA07" w14:textId="4A04E123" w:rsidR="007077DD" w:rsidRDefault="007077DD" w:rsidP="007077DD">
                  <w:pPr>
                    <w:rPr>
                      <w:rFonts w:ascii="Arial" w:eastAsia="Calibri" w:hAnsi="Arial" w:cs="Arial"/>
                    </w:rPr>
                  </w:pPr>
                </w:p>
                <w:p w14:paraId="7B5AF24F" w14:textId="77777777" w:rsidR="001D4AF3" w:rsidRDefault="007077DD" w:rsidP="007077DD">
                  <w:pPr>
                    <w:tabs>
                      <w:tab w:val="left" w:pos="2475"/>
                    </w:tabs>
                    <w:rPr>
                      <w:rFonts w:ascii="Arial" w:eastAsia="Calibri" w:hAnsi="Arial" w:cs="Arial"/>
                    </w:rPr>
                  </w:pPr>
                  <w:r>
                    <w:rPr>
                      <w:rFonts w:ascii="Arial" w:eastAsia="Calibri" w:hAnsi="Arial" w:cs="Arial"/>
                    </w:rPr>
                    <w:tab/>
                  </w:r>
                </w:p>
                <w:p w14:paraId="6B0EC7F1" w14:textId="77777777" w:rsidR="007077DD" w:rsidRDefault="007077DD" w:rsidP="007077DD">
                  <w:pPr>
                    <w:tabs>
                      <w:tab w:val="left" w:pos="2475"/>
                    </w:tabs>
                    <w:rPr>
                      <w:rFonts w:ascii="Arial" w:eastAsia="Calibri" w:hAnsi="Arial" w:cs="Arial"/>
                    </w:rPr>
                  </w:pPr>
                </w:p>
                <w:p w14:paraId="31196382" w14:textId="77777777" w:rsidR="007077DD" w:rsidRDefault="007077DD" w:rsidP="007077DD">
                  <w:pPr>
                    <w:tabs>
                      <w:tab w:val="left" w:pos="2475"/>
                    </w:tabs>
                    <w:rPr>
                      <w:rFonts w:ascii="Arial" w:eastAsia="Calibri" w:hAnsi="Arial" w:cs="Arial"/>
                    </w:rPr>
                  </w:pPr>
                </w:p>
                <w:p w14:paraId="360B4EEA" w14:textId="77777777" w:rsidR="007077DD" w:rsidRDefault="007077DD" w:rsidP="007077DD">
                  <w:pPr>
                    <w:tabs>
                      <w:tab w:val="left" w:pos="2475"/>
                    </w:tabs>
                    <w:rPr>
                      <w:rFonts w:ascii="Arial" w:eastAsia="Calibri" w:hAnsi="Arial" w:cs="Arial"/>
                    </w:rPr>
                  </w:pPr>
                </w:p>
                <w:p w14:paraId="6ADF34EE" w14:textId="77777777" w:rsidR="007077DD" w:rsidRDefault="007077DD" w:rsidP="007077DD">
                  <w:pPr>
                    <w:tabs>
                      <w:tab w:val="left" w:pos="2475"/>
                    </w:tabs>
                    <w:rPr>
                      <w:rFonts w:ascii="Arial" w:eastAsia="Calibri" w:hAnsi="Arial" w:cs="Arial"/>
                    </w:rPr>
                  </w:pPr>
                </w:p>
                <w:p w14:paraId="0FFE8B12" w14:textId="77777777" w:rsidR="007077DD" w:rsidRDefault="007077DD" w:rsidP="007077DD">
                  <w:pPr>
                    <w:tabs>
                      <w:tab w:val="left" w:pos="2475"/>
                    </w:tabs>
                    <w:rPr>
                      <w:rFonts w:ascii="Arial" w:eastAsia="Calibri" w:hAnsi="Arial" w:cs="Arial"/>
                    </w:rPr>
                  </w:pPr>
                </w:p>
                <w:p w14:paraId="3329E7B7" w14:textId="77777777" w:rsidR="007077DD" w:rsidRDefault="007077DD" w:rsidP="007077DD">
                  <w:pPr>
                    <w:tabs>
                      <w:tab w:val="left" w:pos="2475"/>
                    </w:tabs>
                    <w:rPr>
                      <w:rFonts w:ascii="Arial" w:eastAsia="Calibri" w:hAnsi="Arial" w:cs="Arial"/>
                    </w:rPr>
                  </w:pPr>
                </w:p>
                <w:p w14:paraId="69AB1778" w14:textId="77777777" w:rsidR="007077DD" w:rsidRDefault="007077DD" w:rsidP="007077DD">
                  <w:pPr>
                    <w:tabs>
                      <w:tab w:val="left" w:pos="2475"/>
                    </w:tabs>
                    <w:rPr>
                      <w:rFonts w:ascii="Arial" w:eastAsia="Calibri" w:hAnsi="Arial" w:cs="Arial"/>
                    </w:rPr>
                  </w:pPr>
                </w:p>
                <w:p w14:paraId="63B03514" w14:textId="77777777" w:rsidR="007077DD" w:rsidRDefault="007077DD" w:rsidP="007077DD">
                  <w:pPr>
                    <w:tabs>
                      <w:tab w:val="left" w:pos="2475"/>
                    </w:tabs>
                    <w:rPr>
                      <w:rFonts w:ascii="Arial" w:eastAsia="Calibri" w:hAnsi="Arial" w:cs="Arial"/>
                    </w:rPr>
                  </w:pPr>
                </w:p>
                <w:p w14:paraId="79F11BFA" w14:textId="77777777" w:rsidR="007077DD" w:rsidRDefault="007077DD" w:rsidP="007077DD">
                  <w:pPr>
                    <w:tabs>
                      <w:tab w:val="left" w:pos="2475"/>
                    </w:tabs>
                    <w:rPr>
                      <w:rFonts w:ascii="Arial" w:eastAsia="Calibri" w:hAnsi="Arial" w:cs="Arial"/>
                    </w:rPr>
                  </w:pPr>
                </w:p>
                <w:p w14:paraId="31CB2C40" w14:textId="77777777" w:rsidR="007077DD" w:rsidRDefault="007077DD" w:rsidP="007077DD">
                  <w:pPr>
                    <w:tabs>
                      <w:tab w:val="left" w:pos="2475"/>
                    </w:tabs>
                    <w:rPr>
                      <w:rFonts w:ascii="Arial" w:eastAsia="Calibri" w:hAnsi="Arial" w:cs="Arial"/>
                    </w:rPr>
                  </w:pPr>
                </w:p>
                <w:p w14:paraId="5A6D526A" w14:textId="77777777" w:rsidR="007077DD" w:rsidRDefault="007077DD" w:rsidP="007077DD">
                  <w:pPr>
                    <w:tabs>
                      <w:tab w:val="left" w:pos="2475"/>
                    </w:tabs>
                    <w:rPr>
                      <w:rFonts w:ascii="Arial" w:eastAsia="Calibri" w:hAnsi="Arial" w:cs="Arial"/>
                    </w:rPr>
                  </w:pPr>
                </w:p>
                <w:p w14:paraId="2EFF8B12" w14:textId="77777777" w:rsidR="007077DD" w:rsidRDefault="007077DD" w:rsidP="007077DD">
                  <w:pPr>
                    <w:tabs>
                      <w:tab w:val="left" w:pos="2475"/>
                    </w:tabs>
                    <w:rPr>
                      <w:rFonts w:ascii="Arial" w:eastAsia="Calibri" w:hAnsi="Arial" w:cs="Arial"/>
                    </w:rPr>
                  </w:pPr>
                </w:p>
                <w:p w14:paraId="1C86EDDC" w14:textId="77777777" w:rsidR="007077DD" w:rsidRDefault="007077DD" w:rsidP="007077DD">
                  <w:pPr>
                    <w:tabs>
                      <w:tab w:val="left" w:pos="2475"/>
                    </w:tabs>
                    <w:rPr>
                      <w:rFonts w:ascii="Arial" w:eastAsia="Calibri" w:hAnsi="Arial" w:cs="Arial"/>
                    </w:rPr>
                  </w:pPr>
                </w:p>
                <w:p w14:paraId="7F5FCCDC" w14:textId="77777777" w:rsidR="007077DD" w:rsidRDefault="007077DD" w:rsidP="007077DD">
                  <w:pPr>
                    <w:tabs>
                      <w:tab w:val="left" w:pos="2475"/>
                    </w:tabs>
                    <w:rPr>
                      <w:rFonts w:ascii="Arial" w:eastAsia="Calibri" w:hAnsi="Arial" w:cs="Arial"/>
                    </w:rPr>
                  </w:pPr>
                </w:p>
                <w:p w14:paraId="1943201E" w14:textId="77777777" w:rsidR="007077DD" w:rsidRDefault="007077DD" w:rsidP="007077DD">
                  <w:pPr>
                    <w:tabs>
                      <w:tab w:val="left" w:pos="2475"/>
                    </w:tabs>
                    <w:rPr>
                      <w:rFonts w:ascii="Arial" w:eastAsia="Calibri" w:hAnsi="Arial" w:cs="Arial"/>
                    </w:rPr>
                  </w:pPr>
                </w:p>
                <w:p w14:paraId="3F33CCAE" w14:textId="77777777" w:rsidR="007077DD" w:rsidRDefault="007077DD" w:rsidP="007077DD">
                  <w:pPr>
                    <w:tabs>
                      <w:tab w:val="left" w:pos="2475"/>
                    </w:tabs>
                    <w:rPr>
                      <w:rFonts w:ascii="Arial" w:eastAsia="Calibri" w:hAnsi="Arial" w:cs="Arial"/>
                    </w:rPr>
                  </w:pPr>
                </w:p>
                <w:p w14:paraId="41400860" w14:textId="77777777" w:rsidR="007077DD" w:rsidRDefault="007077DD" w:rsidP="007077DD">
                  <w:pPr>
                    <w:tabs>
                      <w:tab w:val="left" w:pos="2475"/>
                    </w:tabs>
                    <w:rPr>
                      <w:rFonts w:ascii="Arial" w:eastAsia="Calibri" w:hAnsi="Arial" w:cs="Arial"/>
                    </w:rPr>
                  </w:pPr>
                </w:p>
                <w:p w14:paraId="508E2A8F" w14:textId="77777777" w:rsidR="007077DD" w:rsidRDefault="007077DD" w:rsidP="007077DD">
                  <w:pPr>
                    <w:tabs>
                      <w:tab w:val="left" w:pos="2475"/>
                    </w:tabs>
                    <w:rPr>
                      <w:rFonts w:ascii="Arial" w:eastAsia="Calibri" w:hAnsi="Arial" w:cs="Arial"/>
                    </w:rPr>
                  </w:pPr>
                </w:p>
                <w:p w14:paraId="383DC9F1" w14:textId="3578EE4E" w:rsidR="007077DD" w:rsidRPr="007077DD" w:rsidRDefault="007077DD" w:rsidP="007077DD">
                  <w:pPr>
                    <w:tabs>
                      <w:tab w:val="left" w:pos="2475"/>
                    </w:tabs>
                    <w:rPr>
                      <w:rFonts w:ascii="Arial" w:eastAsia="Calibri" w:hAnsi="Arial" w:cs="Arial"/>
                    </w:rPr>
                  </w:pPr>
                </w:p>
              </w:tc>
            </w:tr>
            <w:tr w:rsidR="001D4AF3" w:rsidRPr="00A64175" w14:paraId="6C861808" w14:textId="77777777" w:rsidTr="00B27D90">
              <w:tc>
                <w:tcPr>
                  <w:tcW w:w="9986" w:type="dxa"/>
                  <w:shd w:val="clear" w:color="auto" w:fill="auto"/>
                </w:tcPr>
                <w:p w14:paraId="785EEBB9" w14:textId="6AFA24A7" w:rsidR="001D4AF3" w:rsidRPr="00A64175" w:rsidRDefault="001D4AF3" w:rsidP="00A64175">
                  <w:pPr>
                    <w:widowControl w:val="0"/>
                    <w:autoSpaceDE w:val="0"/>
                    <w:adjustRightInd w:val="0"/>
                    <w:ind w:right="1024"/>
                    <w:jc w:val="both"/>
                    <w:rPr>
                      <w:rFonts w:ascii="Arial" w:hAnsi="Arial" w:cs="Arial"/>
                      <w:b/>
                      <w:i/>
                      <w:color w:val="000000" w:themeColor="text1"/>
                      <w:kern w:val="1"/>
                    </w:rPr>
                  </w:pPr>
                </w:p>
              </w:tc>
            </w:tr>
          </w:tbl>
          <w:p w14:paraId="4861BE7A" w14:textId="77777777" w:rsidR="001D4AF3" w:rsidRPr="00A64175" w:rsidRDefault="001D4AF3" w:rsidP="00A64175">
            <w:pPr>
              <w:widowControl w:val="0"/>
              <w:autoSpaceDE w:val="0"/>
              <w:adjustRightInd w:val="0"/>
              <w:ind w:left="-504" w:right="1024"/>
              <w:jc w:val="both"/>
              <w:rPr>
                <w:rFonts w:ascii="Arial" w:hAnsi="Arial" w:cs="Arial"/>
                <w:b/>
                <w:bCs/>
                <w:color w:val="000000" w:themeColor="text1"/>
              </w:rPr>
            </w:pPr>
          </w:p>
        </w:tc>
      </w:tr>
    </w:tbl>
    <w:p w14:paraId="6D009506" w14:textId="77777777" w:rsidR="00583131" w:rsidRDefault="00583131" w:rsidP="00A64175">
      <w:pPr>
        <w:widowControl w:val="0"/>
        <w:autoSpaceDE w:val="0"/>
        <w:autoSpaceDN w:val="0"/>
        <w:adjustRightInd w:val="0"/>
        <w:jc w:val="both"/>
        <w:rPr>
          <w:rFonts w:ascii="Arial" w:hAnsi="Arial" w:cs="Arial"/>
          <w:b/>
          <w:bCs/>
          <w:sz w:val="22"/>
          <w:szCs w:val="22"/>
        </w:rPr>
      </w:pPr>
    </w:p>
    <w:p w14:paraId="4A61EDE8" w14:textId="77777777" w:rsidR="00583131" w:rsidRDefault="00583131" w:rsidP="00A64175">
      <w:pPr>
        <w:widowControl w:val="0"/>
        <w:autoSpaceDE w:val="0"/>
        <w:autoSpaceDN w:val="0"/>
        <w:adjustRightInd w:val="0"/>
        <w:jc w:val="both"/>
        <w:rPr>
          <w:rFonts w:ascii="Arial" w:hAnsi="Arial" w:cs="Arial"/>
          <w:b/>
          <w:bCs/>
          <w:sz w:val="22"/>
          <w:szCs w:val="22"/>
        </w:rPr>
      </w:pPr>
    </w:p>
    <w:p w14:paraId="29F0B852" w14:textId="77777777" w:rsidR="00583131" w:rsidRDefault="00583131" w:rsidP="00A64175">
      <w:pPr>
        <w:widowControl w:val="0"/>
        <w:autoSpaceDE w:val="0"/>
        <w:autoSpaceDN w:val="0"/>
        <w:adjustRightInd w:val="0"/>
        <w:jc w:val="both"/>
        <w:rPr>
          <w:rFonts w:ascii="Arial" w:hAnsi="Arial" w:cs="Arial"/>
          <w:b/>
          <w:bCs/>
          <w:sz w:val="22"/>
          <w:szCs w:val="22"/>
        </w:rPr>
      </w:pPr>
    </w:p>
    <w:p w14:paraId="12DBEFDE" w14:textId="77777777" w:rsidR="00583131" w:rsidRDefault="00583131" w:rsidP="00A64175">
      <w:pPr>
        <w:widowControl w:val="0"/>
        <w:autoSpaceDE w:val="0"/>
        <w:autoSpaceDN w:val="0"/>
        <w:adjustRightInd w:val="0"/>
        <w:jc w:val="both"/>
        <w:rPr>
          <w:rFonts w:ascii="Arial" w:hAnsi="Arial" w:cs="Arial"/>
          <w:b/>
          <w:bCs/>
          <w:sz w:val="22"/>
          <w:szCs w:val="22"/>
        </w:rPr>
      </w:pPr>
    </w:p>
    <w:p w14:paraId="646F6035" w14:textId="2AEB3087" w:rsidR="004F0F96" w:rsidRPr="00A64175" w:rsidRDefault="003F311B" w:rsidP="00A64175">
      <w:pPr>
        <w:widowControl w:val="0"/>
        <w:autoSpaceDE w:val="0"/>
        <w:autoSpaceDN w:val="0"/>
        <w:adjustRightInd w:val="0"/>
        <w:jc w:val="both"/>
        <w:rPr>
          <w:rFonts w:ascii="Arial" w:hAnsi="Arial" w:cs="Arial"/>
          <w:b/>
          <w:bCs/>
          <w:sz w:val="22"/>
          <w:szCs w:val="22"/>
        </w:rPr>
      </w:pPr>
      <w:r w:rsidRPr="00A64175">
        <w:rPr>
          <w:rFonts w:ascii="Arial" w:hAnsi="Arial" w:cs="Arial"/>
          <w:b/>
          <w:bCs/>
          <w:sz w:val="22"/>
          <w:szCs w:val="22"/>
        </w:rPr>
        <w:t xml:space="preserve">TITRE </w:t>
      </w:r>
      <w:r w:rsidR="00184EC5" w:rsidRPr="00A64175">
        <w:rPr>
          <w:rFonts w:ascii="Arial" w:hAnsi="Arial" w:cs="Arial"/>
          <w:b/>
          <w:bCs/>
          <w:sz w:val="22"/>
          <w:szCs w:val="22"/>
        </w:rPr>
        <w:t>V</w:t>
      </w:r>
      <w:r w:rsidR="004F0F96" w:rsidRPr="00A64175">
        <w:rPr>
          <w:rFonts w:ascii="Arial" w:hAnsi="Arial" w:cs="Arial"/>
          <w:b/>
          <w:bCs/>
          <w:sz w:val="22"/>
          <w:szCs w:val="22"/>
        </w:rPr>
        <w:t> </w:t>
      </w:r>
      <w:r w:rsidR="004302C5" w:rsidRPr="00A64175">
        <w:rPr>
          <w:rFonts w:ascii="Arial" w:hAnsi="Arial" w:cs="Arial"/>
          <w:b/>
          <w:bCs/>
          <w:sz w:val="22"/>
          <w:szCs w:val="22"/>
        </w:rPr>
        <w:t>–</w:t>
      </w:r>
      <w:r w:rsidR="004F0F96" w:rsidRPr="00A64175">
        <w:rPr>
          <w:rFonts w:ascii="Arial" w:hAnsi="Arial" w:cs="Arial"/>
          <w:b/>
          <w:bCs/>
          <w:sz w:val="22"/>
          <w:szCs w:val="22"/>
        </w:rPr>
        <w:t xml:space="preserve"> INTERMEDIAIRES DE MARCHE</w:t>
      </w:r>
    </w:p>
    <w:p w14:paraId="1FCAB1EA" w14:textId="77777777" w:rsidR="004F0F96" w:rsidRPr="00A64175" w:rsidRDefault="004F0F96" w:rsidP="00A64175">
      <w:pPr>
        <w:widowControl w:val="0"/>
        <w:autoSpaceDE w:val="0"/>
        <w:autoSpaceDN w:val="0"/>
        <w:adjustRightInd w:val="0"/>
        <w:jc w:val="both"/>
        <w:rPr>
          <w:rFonts w:ascii="Arial" w:hAnsi="Arial" w:cs="Arial"/>
          <w:kern w:val="1"/>
          <w:sz w:val="22"/>
          <w:szCs w:val="22"/>
        </w:rPr>
      </w:pPr>
    </w:p>
    <w:p w14:paraId="3E181D9F" w14:textId="77777777" w:rsidR="005A76D6" w:rsidRPr="00A64175" w:rsidRDefault="005A76D6" w:rsidP="00A64175">
      <w:pPr>
        <w:widowControl w:val="0"/>
        <w:autoSpaceDE w:val="0"/>
        <w:autoSpaceDN w:val="0"/>
        <w:adjustRightInd w:val="0"/>
        <w:jc w:val="both"/>
        <w:rPr>
          <w:rFonts w:ascii="Arial" w:hAnsi="Arial" w:cs="Arial"/>
          <w:kern w:val="1"/>
          <w:sz w:val="22"/>
          <w:szCs w:val="22"/>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095F65" w:rsidRPr="00A64175" w14:paraId="3C6624B7" w14:textId="77777777" w:rsidTr="00EC563C">
        <w:tc>
          <w:tcPr>
            <w:tcW w:w="9214" w:type="dxa"/>
            <w:shd w:val="clear" w:color="auto" w:fill="auto"/>
          </w:tcPr>
          <w:p w14:paraId="4D3CE24B" w14:textId="77777777"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CHAPITRE I – Principes déontologiques et règles de bonne conduite</w:t>
            </w:r>
          </w:p>
          <w:p w14:paraId="33C23488" w14:textId="77777777" w:rsidR="00095F65" w:rsidRPr="00A64175" w:rsidRDefault="00095F65" w:rsidP="00A64175">
            <w:pPr>
              <w:widowControl w:val="0"/>
              <w:autoSpaceDE w:val="0"/>
              <w:adjustRightInd w:val="0"/>
              <w:jc w:val="both"/>
              <w:rPr>
                <w:rFonts w:ascii="Arial" w:hAnsi="Arial" w:cs="Arial"/>
                <w:b/>
                <w:bCs/>
                <w:color w:val="000000" w:themeColor="text1"/>
              </w:rPr>
            </w:pPr>
          </w:p>
        </w:tc>
      </w:tr>
      <w:tr w:rsidR="00095F65" w:rsidRPr="00A64175" w14:paraId="2429CA5C" w14:textId="77777777" w:rsidTr="00EC563C">
        <w:tc>
          <w:tcPr>
            <w:tcW w:w="9214" w:type="dxa"/>
            <w:shd w:val="clear" w:color="auto" w:fill="auto"/>
          </w:tcPr>
          <w:p w14:paraId="40743958" w14:textId="77777777" w:rsidR="00095F65" w:rsidRPr="00A64175" w:rsidRDefault="00095F65" w:rsidP="00A64175">
            <w:pPr>
              <w:widowControl w:val="0"/>
              <w:autoSpaceDE w:val="0"/>
              <w:adjustRightInd w:val="0"/>
              <w:jc w:val="both"/>
              <w:rPr>
                <w:rFonts w:ascii="Arial" w:hAnsi="Arial" w:cs="Arial"/>
                <w:b/>
                <w:kern w:val="1"/>
              </w:rPr>
            </w:pPr>
            <w:r w:rsidRPr="00A64175">
              <w:rPr>
                <w:rFonts w:ascii="Arial" w:hAnsi="Arial" w:cs="Arial"/>
                <w:b/>
                <w:kern w:val="1"/>
              </w:rPr>
              <w:t>Section I : Agréments</w:t>
            </w:r>
          </w:p>
          <w:p w14:paraId="359B5C1E" w14:textId="77777777" w:rsidR="00095F65" w:rsidRPr="00A64175" w:rsidRDefault="00095F65" w:rsidP="00A64175">
            <w:pPr>
              <w:widowControl w:val="0"/>
              <w:autoSpaceDE w:val="0"/>
              <w:adjustRightInd w:val="0"/>
              <w:jc w:val="both"/>
              <w:rPr>
                <w:rFonts w:ascii="Arial" w:hAnsi="Arial" w:cs="Arial"/>
                <w:b/>
                <w:kern w:val="1"/>
              </w:rPr>
            </w:pPr>
          </w:p>
        </w:tc>
      </w:tr>
      <w:tr w:rsidR="00095F65" w:rsidRPr="00FA3D87" w14:paraId="59839411" w14:textId="77777777" w:rsidTr="00EC563C">
        <w:tc>
          <w:tcPr>
            <w:tcW w:w="9214" w:type="dxa"/>
            <w:shd w:val="clear" w:color="auto" w:fill="auto"/>
          </w:tcPr>
          <w:p w14:paraId="7244EEA1" w14:textId="77777777" w:rsidR="00095F65" w:rsidRPr="00FA3D87" w:rsidRDefault="00095F65" w:rsidP="00A64175">
            <w:pPr>
              <w:widowControl w:val="0"/>
              <w:autoSpaceDE w:val="0"/>
              <w:adjustRightInd w:val="0"/>
              <w:jc w:val="both"/>
              <w:rPr>
                <w:rFonts w:ascii="Arial" w:hAnsi="Arial" w:cs="Arial"/>
                <w:iCs/>
                <w:kern w:val="1"/>
              </w:rPr>
            </w:pPr>
            <w:r w:rsidRPr="00FA3D87">
              <w:rPr>
                <w:rFonts w:ascii="Arial" w:hAnsi="Arial" w:cs="Arial"/>
                <w:iCs/>
              </w:rPr>
              <w:t>Sous-section I : Procédure d’agrément</w:t>
            </w:r>
          </w:p>
        </w:tc>
      </w:tr>
      <w:tr w:rsidR="00095F65" w:rsidRPr="00A64175" w14:paraId="562B4D24" w14:textId="77777777" w:rsidTr="00EC563C">
        <w:tc>
          <w:tcPr>
            <w:tcW w:w="9214" w:type="dxa"/>
          </w:tcPr>
          <w:p w14:paraId="27D43A80" w14:textId="77777777" w:rsidR="00095F65" w:rsidRPr="00A64175" w:rsidRDefault="00095F65" w:rsidP="00A64175">
            <w:pPr>
              <w:widowControl w:val="0"/>
              <w:autoSpaceDE w:val="0"/>
              <w:adjustRightInd w:val="0"/>
              <w:jc w:val="both"/>
              <w:rPr>
                <w:rFonts w:ascii="Arial" w:hAnsi="Arial" w:cs="Arial"/>
                <w:b/>
                <w:bCs/>
              </w:rPr>
            </w:pPr>
          </w:p>
          <w:p w14:paraId="6FED7DF5" w14:textId="295545C9" w:rsidR="00095F65" w:rsidRPr="00A64175" w:rsidRDefault="00C61FF8" w:rsidP="00A64175">
            <w:pPr>
              <w:widowControl w:val="0"/>
              <w:autoSpaceDE w:val="0"/>
              <w:adjustRightInd w:val="0"/>
              <w:jc w:val="both"/>
              <w:rPr>
                <w:rFonts w:ascii="Arial" w:hAnsi="Arial" w:cs="Arial"/>
                <w:color w:val="000000" w:themeColor="text1"/>
                <w:kern w:val="1"/>
              </w:rPr>
            </w:pPr>
            <w:r w:rsidRPr="00A64175">
              <w:rPr>
                <w:rFonts w:ascii="Arial" w:hAnsi="Arial" w:cs="Arial"/>
                <w:b/>
              </w:rPr>
              <w:t>Article 2</w:t>
            </w:r>
            <w:r w:rsidR="002461DD">
              <w:rPr>
                <w:rFonts w:ascii="Arial" w:hAnsi="Arial" w:cs="Arial"/>
                <w:b/>
              </w:rPr>
              <w:t>2</w:t>
            </w:r>
            <w:r w:rsidR="001956AF">
              <w:rPr>
                <w:rFonts w:ascii="Arial" w:hAnsi="Arial" w:cs="Arial"/>
                <w:b/>
              </w:rPr>
              <w:t>1</w:t>
            </w:r>
            <w:r w:rsidR="00095F65" w:rsidRPr="00A64175">
              <w:rPr>
                <w:rFonts w:ascii="Arial" w:hAnsi="Arial" w:cs="Arial"/>
                <w:b/>
              </w:rPr>
              <w:t>. –</w:t>
            </w:r>
            <w:r w:rsidR="00095F65" w:rsidRPr="00A64175">
              <w:rPr>
                <w:rFonts w:ascii="Arial" w:hAnsi="Arial" w:cs="Arial"/>
                <w:color w:val="000000"/>
              </w:rPr>
              <w:t xml:space="preserve"> </w:t>
            </w:r>
            <w:r w:rsidR="00095F65" w:rsidRPr="00A64175">
              <w:rPr>
                <w:rFonts w:ascii="Arial" w:hAnsi="Arial" w:cs="Arial"/>
                <w:color w:val="000000" w:themeColor="text1"/>
              </w:rPr>
              <w:t>Le dossier</w:t>
            </w:r>
            <w:r w:rsidR="009B217F" w:rsidRPr="00A64175">
              <w:rPr>
                <w:rFonts w:ascii="Arial" w:hAnsi="Arial" w:cs="Arial"/>
                <w:color w:val="000000" w:themeColor="text1"/>
              </w:rPr>
              <w:t xml:space="preserve"> de demande</w:t>
            </w:r>
            <w:r w:rsidR="00095F65" w:rsidRPr="00A64175">
              <w:rPr>
                <w:rFonts w:ascii="Arial" w:hAnsi="Arial" w:cs="Arial"/>
                <w:color w:val="000000" w:themeColor="text1"/>
              </w:rPr>
              <w:t xml:space="preserve"> d’agrément</w:t>
            </w:r>
            <w:r w:rsidR="009B217F" w:rsidRPr="00A64175">
              <w:rPr>
                <w:rFonts w:ascii="Arial" w:hAnsi="Arial" w:cs="Arial"/>
                <w:color w:val="000000" w:themeColor="text1"/>
              </w:rPr>
              <w:t xml:space="preserve"> des intermédiaires de marché comprend</w:t>
            </w:r>
            <w:r w:rsidR="00FC0C19" w:rsidRPr="00A64175">
              <w:rPr>
                <w:rFonts w:ascii="Arial" w:hAnsi="Arial" w:cs="Arial"/>
                <w:color w:val="000000" w:themeColor="text1"/>
              </w:rPr>
              <w:t xml:space="preserve"> tou</w:t>
            </w:r>
            <w:r w:rsidR="00095F65" w:rsidRPr="00A64175">
              <w:rPr>
                <w:rFonts w:ascii="Arial" w:hAnsi="Arial" w:cs="Arial"/>
                <w:color w:val="000000" w:themeColor="text1"/>
              </w:rPr>
              <w:t>s les</w:t>
            </w:r>
            <w:r w:rsidR="00FC0C19" w:rsidRPr="00A64175">
              <w:rPr>
                <w:rFonts w:ascii="Arial" w:hAnsi="Arial" w:cs="Arial"/>
                <w:color w:val="000000" w:themeColor="text1"/>
              </w:rPr>
              <w:t xml:space="preserve"> documents et informations prévus par la réglementation</w:t>
            </w:r>
            <w:r w:rsidR="00095F65" w:rsidRPr="00A64175">
              <w:rPr>
                <w:rFonts w:ascii="Arial" w:hAnsi="Arial" w:cs="Arial"/>
                <w:color w:val="000000" w:themeColor="text1"/>
              </w:rPr>
              <w:t xml:space="preserve"> a</w:t>
            </w:r>
            <w:r w:rsidR="00FC0C19" w:rsidRPr="00A64175">
              <w:rPr>
                <w:rFonts w:ascii="Arial" w:hAnsi="Arial" w:cs="Arial"/>
                <w:color w:val="000000" w:themeColor="text1"/>
              </w:rPr>
              <w:t>fin de permettre à la COSUMAF de procéder à son instruction</w:t>
            </w:r>
            <w:r w:rsidR="00095F65" w:rsidRPr="00A64175">
              <w:rPr>
                <w:rFonts w:ascii="Arial" w:hAnsi="Arial" w:cs="Arial"/>
                <w:color w:val="000000" w:themeColor="text1"/>
              </w:rPr>
              <w:t>. Une instruction de la COSUMAF précise le contenu du dossier de demande d’agrément.</w:t>
            </w:r>
          </w:p>
          <w:p w14:paraId="05061A4A" w14:textId="77777777" w:rsidR="00095F65" w:rsidRPr="00A64175" w:rsidRDefault="00095F65" w:rsidP="00A64175">
            <w:pPr>
              <w:widowControl w:val="0"/>
              <w:autoSpaceDE w:val="0"/>
              <w:adjustRightInd w:val="0"/>
              <w:jc w:val="both"/>
              <w:rPr>
                <w:rFonts w:ascii="Arial" w:hAnsi="Arial" w:cs="Arial"/>
              </w:rPr>
            </w:pPr>
          </w:p>
        </w:tc>
      </w:tr>
      <w:tr w:rsidR="00095F65" w:rsidRPr="00A64175" w14:paraId="1FB8F139" w14:textId="77777777" w:rsidTr="00EC563C">
        <w:tc>
          <w:tcPr>
            <w:tcW w:w="9214" w:type="dxa"/>
          </w:tcPr>
          <w:p w14:paraId="563B4A20" w14:textId="4762F0E8" w:rsidR="00095F65" w:rsidRPr="00A64175" w:rsidRDefault="00A22563" w:rsidP="00A64175">
            <w:pPr>
              <w:widowControl w:val="0"/>
              <w:autoSpaceDE w:val="0"/>
              <w:adjustRightInd w:val="0"/>
              <w:jc w:val="both"/>
              <w:rPr>
                <w:rFonts w:ascii="Arial" w:hAnsi="Arial" w:cs="Arial"/>
                <w:b/>
                <w:bCs/>
              </w:rPr>
            </w:pPr>
            <w:r w:rsidRPr="00A64175">
              <w:rPr>
                <w:rFonts w:ascii="Arial" w:hAnsi="Arial" w:cs="Arial"/>
                <w:b/>
              </w:rPr>
              <w:t>Article 2</w:t>
            </w:r>
            <w:r w:rsidR="004510A8">
              <w:rPr>
                <w:rFonts w:ascii="Arial" w:hAnsi="Arial" w:cs="Arial"/>
                <w:b/>
              </w:rPr>
              <w:t>2</w:t>
            </w:r>
            <w:r w:rsidR="001956AF">
              <w:rPr>
                <w:rFonts w:ascii="Arial" w:hAnsi="Arial" w:cs="Arial"/>
                <w:b/>
              </w:rPr>
              <w:t>2</w:t>
            </w:r>
            <w:r w:rsidRPr="00A64175">
              <w:rPr>
                <w:rFonts w:ascii="Arial" w:hAnsi="Arial" w:cs="Arial"/>
                <w:b/>
              </w:rPr>
              <w:t>. –</w:t>
            </w:r>
            <w:r w:rsidRPr="00A64175">
              <w:rPr>
                <w:rFonts w:ascii="Arial" w:hAnsi="Arial" w:cs="Arial"/>
                <w:color w:val="000000"/>
              </w:rPr>
              <w:t xml:space="preserve">  </w:t>
            </w:r>
            <w:r w:rsidR="00095F65" w:rsidRPr="00A64175">
              <w:rPr>
                <w:rFonts w:ascii="Arial" w:hAnsi="Arial" w:cs="Arial"/>
                <w:b/>
                <w:bCs/>
              </w:rPr>
              <w:t xml:space="preserve"> </w:t>
            </w:r>
          </w:p>
          <w:p w14:paraId="3B97849E" w14:textId="77777777" w:rsidR="00095F65" w:rsidRPr="00A64175" w:rsidRDefault="00095F65" w:rsidP="00A64175">
            <w:pPr>
              <w:widowControl w:val="0"/>
              <w:autoSpaceDE w:val="0"/>
              <w:adjustRightInd w:val="0"/>
              <w:jc w:val="both"/>
              <w:rPr>
                <w:rFonts w:ascii="Arial" w:hAnsi="Arial" w:cs="Arial"/>
                <w:b/>
                <w:bCs/>
              </w:rPr>
            </w:pPr>
          </w:p>
          <w:p w14:paraId="3EC776D1" w14:textId="7CD9F5E2" w:rsidR="00095F65" w:rsidRPr="00A64175" w:rsidRDefault="00095F65" w:rsidP="00A64175">
            <w:pPr>
              <w:pStyle w:val="Paragraphedeliste"/>
              <w:widowControl w:val="0"/>
              <w:numPr>
                <w:ilvl w:val="0"/>
                <w:numId w:val="104"/>
              </w:numPr>
              <w:autoSpaceDE w:val="0"/>
              <w:adjustRightInd w:val="0"/>
              <w:spacing w:before="0" w:beforeAutospacing="0" w:after="0" w:afterAutospacing="0" w:line="240" w:lineRule="auto"/>
            </w:pPr>
            <w:r w:rsidRPr="00A64175">
              <w:t>L’agrément de l’intermédiaire de marché e</w:t>
            </w:r>
            <w:r w:rsidR="00FC0C19" w:rsidRPr="00A64175">
              <w:t>st soumis au versement d’une commission</w:t>
            </w:r>
            <w:r w:rsidRPr="00A64175">
              <w:t xml:space="preserve"> dont le montant est fixé dans une instruction de la COSUMAF.</w:t>
            </w:r>
          </w:p>
          <w:p w14:paraId="05260C77" w14:textId="2B93A43A" w:rsidR="00095F65" w:rsidRPr="00A64175" w:rsidRDefault="00095F65" w:rsidP="00A64175">
            <w:pPr>
              <w:pStyle w:val="Paragraphedeliste"/>
              <w:widowControl w:val="0"/>
              <w:numPr>
                <w:ilvl w:val="0"/>
                <w:numId w:val="104"/>
              </w:numPr>
              <w:autoSpaceDE w:val="0"/>
              <w:adjustRightInd w:val="0"/>
              <w:spacing w:before="0" w:beforeAutospacing="0" w:after="0" w:afterAutospacing="0" w:line="240" w:lineRule="auto"/>
            </w:pPr>
            <w:r w:rsidRPr="00A64175">
              <w:t>L’intermédiaire de marché verse chaque année à l</w:t>
            </w:r>
            <w:r w:rsidR="00FC0C19" w:rsidRPr="00A64175">
              <w:t>a COSUMAF une redevance dont le</w:t>
            </w:r>
            <w:r w:rsidRPr="00A64175">
              <w:t xml:space="preserve"> montant et les</w:t>
            </w:r>
            <w:r w:rsidR="00FC0C19" w:rsidRPr="00A64175">
              <w:t xml:space="preserve"> modalités</w:t>
            </w:r>
            <w:r w:rsidRPr="00A64175">
              <w:t xml:space="preserve"> sont définis dans une instruction de la COSUMAF.</w:t>
            </w:r>
          </w:p>
        </w:tc>
      </w:tr>
      <w:tr w:rsidR="00095F65" w:rsidRPr="00A64175" w14:paraId="26585817" w14:textId="77777777" w:rsidTr="00EC563C">
        <w:tc>
          <w:tcPr>
            <w:tcW w:w="9214" w:type="dxa"/>
          </w:tcPr>
          <w:p w14:paraId="150ACFD5" w14:textId="77777777" w:rsidR="00095F65" w:rsidRPr="00A64175" w:rsidRDefault="00095F65" w:rsidP="00A64175">
            <w:pPr>
              <w:widowControl w:val="0"/>
              <w:autoSpaceDE w:val="0"/>
              <w:adjustRightInd w:val="0"/>
              <w:jc w:val="both"/>
              <w:rPr>
                <w:rFonts w:ascii="Arial" w:hAnsi="Arial" w:cs="Arial"/>
                <w:b/>
                <w:bCs/>
              </w:rPr>
            </w:pPr>
          </w:p>
          <w:p w14:paraId="5AD3D3BA" w14:textId="39C0D9A9" w:rsidR="00095F65" w:rsidRPr="00A64175" w:rsidRDefault="00C61FF8" w:rsidP="00A64175">
            <w:pPr>
              <w:widowControl w:val="0"/>
              <w:autoSpaceDE w:val="0"/>
              <w:adjustRightInd w:val="0"/>
              <w:jc w:val="both"/>
              <w:rPr>
                <w:rFonts w:ascii="Arial" w:hAnsi="Arial" w:cs="Arial"/>
                <w:b/>
                <w:bCs/>
              </w:rPr>
            </w:pPr>
            <w:r w:rsidRPr="00A64175">
              <w:rPr>
                <w:rFonts w:ascii="Arial" w:hAnsi="Arial" w:cs="Arial"/>
                <w:b/>
              </w:rPr>
              <w:t>Article 2</w:t>
            </w:r>
            <w:r w:rsidR="004510A8">
              <w:rPr>
                <w:rFonts w:ascii="Arial" w:hAnsi="Arial" w:cs="Arial"/>
                <w:b/>
              </w:rPr>
              <w:t>2</w:t>
            </w:r>
            <w:r w:rsidR="001956AF">
              <w:rPr>
                <w:rFonts w:ascii="Arial" w:hAnsi="Arial" w:cs="Arial"/>
                <w:b/>
              </w:rPr>
              <w:t>3</w:t>
            </w:r>
            <w:r w:rsidR="00A22563" w:rsidRPr="00A64175">
              <w:rPr>
                <w:rFonts w:ascii="Arial" w:hAnsi="Arial" w:cs="Arial"/>
                <w:b/>
              </w:rPr>
              <w:t>. –</w:t>
            </w:r>
            <w:r w:rsidR="00A22563" w:rsidRPr="00A64175">
              <w:rPr>
                <w:rFonts w:ascii="Arial" w:hAnsi="Arial" w:cs="Arial"/>
                <w:color w:val="000000"/>
              </w:rPr>
              <w:t xml:space="preserve"> </w:t>
            </w:r>
            <w:r w:rsidR="00095F65" w:rsidRPr="00A64175">
              <w:rPr>
                <w:rFonts w:ascii="Arial" w:hAnsi="Arial" w:cs="Arial"/>
                <w:color w:val="000000" w:themeColor="text1"/>
              </w:rPr>
              <w:t>La COSUMAF statue</w:t>
            </w:r>
            <w:r w:rsidR="00FC0C19" w:rsidRPr="00A64175">
              <w:rPr>
                <w:rFonts w:ascii="Arial" w:hAnsi="Arial" w:cs="Arial"/>
                <w:color w:val="000000" w:themeColor="text1"/>
              </w:rPr>
              <w:t xml:space="preserve"> dans un délai de soixante (60) jours</w:t>
            </w:r>
            <w:r w:rsidR="00095F65" w:rsidRPr="00A64175">
              <w:rPr>
                <w:rFonts w:ascii="Arial" w:hAnsi="Arial" w:cs="Arial"/>
                <w:color w:val="000000" w:themeColor="text1"/>
              </w:rPr>
              <w:t xml:space="preserve"> à compter de la date de réception de la demande d’agrément</w:t>
            </w:r>
            <w:r w:rsidR="00095F65" w:rsidRPr="00A64175">
              <w:rPr>
                <w:rFonts w:ascii="Arial" w:hAnsi="Arial" w:cs="Arial"/>
              </w:rPr>
              <w:t>. Ce délai ne court qu’à compter de la réception du dossier complet. Chaque question de la COSUMAF adressée à l’intermédiaire de marché, interrompt le délai d’instruction.</w:t>
            </w:r>
          </w:p>
          <w:p w14:paraId="0B6E6D00" w14:textId="77777777" w:rsidR="00095F65" w:rsidRPr="00A64175" w:rsidRDefault="00095F65" w:rsidP="00A64175">
            <w:pPr>
              <w:widowControl w:val="0"/>
              <w:autoSpaceDE w:val="0"/>
              <w:adjustRightInd w:val="0"/>
              <w:jc w:val="both"/>
              <w:rPr>
                <w:rFonts w:ascii="Arial" w:hAnsi="Arial" w:cs="Arial"/>
              </w:rPr>
            </w:pPr>
          </w:p>
        </w:tc>
      </w:tr>
      <w:tr w:rsidR="00095F65" w:rsidRPr="00A64175" w14:paraId="51689969" w14:textId="77777777" w:rsidTr="00EC563C">
        <w:tc>
          <w:tcPr>
            <w:tcW w:w="9214" w:type="dxa"/>
          </w:tcPr>
          <w:p w14:paraId="263841F3" w14:textId="366AF905" w:rsidR="00095F65"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2</w:t>
            </w:r>
            <w:r w:rsidR="001956AF">
              <w:rPr>
                <w:rFonts w:ascii="Arial" w:hAnsi="Arial" w:cs="Arial"/>
                <w:b/>
              </w:rPr>
              <w:t>4</w:t>
            </w:r>
            <w:r w:rsidR="00A22563" w:rsidRPr="00A64175">
              <w:rPr>
                <w:rFonts w:ascii="Arial" w:hAnsi="Arial" w:cs="Arial"/>
                <w:b/>
              </w:rPr>
              <w:t>. –</w:t>
            </w:r>
            <w:r w:rsidR="00A22563" w:rsidRPr="00A64175">
              <w:rPr>
                <w:rFonts w:ascii="Arial" w:hAnsi="Arial" w:cs="Arial"/>
                <w:b/>
                <w:bCs/>
              </w:rPr>
              <w:t xml:space="preserve"> </w:t>
            </w:r>
            <w:r w:rsidR="00095F65" w:rsidRPr="00A64175">
              <w:rPr>
                <w:rFonts w:ascii="Arial" w:hAnsi="Arial" w:cs="Arial"/>
              </w:rPr>
              <w:t>L’examen du dossier d’agrément d’un intermédiaire de marché tient compte de la nature des activités envisagées, ainsi que des exigences financières, humaines et matérielles y afférentes.</w:t>
            </w:r>
          </w:p>
          <w:p w14:paraId="5746C7B7"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2187F81A" w14:textId="77777777" w:rsidTr="00EC563C">
        <w:tc>
          <w:tcPr>
            <w:tcW w:w="9214" w:type="dxa"/>
          </w:tcPr>
          <w:p w14:paraId="34D23A7F" w14:textId="40DFF960" w:rsidR="00095F65"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2</w:t>
            </w:r>
            <w:r w:rsidR="001956AF">
              <w:rPr>
                <w:rFonts w:ascii="Arial" w:hAnsi="Arial" w:cs="Arial"/>
                <w:b/>
              </w:rPr>
              <w:t>5</w:t>
            </w:r>
            <w:r w:rsidR="00A22563" w:rsidRPr="00A64175">
              <w:rPr>
                <w:rFonts w:ascii="Arial" w:hAnsi="Arial" w:cs="Arial"/>
                <w:b/>
              </w:rPr>
              <w:t>. –</w:t>
            </w:r>
            <w:r w:rsidR="00A22563" w:rsidRPr="00A64175">
              <w:rPr>
                <w:rFonts w:ascii="Arial" w:hAnsi="Arial" w:cs="Arial"/>
                <w:color w:val="000000"/>
              </w:rPr>
              <w:t xml:space="preserve"> </w:t>
            </w:r>
            <w:r w:rsidR="00095F65" w:rsidRPr="00A64175">
              <w:rPr>
                <w:rFonts w:ascii="Arial" w:hAnsi="Arial" w:cs="Arial"/>
              </w:rPr>
              <w:t>Lorsqu’elle se prononce sur la demande d’agrément, la COSUMAF peut limiter son agrément à certaines activités, en raison d’insuffisances contenues dans le dossier d’agrément.</w:t>
            </w:r>
          </w:p>
          <w:p w14:paraId="001ADC74"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6B3130B" w14:textId="77777777" w:rsidTr="00EC563C">
        <w:tc>
          <w:tcPr>
            <w:tcW w:w="9214" w:type="dxa"/>
          </w:tcPr>
          <w:p w14:paraId="7845CC7E" w14:textId="6B6EB96E" w:rsidR="00095F65" w:rsidRPr="00A64175" w:rsidRDefault="00C61FF8" w:rsidP="00A64175">
            <w:pPr>
              <w:tabs>
                <w:tab w:val="left" w:pos="1845"/>
              </w:tabs>
              <w:jc w:val="both"/>
              <w:rPr>
                <w:rFonts w:ascii="Arial" w:hAnsi="Arial" w:cs="Arial"/>
                <w:b/>
                <w:bCs/>
              </w:rPr>
            </w:pPr>
            <w:r w:rsidRPr="00A64175">
              <w:rPr>
                <w:rFonts w:ascii="Arial" w:hAnsi="Arial" w:cs="Arial"/>
                <w:b/>
              </w:rPr>
              <w:t>Article 2</w:t>
            </w:r>
            <w:r w:rsidR="004510A8">
              <w:rPr>
                <w:rFonts w:ascii="Arial" w:hAnsi="Arial" w:cs="Arial"/>
                <w:b/>
              </w:rPr>
              <w:t>2</w:t>
            </w:r>
            <w:r w:rsidR="001956AF">
              <w:rPr>
                <w:rFonts w:ascii="Arial" w:hAnsi="Arial" w:cs="Arial"/>
                <w:b/>
              </w:rPr>
              <w:t>6</w:t>
            </w:r>
            <w:r w:rsidR="00A22563" w:rsidRPr="00A64175">
              <w:rPr>
                <w:rFonts w:ascii="Arial" w:hAnsi="Arial" w:cs="Arial"/>
                <w:b/>
              </w:rPr>
              <w:t>. –</w:t>
            </w:r>
            <w:r w:rsidR="00A22563" w:rsidRPr="00A64175">
              <w:rPr>
                <w:rFonts w:ascii="Arial" w:hAnsi="Arial" w:cs="Arial"/>
                <w:color w:val="000000"/>
              </w:rPr>
              <w:t xml:space="preserve"> </w:t>
            </w:r>
            <w:r w:rsidR="00095F65" w:rsidRPr="00A64175">
              <w:rPr>
                <w:rFonts w:ascii="Arial" w:hAnsi="Arial" w:cs="Arial"/>
                <w:b/>
                <w:bCs/>
              </w:rPr>
              <w:t xml:space="preserve"> </w:t>
            </w:r>
          </w:p>
          <w:p w14:paraId="7A1A4A5B" w14:textId="77777777" w:rsidR="00A22563" w:rsidRPr="00A64175" w:rsidRDefault="00A22563" w:rsidP="00A64175">
            <w:pPr>
              <w:tabs>
                <w:tab w:val="left" w:pos="1845"/>
              </w:tabs>
              <w:jc w:val="both"/>
              <w:rPr>
                <w:rFonts w:ascii="Arial" w:hAnsi="Arial" w:cs="Arial"/>
                <w:b/>
                <w:bCs/>
              </w:rPr>
            </w:pPr>
          </w:p>
          <w:p w14:paraId="28C2FE34" w14:textId="78A5034D" w:rsidR="00095F65" w:rsidRPr="00A64175" w:rsidRDefault="00095F65" w:rsidP="00A64175">
            <w:pPr>
              <w:pStyle w:val="Paragraphedeliste"/>
              <w:numPr>
                <w:ilvl w:val="0"/>
                <w:numId w:val="107"/>
              </w:numPr>
              <w:tabs>
                <w:tab w:val="left" w:pos="1845"/>
              </w:tabs>
              <w:spacing w:before="0" w:beforeAutospacing="0" w:after="0" w:afterAutospacing="0" w:line="240" w:lineRule="auto"/>
              <w:ind w:left="457"/>
            </w:pPr>
            <w:r w:rsidRPr="00A64175">
              <w:t xml:space="preserve">Dans le cadre de l’instruction d’un dossier </w:t>
            </w:r>
            <w:r w:rsidR="00C72FAF" w:rsidRPr="00A64175">
              <w:t xml:space="preserve">de demande </w:t>
            </w:r>
            <w:r w:rsidR="0013117E" w:rsidRPr="00A64175">
              <w:t>d’agrément, la COSUMAF s’assure</w:t>
            </w:r>
            <w:r w:rsidRPr="00A64175">
              <w:t xml:space="preserve"> notamment :</w:t>
            </w:r>
          </w:p>
          <w:p w14:paraId="5B9ED141" w14:textId="77777777" w:rsidR="00095F65" w:rsidRPr="00A64175" w:rsidRDefault="00095F65" w:rsidP="00A64175">
            <w:pPr>
              <w:tabs>
                <w:tab w:val="left" w:pos="1845"/>
              </w:tabs>
              <w:jc w:val="both"/>
              <w:rPr>
                <w:rFonts w:ascii="Arial" w:hAnsi="Arial" w:cs="Arial"/>
              </w:rPr>
            </w:pPr>
          </w:p>
          <w:p w14:paraId="76CE8593" w14:textId="77777777" w:rsidR="00095F65" w:rsidRPr="00A64175" w:rsidRDefault="00095F65" w:rsidP="00A64175">
            <w:pPr>
              <w:pStyle w:val="Paragraphedeliste"/>
              <w:numPr>
                <w:ilvl w:val="0"/>
                <w:numId w:val="24"/>
              </w:numPr>
              <w:tabs>
                <w:tab w:val="left" w:pos="1845"/>
              </w:tabs>
              <w:spacing w:before="0" w:beforeAutospacing="0" w:after="0" w:afterAutospacing="0" w:line="240" w:lineRule="auto"/>
            </w:pPr>
            <w:r w:rsidRPr="00A64175">
              <w:t xml:space="preserve">De l’adéquation des moyens prévus par l’intermédiaire au regard des activités envisagées ; </w:t>
            </w:r>
          </w:p>
          <w:p w14:paraId="6BE745DF" w14:textId="7CAA931C" w:rsidR="00095F65" w:rsidRPr="00A64175" w:rsidRDefault="00095F65" w:rsidP="00A64175">
            <w:pPr>
              <w:pStyle w:val="Paragraphedeliste"/>
              <w:numPr>
                <w:ilvl w:val="0"/>
                <w:numId w:val="24"/>
              </w:numPr>
              <w:tabs>
                <w:tab w:val="left" w:pos="1845"/>
              </w:tabs>
              <w:spacing w:before="0" w:beforeAutospacing="0" w:after="0" w:afterAutospacing="0" w:line="240" w:lineRule="auto"/>
            </w:pPr>
            <w:r w:rsidRPr="00A64175">
              <w:t>De l’existence</w:t>
            </w:r>
            <w:r w:rsidR="00C72FAF" w:rsidRPr="00A64175">
              <w:t xml:space="preserve"> de</w:t>
            </w:r>
            <w:r w:rsidRPr="00A64175">
              <w:t xml:space="preserve"> garanties suffisantes notamment en ce qui concerne l’organisation, les moyens humains, techniques et financiers, l’expérience</w:t>
            </w:r>
            <w:r w:rsidR="00C72FAF" w:rsidRPr="00A64175">
              <w:t>, la compétence</w:t>
            </w:r>
            <w:r w:rsidRPr="00A64175">
              <w:t xml:space="preserve"> et la moralité de ses dirigeants, le montant de son capital social. L’intermédiaire doit pouvoir garantir</w:t>
            </w:r>
            <w:r w:rsidR="00C72FAF" w:rsidRPr="00A64175">
              <w:t>,</w:t>
            </w:r>
            <w:r w:rsidRPr="00A64175">
              <w:t xml:space="preserve"> en toutes circonstances</w:t>
            </w:r>
            <w:r w:rsidR="00C72FAF" w:rsidRPr="00A64175">
              <w:t>,</w:t>
            </w:r>
            <w:r w:rsidRPr="00A64175">
              <w:t xml:space="preserve"> la sécurité des opérations effectuées pour le compte de ses clients ;</w:t>
            </w:r>
          </w:p>
          <w:p w14:paraId="22706464" w14:textId="7819D803" w:rsidR="00095F65" w:rsidRPr="00A64175" w:rsidRDefault="00095F65" w:rsidP="00A64175">
            <w:pPr>
              <w:pStyle w:val="Paragraphedeliste"/>
              <w:numPr>
                <w:ilvl w:val="0"/>
                <w:numId w:val="24"/>
              </w:numPr>
              <w:tabs>
                <w:tab w:val="left" w:pos="1845"/>
              </w:tabs>
              <w:spacing w:before="0" w:beforeAutospacing="0" w:after="0" w:afterAutospacing="0" w:line="240" w:lineRule="auto"/>
              <w:rPr>
                <w:bCs/>
              </w:rPr>
            </w:pPr>
            <w:r w:rsidRPr="00A64175">
              <w:rPr>
                <w:bCs/>
              </w:rPr>
              <w:t xml:space="preserve">De l’existence et de la mise en œuvre d’un dispositif de gouvernance qui garantisse une gestion efficace et prudente de l’intermédiaire de marché, et notamment la séparation des tâches au sein de l’intermédiaire de marche et la prévention des conflits d’intérêts, de manière à promouvoir l’intégrité du marché et </w:t>
            </w:r>
            <w:r w:rsidR="00907AE5" w:rsidRPr="00A64175">
              <w:rPr>
                <w:bCs/>
              </w:rPr>
              <w:t xml:space="preserve">la primauté de </w:t>
            </w:r>
            <w:r w:rsidRPr="00A64175">
              <w:rPr>
                <w:bCs/>
              </w:rPr>
              <w:t>l’intérêt des clients.</w:t>
            </w:r>
          </w:p>
          <w:p w14:paraId="4CC804DA" w14:textId="29A2D317" w:rsidR="00095F65" w:rsidRPr="00A64175" w:rsidRDefault="0013117E" w:rsidP="00A64175">
            <w:pPr>
              <w:pStyle w:val="Paragraphedeliste"/>
              <w:numPr>
                <w:ilvl w:val="0"/>
                <w:numId w:val="24"/>
              </w:numPr>
              <w:tabs>
                <w:tab w:val="left" w:pos="1845"/>
              </w:tabs>
              <w:spacing w:before="0" w:beforeAutospacing="0" w:after="0" w:afterAutospacing="0" w:line="240" w:lineRule="auto"/>
            </w:pPr>
            <w:r w:rsidRPr="00A64175">
              <w:rPr>
                <w:bCs/>
              </w:rPr>
              <w:t>De l’existence de procédures visant à garantir le</w:t>
            </w:r>
            <w:r w:rsidR="00095F65" w:rsidRPr="00A64175">
              <w:rPr>
                <w:bCs/>
              </w:rPr>
              <w:t xml:space="preserve"> respect des règles prudentielles applicables ; </w:t>
            </w:r>
          </w:p>
          <w:p w14:paraId="6688DBF7" w14:textId="1141A18C" w:rsidR="0013117E" w:rsidRPr="00A64175" w:rsidRDefault="0013117E" w:rsidP="00A64175">
            <w:pPr>
              <w:pStyle w:val="Paragraphedeliste"/>
              <w:numPr>
                <w:ilvl w:val="0"/>
                <w:numId w:val="24"/>
              </w:numPr>
              <w:tabs>
                <w:tab w:val="left" w:pos="1845"/>
              </w:tabs>
              <w:spacing w:before="0" w:beforeAutospacing="0" w:after="0" w:afterAutospacing="0" w:line="240" w:lineRule="auto"/>
            </w:pPr>
            <w:r w:rsidRPr="00A64175">
              <w:rPr>
                <w:bCs/>
              </w:rPr>
              <w:t>De l’existence de procédures de prévention et de gestion des risques ;</w:t>
            </w:r>
          </w:p>
          <w:p w14:paraId="1DDF28B7" w14:textId="2A5CDBF0" w:rsidR="0013117E" w:rsidRPr="00A64175" w:rsidRDefault="0013117E" w:rsidP="00A64175">
            <w:pPr>
              <w:pStyle w:val="Paragraphedeliste"/>
              <w:numPr>
                <w:ilvl w:val="0"/>
                <w:numId w:val="24"/>
              </w:numPr>
              <w:tabs>
                <w:tab w:val="left" w:pos="1845"/>
              </w:tabs>
              <w:spacing w:before="0" w:beforeAutospacing="0" w:after="0" w:afterAutospacing="0" w:line="240" w:lineRule="auto"/>
            </w:pPr>
            <w:r w:rsidRPr="00A64175">
              <w:rPr>
                <w:bCs/>
              </w:rPr>
              <w:t>De l’existence de procédures encadrant le dispositif de conformité et de contrôle interne ;</w:t>
            </w:r>
          </w:p>
          <w:p w14:paraId="306F05B3" w14:textId="50BB52ED" w:rsidR="00095F65" w:rsidRPr="00A64175" w:rsidRDefault="00095F65" w:rsidP="00A64175">
            <w:pPr>
              <w:pStyle w:val="Paragraphedeliste"/>
              <w:numPr>
                <w:ilvl w:val="0"/>
                <w:numId w:val="24"/>
              </w:numPr>
              <w:tabs>
                <w:tab w:val="left" w:pos="1845"/>
              </w:tabs>
              <w:spacing w:before="0" w:beforeAutospacing="0" w:after="0" w:afterAutospacing="0" w:line="240" w:lineRule="auto"/>
            </w:pPr>
            <w:r w:rsidRPr="00A64175">
              <w:rPr>
                <w:bCs/>
              </w:rPr>
              <w:t>Que les actionnaires ou associés détenant une participation qualifiée, pr</w:t>
            </w:r>
            <w:r w:rsidR="0013117E" w:rsidRPr="00A64175">
              <w:rPr>
                <w:bCs/>
              </w:rPr>
              <w:t>ésentent les qualités permettant de garantir</w:t>
            </w:r>
            <w:r w:rsidRPr="00A64175">
              <w:rPr>
                <w:bCs/>
              </w:rPr>
              <w:t xml:space="preserve"> une gestion saine et prudent</w:t>
            </w:r>
            <w:r w:rsidR="0013117E" w:rsidRPr="00A64175">
              <w:rPr>
                <w:bCs/>
              </w:rPr>
              <w:t>e de l’intermédiaire de marché.</w:t>
            </w:r>
          </w:p>
          <w:p w14:paraId="2E3A6A16" w14:textId="77777777" w:rsidR="00095F65" w:rsidRPr="00A64175" w:rsidRDefault="00095F65" w:rsidP="00A64175">
            <w:pPr>
              <w:tabs>
                <w:tab w:val="left" w:pos="1845"/>
              </w:tabs>
              <w:ind w:left="360"/>
              <w:jc w:val="both"/>
              <w:rPr>
                <w:rFonts w:ascii="Arial" w:hAnsi="Arial" w:cs="Arial"/>
              </w:rPr>
            </w:pPr>
          </w:p>
          <w:p w14:paraId="1204A177" w14:textId="71F5DDA9" w:rsidR="00095F65" w:rsidRPr="00A64175" w:rsidRDefault="00095F65" w:rsidP="00A64175">
            <w:pPr>
              <w:pStyle w:val="Paragraphedeliste"/>
              <w:numPr>
                <w:ilvl w:val="0"/>
                <w:numId w:val="107"/>
              </w:numPr>
              <w:tabs>
                <w:tab w:val="left" w:pos="1845"/>
              </w:tabs>
              <w:spacing w:before="0" w:beforeAutospacing="0" w:after="0" w:afterAutospacing="0" w:line="240" w:lineRule="auto"/>
              <w:ind w:left="457"/>
              <w:rPr>
                <w:b/>
                <w:bCs/>
              </w:rPr>
            </w:pPr>
            <w:r w:rsidRPr="00A64175">
              <w:rPr>
                <w:bCs/>
              </w:rPr>
              <w:t>Si l’intermé</w:t>
            </w:r>
            <w:r w:rsidR="0013117E" w:rsidRPr="00A64175">
              <w:rPr>
                <w:bCs/>
              </w:rPr>
              <w:t>diaire est également établi ou possède</w:t>
            </w:r>
            <w:r w:rsidRPr="00A64175">
              <w:rPr>
                <w:bCs/>
              </w:rPr>
              <w:t xml:space="preserve"> des liens étroits avec des personn</w:t>
            </w:r>
            <w:r w:rsidR="0013117E" w:rsidRPr="00A64175">
              <w:rPr>
                <w:bCs/>
              </w:rPr>
              <w:t xml:space="preserve">es situées hors zone UMAC, </w:t>
            </w:r>
            <w:r w:rsidR="004F5996" w:rsidRPr="00A64175">
              <w:rPr>
                <w:bCs/>
              </w:rPr>
              <w:t xml:space="preserve">la COSUMAF s’assure </w:t>
            </w:r>
            <w:r w:rsidR="0013117E" w:rsidRPr="00A64175">
              <w:rPr>
                <w:bCs/>
              </w:rPr>
              <w:t>de l’</w:t>
            </w:r>
            <w:r w:rsidR="004F5996" w:rsidRPr="00A64175">
              <w:rPr>
                <w:bCs/>
              </w:rPr>
              <w:t>existence d’</w:t>
            </w:r>
            <w:r w:rsidRPr="00A64175">
              <w:rPr>
                <w:bCs/>
              </w:rPr>
              <w:t xml:space="preserve">accords de coopération </w:t>
            </w:r>
            <w:r w:rsidR="004F5996" w:rsidRPr="00A64175">
              <w:rPr>
                <w:bCs/>
              </w:rPr>
              <w:t>visant à lui permettre d’exercer</w:t>
            </w:r>
            <w:r w:rsidRPr="00A64175">
              <w:rPr>
                <w:bCs/>
              </w:rPr>
              <w:t xml:space="preserve"> effectivement ses fonctions de surveillance. </w:t>
            </w:r>
          </w:p>
        </w:tc>
      </w:tr>
      <w:tr w:rsidR="00095F65" w:rsidRPr="00A64175" w14:paraId="5F60843A" w14:textId="77777777" w:rsidTr="00EC563C">
        <w:tc>
          <w:tcPr>
            <w:tcW w:w="9214" w:type="dxa"/>
          </w:tcPr>
          <w:p w14:paraId="2EEE6B68" w14:textId="77777777" w:rsidR="00095F65" w:rsidRPr="00A64175" w:rsidRDefault="00095F65" w:rsidP="00A64175">
            <w:pPr>
              <w:widowControl w:val="0"/>
              <w:autoSpaceDE w:val="0"/>
              <w:adjustRightInd w:val="0"/>
              <w:jc w:val="both"/>
              <w:rPr>
                <w:rFonts w:ascii="Arial" w:hAnsi="Arial" w:cs="Arial"/>
                <w:b/>
                <w:bCs/>
              </w:rPr>
            </w:pPr>
          </w:p>
          <w:p w14:paraId="3CB5A7B3" w14:textId="11CC9DD6" w:rsidR="00095F65"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2</w:t>
            </w:r>
            <w:r w:rsidR="001956AF">
              <w:rPr>
                <w:rFonts w:ascii="Arial" w:hAnsi="Arial" w:cs="Arial"/>
                <w:b/>
              </w:rPr>
              <w:t>7</w:t>
            </w:r>
            <w:r w:rsidR="009B217F" w:rsidRPr="00A64175">
              <w:rPr>
                <w:rFonts w:ascii="Arial" w:hAnsi="Arial" w:cs="Arial"/>
                <w:b/>
              </w:rPr>
              <w:t>. –</w:t>
            </w:r>
            <w:r w:rsidR="009B217F" w:rsidRPr="00A64175">
              <w:rPr>
                <w:rFonts w:ascii="Arial" w:hAnsi="Arial" w:cs="Arial"/>
                <w:color w:val="000000"/>
              </w:rPr>
              <w:t xml:space="preserve"> </w:t>
            </w:r>
            <w:r w:rsidR="00095F65" w:rsidRPr="00A64175">
              <w:rPr>
                <w:rFonts w:ascii="Arial" w:hAnsi="Arial" w:cs="Arial"/>
                <w:bCs/>
              </w:rPr>
              <w:t>L’agrément</w:t>
            </w:r>
            <w:r w:rsidR="00095F65" w:rsidRPr="00A64175">
              <w:rPr>
                <w:rFonts w:ascii="Arial" w:hAnsi="Arial" w:cs="Arial"/>
              </w:rPr>
              <w:t xml:space="preserve"> d’une société de bourse en tant qu’intermédiaire de marché requiert l’avis préalable de la BVMAC. Un intermédiaire souhaitant exercer</w:t>
            </w:r>
            <w:r w:rsidR="00095F65" w:rsidRPr="00A64175">
              <w:rPr>
                <w:rFonts w:ascii="Arial" w:hAnsi="Arial" w:cs="Arial"/>
                <w:bCs/>
              </w:rPr>
              <w:t xml:space="preserve"> une </w:t>
            </w:r>
            <w:r w:rsidR="004F5996" w:rsidRPr="00A64175">
              <w:rPr>
                <w:rFonts w:ascii="Arial" w:hAnsi="Arial" w:cs="Arial"/>
              </w:rPr>
              <w:t>activité de tenue de compte de titres</w:t>
            </w:r>
            <w:r w:rsidR="00095F65" w:rsidRPr="00A64175">
              <w:rPr>
                <w:rFonts w:ascii="Arial" w:hAnsi="Arial" w:cs="Arial"/>
              </w:rPr>
              <w:t xml:space="preserve"> requiert, préalablement, l’avis du Dépositaire Central. </w:t>
            </w:r>
          </w:p>
          <w:p w14:paraId="0B9B4987" w14:textId="4E76C022" w:rsidR="009B217F" w:rsidRPr="00A64175" w:rsidRDefault="009B217F" w:rsidP="00A64175">
            <w:pPr>
              <w:widowControl w:val="0"/>
              <w:autoSpaceDE w:val="0"/>
              <w:adjustRightInd w:val="0"/>
              <w:jc w:val="both"/>
              <w:rPr>
                <w:rFonts w:ascii="Arial" w:hAnsi="Arial" w:cs="Arial"/>
                <w:b/>
                <w:bCs/>
              </w:rPr>
            </w:pPr>
          </w:p>
        </w:tc>
      </w:tr>
      <w:tr w:rsidR="00095F65" w:rsidRPr="00A64175" w14:paraId="5F68426A" w14:textId="77777777" w:rsidTr="00EC563C">
        <w:tc>
          <w:tcPr>
            <w:tcW w:w="9214" w:type="dxa"/>
          </w:tcPr>
          <w:p w14:paraId="14BD8A27" w14:textId="112EE2A6" w:rsidR="00095F65" w:rsidRPr="00A64175" w:rsidRDefault="00C61FF8" w:rsidP="00A64175">
            <w:pPr>
              <w:tabs>
                <w:tab w:val="left" w:pos="1845"/>
              </w:tabs>
              <w:jc w:val="both"/>
              <w:rPr>
                <w:rFonts w:ascii="Arial" w:hAnsi="Arial" w:cs="Arial"/>
              </w:rPr>
            </w:pPr>
            <w:r w:rsidRPr="00A64175">
              <w:rPr>
                <w:rFonts w:ascii="Arial" w:hAnsi="Arial" w:cs="Arial"/>
                <w:b/>
              </w:rPr>
              <w:t>Article2</w:t>
            </w:r>
            <w:r w:rsidR="004510A8">
              <w:rPr>
                <w:rFonts w:ascii="Arial" w:hAnsi="Arial" w:cs="Arial"/>
                <w:b/>
              </w:rPr>
              <w:t>2</w:t>
            </w:r>
            <w:r w:rsidR="001956AF">
              <w:rPr>
                <w:rFonts w:ascii="Arial" w:hAnsi="Arial" w:cs="Arial"/>
                <w:b/>
              </w:rPr>
              <w:t>8</w:t>
            </w:r>
            <w:r w:rsidR="009B217F" w:rsidRPr="00A64175">
              <w:rPr>
                <w:rFonts w:ascii="Arial" w:hAnsi="Arial" w:cs="Arial"/>
                <w:b/>
              </w:rPr>
              <w:t>. –</w:t>
            </w:r>
            <w:r w:rsidR="009B217F" w:rsidRPr="00A64175">
              <w:rPr>
                <w:rFonts w:ascii="Arial" w:hAnsi="Arial" w:cs="Arial"/>
                <w:color w:val="000000"/>
              </w:rPr>
              <w:t xml:space="preserve"> </w:t>
            </w:r>
            <w:r w:rsidR="00095F65" w:rsidRPr="00A64175">
              <w:rPr>
                <w:rFonts w:ascii="Arial" w:hAnsi="Arial" w:cs="Arial"/>
              </w:rPr>
              <w:t xml:space="preserve">L’octroi d’un agrément est une décision individuelle, inaliénable et intransmissible, qui précise l’étendue des activités autorisées, l’identité des membres de </w:t>
            </w:r>
            <w:r w:rsidR="00DC3E08" w:rsidRPr="00A64175">
              <w:rPr>
                <w:rFonts w:ascii="Arial" w:hAnsi="Arial" w:cs="Arial"/>
              </w:rPr>
              <w:t>la direction et des actionnaires</w:t>
            </w:r>
            <w:r w:rsidR="00095F65" w:rsidRPr="00A64175">
              <w:rPr>
                <w:rFonts w:ascii="Arial" w:hAnsi="Arial" w:cs="Arial"/>
              </w:rPr>
              <w:t xml:space="preserve">. </w:t>
            </w:r>
            <w:r w:rsidR="00095F65" w:rsidRPr="00A64175">
              <w:rPr>
                <w:rFonts w:ascii="Arial" w:hAnsi="Arial" w:cs="Arial"/>
                <w:bCs/>
              </w:rPr>
              <w:t>Les décisions d</w:t>
            </w:r>
            <w:r w:rsidR="00DC3E08" w:rsidRPr="00A64175">
              <w:rPr>
                <w:rFonts w:ascii="Arial" w:hAnsi="Arial" w:cs="Arial"/>
                <w:bCs/>
              </w:rPr>
              <w:t>e refus d’agrément  sont dû</w:t>
            </w:r>
            <w:r w:rsidR="00095F65" w:rsidRPr="00A64175">
              <w:rPr>
                <w:rFonts w:ascii="Arial" w:hAnsi="Arial" w:cs="Arial"/>
                <w:bCs/>
              </w:rPr>
              <w:t xml:space="preserve">ment motivées. </w:t>
            </w:r>
          </w:p>
          <w:p w14:paraId="4669AEEB"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8F6DB45" w14:textId="77777777" w:rsidTr="00EC563C">
        <w:tc>
          <w:tcPr>
            <w:tcW w:w="9214" w:type="dxa"/>
          </w:tcPr>
          <w:p w14:paraId="6EBBF283" w14:textId="4BB9D0EE" w:rsidR="008E433A"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2</w:t>
            </w:r>
            <w:r w:rsidR="00436240">
              <w:rPr>
                <w:rFonts w:ascii="Arial" w:hAnsi="Arial" w:cs="Arial"/>
                <w:b/>
              </w:rPr>
              <w:t>9</w:t>
            </w:r>
            <w:r w:rsidR="009B217F" w:rsidRPr="00A64175">
              <w:rPr>
                <w:rFonts w:ascii="Arial" w:hAnsi="Arial" w:cs="Arial"/>
                <w:b/>
              </w:rPr>
              <w:t>. –</w:t>
            </w:r>
            <w:r w:rsidR="009B217F" w:rsidRPr="00A64175">
              <w:rPr>
                <w:rFonts w:ascii="Arial" w:hAnsi="Arial" w:cs="Arial"/>
                <w:color w:val="000000"/>
              </w:rPr>
              <w:t xml:space="preserve"> </w:t>
            </w:r>
            <w:r w:rsidR="00095F65" w:rsidRPr="00A64175">
              <w:rPr>
                <w:rFonts w:ascii="Arial" w:hAnsi="Arial" w:cs="Arial"/>
              </w:rPr>
              <w:t>Au moins deux personnes dirigent effectivement les activités de l’intermédiaire de marché. Ces personnes</w:t>
            </w:r>
            <w:r w:rsidR="00DC3E08" w:rsidRPr="00A64175">
              <w:rPr>
                <w:rFonts w:ascii="Arial" w:hAnsi="Arial" w:cs="Arial"/>
              </w:rPr>
              <w:t xml:space="preserve"> veillent au respect, en toutes circonstances, des</w:t>
            </w:r>
            <w:r w:rsidR="008E433A" w:rsidRPr="00A64175">
              <w:rPr>
                <w:rFonts w:ascii="Arial" w:hAnsi="Arial" w:cs="Arial"/>
              </w:rPr>
              <w:t xml:space="preserve"> dispositions législatives et</w:t>
            </w:r>
            <w:r w:rsidR="00DC3E08" w:rsidRPr="00A64175">
              <w:rPr>
                <w:rFonts w:ascii="Arial" w:hAnsi="Arial" w:cs="Arial"/>
              </w:rPr>
              <w:t xml:space="preserve"> réglementaires</w:t>
            </w:r>
            <w:r w:rsidR="00095F65" w:rsidRPr="00A64175">
              <w:rPr>
                <w:rFonts w:ascii="Arial" w:hAnsi="Arial" w:cs="Arial"/>
              </w:rPr>
              <w:t xml:space="preserve">. </w:t>
            </w:r>
          </w:p>
          <w:p w14:paraId="3DC8BC91" w14:textId="2D900D4F" w:rsidR="008E433A" w:rsidRPr="00A64175" w:rsidRDefault="008E433A" w:rsidP="00A64175">
            <w:pPr>
              <w:widowControl w:val="0"/>
              <w:autoSpaceDE w:val="0"/>
              <w:adjustRightInd w:val="0"/>
              <w:jc w:val="both"/>
              <w:rPr>
                <w:rFonts w:ascii="Arial" w:hAnsi="Arial" w:cs="Arial"/>
              </w:rPr>
            </w:pPr>
          </w:p>
        </w:tc>
      </w:tr>
      <w:tr w:rsidR="00095F65" w:rsidRPr="00A64175" w14:paraId="62A7542B" w14:textId="77777777" w:rsidTr="00EC563C">
        <w:tc>
          <w:tcPr>
            <w:tcW w:w="9214" w:type="dxa"/>
          </w:tcPr>
          <w:p w14:paraId="1146C2AE"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88C73C1" w14:textId="77777777" w:rsidTr="00EC563C">
        <w:tc>
          <w:tcPr>
            <w:tcW w:w="9214" w:type="dxa"/>
          </w:tcPr>
          <w:p w14:paraId="4854CFFC" w14:textId="32911700" w:rsidR="00095F65"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36240">
              <w:rPr>
                <w:rFonts w:ascii="Arial" w:hAnsi="Arial" w:cs="Arial"/>
                <w:b/>
              </w:rPr>
              <w:t>30</w:t>
            </w:r>
            <w:r w:rsidR="009B217F" w:rsidRPr="00A64175">
              <w:rPr>
                <w:rFonts w:ascii="Arial" w:hAnsi="Arial" w:cs="Arial"/>
                <w:b/>
              </w:rPr>
              <w:t>. –</w:t>
            </w:r>
            <w:r w:rsidR="009B217F" w:rsidRPr="00A64175">
              <w:rPr>
                <w:rFonts w:ascii="Arial" w:hAnsi="Arial" w:cs="Arial"/>
                <w:color w:val="000000"/>
              </w:rPr>
              <w:t xml:space="preserve"> </w:t>
            </w:r>
            <w:r w:rsidR="00095F65" w:rsidRPr="00A64175">
              <w:rPr>
                <w:rFonts w:ascii="Arial" w:hAnsi="Arial" w:cs="Arial"/>
                <w:bCs/>
              </w:rPr>
              <w:t>La</w:t>
            </w:r>
            <w:r w:rsidR="00095F65" w:rsidRPr="00A64175">
              <w:rPr>
                <w:rFonts w:ascii="Arial" w:hAnsi="Arial" w:cs="Arial"/>
              </w:rPr>
              <w:t xml:space="preserve"> décision d’agrément</w:t>
            </w:r>
            <w:r w:rsidR="008E433A" w:rsidRPr="00A64175">
              <w:rPr>
                <w:rFonts w:ascii="Arial" w:hAnsi="Arial" w:cs="Arial"/>
              </w:rPr>
              <w:t xml:space="preserve"> est publiée sur le site internet de la </w:t>
            </w:r>
            <w:r w:rsidR="00A10A90" w:rsidRPr="00A64175">
              <w:rPr>
                <w:rFonts w:ascii="Arial" w:hAnsi="Arial" w:cs="Arial"/>
              </w:rPr>
              <w:t>COSUMAF. Elle</w:t>
            </w:r>
            <w:r w:rsidR="00095F65" w:rsidRPr="00A64175">
              <w:rPr>
                <w:rFonts w:ascii="Arial" w:hAnsi="Arial" w:cs="Arial"/>
              </w:rPr>
              <w:t xml:space="preserve"> fait l’objet d’un avis publié dans un journal d’annonces légales. Dans toutes leurs documentations et communications, y compris les communicat</w:t>
            </w:r>
            <w:r w:rsidR="00A10A90" w:rsidRPr="00A64175">
              <w:rPr>
                <w:rFonts w:ascii="Arial" w:hAnsi="Arial" w:cs="Arial"/>
              </w:rPr>
              <w:t>ions à caractère promotionnel</w:t>
            </w:r>
            <w:r w:rsidR="00095F65" w:rsidRPr="00A64175">
              <w:rPr>
                <w:rFonts w:ascii="Arial" w:hAnsi="Arial" w:cs="Arial"/>
              </w:rPr>
              <w:t>, les intermédiair</w:t>
            </w:r>
            <w:r w:rsidR="00A10A90" w:rsidRPr="00A64175">
              <w:rPr>
                <w:rFonts w:ascii="Arial" w:hAnsi="Arial" w:cs="Arial"/>
              </w:rPr>
              <w:t>es de marché agréés doivent faire figurer leur dénomination sociale et l</w:t>
            </w:r>
            <w:r w:rsidR="00095F65" w:rsidRPr="00A64175">
              <w:rPr>
                <w:rFonts w:ascii="Arial" w:hAnsi="Arial" w:cs="Arial"/>
              </w:rPr>
              <w:t>es références de leur agrément.</w:t>
            </w:r>
          </w:p>
          <w:p w14:paraId="78BBD2A1" w14:textId="77777777" w:rsidR="00095F65" w:rsidRPr="00A64175" w:rsidRDefault="00095F65" w:rsidP="00A64175">
            <w:pPr>
              <w:widowControl w:val="0"/>
              <w:autoSpaceDE w:val="0"/>
              <w:adjustRightInd w:val="0"/>
              <w:jc w:val="both"/>
              <w:rPr>
                <w:rFonts w:ascii="Arial" w:hAnsi="Arial" w:cs="Arial"/>
                <w:kern w:val="1"/>
              </w:rPr>
            </w:pPr>
          </w:p>
        </w:tc>
      </w:tr>
      <w:tr w:rsidR="00095F65" w:rsidRPr="00A64175" w14:paraId="2358568D" w14:textId="77777777" w:rsidTr="00EC563C">
        <w:tc>
          <w:tcPr>
            <w:tcW w:w="9214" w:type="dxa"/>
          </w:tcPr>
          <w:p w14:paraId="1F41AA54" w14:textId="032C1AFE" w:rsidR="00095F65" w:rsidRPr="00A64175" w:rsidRDefault="00C61FF8" w:rsidP="00A64175">
            <w:pPr>
              <w:widowControl w:val="0"/>
              <w:autoSpaceDE w:val="0"/>
              <w:adjustRightInd w:val="0"/>
              <w:jc w:val="both"/>
              <w:rPr>
                <w:rFonts w:ascii="Arial" w:hAnsi="Arial" w:cs="Arial"/>
                <w:b/>
                <w:bCs/>
              </w:rPr>
            </w:pPr>
            <w:r w:rsidRPr="00A64175">
              <w:rPr>
                <w:rFonts w:ascii="Arial" w:hAnsi="Arial" w:cs="Arial"/>
                <w:b/>
              </w:rPr>
              <w:t>Article 2</w:t>
            </w:r>
            <w:r w:rsidR="004510A8">
              <w:rPr>
                <w:rFonts w:ascii="Arial" w:hAnsi="Arial" w:cs="Arial"/>
                <w:b/>
              </w:rPr>
              <w:t>3</w:t>
            </w:r>
            <w:r w:rsidR="00436240">
              <w:rPr>
                <w:rFonts w:ascii="Arial" w:hAnsi="Arial" w:cs="Arial"/>
                <w:b/>
              </w:rPr>
              <w:t>1</w:t>
            </w:r>
            <w:r w:rsidR="00A10A90" w:rsidRPr="00A64175">
              <w:rPr>
                <w:rFonts w:ascii="Arial" w:hAnsi="Arial" w:cs="Arial"/>
                <w:b/>
              </w:rPr>
              <w:t>. –</w:t>
            </w:r>
            <w:r w:rsidR="00A10A90" w:rsidRPr="00A64175">
              <w:rPr>
                <w:rFonts w:ascii="Arial" w:hAnsi="Arial" w:cs="Arial"/>
                <w:color w:val="000000"/>
              </w:rPr>
              <w:t xml:space="preserve"> </w:t>
            </w:r>
            <w:r w:rsidR="00095F65" w:rsidRPr="00A64175">
              <w:rPr>
                <w:rFonts w:ascii="Arial" w:hAnsi="Arial" w:cs="Arial"/>
              </w:rPr>
              <w:t>Les modifications qui affectent la nature des activités pour lesquelles un i</w:t>
            </w:r>
            <w:r w:rsidR="00D91149" w:rsidRPr="00A64175">
              <w:rPr>
                <w:rFonts w:ascii="Arial" w:hAnsi="Arial" w:cs="Arial"/>
              </w:rPr>
              <w:t>ntermédiaire de marché est agréé</w:t>
            </w:r>
            <w:r w:rsidR="00095F65" w:rsidRPr="00A64175">
              <w:rPr>
                <w:rFonts w:ascii="Arial" w:hAnsi="Arial" w:cs="Arial"/>
              </w:rPr>
              <w:t>, sont subordonnées à la mise à jour du programme d’activité de l’int</w:t>
            </w:r>
            <w:r w:rsidR="00D91149" w:rsidRPr="00A64175">
              <w:rPr>
                <w:rFonts w:ascii="Arial" w:hAnsi="Arial" w:cs="Arial"/>
              </w:rPr>
              <w:t>ermédiaire, soumis à</w:t>
            </w:r>
            <w:r w:rsidR="00095F65" w:rsidRPr="00A64175">
              <w:rPr>
                <w:rFonts w:ascii="Arial" w:hAnsi="Arial" w:cs="Arial"/>
              </w:rPr>
              <w:t xml:space="preserve"> la COSUMAF.</w:t>
            </w:r>
          </w:p>
          <w:p w14:paraId="35300B9E" w14:textId="77777777" w:rsidR="00095F65" w:rsidRPr="00A64175" w:rsidRDefault="00095F65" w:rsidP="00A64175">
            <w:pPr>
              <w:widowControl w:val="0"/>
              <w:autoSpaceDE w:val="0"/>
              <w:adjustRightInd w:val="0"/>
              <w:jc w:val="both"/>
              <w:rPr>
                <w:rFonts w:ascii="Arial" w:hAnsi="Arial" w:cs="Arial"/>
                <w:kern w:val="1"/>
              </w:rPr>
            </w:pPr>
          </w:p>
          <w:p w14:paraId="0F3A8198" w14:textId="6C24B8AA" w:rsidR="00095F65" w:rsidRPr="00A64175" w:rsidRDefault="00D91149" w:rsidP="00A64175">
            <w:pPr>
              <w:widowControl w:val="0"/>
              <w:autoSpaceDE w:val="0"/>
              <w:adjustRightInd w:val="0"/>
              <w:jc w:val="both"/>
              <w:rPr>
                <w:rFonts w:ascii="Arial" w:hAnsi="Arial" w:cs="Arial"/>
                <w:kern w:val="1"/>
              </w:rPr>
            </w:pPr>
            <w:r w:rsidRPr="00A64175">
              <w:rPr>
                <w:rFonts w:ascii="Arial" w:hAnsi="Arial" w:cs="Arial"/>
              </w:rPr>
              <w:t>La COSUMAF apprécie</w:t>
            </w:r>
            <w:r w:rsidR="00095F65" w:rsidRPr="00A64175">
              <w:rPr>
                <w:rFonts w:ascii="Arial" w:hAnsi="Arial" w:cs="Arial"/>
              </w:rPr>
              <w:t xml:space="preserve"> les modifications app</w:t>
            </w:r>
            <w:r w:rsidRPr="00A64175">
              <w:rPr>
                <w:rFonts w:ascii="Arial" w:hAnsi="Arial" w:cs="Arial"/>
              </w:rPr>
              <w:t>ortées au programme d’activité</w:t>
            </w:r>
            <w:r w:rsidR="00095F65" w:rsidRPr="00A64175">
              <w:rPr>
                <w:rFonts w:ascii="Arial" w:hAnsi="Arial" w:cs="Arial"/>
              </w:rPr>
              <w:t xml:space="preserve"> au regard </w:t>
            </w:r>
            <w:r w:rsidRPr="00A64175">
              <w:rPr>
                <w:rFonts w:ascii="Arial" w:hAnsi="Arial" w:cs="Arial"/>
              </w:rPr>
              <w:t xml:space="preserve">notamment </w:t>
            </w:r>
            <w:r w:rsidR="00095F65" w:rsidRPr="00A64175">
              <w:rPr>
                <w:rFonts w:ascii="Arial" w:hAnsi="Arial" w:cs="Arial"/>
              </w:rPr>
              <w:t>de leur impact sur l’organisation d</w:t>
            </w:r>
            <w:r w:rsidRPr="00A64175">
              <w:rPr>
                <w:rFonts w:ascii="Arial" w:hAnsi="Arial" w:cs="Arial"/>
              </w:rPr>
              <w:t>e l’intermédiaire de marché et sur l</w:t>
            </w:r>
            <w:r w:rsidR="00095F65" w:rsidRPr="00A64175">
              <w:rPr>
                <w:rFonts w:ascii="Arial" w:hAnsi="Arial" w:cs="Arial"/>
              </w:rPr>
              <w:t>es conditions d’agrément de l’intermédiaire.</w:t>
            </w:r>
          </w:p>
          <w:p w14:paraId="2497151A" w14:textId="77777777" w:rsidR="00095F65" w:rsidRPr="00A64175" w:rsidRDefault="00095F65" w:rsidP="00A64175">
            <w:pPr>
              <w:widowControl w:val="0"/>
              <w:autoSpaceDE w:val="0"/>
              <w:adjustRightInd w:val="0"/>
              <w:jc w:val="both"/>
              <w:rPr>
                <w:rFonts w:ascii="Arial" w:hAnsi="Arial" w:cs="Arial"/>
                <w:b/>
                <w:bCs/>
              </w:rPr>
            </w:pPr>
          </w:p>
          <w:p w14:paraId="528A6BD9" w14:textId="77777777" w:rsidR="00223593" w:rsidRPr="00A64175" w:rsidRDefault="00223593" w:rsidP="00A64175">
            <w:pPr>
              <w:widowControl w:val="0"/>
              <w:autoSpaceDE w:val="0"/>
              <w:adjustRightInd w:val="0"/>
              <w:jc w:val="both"/>
              <w:rPr>
                <w:rFonts w:ascii="Arial" w:hAnsi="Arial" w:cs="Arial"/>
                <w:b/>
                <w:bCs/>
              </w:rPr>
            </w:pPr>
          </w:p>
        </w:tc>
      </w:tr>
      <w:tr w:rsidR="00095F65" w:rsidRPr="00A64175" w14:paraId="1E4A48A0" w14:textId="77777777" w:rsidTr="00EC563C">
        <w:tc>
          <w:tcPr>
            <w:tcW w:w="9214" w:type="dxa"/>
            <w:shd w:val="clear" w:color="auto" w:fill="auto"/>
          </w:tcPr>
          <w:p w14:paraId="0EFD1639" w14:textId="41328769" w:rsidR="00095F65" w:rsidRPr="00A64175" w:rsidRDefault="00095F65" w:rsidP="00A64175">
            <w:pPr>
              <w:widowControl w:val="0"/>
              <w:autoSpaceDE w:val="0"/>
              <w:adjustRightInd w:val="0"/>
              <w:jc w:val="both"/>
              <w:rPr>
                <w:rFonts w:ascii="Arial" w:hAnsi="Arial" w:cs="Arial"/>
                <w:i/>
                <w:iCs/>
                <w:kern w:val="1"/>
              </w:rPr>
            </w:pPr>
            <w:r w:rsidRPr="00A64175">
              <w:rPr>
                <w:rFonts w:ascii="Arial" w:hAnsi="Arial" w:cs="Arial"/>
                <w:i/>
                <w:iCs/>
              </w:rPr>
              <w:t xml:space="preserve">Sous-section II : Nomination d’un administrateur </w:t>
            </w:r>
            <w:r w:rsidR="000654E6" w:rsidRPr="00A64175">
              <w:rPr>
                <w:rFonts w:ascii="Arial" w:hAnsi="Arial" w:cs="Arial"/>
                <w:i/>
                <w:iCs/>
              </w:rPr>
              <w:t>provisoire</w:t>
            </w:r>
          </w:p>
        </w:tc>
      </w:tr>
      <w:tr w:rsidR="00095F65" w:rsidRPr="00A64175" w14:paraId="5CF721EA" w14:textId="77777777" w:rsidTr="00EC563C">
        <w:tc>
          <w:tcPr>
            <w:tcW w:w="9214" w:type="dxa"/>
            <w:shd w:val="clear" w:color="auto" w:fill="auto"/>
          </w:tcPr>
          <w:p w14:paraId="22D0D348" w14:textId="5E1F5396" w:rsidR="00095F65" w:rsidRPr="00A64175" w:rsidRDefault="00095F65" w:rsidP="00A64175">
            <w:pPr>
              <w:widowControl w:val="0"/>
              <w:autoSpaceDE w:val="0"/>
              <w:adjustRightInd w:val="0"/>
              <w:jc w:val="both"/>
              <w:rPr>
                <w:rFonts w:ascii="Arial" w:hAnsi="Arial" w:cs="Arial"/>
                <w:b/>
                <w:bCs/>
              </w:rPr>
            </w:pPr>
          </w:p>
          <w:p w14:paraId="40462AA0" w14:textId="4E143A65" w:rsidR="00095F65"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3</w:t>
            </w:r>
            <w:r w:rsidR="00436240">
              <w:rPr>
                <w:rFonts w:ascii="Arial" w:hAnsi="Arial" w:cs="Arial"/>
                <w:b/>
              </w:rPr>
              <w:t>2</w:t>
            </w:r>
            <w:r w:rsidR="00D91149" w:rsidRPr="00A64175">
              <w:rPr>
                <w:rFonts w:ascii="Arial" w:hAnsi="Arial" w:cs="Arial"/>
                <w:b/>
              </w:rPr>
              <w:t>. –</w:t>
            </w:r>
            <w:r w:rsidR="00D91149" w:rsidRPr="00A64175">
              <w:rPr>
                <w:rFonts w:ascii="Arial" w:hAnsi="Arial" w:cs="Arial"/>
                <w:color w:val="000000"/>
              </w:rPr>
              <w:t xml:space="preserve"> </w:t>
            </w:r>
            <w:r w:rsidR="00837811" w:rsidRPr="00A64175">
              <w:rPr>
                <w:rFonts w:ascii="Arial" w:hAnsi="Arial" w:cs="Arial"/>
                <w:color w:val="000000"/>
              </w:rPr>
              <w:t>Lorsque les conditions prévues par</w:t>
            </w:r>
            <w:r w:rsidR="00D55C3C" w:rsidRPr="00A64175">
              <w:rPr>
                <w:rFonts w:ascii="Arial" w:hAnsi="Arial" w:cs="Arial"/>
                <w:color w:val="000000"/>
              </w:rPr>
              <w:t xml:space="preserve"> l’article 173 du Règlement n°01/22/CEMAC/UMAC/CM/COSUMAF du 21 juillet 2022</w:t>
            </w:r>
            <w:r w:rsidR="00837811" w:rsidRPr="00A64175">
              <w:rPr>
                <w:rFonts w:ascii="Arial" w:hAnsi="Arial" w:cs="Arial"/>
                <w:color w:val="000000"/>
              </w:rPr>
              <w:t xml:space="preserve"> sont réunies</w:t>
            </w:r>
            <w:r w:rsidR="00D55C3C" w:rsidRPr="00A64175">
              <w:rPr>
                <w:rFonts w:ascii="Arial" w:hAnsi="Arial" w:cs="Arial"/>
                <w:color w:val="000000"/>
              </w:rPr>
              <w:t xml:space="preserve">, </w:t>
            </w:r>
            <w:r w:rsidR="00D55C3C" w:rsidRPr="00A64175">
              <w:rPr>
                <w:rFonts w:ascii="Arial" w:hAnsi="Arial" w:cs="Arial"/>
                <w:bCs/>
              </w:rPr>
              <w:t>l</w:t>
            </w:r>
            <w:r w:rsidR="00837811" w:rsidRPr="00A64175">
              <w:rPr>
                <w:rFonts w:ascii="Arial" w:hAnsi="Arial" w:cs="Arial"/>
              </w:rPr>
              <w:t>a COSUMAF peut</w:t>
            </w:r>
            <w:r w:rsidR="00223593" w:rsidRPr="00A64175">
              <w:rPr>
                <w:rFonts w:ascii="Arial" w:hAnsi="Arial" w:cs="Arial"/>
              </w:rPr>
              <w:t xml:space="preserve"> </w:t>
            </w:r>
            <w:r w:rsidR="00DA083E" w:rsidRPr="00A64175">
              <w:rPr>
                <w:rFonts w:ascii="Arial" w:hAnsi="Arial" w:cs="Arial"/>
              </w:rPr>
              <w:t xml:space="preserve">décider de mettre sous administration provisoire un intermédiaire de marché. La décision de la COSUMAF est assortie de la </w:t>
            </w:r>
            <w:r w:rsidR="00837811" w:rsidRPr="00A64175">
              <w:rPr>
                <w:rFonts w:ascii="Arial" w:hAnsi="Arial" w:cs="Arial"/>
              </w:rPr>
              <w:t xml:space="preserve"> désign</w:t>
            </w:r>
            <w:r w:rsidR="00DA083E" w:rsidRPr="00A64175">
              <w:rPr>
                <w:rFonts w:ascii="Arial" w:hAnsi="Arial" w:cs="Arial"/>
              </w:rPr>
              <w:t>ation</w:t>
            </w:r>
            <w:r w:rsidR="00D55C3C" w:rsidRPr="00A64175">
              <w:rPr>
                <w:rFonts w:ascii="Arial" w:hAnsi="Arial" w:cs="Arial"/>
              </w:rPr>
              <w:t xml:space="preserve"> </w:t>
            </w:r>
            <w:r w:rsidR="00DA083E" w:rsidRPr="00A64175">
              <w:rPr>
                <w:rFonts w:ascii="Arial" w:hAnsi="Arial" w:cs="Arial"/>
              </w:rPr>
              <w:t>d’</w:t>
            </w:r>
            <w:r w:rsidR="00D55C3C" w:rsidRPr="00A64175">
              <w:rPr>
                <w:rFonts w:ascii="Arial" w:hAnsi="Arial" w:cs="Arial"/>
              </w:rPr>
              <w:t>un administrateur</w:t>
            </w:r>
            <w:r w:rsidR="00837811" w:rsidRPr="00A64175">
              <w:rPr>
                <w:rFonts w:ascii="Arial" w:hAnsi="Arial" w:cs="Arial"/>
              </w:rPr>
              <w:t xml:space="preserve"> provisoire, chargé d’exercer tous les pouvoirs d’administration, de</w:t>
            </w:r>
            <w:r w:rsidR="00095F65" w:rsidRPr="00A64175">
              <w:rPr>
                <w:rFonts w:ascii="Arial" w:hAnsi="Arial" w:cs="Arial"/>
              </w:rPr>
              <w:t xml:space="preserve"> direction</w:t>
            </w:r>
            <w:r w:rsidR="00837811" w:rsidRPr="00A64175">
              <w:rPr>
                <w:rFonts w:ascii="Arial" w:hAnsi="Arial" w:cs="Arial"/>
              </w:rPr>
              <w:t xml:space="preserve"> et de représentation de l’intermédiaire de </w:t>
            </w:r>
            <w:r w:rsidR="00095F65" w:rsidRPr="00A64175">
              <w:rPr>
                <w:rFonts w:ascii="Arial" w:hAnsi="Arial" w:cs="Arial"/>
              </w:rPr>
              <w:t xml:space="preserve"> marché. </w:t>
            </w:r>
            <w:r w:rsidR="00837811" w:rsidRPr="00A64175">
              <w:rPr>
                <w:rFonts w:ascii="Arial" w:hAnsi="Arial" w:cs="Arial"/>
              </w:rPr>
              <w:t xml:space="preserve"> </w:t>
            </w:r>
            <w:r w:rsidR="00DA083E" w:rsidRPr="00A64175">
              <w:rPr>
                <w:rFonts w:ascii="Arial" w:hAnsi="Arial" w:cs="Arial"/>
              </w:rPr>
              <w:t>Cette décision est notifiée, sans délai, à l’intermédiaire de marché.</w:t>
            </w:r>
          </w:p>
          <w:p w14:paraId="5EDE222D" w14:textId="77777777" w:rsidR="00095F65" w:rsidRPr="00A64175" w:rsidRDefault="00095F65" w:rsidP="00A64175">
            <w:pPr>
              <w:widowControl w:val="0"/>
              <w:autoSpaceDE w:val="0"/>
              <w:adjustRightInd w:val="0"/>
              <w:jc w:val="both"/>
              <w:rPr>
                <w:rFonts w:ascii="Arial" w:hAnsi="Arial" w:cs="Arial"/>
              </w:rPr>
            </w:pPr>
          </w:p>
          <w:p w14:paraId="584859DF" w14:textId="77777777" w:rsidR="00D55C3C" w:rsidRPr="00A64175" w:rsidRDefault="00D55C3C" w:rsidP="00A64175">
            <w:pPr>
              <w:widowControl w:val="0"/>
              <w:autoSpaceDE w:val="0"/>
              <w:adjustRightInd w:val="0"/>
              <w:jc w:val="both"/>
              <w:rPr>
                <w:rFonts w:ascii="Arial" w:hAnsi="Arial" w:cs="Arial"/>
              </w:rPr>
            </w:pPr>
          </w:p>
          <w:p w14:paraId="57B857BF" w14:textId="79111067" w:rsidR="00DA083E"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3</w:t>
            </w:r>
            <w:r w:rsidR="00436240">
              <w:rPr>
                <w:rFonts w:ascii="Arial" w:hAnsi="Arial" w:cs="Arial"/>
                <w:b/>
              </w:rPr>
              <w:t>3</w:t>
            </w:r>
            <w:r w:rsidR="00DA083E" w:rsidRPr="00A64175">
              <w:rPr>
                <w:rFonts w:ascii="Arial" w:hAnsi="Arial" w:cs="Arial"/>
                <w:b/>
              </w:rPr>
              <w:t>. –</w:t>
            </w:r>
            <w:r w:rsidR="00DA083E" w:rsidRPr="00A64175">
              <w:rPr>
                <w:rFonts w:ascii="Arial" w:hAnsi="Arial" w:cs="Arial"/>
                <w:color w:val="000000"/>
              </w:rPr>
              <w:t xml:space="preserve"> </w:t>
            </w:r>
            <w:r w:rsidR="00DF71FF" w:rsidRPr="00A64175">
              <w:rPr>
                <w:rFonts w:ascii="Arial" w:hAnsi="Arial" w:cs="Arial"/>
                <w:color w:val="000000"/>
              </w:rPr>
              <w:t>La décision de nomination de l’</w:t>
            </w:r>
            <w:r w:rsidR="001F2056" w:rsidRPr="00A64175">
              <w:rPr>
                <w:rFonts w:ascii="Arial" w:hAnsi="Arial" w:cs="Arial"/>
                <w:color w:val="000000"/>
              </w:rPr>
              <w:t>administrateur provisoire fixe</w:t>
            </w:r>
            <w:r w:rsidR="00DF71FF" w:rsidRPr="00A64175">
              <w:rPr>
                <w:rFonts w:ascii="Arial" w:hAnsi="Arial" w:cs="Arial"/>
                <w:color w:val="000000"/>
              </w:rPr>
              <w:t xml:space="preserve"> les conditions de sa rémunération</w:t>
            </w:r>
            <w:r w:rsidR="00B8434E" w:rsidRPr="00A64175">
              <w:rPr>
                <w:rFonts w:ascii="Arial" w:hAnsi="Arial" w:cs="Arial"/>
                <w:color w:val="000000"/>
              </w:rPr>
              <w:t xml:space="preserve"> et le cadre de sa mission, qui comprend notamment :</w:t>
            </w:r>
          </w:p>
          <w:p w14:paraId="6AAC9B0C" w14:textId="264CDA47" w:rsidR="00D55C3C" w:rsidRPr="00A64175" w:rsidRDefault="00B8434E" w:rsidP="00A64175">
            <w:pPr>
              <w:pStyle w:val="Paragraphedeliste"/>
              <w:widowControl w:val="0"/>
              <w:numPr>
                <w:ilvl w:val="0"/>
                <w:numId w:val="24"/>
              </w:numPr>
              <w:autoSpaceDE w:val="0"/>
              <w:adjustRightInd w:val="0"/>
            </w:pPr>
            <w:r w:rsidRPr="00A64175">
              <w:t>La durée de la mission ;</w:t>
            </w:r>
          </w:p>
          <w:p w14:paraId="6D5E9435" w14:textId="60D9F0DA" w:rsidR="00B8434E" w:rsidRPr="00A64175" w:rsidRDefault="00B8434E" w:rsidP="00A64175">
            <w:pPr>
              <w:pStyle w:val="Paragraphedeliste"/>
              <w:widowControl w:val="0"/>
              <w:numPr>
                <w:ilvl w:val="0"/>
                <w:numId w:val="24"/>
              </w:numPr>
              <w:autoSpaceDE w:val="0"/>
              <w:adjustRightInd w:val="0"/>
            </w:pPr>
            <w:r w:rsidRPr="00A64175">
              <w:t>Le rappel des attributions et des pouvoirs spécifiques dévolus à l’administrateur provisoire ;</w:t>
            </w:r>
          </w:p>
          <w:p w14:paraId="23F9B9FB" w14:textId="2F4040D6" w:rsidR="00B8434E" w:rsidRPr="00A64175" w:rsidRDefault="00B8434E" w:rsidP="00A64175">
            <w:pPr>
              <w:pStyle w:val="Paragraphedeliste"/>
              <w:widowControl w:val="0"/>
              <w:numPr>
                <w:ilvl w:val="0"/>
                <w:numId w:val="24"/>
              </w:numPr>
              <w:autoSpaceDE w:val="0"/>
              <w:adjustRightInd w:val="0"/>
            </w:pPr>
            <w:r w:rsidRPr="00A64175">
              <w:t>L’établissement de la situation générale de l’intermédiaire de marché à la date de prise de service de l’administrateur provisoire ;</w:t>
            </w:r>
          </w:p>
          <w:p w14:paraId="4F04109B" w14:textId="3335F981" w:rsidR="00B8434E" w:rsidRPr="00A64175" w:rsidRDefault="00B8434E" w:rsidP="00A64175">
            <w:pPr>
              <w:pStyle w:val="Paragraphedeliste"/>
              <w:widowControl w:val="0"/>
              <w:numPr>
                <w:ilvl w:val="0"/>
                <w:numId w:val="24"/>
              </w:numPr>
              <w:autoSpaceDE w:val="0"/>
              <w:adjustRightInd w:val="0"/>
            </w:pPr>
            <w:r w:rsidRPr="00A64175">
              <w:t>Les diligences attendues.</w:t>
            </w:r>
          </w:p>
          <w:p w14:paraId="1056F6DC" w14:textId="1EAF3CDA" w:rsidR="006F727E"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510A8">
              <w:rPr>
                <w:rFonts w:ascii="Arial" w:hAnsi="Arial" w:cs="Arial"/>
                <w:b/>
              </w:rPr>
              <w:t>3</w:t>
            </w:r>
            <w:r w:rsidR="00436240">
              <w:rPr>
                <w:rFonts w:ascii="Arial" w:hAnsi="Arial" w:cs="Arial"/>
                <w:b/>
              </w:rPr>
              <w:t>4</w:t>
            </w:r>
            <w:r w:rsidR="006F727E" w:rsidRPr="00A64175">
              <w:rPr>
                <w:rFonts w:ascii="Arial" w:hAnsi="Arial" w:cs="Arial"/>
                <w:b/>
              </w:rPr>
              <w:t>. –</w:t>
            </w:r>
            <w:r w:rsidR="006F727E" w:rsidRPr="00A64175">
              <w:rPr>
                <w:rFonts w:ascii="Arial" w:hAnsi="Arial" w:cs="Arial"/>
                <w:color w:val="000000"/>
              </w:rPr>
              <w:t xml:space="preserve"> </w:t>
            </w:r>
            <w:r w:rsidR="006F727E" w:rsidRPr="00A64175">
              <w:rPr>
                <w:rFonts w:ascii="Arial" w:hAnsi="Arial" w:cs="Arial"/>
              </w:rPr>
              <w:t>L’administrateur provisoire est placé sous la tutelle de la COSUMAF. Il ne peut, sans l’autorisation préalable de la COSUMAF, acquérir ni aliéner les biens immeubles et les titres détenus ou gérés en portefeuille.</w:t>
            </w:r>
          </w:p>
          <w:p w14:paraId="6A33C024" w14:textId="77777777" w:rsidR="006F727E" w:rsidRPr="00A64175" w:rsidRDefault="006F727E" w:rsidP="00A64175">
            <w:pPr>
              <w:widowControl w:val="0"/>
              <w:autoSpaceDE w:val="0"/>
              <w:adjustRightInd w:val="0"/>
              <w:jc w:val="both"/>
              <w:rPr>
                <w:rFonts w:ascii="Arial" w:hAnsi="Arial" w:cs="Arial"/>
              </w:rPr>
            </w:pPr>
          </w:p>
          <w:p w14:paraId="5E5F0775" w14:textId="77777777" w:rsidR="006F727E" w:rsidRPr="00A64175" w:rsidRDefault="006F727E" w:rsidP="00A64175">
            <w:pPr>
              <w:widowControl w:val="0"/>
              <w:autoSpaceDE w:val="0"/>
              <w:adjustRightInd w:val="0"/>
              <w:jc w:val="both"/>
              <w:rPr>
                <w:rFonts w:ascii="Arial" w:hAnsi="Arial" w:cs="Arial"/>
              </w:rPr>
            </w:pPr>
          </w:p>
          <w:p w14:paraId="01E3E5B7" w14:textId="43BE2D5E" w:rsidR="006F727E"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136261">
              <w:rPr>
                <w:rFonts w:ascii="Arial" w:hAnsi="Arial" w:cs="Arial"/>
                <w:b/>
              </w:rPr>
              <w:t>3</w:t>
            </w:r>
            <w:r w:rsidR="00436240">
              <w:rPr>
                <w:rFonts w:ascii="Arial" w:hAnsi="Arial" w:cs="Arial"/>
                <w:b/>
              </w:rPr>
              <w:t>5</w:t>
            </w:r>
            <w:r w:rsidR="006F727E" w:rsidRPr="00A64175">
              <w:rPr>
                <w:rFonts w:ascii="Arial" w:hAnsi="Arial" w:cs="Arial"/>
                <w:b/>
              </w:rPr>
              <w:t>. –</w:t>
            </w:r>
            <w:r w:rsidR="006F727E" w:rsidRPr="00A64175">
              <w:rPr>
                <w:rFonts w:ascii="Arial" w:hAnsi="Arial" w:cs="Arial"/>
                <w:color w:val="000000"/>
              </w:rPr>
              <w:t xml:space="preserve"> </w:t>
            </w:r>
            <w:r w:rsidR="006F727E" w:rsidRPr="00A64175">
              <w:rPr>
                <w:rFonts w:ascii="Arial" w:hAnsi="Arial" w:cs="Arial"/>
              </w:rPr>
              <w:t xml:space="preserve">L’administrateur provisoire est tenu d’établir et soumettre à la COSUMAF : </w:t>
            </w:r>
          </w:p>
          <w:p w14:paraId="754213E5" w14:textId="29C63828" w:rsidR="006F727E" w:rsidRPr="00A64175" w:rsidRDefault="006F727E" w:rsidP="00A64175">
            <w:pPr>
              <w:pStyle w:val="Paragraphedeliste"/>
              <w:widowControl w:val="0"/>
              <w:numPr>
                <w:ilvl w:val="0"/>
                <w:numId w:val="24"/>
              </w:numPr>
              <w:autoSpaceDE w:val="0"/>
              <w:adjustRightInd w:val="0"/>
            </w:pPr>
            <w:r w:rsidRPr="00A64175">
              <w:t>un rapport hebdomadaire décrivant l’évolution de l’activité, les perspectives et la situation financière et patrimoniale de l’intermédiaire de marché ;</w:t>
            </w:r>
          </w:p>
          <w:p w14:paraId="34651CF7" w14:textId="660940F0" w:rsidR="006F727E" w:rsidRPr="00A64175" w:rsidRDefault="006F727E" w:rsidP="00A64175">
            <w:pPr>
              <w:pStyle w:val="Paragraphedeliste"/>
              <w:widowControl w:val="0"/>
              <w:numPr>
                <w:ilvl w:val="0"/>
                <w:numId w:val="24"/>
              </w:numPr>
              <w:autoSpaceDE w:val="0"/>
              <w:adjustRightInd w:val="0"/>
            </w:pPr>
            <w:r w:rsidRPr="00A64175">
              <w:t>un rapport final au terme de la mission.</w:t>
            </w:r>
          </w:p>
          <w:p w14:paraId="0A940EA3" w14:textId="77777777" w:rsidR="00D55C3C" w:rsidRPr="00A64175" w:rsidRDefault="00D55C3C" w:rsidP="00A64175">
            <w:pPr>
              <w:widowControl w:val="0"/>
              <w:autoSpaceDE w:val="0"/>
              <w:adjustRightInd w:val="0"/>
              <w:jc w:val="both"/>
              <w:rPr>
                <w:rFonts w:ascii="Arial" w:hAnsi="Arial" w:cs="Arial"/>
              </w:rPr>
            </w:pPr>
          </w:p>
          <w:p w14:paraId="0AD20153" w14:textId="71DF557F" w:rsidR="00095F65" w:rsidRPr="00A64175" w:rsidRDefault="00C61FF8" w:rsidP="00A64175">
            <w:pPr>
              <w:widowControl w:val="0"/>
              <w:autoSpaceDE w:val="0"/>
              <w:adjustRightInd w:val="0"/>
              <w:jc w:val="both"/>
              <w:rPr>
                <w:rFonts w:ascii="Arial" w:hAnsi="Arial" w:cs="Arial"/>
                <w:kern w:val="1"/>
              </w:rPr>
            </w:pPr>
            <w:r w:rsidRPr="00A64175">
              <w:rPr>
                <w:rFonts w:ascii="Arial" w:hAnsi="Arial" w:cs="Arial"/>
                <w:b/>
              </w:rPr>
              <w:t>Article 2</w:t>
            </w:r>
            <w:r w:rsidR="00136261">
              <w:rPr>
                <w:rFonts w:ascii="Arial" w:hAnsi="Arial" w:cs="Arial"/>
                <w:b/>
              </w:rPr>
              <w:t>3</w:t>
            </w:r>
            <w:r w:rsidR="00436240">
              <w:rPr>
                <w:rFonts w:ascii="Arial" w:hAnsi="Arial" w:cs="Arial"/>
                <w:b/>
              </w:rPr>
              <w:t>6</w:t>
            </w:r>
            <w:r w:rsidR="00EC1DD5" w:rsidRPr="00A64175">
              <w:rPr>
                <w:rFonts w:ascii="Arial" w:hAnsi="Arial" w:cs="Arial"/>
                <w:b/>
              </w:rPr>
              <w:t>. –</w:t>
            </w:r>
            <w:r w:rsidR="00EC1DD5" w:rsidRPr="00A64175">
              <w:rPr>
                <w:rFonts w:ascii="Arial" w:hAnsi="Arial" w:cs="Arial"/>
                <w:color w:val="000000"/>
              </w:rPr>
              <w:t xml:space="preserve"> </w:t>
            </w:r>
            <w:r w:rsidR="00095F65" w:rsidRPr="00A64175">
              <w:rPr>
                <w:rFonts w:ascii="Arial" w:hAnsi="Arial" w:cs="Arial"/>
              </w:rPr>
              <w:t>L’administration provisoire prend fin en cas de cessation des paiements de l’intermédiaire de marché concernée. Une procédure collective doit alors être ouverte conformément aux dispositions de l’Acte Uniforme OHADA portant organisation des procédures collectives d’apurement du passif.</w:t>
            </w:r>
          </w:p>
          <w:p w14:paraId="358992FD" w14:textId="77777777" w:rsidR="00095F65" w:rsidRPr="00A64175" w:rsidRDefault="00095F65" w:rsidP="00A64175">
            <w:pPr>
              <w:widowControl w:val="0"/>
              <w:autoSpaceDE w:val="0"/>
              <w:adjustRightInd w:val="0"/>
              <w:jc w:val="both"/>
              <w:rPr>
                <w:rFonts w:ascii="Arial" w:hAnsi="Arial" w:cs="Arial"/>
                <w:kern w:val="1"/>
              </w:rPr>
            </w:pPr>
          </w:p>
          <w:p w14:paraId="0943BF80" w14:textId="77777777" w:rsidR="00095F65" w:rsidRPr="00A64175" w:rsidRDefault="00095F65" w:rsidP="00A64175">
            <w:pPr>
              <w:widowControl w:val="0"/>
              <w:autoSpaceDE w:val="0"/>
              <w:adjustRightInd w:val="0"/>
              <w:jc w:val="both"/>
              <w:rPr>
                <w:rFonts w:ascii="Arial" w:hAnsi="Arial" w:cs="Arial"/>
                <w:kern w:val="1"/>
              </w:rPr>
            </w:pPr>
          </w:p>
          <w:p w14:paraId="70DD7384" w14:textId="77777777" w:rsidR="000654E6" w:rsidRPr="00A64175" w:rsidRDefault="000654E6" w:rsidP="00A64175">
            <w:pPr>
              <w:widowControl w:val="0"/>
              <w:autoSpaceDE w:val="0"/>
              <w:adjustRightInd w:val="0"/>
              <w:jc w:val="both"/>
              <w:rPr>
                <w:rFonts w:ascii="Arial" w:hAnsi="Arial" w:cs="Arial"/>
                <w:b/>
                <w:bCs/>
              </w:rPr>
            </w:pPr>
          </w:p>
          <w:p w14:paraId="2021E16C" w14:textId="6E9C1697" w:rsidR="00095F65" w:rsidRPr="00A64175" w:rsidRDefault="000654E6" w:rsidP="00A64175">
            <w:pPr>
              <w:widowControl w:val="0"/>
              <w:autoSpaceDE w:val="0"/>
              <w:adjustRightInd w:val="0"/>
              <w:jc w:val="both"/>
              <w:rPr>
                <w:rFonts w:ascii="Arial" w:hAnsi="Arial" w:cs="Arial"/>
                <w:b/>
                <w:bCs/>
                <w:color w:val="000000" w:themeColor="text1"/>
              </w:rPr>
            </w:pPr>
            <w:r w:rsidRPr="00A64175">
              <w:rPr>
                <w:rFonts w:ascii="Arial" w:hAnsi="Arial" w:cs="Arial"/>
                <w:i/>
                <w:iCs/>
              </w:rPr>
              <w:t>Sous-section III : Retrait d’agrément</w:t>
            </w:r>
            <w:r w:rsidR="007550A7" w:rsidRPr="00A64175">
              <w:rPr>
                <w:rFonts w:ascii="Arial" w:hAnsi="Arial" w:cs="Arial"/>
                <w:i/>
                <w:iCs/>
              </w:rPr>
              <w:t xml:space="preserve"> et liquidation</w:t>
            </w:r>
          </w:p>
          <w:p w14:paraId="6D998B1A" w14:textId="77777777" w:rsidR="000654E6" w:rsidRPr="00A64175" w:rsidRDefault="000654E6" w:rsidP="00A64175">
            <w:pPr>
              <w:widowControl w:val="0"/>
              <w:autoSpaceDE w:val="0"/>
              <w:adjustRightInd w:val="0"/>
              <w:jc w:val="both"/>
              <w:rPr>
                <w:rFonts w:ascii="Arial" w:hAnsi="Arial" w:cs="Arial"/>
                <w:b/>
                <w:bCs/>
                <w:color w:val="000000" w:themeColor="text1"/>
              </w:rPr>
            </w:pPr>
          </w:p>
          <w:p w14:paraId="367A445B" w14:textId="77777777" w:rsidR="00183151" w:rsidRPr="00A64175" w:rsidRDefault="00183151" w:rsidP="00A64175">
            <w:pPr>
              <w:widowControl w:val="0"/>
              <w:autoSpaceDE w:val="0"/>
              <w:adjustRightInd w:val="0"/>
              <w:jc w:val="both"/>
              <w:rPr>
                <w:rFonts w:ascii="Arial" w:hAnsi="Arial" w:cs="Arial"/>
                <w:b/>
                <w:bCs/>
                <w:color w:val="000000" w:themeColor="text1"/>
              </w:rPr>
            </w:pPr>
          </w:p>
          <w:p w14:paraId="2D4F8147" w14:textId="1FDFEDFD" w:rsidR="007925CB" w:rsidRPr="00A64175" w:rsidRDefault="00183151" w:rsidP="00A64175">
            <w:pPr>
              <w:widowControl w:val="0"/>
              <w:autoSpaceDE w:val="0"/>
              <w:adjustRightInd w:val="0"/>
              <w:jc w:val="both"/>
              <w:rPr>
                <w:rFonts w:ascii="Arial" w:hAnsi="Arial" w:cs="Arial"/>
              </w:rPr>
            </w:pPr>
            <w:r w:rsidRPr="00A64175">
              <w:rPr>
                <w:rFonts w:ascii="Arial" w:hAnsi="Arial" w:cs="Arial"/>
                <w:b/>
              </w:rPr>
              <w:t>Articl</w:t>
            </w:r>
            <w:r w:rsidR="00C61FF8" w:rsidRPr="00A64175">
              <w:rPr>
                <w:rFonts w:ascii="Arial" w:hAnsi="Arial" w:cs="Arial"/>
                <w:b/>
              </w:rPr>
              <w:t>e 2</w:t>
            </w:r>
            <w:r w:rsidR="00136261">
              <w:rPr>
                <w:rFonts w:ascii="Arial" w:hAnsi="Arial" w:cs="Arial"/>
                <w:b/>
              </w:rPr>
              <w:t>3</w:t>
            </w:r>
            <w:r w:rsidR="00436240">
              <w:rPr>
                <w:rFonts w:ascii="Arial" w:hAnsi="Arial" w:cs="Arial"/>
                <w:b/>
              </w:rPr>
              <w:t>7</w:t>
            </w:r>
            <w:r w:rsidRPr="00A64175">
              <w:rPr>
                <w:rFonts w:ascii="Arial" w:hAnsi="Arial" w:cs="Arial"/>
                <w:b/>
              </w:rPr>
              <w:t>. –</w:t>
            </w:r>
            <w:r w:rsidRPr="00A64175">
              <w:rPr>
                <w:rFonts w:ascii="Arial" w:hAnsi="Arial" w:cs="Arial"/>
                <w:color w:val="000000"/>
              </w:rPr>
              <w:t xml:space="preserve"> </w:t>
            </w:r>
            <w:r w:rsidR="006475D2" w:rsidRPr="00A64175">
              <w:rPr>
                <w:rFonts w:ascii="Arial" w:hAnsi="Arial" w:cs="Arial"/>
              </w:rPr>
              <w:t xml:space="preserve">Tout intermédiaire de marché </w:t>
            </w:r>
            <w:r w:rsidRPr="00A64175">
              <w:rPr>
                <w:rFonts w:ascii="Arial" w:hAnsi="Arial" w:cs="Arial"/>
              </w:rPr>
              <w:t>dont l’agrément est</w:t>
            </w:r>
            <w:r w:rsidR="006475D2" w:rsidRPr="00A64175">
              <w:rPr>
                <w:rFonts w:ascii="Arial" w:hAnsi="Arial" w:cs="Arial"/>
              </w:rPr>
              <w:t xml:space="preserve"> retiré</w:t>
            </w:r>
            <w:r w:rsidR="00AC5183" w:rsidRPr="00A64175">
              <w:rPr>
                <w:rFonts w:ascii="Arial" w:hAnsi="Arial" w:cs="Arial"/>
              </w:rPr>
              <w:t>,</w:t>
            </w:r>
            <w:r w:rsidR="006475D2" w:rsidRPr="00A64175">
              <w:rPr>
                <w:rFonts w:ascii="Arial" w:hAnsi="Arial" w:cs="Arial"/>
              </w:rPr>
              <w:t xml:space="preserve"> est dissout</w:t>
            </w:r>
            <w:r w:rsidRPr="00A64175">
              <w:rPr>
                <w:rFonts w:ascii="Arial" w:hAnsi="Arial" w:cs="Arial"/>
              </w:rPr>
              <w:t xml:space="preserve"> de plein droit et entre en état de liquidation. </w:t>
            </w:r>
            <w:r w:rsidR="007925CB" w:rsidRPr="00A64175">
              <w:rPr>
                <w:rFonts w:ascii="Arial" w:hAnsi="Arial" w:cs="Arial"/>
              </w:rPr>
              <w:t>Dans sa décision de retrait d’agrément, la COSUMAF désigne un liquidateur auquel sont conférés tous les pouvoirs d’administration, de direction et de représentation de l’intermédiaire de marché.</w:t>
            </w:r>
            <w:r w:rsidR="00300192" w:rsidRPr="00A64175">
              <w:rPr>
                <w:rFonts w:ascii="Arial" w:hAnsi="Arial" w:cs="Arial"/>
              </w:rPr>
              <w:t xml:space="preserve"> La même décision précise les modalités et les délais de la liquidation</w:t>
            </w:r>
            <w:r w:rsidR="00C3345B" w:rsidRPr="00A64175">
              <w:rPr>
                <w:rFonts w:ascii="Arial" w:hAnsi="Arial" w:cs="Arial"/>
              </w:rPr>
              <w:t xml:space="preserve"> ainsi que la date à laquelle doivent cesser les opérations de l’intermédiaire de marché.</w:t>
            </w:r>
          </w:p>
          <w:p w14:paraId="776F03F8" w14:textId="77777777" w:rsidR="005A369F" w:rsidRPr="00A64175" w:rsidRDefault="005A369F" w:rsidP="00A64175">
            <w:pPr>
              <w:widowControl w:val="0"/>
              <w:autoSpaceDE w:val="0"/>
              <w:adjustRightInd w:val="0"/>
              <w:jc w:val="both"/>
              <w:rPr>
                <w:rFonts w:ascii="Arial" w:hAnsi="Arial" w:cs="Arial"/>
              </w:rPr>
            </w:pPr>
          </w:p>
          <w:p w14:paraId="78F8360E" w14:textId="68CEA46E" w:rsidR="005A369F" w:rsidRPr="00A64175" w:rsidRDefault="005A369F" w:rsidP="00A64175">
            <w:pPr>
              <w:widowControl w:val="0"/>
              <w:autoSpaceDE w:val="0"/>
              <w:adjustRightInd w:val="0"/>
              <w:jc w:val="both"/>
              <w:rPr>
                <w:rFonts w:ascii="Arial" w:hAnsi="Arial" w:cs="Arial"/>
              </w:rPr>
            </w:pPr>
            <w:r w:rsidRPr="00A64175">
              <w:rPr>
                <w:rFonts w:ascii="Arial" w:hAnsi="Arial" w:cs="Arial"/>
              </w:rPr>
              <w:t>La dissolution et la liquidation visées au présent article ne s’appliquent pas aux établissements de crédit soumis au contrôle de la COBAC.</w:t>
            </w:r>
          </w:p>
          <w:p w14:paraId="7B984623" w14:textId="77777777" w:rsidR="007925CB" w:rsidRPr="00A64175" w:rsidRDefault="007925CB" w:rsidP="00A64175">
            <w:pPr>
              <w:widowControl w:val="0"/>
              <w:autoSpaceDE w:val="0"/>
              <w:adjustRightInd w:val="0"/>
              <w:jc w:val="both"/>
              <w:rPr>
                <w:rFonts w:ascii="Arial" w:hAnsi="Arial" w:cs="Arial"/>
              </w:rPr>
            </w:pPr>
          </w:p>
          <w:p w14:paraId="72D696AD" w14:textId="6CB9B855" w:rsidR="007925CB"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136261">
              <w:rPr>
                <w:rFonts w:ascii="Arial" w:hAnsi="Arial" w:cs="Arial"/>
                <w:b/>
              </w:rPr>
              <w:t>3</w:t>
            </w:r>
            <w:r w:rsidR="00436240">
              <w:rPr>
                <w:rFonts w:ascii="Arial" w:hAnsi="Arial" w:cs="Arial"/>
                <w:b/>
              </w:rPr>
              <w:t>8</w:t>
            </w:r>
            <w:r w:rsidR="001949EB" w:rsidRPr="00A64175">
              <w:rPr>
                <w:rFonts w:ascii="Arial" w:hAnsi="Arial" w:cs="Arial"/>
                <w:b/>
              </w:rPr>
              <w:t xml:space="preserve">. – </w:t>
            </w:r>
            <w:r w:rsidR="001949EB" w:rsidRPr="00A64175">
              <w:rPr>
                <w:rFonts w:ascii="Arial" w:hAnsi="Arial" w:cs="Arial"/>
              </w:rPr>
              <w:t>Le liquidateur peut être choisi sur une liste nationale de mandataires judiciaires. I</w:t>
            </w:r>
            <w:r w:rsidR="00AC3DC5" w:rsidRPr="00A64175">
              <w:rPr>
                <w:rFonts w:ascii="Arial" w:hAnsi="Arial" w:cs="Arial"/>
              </w:rPr>
              <w:t>l doit satisfaire aux mêmes conditions d’expérience, de compétence et d’honorabilité que celles requises pour l’agrément des dirigeants de structures soumises au contrôle de la COSUMAF. Le liquidateur ne doit faire l’objet d’aucune mesure d’interdiction d’administrer ou diriger une entreprise.</w:t>
            </w:r>
          </w:p>
          <w:p w14:paraId="2EE2D96E" w14:textId="77777777" w:rsidR="001949EB" w:rsidRPr="00A64175" w:rsidRDefault="001949EB" w:rsidP="00A64175">
            <w:pPr>
              <w:widowControl w:val="0"/>
              <w:autoSpaceDE w:val="0"/>
              <w:adjustRightInd w:val="0"/>
              <w:jc w:val="both"/>
              <w:rPr>
                <w:rFonts w:ascii="Arial" w:hAnsi="Arial" w:cs="Arial"/>
                <w:b/>
              </w:rPr>
            </w:pPr>
          </w:p>
          <w:p w14:paraId="4FBC1CB6" w14:textId="77777777" w:rsidR="001949EB" w:rsidRPr="00A64175" w:rsidRDefault="001949EB" w:rsidP="00A64175">
            <w:pPr>
              <w:widowControl w:val="0"/>
              <w:autoSpaceDE w:val="0"/>
              <w:adjustRightInd w:val="0"/>
              <w:jc w:val="both"/>
              <w:rPr>
                <w:rFonts w:ascii="Arial" w:hAnsi="Arial" w:cs="Arial"/>
              </w:rPr>
            </w:pPr>
          </w:p>
          <w:p w14:paraId="2848E165" w14:textId="2BE18247" w:rsidR="006475D2" w:rsidRPr="00A64175" w:rsidRDefault="007925CB" w:rsidP="00A64175">
            <w:pPr>
              <w:widowControl w:val="0"/>
              <w:autoSpaceDE w:val="0"/>
              <w:adjustRightInd w:val="0"/>
              <w:jc w:val="both"/>
              <w:rPr>
                <w:rFonts w:ascii="Arial" w:hAnsi="Arial" w:cs="Arial"/>
              </w:rPr>
            </w:pPr>
            <w:r w:rsidRPr="00A64175">
              <w:rPr>
                <w:rFonts w:ascii="Arial" w:hAnsi="Arial" w:cs="Arial"/>
                <w:b/>
              </w:rPr>
              <w:t>Articl</w:t>
            </w:r>
            <w:r w:rsidR="00C61FF8" w:rsidRPr="00A64175">
              <w:rPr>
                <w:rFonts w:ascii="Arial" w:hAnsi="Arial" w:cs="Arial"/>
                <w:b/>
              </w:rPr>
              <w:t>e 2</w:t>
            </w:r>
            <w:r w:rsidR="00136261">
              <w:rPr>
                <w:rFonts w:ascii="Arial" w:hAnsi="Arial" w:cs="Arial"/>
                <w:b/>
              </w:rPr>
              <w:t>3</w:t>
            </w:r>
            <w:r w:rsidR="00436240">
              <w:rPr>
                <w:rFonts w:ascii="Arial" w:hAnsi="Arial" w:cs="Arial"/>
                <w:b/>
              </w:rPr>
              <w:t>9</w:t>
            </w:r>
            <w:r w:rsidRPr="00A64175">
              <w:rPr>
                <w:rFonts w:ascii="Arial" w:hAnsi="Arial" w:cs="Arial"/>
                <w:b/>
              </w:rPr>
              <w:t>. –</w:t>
            </w:r>
            <w:r w:rsidRPr="00A64175">
              <w:rPr>
                <w:rFonts w:ascii="Arial" w:hAnsi="Arial" w:cs="Arial"/>
                <w:color w:val="000000"/>
              </w:rPr>
              <w:t xml:space="preserve"> </w:t>
            </w:r>
            <w:r w:rsidR="00AC5183" w:rsidRPr="00A64175">
              <w:rPr>
                <w:rFonts w:ascii="Arial" w:hAnsi="Arial" w:cs="Arial"/>
              </w:rPr>
              <w:t>Pendant la durée de la liquidation, l’intermédiaire de marché demeure soumis au contrôle de la COSUMAF.</w:t>
            </w:r>
            <w:r w:rsidR="002F038E" w:rsidRPr="00A64175">
              <w:rPr>
                <w:rFonts w:ascii="Arial" w:hAnsi="Arial" w:cs="Arial"/>
              </w:rPr>
              <w:t xml:space="preserve"> Il doit préciser dans tous ses documents et ses relations avec les tiers qu’il est en cours de liquidation.</w:t>
            </w:r>
          </w:p>
          <w:p w14:paraId="663AF3EB" w14:textId="77777777" w:rsidR="006475D2" w:rsidRPr="00A64175" w:rsidRDefault="006475D2" w:rsidP="00A64175">
            <w:pPr>
              <w:widowControl w:val="0"/>
              <w:autoSpaceDE w:val="0"/>
              <w:adjustRightInd w:val="0"/>
              <w:jc w:val="both"/>
              <w:rPr>
                <w:rFonts w:ascii="Arial" w:hAnsi="Arial" w:cs="Arial"/>
              </w:rPr>
            </w:pPr>
          </w:p>
          <w:p w14:paraId="0B9D1DB8" w14:textId="054F98C4" w:rsidR="00183151" w:rsidRDefault="00C61FF8" w:rsidP="00A64175">
            <w:pPr>
              <w:widowControl w:val="0"/>
              <w:autoSpaceDE w:val="0"/>
              <w:adjustRightInd w:val="0"/>
              <w:jc w:val="both"/>
              <w:rPr>
                <w:rFonts w:ascii="Arial" w:hAnsi="Arial" w:cs="Arial"/>
              </w:rPr>
            </w:pPr>
            <w:r w:rsidRPr="00A64175">
              <w:rPr>
                <w:rFonts w:ascii="Arial" w:hAnsi="Arial" w:cs="Arial"/>
                <w:b/>
              </w:rPr>
              <w:t>Article 2</w:t>
            </w:r>
            <w:r w:rsidR="00436240">
              <w:rPr>
                <w:rFonts w:ascii="Arial" w:hAnsi="Arial" w:cs="Arial"/>
                <w:b/>
              </w:rPr>
              <w:t>40</w:t>
            </w:r>
            <w:r w:rsidR="006475D2" w:rsidRPr="00A64175">
              <w:rPr>
                <w:rFonts w:ascii="Arial" w:hAnsi="Arial" w:cs="Arial"/>
                <w:b/>
              </w:rPr>
              <w:t>. –</w:t>
            </w:r>
            <w:r w:rsidR="006475D2" w:rsidRPr="00A64175">
              <w:rPr>
                <w:rFonts w:ascii="Arial" w:hAnsi="Arial" w:cs="Arial"/>
                <w:color w:val="000000"/>
              </w:rPr>
              <w:t xml:space="preserve"> </w:t>
            </w:r>
            <w:r w:rsidR="006475D2" w:rsidRPr="00A64175">
              <w:rPr>
                <w:rFonts w:ascii="Arial" w:hAnsi="Arial" w:cs="Arial"/>
              </w:rPr>
              <w:t>La décision de retrait d’agrément emporte</w:t>
            </w:r>
            <w:r w:rsidR="00AF6920">
              <w:rPr>
                <w:rFonts w:ascii="Arial" w:hAnsi="Arial" w:cs="Arial"/>
              </w:rPr>
              <w:t xml:space="preserve"> l’</w:t>
            </w:r>
            <w:r w:rsidR="00183151" w:rsidRPr="00A64175">
              <w:rPr>
                <w:rFonts w:ascii="Arial" w:hAnsi="Arial" w:cs="Arial"/>
              </w:rPr>
              <w:t>interdiction d’effectuer des opérations sur les portefeuilles des clients.</w:t>
            </w:r>
            <w:r w:rsidR="006475D2" w:rsidRPr="00A64175">
              <w:rPr>
                <w:rFonts w:ascii="Arial" w:hAnsi="Arial" w:cs="Arial"/>
              </w:rPr>
              <w:t xml:space="preserve"> L’intermédiaire de marché ne peut effectuer que des opérations entrant dans le cadre de sa liquidation.</w:t>
            </w:r>
            <w:r w:rsidR="00AC5183" w:rsidRPr="00A64175">
              <w:rPr>
                <w:rFonts w:ascii="Arial" w:hAnsi="Arial" w:cs="Arial"/>
              </w:rPr>
              <w:t xml:space="preserve"> Les opérations autorisées sont celles qui sont strictement nécessaires à l’apurement de sa situation.</w:t>
            </w:r>
          </w:p>
          <w:p w14:paraId="225E7344" w14:textId="77777777" w:rsidR="00AF6920" w:rsidRDefault="00AF6920" w:rsidP="00A64175">
            <w:pPr>
              <w:widowControl w:val="0"/>
              <w:autoSpaceDE w:val="0"/>
              <w:adjustRightInd w:val="0"/>
              <w:jc w:val="both"/>
              <w:rPr>
                <w:rFonts w:ascii="Arial" w:hAnsi="Arial" w:cs="Arial"/>
              </w:rPr>
            </w:pPr>
          </w:p>
          <w:p w14:paraId="165936C5" w14:textId="0E90A068" w:rsidR="00AF6920" w:rsidRPr="00A64175" w:rsidRDefault="00AF6920" w:rsidP="00A64175">
            <w:pPr>
              <w:widowControl w:val="0"/>
              <w:autoSpaceDE w:val="0"/>
              <w:adjustRightInd w:val="0"/>
              <w:jc w:val="both"/>
              <w:rPr>
                <w:rFonts w:ascii="Arial" w:hAnsi="Arial" w:cs="Arial"/>
                <w:b/>
                <w:bCs/>
                <w:color w:val="000000" w:themeColor="text1"/>
              </w:rPr>
            </w:pPr>
            <w:r w:rsidRPr="00A64175">
              <w:rPr>
                <w:rFonts w:ascii="Arial" w:hAnsi="Arial" w:cs="Arial"/>
              </w:rPr>
              <w:t>La décision de retrait d’agrément emporte</w:t>
            </w:r>
            <w:r>
              <w:rPr>
                <w:rFonts w:ascii="Arial" w:hAnsi="Arial" w:cs="Arial"/>
              </w:rPr>
              <w:t xml:space="preserve"> le transfert </w:t>
            </w:r>
            <w:r w:rsidR="006652FA">
              <w:rPr>
                <w:rFonts w:ascii="Arial" w:hAnsi="Arial" w:cs="Arial"/>
              </w:rPr>
              <w:t xml:space="preserve">sous le contrôle de la COSUMAF, </w:t>
            </w:r>
            <w:r>
              <w:rPr>
                <w:rFonts w:ascii="Arial" w:hAnsi="Arial" w:cs="Arial"/>
              </w:rPr>
              <w:t xml:space="preserve">du portefeuille clients dans les livres d’un autre intermédiaire agréé. </w:t>
            </w:r>
            <w:r w:rsidRPr="00A64175">
              <w:rPr>
                <w:rFonts w:ascii="Arial" w:hAnsi="Arial" w:cs="Arial"/>
              </w:rPr>
              <w:t xml:space="preserve"> </w:t>
            </w:r>
          </w:p>
          <w:p w14:paraId="7CEAF648" w14:textId="77777777" w:rsidR="00183151" w:rsidRPr="00A64175" w:rsidRDefault="00183151" w:rsidP="00A64175">
            <w:pPr>
              <w:widowControl w:val="0"/>
              <w:autoSpaceDE w:val="0"/>
              <w:adjustRightInd w:val="0"/>
              <w:jc w:val="both"/>
              <w:rPr>
                <w:rFonts w:ascii="Arial" w:hAnsi="Arial" w:cs="Arial"/>
                <w:b/>
                <w:bCs/>
                <w:color w:val="000000" w:themeColor="text1"/>
              </w:rPr>
            </w:pPr>
          </w:p>
        </w:tc>
      </w:tr>
      <w:tr w:rsidR="00095F65" w:rsidRPr="00A64175" w14:paraId="29AE7662" w14:textId="77777777" w:rsidTr="00EC563C">
        <w:tc>
          <w:tcPr>
            <w:tcW w:w="9214" w:type="dxa"/>
            <w:shd w:val="clear" w:color="auto" w:fill="auto"/>
          </w:tcPr>
          <w:p w14:paraId="4E662E2F" w14:textId="59A448CE" w:rsidR="002F038E"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436240">
              <w:rPr>
                <w:rFonts w:ascii="Arial" w:hAnsi="Arial" w:cs="Arial"/>
                <w:b/>
              </w:rPr>
              <w:t>41</w:t>
            </w:r>
            <w:r w:rsidR="00AC5183" w:rsidRPr="00A64175">
              <w:rPr>
                <w:rFonts w:ascii="Arial" w:hAnsi="Arial" w:cs="Arial"/>
                <w:b/>
              </w:rPr>
              <w:t xml:space="preserve">. – </w:t>
            </w:r>
            <w:r w:rsidR="002F038E" w:rsidRPr="00A64175">
              <w:rPr>
                <w:rFonts w:ascii="Arial" w:hAnsi="Arial" w:cs="Arial"/>
              </w:rPr>
              <w:t>Le liquidateur est investi des pouvoirs les plus étendus pour réaliser l’actif.</w:t>
            </w:r>
          </w:p>
          <w:p w14:paraId="70D43B39" w14:textId="77777777" w:rsidR="005A369F" w:rsidRPr="00A64175" w:rsidRDefault="005A369F" w:rsidP="00A64175">
            <w:pPr>
              <w:widowControl w:val="0"/>
              <w:autoSpaceDE w:val="0"/>
              <w:adjustRightInd w:val="0"/>
              <w:jc w:val="both"/>
              <w:rPr>
                <w:rFonts w:ascii="Arial" w:hAnsi="Arial" w:cs="Arial"/>
              </w:rPr>
            </w:pPr>
          </w:p>
          <w:p w14:paraId="0FDCEE4B" w14:textId="41289EF0" w:rsidR="00095F65" w:rsidRPr="00A64175" w:rsidRDefault="00AC5183" w:rsidP="00A64175">
            <w:pPr>
              <w:widowControl w:val="0"/>
              <w:autoSpaceDE w:val="0"/>
              <w:adjustRightInd w:val="0"/>
              <w:jc w:val="both"/>
              <w:rPr>
                <w:rFonts w:ascii="Arial" w:hAnsi="Arial" w:cs="Arial"/>
                <w:b/>
                <w:bCs/>
              </w:rPr>
            </w:pPr>
            <w:r w:rsidRPr="00A64175">
              <w:rPr>
                <w:rFonts w:ascii="Arial" w:hAnsi="Arial" w:cs="Arial"/>
              </w:rPr>
              <w:t>L</w:t>
            </w:r>
            <w:r w:rsidR="002F038E" w:rsidRPr="00A64175">
              <w:rPr>
                <w:rFonts w:ascii="Arial" w:hAnsi="Arial" w:cs="Arial"/>
              </w:rPr>
              <w:t>es actes, droits et actions qui portent sur le patrimoine de l’intermédiaire de marché sont accomplis ou exercés par le liquidateur.</w:t>
            </w:r>
          </w:p>
        </w:tc>
      </w:tr>
      <w:tr w:rsidR="00095F65" w:rsidRPr="00A64175" w14:paraId="375F4098" w14:textId="77777777" w:rsidTr="00EC563C">
        <w:tc>
          <w:tcPr>
            <w:tcW w:w="9214" w:type="dxa"/>
            <w:shd w:val="clear" w:color="auto" w:fill="auto"/>
          </w:tcPr>
          <w:p w14:paraId="25005DDA" w14:textId="77777777" w:rsidR="00095F65" w:rsidRPr="00A64175" w:rsidRDefault="00095F65" w:rsidP="00A64175">
            <w:pPr>
              <w:widowControl w:val="0"/>
              <w:autoSpaceDE w:val="0"/>
              <w:adjustRightInd w:val="0"/>
              <w:jc w:val="both"/>
              <w:rPr>
                <w:rFonts w:ascii="Arial" w:hAnsi="Arial" w:cs="Arial"/>
                <w:b/>
                <w:bCs/>
              </w:rPr>
            </w:pPr>
          </w:p>
          <w:p w14:paraId="0FC2330A" w14:textId="0E89EA1F" w:rsidR="005A369F" w:rsidRPr="00A64175" w:rsidRDefault="00C61FF8" w:rsidP="00A64175">
            <w:pPr>
              <w:widowControl w:val="0"/>
              <w:autoSpaceDE w:val="0"/>
              <w:adjustRightInd w:val="0"/>
              <w:jc w:val="both"/>
              <w:rPr>
                <w:rFonts w:ascii="Arial" w:hAnsi="Arial" w:cs="Arial"/>
              </w:rPr>
            </w:pPr>
            <w:r w:rsidRPr="00A64175">
              <w:rPr>
                <w:rFonts w:ascii="Arial" w:hAnsi="Arial" w:cs="Arial"/>
                <w:b/>
              </w:rPr>
              <w:t>Article 2</w:t>
            </w:r>
            <w:r w:rsidR="00136261">
              <w:rPr>
                <w:rFonts w:ascii="Arial" w:hAnsi="Arial" w:cs="Arial"/>
                <w:b/>
              </w:rPr>
              <w:t>4</w:t>
            </w:r>
            <w:r w:rsidR="00436240">
              <w:rPr>
                <w:rFonts w:ascii="Arial" w:hAnsi="Arial" w:cs="Arial"/>
                <w:b/>
              </w:rPr>
              <w:t>2</w:t>
            </w:r>
            <w:r w:rsidR="005A369F" w:rsidRPr="00A64175">
              <w:rPr>
                <w:rFonts w:ascii="Arial" w:hAnsi="Arial" w:cs="Arial"/>
                <w:b/>
              </w:rPr>
              <w:t xml:space="preserve">. – </w:t>
            </w:r>
            <w:r w:rsidR="005A369F" w:rsidRPr="00A64175">
              <w:rPr>
                <w:rFonts w:ascii="Arial" w:hAnsi="Arial" w:cs="Arial"/>
              </w:rPr>
              <w:t>Le liquidateur doit soumettre à la COSUMAF, chaque fin de trimestre, un rapport sur l’évolution des opérations de liquidation. Au terme de sa mission, il doit soumettre à la COSUMAF un rapport circonstancié sur la liquidation.</w:t>
            </w:r>
          </w:p>
          <w:p w14:paraId="4A551BF0" w14:textId="77777777" w:rsidR="005A369F" w:rsidRPr="00A64175" w:rsidRDefault="005A369F" w:rsidP="00A64175">
            <w:pPr>
              <w:widowControl w:val="0"/>
              <w:autoSpaceDE w:val="0"/>
              <w:adjustRightInd w:val="0"/>
              <w:jc w:val="both"/>
              <w:rPr>
                <w:rFonts w:ascii="Arial" w:hAnsi="Arial" w:cs="Arial"/>
                <w:b/>
                <w:bCs/>
              </w:rPr>
            </w:pPr>
          </w:p>
          <w:p w14:paraId="3E1D93F7" w14:textId="77777777" w:rsidR="005A369F" w:rsidRPr="00A64175" w:rsidRDefault="005A369F" w:rsidP="00A64175">
            <w:pPr>
              <w:widowControl w:val="0"/>
              <w:autoSpaceDE w:val="0"/>
              <w:adjustRightInd w:val="0"/>
              <w:jc w:val="both"/>
              <w:rPr>
                <w:rFonts w:ascii="Arial" w:hAnsi="Arial" w:cs="Arial"/>
                <w:b/>
                <w:bCs/>
              </w:rPr>
            </w:pPr>
          </w:p>
          <w:p w14:paraId="1A1D3C47" w14:textId="5BE74E39" w:rsidR="00095F65" w:rsidRPr="00A64175" w:rsidRDefault="00F920BD" w:rsidP="00A64175">
            <w:pPr>
              <w:widowControl w:val="0"/>
              <w:autoSpaceDE w:val="0"/>
              <w:adjustRightInd w:val="0"/>
              <w:jc w:val="both"/>
              <w:rPr>
                <w:rFonts w:ascii="Arial" w:hAnsi="Arial" w:cs="Arial"/>
              </w:rPr>
            </w:pPr>
            <w:r w:rsidRPr="00A64175">
              <w:rPr>
                <w:rFonts w:ascii="Arial" w:hAnsi="Arial" w:cs="Arial"/>
                <w:b/>
              </w:rPr>
              <w:t>Article 2</w:t>
            </w:r>
            <w:r w:rsidR="00136261">
              <w:rPr>
                <w:rFonts w:ascii="Arial" w:hAnsi="Arial" w:cs="Arial"/>
                <w:b/>
              </w:rPr>
              <w:t>4</w:t>
            </w:r>
            <w:r w:rsidR="00436240">
              <w:rPr>
                <w:rFonts w:ascii="Arial" w:hAnsi="Arial" w:cs="Arial"/>
                <w:b/>
              </w:rPr>
              <w:t>3</w:t>
            </w:r>
            <w:r w:rsidR="002F038E" w:rsidRPr="00A64175">
              <w:rPr>
                <w:rFonts w:ascii="Arial" w:hAnsi="Arial" w:cs="Arial"/>
                <w:b/>
              </w:rPr>
              <w:t>. –</w:t>
            </w:r>
            <w:r w:rsidR="002F038E" w:rsidRPr="00A64175">
              <w:rPr>
                <w:rFonts w:ascii="Arial" w:hAnsi="Arial" w:cs="Arial"/>
                <w:color w:val="000000"/>
              </w:rPr>
              <w:t xml:space="preserve"> </w:t>
            </w:r>
            <w:r w:rsidR="00095F65" w:rsidRPr="00A64175">
              <w:rPr>
                <w:rFonts w:ascii="Arial" w:hAnsi="Arial" w:cs="Arial"/>
              </w:rPr>
              <w:t>Les décisions de retrait d’agrément font l’objet d’un avis publié dans un journal d’annonces légales</w:t>
            </w:r>
            <w:r w:rsidR="00300192" w:rsidRPr="00A64175">
              <w:rPr>
                <w:rFonts w:ascii="Arial" w:hAnsi="Arial" w:cs="Arial"/>
              </w:rPr>
              <w:t>, sur le site internet de la COSUMAF et</w:t>
            </w:r>
            <w:r w:rsidR="00095F65" w:rsidRPr="00A64175">
              <w:rPr>
                <w:rFonts w:ascii="Arial" w:hAnsi="Arial" w:cs="Arial"/>
              </w:rPr>
              <w:t xml:space="preserve"> sur </w:t>
            </w:r>
            <w:r w:rsidR="00300192" w:rsidRPr="00A64175">
              <w:rPr>
                <w:rFonts w:ascii="Arial" w:hAnsi="Arial" w:cs="Arial"/>
              </w:rPr>
              <w:t>tout autre support précisé par</w:t>
            </w:r>
            <w:r w:rsidR="00095F65" w:rsidRPr="00A64175">
              <w:rPr>
                <w:rFonts w:ascii="Arial" w:hAnsi="Arial" w:cs="Arial"/>
              </w:rPr>
              <w:t xml:space="preserve"> la COSUMAF.</w:t>
            </w:r>
          </w:p>
          <w:p w14:paraId="6E9E3F97" w14:textId="77777777" w:rsidR="00095F65" w:rsidRPr="00A64175" w:rsidRDefault="00095F65" w:rsidP="00A64175">
            <w:pPr>
              <w:widowControl w:val="0"/>
              <w:autoSpaceDE w:val="0"/>
              <w:adjustRightInd w:val="0"/>
              <w:jc w:val="both"/>
              <w:rPr>
                <w:rFonts w:ascii="Arial" w:hAnsi="Arial" w:cs="Arial"/>
              </w:rPr>
            </w:pPr>
          </w:p>
          <w:p w14:paraId="47FA6EDA" w14:textId="53B0CBEE" w:rsidR="00095F65" w:rsidRDefault="00ED5AAB" w:rsidP="00A64175">
            <w:pPr>
              <w:widowControl w:val="0"/>
              <w:autoSpaceDE w:val="0"/>
              <w:adjustRightInd w:val="0"/>
              <w:jc w:val="both"/>
              <w:rPr>
                <w:rFonts w:ascii="Arial" w:hAnsi="Arial" w:cs="Arial"/>
              </w:rPr>
            </w:pPr>
            <w:r w:rsidRPr="00A64175">
              <w:rPr>
                <w:rFonts w:ascii="Arial" w:hAnsi="Arial" w:cs="Arial"/>
                <w:b/>
              </w:rPr>
              <w:t>Arti</w:t>
            </w:r>
            <w:r w:rsidR="00F920BD" w:rsidRPr="00A64175">
              <w:rPr>
                <w:rFonts w:ascii="Arial" w:hAnsi="Arial" w:cs="Arial"/>
                <w:b/>
              </w:rPr>
              <w:t>cle 2</w:t>
            </w:r>
            <w:r w:rsidR="00136261">
              <w:rPr>
                <w:rFonts w:ascii="Arial" w:hAnsi="Arial" w:cs="Arial"/>
                <w:b/>
              </w:rPr>
              <w:t>4</w:t>
            </w:r>
            <w:r w:rsidR="00436240">
              <w:rPr>
                <w:rFonts w:ascii="Arial" w:hAnsi="Arial" w:cs="Arial"/>
                <w:b/>
              </w:rPr>
              <w:t>4</w:t>
            </w:r>
            <w:r w:rsidRPr="00A64175">
              <w:rPr>
                <w:rFonts w:ascii="Arial" w:hAnsi="Arial" w:cs="Arial"/>
                <w:b/>
              </w:rPr>
              <w:t>. –</w:t>
            </w:r>
            <w:r w:rsidRPr="00A64175">
              <w:rPr>
                <w:rFonts w:ascii="Arial" w:hAnsi="Arial" w:cs="Arial"/>
                <w:color w:val="000000"/>
              </w:rPr>
              <w:t xml:space="preserve"> </w:t>
            </w:r>
            <w:r w:rsidRPr="00A64175">
              <w:rPr>
                <w:rFonts w:ascii="Arial" w:hAnsi="Arial" w:cs="Arial"/>
              </w:rPr>
              <w:t>Le</w:t>
            </w:r>
            <w:r w:rsidR="00095F65" w:rsidRPr="00A64175">
              <w:rPr>
                <w:rFonts w:ascii="Arial" w:hAnsi="Arial" w:cs="Arial"/>
              </w:rPr>
              <w:t xml:space="preserve"> retrait d’agrément</w:t>
            </w:r>
            <w:r w:rsidRPr="00A64175">
              <w:rPr>
                <w:rFonts w:ascii="Arial" w:hAnsi="Arial" w:cs="Arial"/>
              </w:rPr>
              <w:t xml:space="preserve"> entraîne radiation de la personne ou structure concernée de la liste des intermédiaires de marché</w:t>
            </w:r>
            <w:r w:rsidR="00095F65" w:rsidRPr="00A64175">
              <w:rPr>
                <w:rFonts w:ascii="Arial" w:hAnsi="Arial" w:cs="Arial"/>
              </w:rPr>
              <w:t xml:space="preserve">. </w:t>
            </w:r>
          </w:p>
          <w:p w14:paraId="53253269" w14:textId="77777777" w:rsidR="00E80D60" w:rsidRPr="00A64175" w:rsidRDefault="00E80D60" w:rsidP="00A64175">
            <w:pPr>
              <w:widowControl w:val="0"/>
              <w:autoSpaceDE w:val="0"/>
              <w:adjustRightInd w:val="0"/>
              <w:jc w:val="both"/>
              <w:rPr>
                <w:rFonts w:ascii="Arial" w:hAnsi="Arial" w:cs="Arial"/>
              </w:rPr>
            </w:pPr>
          </w:p>
          <w:p w14:paraId="6D7B89B8"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4C93D242" w14:textId="77777777" w:rsidTr="00EC563C">
        <w:tc>
          <w:tcPr>
            <w:tcW w:w="9214" w:type="dxa"/>
            <w:shd w:val="clear" w:color="auto" w:fill="auto"/>
          </w:tcPr>
          <w:p w14:paraId="5C3DDEA9" w14:textId="77777777" w:rsidR="00095F65" w:rsidRPr="00A64175" w:rsidRDefault="00095F65" w:rsidP="00A64175">
            <w:pPr>
              <w:widowControl w:val="0"/>
              <w:tabs>
                <w:tab w:val="left" w:pos="3750"/>
              </w:tabs>
              <w:autoSpaceDE w:val="0"/>
              <w:adjustRightInd w:val="0"/>
              <w:jc w:val="both"/>
              <w:rPr>
                <w:rFonts w:ascii="Arial" w:hAnsi="Arial" w:cs="Arial"/>
                <w:b/>
                <w:bCs/>
              </w:rPr>
            </w:pPr>
            <w:r w:rsidRPr="00A64175">
              <w:rPr>
                <w:rFonts w:ascii="Arial" w:hAnsi="Arial" w:cs="Arial"/>
                <w:b/>
                <w:kern w:val="1"/>
              </w:rPr>
              <w:t xml:space="preserve">Section II : </w:t>
            </w:r>
            <w:r w:rsidRPr="00A64175">
              <w:rPr>
                <w:rFonts w:ascii="Arial" w:hAnsi="Arial" w:cs="Arial"/>
                <w:b/>
                <w:bCs/>
              </w:rPr>
              <w:t>Règles prudentielles</w:t>
            </w:r>
          </w:p>
        </w:tc>
      </w:tr>
      <w:tr w:rsidR="00095F65" w:rsidRPr="00A64175" w14:paraId="7DC27F10" w14:textId="77777777" w:rsidTr="00EC563C">
        <w:tc>
          <w:tcPr>
            <w:tcW w:w="9214" w:type="dxa"/>
            <w:shd w:val="clear" w:color="auto" w:fill="auto"/>
          </w:tcPr>
          <w:p w14:paraId="5DF61826" w14:textId="77777777" w:rsidR="00095F65" w:rsidRPr="00A64175" w:rsidRDefault="00095F65" w:rsidP="00A64175">
            <w:pPr>
              <w:widowControl w:val="0"/>
              <w:tabs>
                <w:tab w:val="left" w:pos="3750"/>
              </w:tabs>
              <w:autoSpaceDE w:val="0"/>
              <w:adjustRightInd w:val="0"/>
              <w:jc w:val="both"/>
              <w:rPr>
                <w:rFonts w:ascii="Arial" w:hAnsi="Arial" w:cs="Arial"/>
                <w:b/>
                <w:bCs/>
              </w:rPr>
            </w:pPr>
          </w:p>
          <w:p w14:paraId="45095268" w14:textId="408C4087" w:rsidR="00095F65" w:rsidRPr="00A64175" w:rsidRDefault="00C61FF8" w:rsidP="00A64175">
            <w:pPr>
              <w:jc w:val="both"/>
              <w:rPr>
                <w:rFonts w:ascii="Arial" w:hAnsi="Arial" w:cs="Arial"/>
                <w:b/>
                <w:bCs/>
              </w:rPr>
            </w:pPr>
            <w:r w:rsidRPr="00A64175">
              <w:rPr>
                <w:rFonts w:ascii="Arial" w:hAnsi="Arial" w:cs="Arial"/>
                <w:b/>
              </w:rPr>
              <w:t>Article 2</w:t>
            </w:r>
            <w:r w:rsidR="00136261">
              <w:rPr>
                <w:rFonts w:ascii="Arial" w:hAnsi="Arial" w:cs="Arial"/>
                <w:b/>
              </w:rPr>
              <w:t>4</w:t>
            </w:r>
            <w:r w:rsidR="00436240">
              <w:rPr>
                <w:rFonts w:ascii="Arial" w:hAnsi="Arial" w:cs="Arial"/>
                <w:b/>
              </w:rPr>
              <w:t>5</w:t>
            </w:r>
            <w:r w:rsidR="00F920BD" w:rsidRPr="00A64175">
              <w:rPr>
                <w:rFonts w:ascii="Arial" w:hAnsi="Arial" w:cs="Arial"/>
                <w:b/>
              </w:rPr>
              <w:t>. –</w:t>
            </w:r>
            <w:r w:rsidR="00F920BD" w:rsidRPr="00A64175">
              <w:rPr>
                <w:rFonts w:ascii="Arial" w:hAnsi="Arial" w:cs="Arial"/>
                <w:color w:val="000000"/>
              </w:rPr>
              <w:t xml:space="preserve"> </w:t>
            </w:r>
            <w:bookmarkStart w:id="3" w:name="JORFARTI000036171989"/>
            <w:bookmarkEnd w:id="3"/>
          </w:p>
          <w:p w14:paraId="11AB2924" w14:textId="5CA67250" w:rsidR="00095F65" w:rsidRPr="00A64175" w:rsidRDefault="00095F65" w:rsidP="00A64175">
            <w:pPr>
              <w:jc w:val="both"/>
              <w:rPr>
                <w:rFonts w:ascii="Arial" w:hAnsi="Arial" w:cs="Arial"/>
                <w:color w:val="000000"/>
              </w:rPr>
            </w:pPr>
            <w:r w:rsidRPr="00A64175">
              <w:rPr>
                <w:rFonts w:ascii="Arial" w:hAnsi="Arial" w:cs="Arial"/>
                <w:color w:val="000000"/>
              </w:rPr>
              <w:br/>
              <w:t xml:space="preserve">I. - Les </w:t>
            </w:r>
            <w:r w:rsidRPr="00A64175">
              <w:rPr>
                <w:rFonts w:ascii="Arial" w:hAnsi="Arial" w:cs="Arial"/>
              </w:rPr>
              <w:t>intermédiaires de marché</w:t>
            </w:r>
            <w:r w:rsidRPr="00A64175">
              <w:rPr>
                <w:rFonts w:ascii="Arial" w:hAnsi="Arial" w:cs="Arial"/>
                <w:color w:val="000000"/>
              </w:rPr>
              <w:t xml:space="preserve"> disposent d'un capital</w:t>
            </w:r>
            <w:r w:rsidR="00757D7F" w:rsidRPr="00A64175">
              <w:rPr>
                <w:rFonts w:ascii="Arial" w:hAnsi="Arial" w:cs="Arial"/>
                <w:color w:val="000000"/>
              </w:rPr>
              <w:t xml:space="preserve"> social</w:t>
            </w:r>
            <w:r w:rsidRPr="00A64175">
              <w:rPr>
                <w:rFonts w:ascii="Arial" w:hAnsi="Arial" w:cs="Arial"/>
                <w:color w:val="000000"/>
              </w:rPr>
              <w:t xml:space="preserve"> </w:t>
            </w:r>
            <w:r w:rsidR="00CC598D" w:rsidRPr="00A64175">
              <w:rPr>
                <w:rFonts w:ascii="Arial" w:hAnsi="Arial" w:cs="Arial"/>
                <w:color w:val="000000"/>
              </w:rPr>
              <w:t xml:space="preserve">intégralement </w:t>
            </w:r>
            <w:r w:rsidRPr="00A64175">
              <w:rPr>
                <w:rFonts w:ascii="Arial" w:hAnsi="Arial" w:cs="Arial"/>
                <w:color w:val="000000"/>
              </w:rPr>
              <w:t>libéré d'un montant au moins égal à</w:t>
            </w:r>
            <w:r w:rsidR="00FE12F3" w:rsidRPr="00A64175">
              <w:rPr>
                <w:rFonts w:ascii="Arial" w:hAnsi="Arial" w:cs="Arial"/>
                <w:color w:val="000000"/>
              </w:rPr>
              <w:t xml:space="preserve"> trois</w:t>
            </w:r>
            <w:r w:rsidR="00400E4B" w:rsidRPr="00A64175">
              <w:rPr>
                <w:rFonts w:ascii="Arial" w:hAnsi="Arial" w:cs="Arial"/>
                <w:color w:val="000000"/>
              </w:rPr>
              <w:t xml:space="preserve"> cent millions</w:t>
            </w:r>
            <w:r w:rsidRPr="00A64175">
              <w:rPr>
                <w:rFonts w:ascii="Arial" w:hAnsi="Arial" w:cs="Arial"/>
                <w:color w:val="000000"/>
              </w:rPr>
              <w:t xml:space="preserve"> </w:t>
            </w:r>
            <w:r w:rsidR="00400E4B" w:rsidRPr="00A64175">
              <w:rPr>
                <w:rFonts w:ascii="Arial" w:hAnsi="Arial" w:cs="Arial"/>
                <w:color w:val="000000"/>
              </w:rPr>
              <w:t>(</w:t>
            </w:r>
            <w:r w:rsidR="00FE12F3" w:rsidRPr="00A64175">
              <w:rPr>
                <w:rFonts w:ascii="Arial" w:hAnsi="Arial" w:cs="Arial"/>
                <w:color w:val="000000"/>
              </w:rPr>
              <w:t>3</w:t>
            </w:r>
            <w:r w:rsidRPr="00A64175">
              <w:rPr>
                <w:rFonts w:ascii="Arial" w:hAnsi="Arial" w:cs="Arial"/>
                <w:color w:val="000000"/>
              </w:rPr>
              <w:t>00 000</w:t>
            </w:r>
            <w:r w:rsidR="00400E4B" w:rsidRPr="00A64175">
              <w:rPr>
                <w:rFonts w:ascii="Arial" w:hAnsi="Arial" w:cs="Arial"/>
                <w:color w:val="000000"/>
              </w:rPr>
              <w:t xml:space="preserve"> 000</w:t>
            </w:r>
            <w:r w:rsidRPr="00A64175">
              <w:rPr>
                <w:rFonts w:ascii="Arial" w:hAnsi="Arial" w:cs="Arial"/>
                <w:color w:val="000000"/>
              </w:rPr>
              <w:t xml:space="preserve">) </w:t>
            </w:r>
            <w:r w:rsidRPr="00A64175">
              <w:rPr>
                <w:rFonts w:ascii="Arial" w:hAnsi="Arial" w:cs="Arial"/>
              </w:rPr>
              <w:t>de FCFA</w:t>
            </w:r>
            <w:r w:rsidR="00841950" w:rsidRPr="00A64175">
              <w:rPr>
                <w:rFonts w:ascii="Arial" w:hAnsi="Arial" w:cs="Arial"/>
                <w:color w:val="000000"/>
              </w:rPr>
              <w:t xml:space="preserve"> lorsqu'il</w:t>
            </w:r>
            <w:r w:rsidRPr="00A64175">
              <w:rPr>
                <w:rFonts w:ascii="Arial" w:hAnsi="Arial" w:cs="Arial"/>
                <w:color w:val="000000"/>
              </w:rPr>
              <w:t>s fournissent exclusivement un ou plusieu</w:t>
            </w:r>
            <w:r w:rsidR="00FC3A53" w:rsidRPr="00A64175">
              <w:rPr>
                <w:rFonts w:ascii="Arial" w:hAnsi="Arial" w:cs="Arial"/>
                <w:color w:val="000000"/>
              </w:rPr>
              <w:t>rs des services</w:t>
            </w:r>
            <w:r w:rsidRPr="00A64175">
              <w:rPr>
                <w:rFonts w:ascii="Arial" w:hAnsi="Arial" w:cs="Arial"/>
                <w:color w:val="000000"/>
              </w:rPr>
              <w:t xml:space="preserve"> suivants :</w:t>
            </w:r>
          </w:p>
          <w:p w14:paraId="6E55F6E2" w14:textId="77777777" w:rsidR="00095F65" w:rsidRPr="00A64175" w:rsidRDefault="00095F65" w:rsidP="00A64175">
            <w:pPr>
              <w:jc w:val="both"/>
              <w:rPr>
                <w:rFonts w:ascii="Arial" w:hAnsi="Arial" w:cs="Arial"/>
              </w:rPr>
            </w:pPr>
          </w:p>
          <w:p w14:paraId="72ED2DC4" w14:textId="77777777" w:rsidR="00095F65" w:rsidRPr="00A64175" w:rsidRDefault="00095F65" w:rsidP="00A64175">
            <w:pPr>
              <w:numPr>
                <w:ilvl w:val="0"/>
                <w:numId w:val="99"/>
              </w:numPr>
              <w:autoSpaceDN w:val="0"/>
              <w:jc w:val="both"/>
              <w:rPr>
                <w:rFonts w:ascii="Arial" w:hAnsi="Arial" w:cs="Arial"/>
              </w:rPr>
            </w:pPr>
            <w:r w:rsidRPr="00A64175">
              <w:rPr>
                <w:rFonts w:ascii="Arial" w:hAnsi="Arial" w:cs="Arial"/>
              </w:rPr>
              <w:t>La réception et la transmission d’ordres portant sur un ou plusieurs instruments financiers ;</w:t>
            </w:r>
          </w:p>
          <w:p w14:paraId="1001A72D" w14:textId="6DC9A9C1" w:rsidR="00095F65" w:rsidRPr="00A64175" w:rsidRDefault="00095F65" w:rsidP="00A64175">
            <w:pPr>
              <w:numPr>
                <w:ilvl w:val="0"/>
                <w:numId w:val="99"/>
              </w:numPr>
              <w:autoSpaceDN w:val="0"/>
              <w:jc w:val="both"/>
              <w:rPr>
                <w:rFonts w:ascii="Arial" w:hAnsi="Arial" w:cs="Arial"/>
              </w:rPr>
            </w:pPr>
            <w:r w:rsidRPr="00A64175">
              <w:rPr>
                <w:rFonts w:ascii="Arial" w:hAnsi="Arial" w:cs="Arial"/>
              </w:rPr>
              <w:t>L’exécution d’ordres pour</w:t>
            </w:r>
            <w:r w:rsidR="00FF3D01" w:rsidRPr="00A64175">
              <w:rPr>
                <w:rFonts w:ascii="Arial" w:hAnsi="Arial" w:cs="Arial"/>
              </w:rPr>
              <w:t xml:space="preserve"> le</w:t>
            </w:r>
            <w:r w:rsidRPr="00A64175">
              <w:rPr>
                <w:rFonts w:ascii="Arial" w:hAnsi="Arial" w:cs="Arial"/>
              </w:rPr>
              <w:t xml:space="preserve"> compte de tiers ;</w:t>
            </w:r>
          </w:p>
          <w:p w14:paraId="6C824D44" w14:textId="2021C39F" w:rsidR="00FF3D01" w:rsidRPr="00A64175" w:rsidRDefault="00FF3D01" w:rsidP="00A64175">
            <w:pPr>
              <w:numPr>
                <w:ilvl w:val="0"/>
                <w:numId w:val="99"/>
              </w:numPr>
              <w:autoSpaceDN w:val="0"/>
              <w:jc w:val="both"/>
              <w:rPr>
                <w:rFonts w:ascii="Arial" w:hAnsi="Arial" w:cs="Arial"/>
              </w:rPr>
            </w:pPr>
            <w:r w:rsidRPr="00A64175">
              <w:rPr>
                <w:rFonts w:ascii="Arial" w:hAnsi="Arial" w:cs="Arial"/>
              </w:rPr>
              <w:t>La négociation pour compte propre ;</w:t>
            </w:r>
          </w:p>
          <w:p w14:paraId="49FA16CC" w14:textId="008E8E08" w:rsidR="00FC3A53" w:rsidRPr="00A64175" w:rsidRDefault="00664641" w:rsidP="00A64175">
            <w:pPr>
              <w:numPr>
                <w:ilvl w:val="0"/>
                <w:numId w:val="99"/>
              </w:numPr>
              <w:autoSpaceDN w:val="0"/>
              <w:jc w:val="both"/>
              <w:rPr>
                <w:rFonts w:ascii="Arial" w:hAnsi="Arial" w:cs="Arial"/>
              </w:rPr>
            </w:pPr>
            <w:r w:rsidRPr="00A64175">
              <w:rPr>
                <w:rFonts w:ascii="Arial" w:hAnsi="Arial" w:cs="Arial"/>
              </w:rPr>
              <w:t>La gestion collective ou individuelle de portefeuille</w:t>
            </w:r>
            <w:r w:rsidR="00FC3A53" w:rsidRPr="00A64175">
              <w:rPr>
                <w:rFonts w:ascii="Arial" w:hAnsi="Arial" w:cs="Arial"/>
              </w:rPr>
              <w:t> ;</w:t>
            </w:r>
          </w:p>
          <w:p w14:paraId="36AADB8D" w14:textId="6118224D" w:rsidR="00095F65" w:rsidRPr="00A64175" w:rsidRDefault="00095F65" w:rsidP="00A64175">
            <w:pPr>
              <w:numPr>
                <w:ilvl w:val="0"/>
                <w:numId w:val="99"/>
              </w:numPr>
              <w:autoSpaceDN w:val="0"/>
              <w:jc w:val="both"/>
              <w:rPr>
                <w:rFonts w:ascii="Arial" w:hAnsi="Arial" w:cs="Arial"/>
              </w:rPr>
            </w:pPr>
            <w:r w:rsidRPr="00A64175">
              <w:rPr>
                <w:rFonts w:ascii="Arial" w:hAnsi="Arial" w:cs="Arial"/>
              </w:rPr>
              <w:t>Le placement d’instruments financiers</w:t>
            </w:r>
            <w:r w:rsidR="00FC3A53" w:rsidRPr="00A64175">
              <w:rPr>
                <w:rFonts w:ascii="Arial" w:hAnsi="Arial" w:cs="Arial"/>
              </w:rPr>
              <w:t xml:space="preserve"> </w:t>
            </w:r>
            <w:r w:rsidRPr="00A64175">
              <w:rPr>
                <w:rFonts w:ascii="Arial" w:hAnsi="Arial" w:cs="Arial"/>
              </w:rPr>
              <w:t xml:space="preserve">; </w:t>
            </w:r>
          </w:p>
          <w:p w14:paraId="53B570E3" w14:textId="77777777" w:rsidR="00095F65" w:rsidRPr="00A64175" w:rsidRDefault="00095F65" w:rsidP="00A64175">
            <w:pPr>
              <w:numPr>
                <w:ilvl w:val="0"/>
                <w:numId w:val="99"/>
              </w:numPr>
              <w:autoSpaceDN w:val="0"/>
              <w:jc w:val="both"/>
              <w:rPr>
                <w:rFonts w:ascii="Arial" w:hAnsi="Arial" w:cs="Arial"/>
              </w:rPr>
            </w:pPr>
            <w:r w:rsidRPr="00A64175">
              <w:rPr>
                <w:rFonts w:ascii="Arial" w:hAnsi="Arial" w:cs="Arial"/>
              </w:rPr>
              <w:t>La gestion individuelle sous mandat ;</w:t>
            </w:r>
          </w:p>
          <w:p w14:paraId="40D1DABB" w14:textId="446CE2DD" w:rsidR="00841950" w:rsidRPr="00A64175" w:rsidRDefault="00841950" w:rsidP="00A64175">
            <w:pPr>
              <w:pStyle w:val="Paragraphedeliste"/>
              <w:numPr>
                <w:ilvl w:val="0"/>
                <w:numId w:val="99"/>
              </w:numPr>
              <w:suppressAutoHyphens w:val="0"/>
              <w:spacing w:before="0" w:beforeAutospacing="0" w:after="0" w:afterAutospacing="0" w:line="240" w:lineRule="auto"/>
              <w:textAlignment w:val="auto"/>
              <w:rPr>
                <w:rFonts w:eastAsia="Times New Roman"/>
                <w:lang w:eastAsia="fr-FR"/>
              </w:rPr>
            </w:pPr>
            <w:r w:rsidRPr="00A64175">
              <w:rPr>
                <w:rFonts w:eastAsia="Times New Roman"/>
                <w:lang w:eastAsia="fr-FR"/>
              </w:rPr>
              <w:t>L’arrangement des opérations d’appel public à l’épargne et de placement privé.</w:t>
            </w:r>
          </w:p>
          <w:p w14:paraId="18FEA9A7" w14:textId="77777777" w:rsidR="00095F65" w:rsidRPr="00A64175" w:rsidRDefault="00095F65" w:rsidP="00A64175">
            <w:pPr>
              <w:shd w:val="clear" w:color="auto" w:fill="FFFFFF"/>
              <w:jc w:val="both"/>
              <w:rPr>
                <w:rFonts w:ascii="Arial" w:hAnsi="Arial" w:cs="Arial"/>
                <w:color w:val="000000"/>
              </w:rPr>
            </w:pPr>
          </w:p>
          <w:p w14:paraId="0BDDC946" w14:textId="77777777" w:rsidR="0083174C" w:rsidRPr="00A64175" w:rsidRDefault="0083174C" w:rsidP="00A64175">
            <w:pPr>
              <w:shd w:val="clear" w:color="auto" w:fill="FFFFFF"/>
              <w:jc w:val="both"/>
              <w:rPr>
                <w:rFonts w:ascii="Arial" w:hAnsi="Arial" w:cs="Arial"/>
                <w:color w:val="000000"/>
              </w:rPr>
            </w:pPr>
          </w:p>
          <w:p w14:paraId="19F81273" w14:textId="4EB9AFE1" w:rsidR="00326877" w:rsidRPr="00A64175" w:rsidRDefault="0083174C" w:rsidP="00A64175">
            <w:pPr>
              <w:shd w:val="clear" w:color="auto" w:fill="FFFFFF"/>
              <w:jc w:val="both"/>
              <w:rPr>
                <w:rFonts w:ascii="Arial" w:hAnsi="Arial" w:cs="Arial"/>
                <w:color w:val="000000"/>
              </w:rPr>
            </w:pPr>
            <w:r w:rsidRPr="00A64175">
              <w:rPr>
                <w:rFonts w:ascii="Arial" w:hAnsi="Arial" w:cs="Arial"/>
                <w:color w:val="000000"/>
              </w:rPr>
              <w:t>II. Les sociétés de bourse exerçant l’activité de dépositaire d’organismes de placement collectif doivent disposer d’un capital social au moins égal à un milliard (1 000 000 000) de francs CFA intégralement libéré.</w:t>
            </w:r>
          </w:p>
          <w:p w14:paraId="567F3C6C" w14:textId="77777777" w:rsidR="0083174C" w:rsidRPr="00A64175" w:rsidRDefault="0083174C" w:rsidP="00A64175">
            <w:pPr>
              <w:shd w:val="clear" w:color="auto" w:fill="FFFFFF"/>
              <w:jc w:val="both"/>
              <w:rPr>
                <w:rFonts w:ascii="Arial" w:hAnsi="Arial" w:cs="Arial"/>
                <w:color w:val="000000"/>
              </w:rPr>
            </w:pPr>
          </w:p>
          <w:p w14:paraId="5CE89546" w14:textId="449D1FB5" w:rsidR="00326877" w:rsidRPr="00A64175" w:rsidRDefault="0083174C" w:rsidP="00A64175">
            <w:pPr>
              <w:shd w:val="clear" w:color="auto" w:fill="FFFFFF"/>
              <w:jc w:val="both"/>
              <w:rPr>
                <w:rFonts w:ascii="Arial" w:hAnsi="Arial" w:cs="Arial"/>
                <w:color w:val="000000"/>
              </w:rPr>
            </w:pPr>
            <w:r w:rsidRPr="00A64175">
              <w:rPr>
                <w:rFonts w:ascii="Arial" w:hAnsi="Arial" w:cs="Arial"/>
                <w:color w:val="000000"/>
              </w:rPr>
              <w:t>I</w:t>
            </w:r>
            <w:r w:rsidR="00E80D60">
              <w:rPr>
                <w:rFonts w:ascii="Arial" w:hAnsi="Arial" w:cs="Arial"/>
                <w:color w:val="000000"/>
              </w:rPr>
              <w:t>II</w:t>
            </w:r>
            <w:r w:rsidR="00326877" w:rsidRPr="00A64175">
              <w:rPr>
                <w:rFonts w:ascii="Arial" w:hAnsi="Arial" w:cs="Arial"/>
                <w:color w:val="000000"/>
              </w:rPr>
              <w:t>. Le capital social est intégralement libéré avant l’agrément des intermédiaires de marché.</w:t>
            </w:r>
          </w:p>
          <w:p w14:paraId="76A154D5" w14:textId="5F94576E" w:rsidR="00E87381" w:rsidRPr="00A64175" w:rsidRDefault="00095F65" w:rsidP="00A64175">
            <w:pPr>
              <w:shd w:val="clear" w:color="auto" w:fill="FFFFFF"/>
              <w:jc w:val="both"/>
              <w:rPr>
                <w:rFonts w:ascii="Arial" w:hAnsi="Arial" w:cs="Arial"/>
              </w:rPr>
            </w:pPr>
            <w:r w:rsidRPr="00A64175">
              <w:rPr>
                <w:rFonts w:ascii="Arial" w:hAnsi="Arial" w:cs="Arial"/>
                <w:color w:val="000000"/>
              </w:rPr>
              <w:br/>
            </w:r>
            <w:r w:rsidR="00C61FF8" w:rsidRPr="00A64175">
              <w:rPr>
                <w:rFonts w:ascii="Arial" w:hAnsi="Arial" w:cs="Arial"/>
                <w:b/>
              </w:rPr>
              <w:t>Article 2</w:t>
            </w:r>
            <w:r w:rsidR="00136261">
              <w:rPr>
                <w:rFonts w:ascii="Arial" w:hAnsi="Arial" w:cs="Arial"/>
                <w:b/>
              </w:rPr>
              <w:t>4</w:t>
            </w:r>
            <w:r w:rsidR="00436240">
              <w:rPr>
                <w:rFonts w:ascii="Arial" w:hAnsi="Arial" w:cs="Arial"/>
                <w:b/>
              </w:rPr>
              <w:t>6</w:t>
            </w:r>
            <w:r w:rsidR="00326877" w:rsidRPr="00A64175">
              <w:rPr>
                <w:rFonts w:ascii="Arial" w:hAnsi="Arial" w:cs="Arial"/>
                <w:b/>
              </w:rPr>
              <w:t>. –</w:t>
            </w:r>
            <w:r w:rsidR="00326877" w:rsidRPr="00A64175">
              <w:rPr>
                <w:rFonts w:ascii="Arial" w:hAnsi="Arial" w:cs="Arial"/>
                <w:color w:val="000000"/>
              </w:rPr>
              <w:t xml:space="preserve"> </w:t>
            </w:r>
            <w:r w:rsidR="00326877" w:rsidRPr="00A64175">
              <w:rPr>
                <w:rFonts w:ascii="Arial" w:hAnsi="Arial" w:cs="Arial"/>
              </w:rPr>
              <w:t>Les fonds propres des intermédiaires de marché ne peuvent être inférieurs à leur capital social.</w:t>
            </w:r>
          </w:p>
          <w:p w14:paraId="11503584" w14:textId="77777777" w:rsidR="00E87381" w:rsidRPr="00A64175" w:rsidRDefault="00E87381" w:rsidP="00A64175">
            <w:pPr>
              <w:shd w:val="clear" w:color="auto" w:fill="FFFFFF"/>
              <w:jc w:val="both"/>
              <w:rPr>
                <w:rFonts w:ascii="Arial" w:hAnsi="Arial" w:cs="Arial"/>
              </w:rPr>
            </w:pPr>
          </w:p>
          <w:p w14:paraId="4D21CAE4" w14:textId="58EAEF60" w:rsidR="00E87381" w:rsidRPr="00A64175" w:rsidRDefault="00C61FF8" w:rsidP="00A64175">
            <w:pPr>
              <w:shd w:val="clear" w:color="auto" w:fill="FFFFFF"/>
              <w:jc w:val="both"/>
              <w:rPr>
                <w:rFonts w:ascii="Arial" w:hAnsi="Arial" w:cs="Arial"/>
              </w:rPr>
            </w:pPr>
            <w:r w:rsidRPr="00A64175">
              <w:rPr>
                <w:rFonts w:ascii="Arial" w:hAnsi="Arial" w:cs="Arial"/>
                <w:b/>
              </w:rPr>
              <w:t>Article 2</w:t>
            </w:r>
            <w:r w:rsidR="00136261">
              <w:rPr>
                <w:rFonts w:ascii="Arial" w:hAnsi="Arial" w:cs="Arial"/>
                <w:b/>
              </w:rPr>
              <w:t>4</w:t>
            </w:r>
            <w:r w:rsidR="00436240">
              <w:rPr>
                <w:rFonts w:ascii="Arial" w:hAnsi="Arial" w:cs="Arial"/>
                <w:b/>
              </w:rPr>
              <w:t>7</w:t>
            </w:r>
            <w:r w:rsidR="00DB3F18" w:rsidRPr="00A64175">
              <w:rPr>
                <w:rFonts w:ascii="Arial" w:hAnsi="Arial" w:cs="Arial"/>
                <w:b/>
              </w:rPr>
              <w:t>. –</w:t>
            </w:r>
            <w:r w:rsidR="00DB3F18" w:rsidRPr="00A64175">
              <w:rPr>
                <w:rFonts w:ascii="Arial" w:hAnsi="Arial" w:cs="Arial"/>
                <w:color w:val="000000"/>
              </w:rPr>
              <w:t xml:space="preserve"> </w:t>
            </w:r>
            <w:r w:rsidR="00E87381" w:rsidRPr="00A64175">
              <w:rPr>
                <w:rFonts w:ascii="Arial" w:hAnsi="Arial" w:cs="Arial"/>
              </w:rPr>
              <w:t>La COSUMAF peut fixer des seuils de fonds propres</w:t>
            </w:r>
            <w:r w:rsidR="00DB3F18" w:rsidRPr="00A64175">
              <w:rPr>
                <w:rFonts w:ascii="Arial" w:hAnsi="Arial" w:cs="Arial"/>
              </w:rPr>
              <w:t xml:space="preserve"> qui tiennent compte</w:t>
            </w:r>
            <w:r w:rsidR="00E87381" w:rsidRPr="00A64175">
              <w:rPr>
                <w:rFonts w:ascii="Arial" w:hAnsi="Arial" w:cs="Arial"/>
              </w:rPr>
              <w:t xml:space="preserve"> de la situation particulière d’un intermédiaire de marché ou du profil de risque encouru.</w:t>
            </w:r>
            <w:r w:rsidR="008E051A" w:rsidRPr="00A64175">
              <w:rPr>
                <w:rFonts w:ascii="Arial" w:hAnsi="Arial" w:cs="Arial"/>
              </w:rPr>
              <w:t xml:space="preserve"> Des seuils particuliers de fonds propres peuvent être fixés notamment en cas de modification substantielle de la nature ou du périmètre des activités d’un intermédiaire de marché.</w:t>
            </w:r>
          </w:p>
          <w:p w14:paraId="60578E39" w14:textId="77777777" w:rsidR="00326877" w:rsidRPr="00A64175" w:rsidRDefault="00326877" w:rsidP="00A64175">
            <w:pPr>
              <w:shd w:val="clear" w:color="auto" w:fill="FFFFFF"/>
              <w:jc w:val="both"/>
              <w:rPr>
                <w:rFonts w:ascii="Arial" w:hAnsi="Arial" w:cs="Arial"/>
              </w:rPr>
            </w:pPr>
          </w:p>
          <w:p w14:paraId="577D5213" w14:textId="77777777" w:rsidR="00095F65" w:rsidRPr="00A64175" w:rsidRDefault="00095F65" w:rsidP="00A64175">
            <w:pPr>
              <w:widowControl w:val="0"/>
              <w:tabs>
                <w:tab w:val="left" w:pos="3750"/>
              </w:tabs>
              <w:autoSpaceDE w:val="0"/>
              <w:adjustRightInd w:val="0"/>
              <w:jc w:val="both"/>
              <w:rPr>
                <w:rFonts w:ascii="Arial" w:hAnsi="Arial" w:cs="Arial"/>
                <w:b/>
                <w:bCs/>
              </w:rPr>
            </w:pPr>
          </w:p>
        </w:tc>
      </w:tr>
      <w:tr w:rsidR="00095F65" w:rsidRPr="00A64175" w14:paraId="6CD76334" w14:textId="77777777" w:rsidTr="00EC563C">
        <w:tc>
          <w:tcPr>
            <w:tcW w:w="9214" w:type="dxa"/>
            <w:shd w:val="clear" w:color="auto" w:fill="auto"/>
          </w:tcPr>
          <w:p w14:paraId="15421C38" w14:textId="47EE1C9A" w:rsidR="00326877" w:rsidRPr="00A64175" w:rsidRDefault="00C61FF8" w:rsidP="00A64175">
            <w:pPr>
              <w:jc w:val="both"/>
              <w:rPr>
                <w:rFonts w:ascii="Arial" w:hAnsi="Arial" w:cs="Arial"/>
              </w:rPr>
            </w:pPr>
            <w:r w:rsidRPr="00A64175">
              <w:rPr>
                <w:rFonts w:ascii="Arial" w:hAnsi="Arial" w:cs="Arial"/>
                <w:b/>
              </w:rPr>
              <w:t>Article 2</w:t>
            </w:r>
            <w:r w:rsidR="005E4744">
              <w:rPr>
                <w:rFonts w:ascii="Arial" w:hAnsi="Arial" w:cs="Arial"/>
                <w:b/>
              </w:rPr>
              <w:t>4</w:t>
            </w:r>
            <w:r w:rsidR="00436240">
              <w:rPr>
                <w:rFonts w:ascii="Arial" w:hAnsi="Arial" w:cs="Arial"/>
                <w:b/>
              </w:rPr>
              <w:t>8</w:t>
            </w:r>
            <w:r w:rsidR="00F920BD" w:rsidRPr="00A64175">
              <w:rPr>
                <w:rFonts w:ascii="Arial" w:hAnsi="Arial" w:cs="Arial"/>
                <w:b/>
              </w:rPr>
              <w:t>. –</w:t>
            </w:r>
            <w:r w:rsidR="00F920BD" w:rsidRPr="00A64175">
              <w:rPr>
                <w:rFonts w:ascii="Arial" w:hAnsi="Arial" w:cs="Arial"/>
                <w:color w:val="000000"/>
              </w:rPr>
              <w:t xml:space="preserve"> </w:t>
            </w:r>
            <w:r w:rsidR="00326877" w:rsidRPr="00A64175">
              <w:rPr>
                <w:rFonts w:ascii="Arial" w:hAnsi="Arial" w:cs="Arial"/>
              </w:rPr>
              <w:t>Les intermédiaires de marché veillent, en toutes circonstances, à garantir leu</w:t>
            </w:r>
            <w:r w:rsidR="009B4809" w:rsidRPr="00A64175">
              <w:rPr>
                <w:rFonts w:ascii="Arial" w:hAnsi="Arial" w:cs="Arial"/>
              </w:rPr>
              <w:t>r liquidité, leur solvabilité,</w:t>
            </w:r>
            <w:r w:rsidR="00326877" w:rsidRPr="00A64175">
              <w:rPr>
                <w:rFonts w:ascii="Arial" w:hAnsi="Arial" w:cs="Arial"/>
              </w:rPr>
              <w:t xml:space="preserve"> l’équilibre de leur struct</w:t>
            </w:r>
            <w:r w:rsidR="009B4809" w:rsidRPr="00A64175">
              <w:rPr>
                <w:rFonts w:ascii="Arial" w:hAnsi="Arial" w:cs="Arial"/>
              </w:rPr>
              <w:t xml:space="preserve">ure financière et le </w:t>
            </w:r>
            <w:r w:rsidR="00326877" w:rsidRPr="00A64175">
              <w:rPr>
                <w:rFonts w:ascii="Arial" w:hAnsi="Arial" w:cs="Arial"/>
              </w:rPr>
              <w:t xml:space="preserve"> respect du niveau des fonds propres fixé dans le présent règlement général.</w:t>
            </w:r>
          </w:p>
          <w:p w14:paraId="299172B0" w14:textId="3E763EFB" w:rsidR="00095F65" w:rsidRPr="00A64175" w:rsidRDefault="00095F65" w:rsidP="00A64175">
            <w:pPr>
              <w:widowControl w:val="0"/>
              <w:tabs>
                <w:tab w:val="left" w:pos="3750"/>
              </w:tabs>
              <w:autoSpaceDE w:val="0"/>
              <w:adjustRightInd w:val="0"/>
              <w:jc w:val="both"/>
              <w:rPr>
                <w:rFonts w:ascii="Arial" w:hAnsi="Arial" w:cs="Arial"/>
                <w:b/>
                <w:bCs/>
              </w:rPr>
            </w:pPr>
          </w:p>
          <w:p w14:paraId="4BE996BD" w14:textId="0E36914F" w:rsidR="00095F65" w:rsidRPr="00A64175" w:rsidRDefault="009B4809" w:rsidP="00A64175">
            <w:pPr>
              <w:jc w:val="both"/>
              <w:rPr>
                <w:rFonts w:ascii="Arial" w:hAnsi="Arial" w:cs="Arial"/>
              </w:rPr>
            </w:pPr>
            <w:r w:rsidRPr="00A64175">
              <w:rPr>
                <w:rFonts w:ascii="Arial" w:hAnsi="Arial" w:cs="Arial"/>
              </w:rPr>
              <w:t>Des dispositions doivent être prises pour maintenir des proportions appropriées entre les fonds propres</w:t>
            </w:r>
            <w:r w:rsidR="00497D13" w:rsidRPr="00A64175">
              <w:rPr>
                <w:rFonts w:ascii="Arial" w:hAnsi="Arial" w:cs="Arial"/>
              </w:rPr>
              <w:t xml:space="preserve"> et le montant des engagements souscrits par l’intermédiaire de marché.</w:t>
            </w:r>
          </w:p>
          <w:p w14:paraId="3AF67465" w14:textId="77777777" w:rsidR="009B4809" w:rsidRPr="00A64175" w:rsidRDefault="009B4809" w:rsidP="00A64175">
            <w:pPr>
              <w:jc w:val="both"/>
              <w:rPr>
                <w:rFonts w:ascii="Arial" w:hAnsi="Arial" w:cs="Arial"/>
              </w:rPr>
            </w:pPr>
          </w:p>
          <w:p w14:paraId="66EA124D" w14:textId="1FE40983" w:rsidR="009B4809" w:rsidRPr="00A64175" w:rsidRDefault="00497D13" w:rsidP="00A64175">
            <w:pPr>
              <w:jc w:val="both"/>
              <w:rPr>
                <w:rFonts w:ascii="Arial" w:hAnsi="Arial" w:cs="Arial"/>
              </w:rPr>
            </w:pPr>
            <w:r w:rsidRPr="00A64175">
              <w:rPr>
                <w:rFonts w:ascii="Arial" w:hAnsi="Arial" w:cs="Arial"/>
              </w:rPr>
              <w:t>L’intermédiaire de marché doit également maintenir des proportions appropriées entre les fonds propres et le montant des risques encourus sur les titres émis par un émetteur appartenant au même groupe que ledit intermédiaire.</w:t>
            </w:r>
          </w:p>
          <w:p w14:paraId="0ECD1626" w14:textId="4851A113" w:rsidR="00095F65" w:rsidRPr="00A64175" w:rsidRDefault="00095F65" w:rsidP="00A64175">
            <w:pPr>
              <w:jc w:val="both"/>
              <w:rPr>
                <w:rFonts w:ascii="Arial" w:hAnsi="Arial" w:cs="Arial"/>
              </w:rPr>
            </w:pPr>
          </w:p>
        </w:tc>
      </w:tr>
      <w:tr w:rsidR="00095F65" w:rsidRPr="00A64175" w14:paraId="3F511F44" w14:textId="77777777" w:rsidTr="00EC563C">
        <w:tc>
          <w:tcPr>
            <w:tcW w:w="9214" w:type="dxa"/>
            <w:shd w:val="clear" w:color="auto" w:fill="auto"/>
          </w:tcPr>
          <w:p w14:paraId="1E05B2F6" w14:textId="77777777" w:rsidR="00095F65" w:rsidRPr="00A64175" w:rsidRDefault="00095F65" w:rsidP="00A64175">
            <w:pPr>
              <w:tabs>
                <w:tab w:val="left" w:pos="-1545"/>
              </w:tabs>
              <w:contextualSpacing/>
              <w:jc w:val="both"/>
              <w:rPr>
                <w:rFonts w:ascii="Arial" w:hAnsi="Arial" w:cs="Arial"/>
                <w:b/>
                <w:bCs/>
              </w:rPr>
            </w:pPr>
          </w:p>
          <w:p w14:paraId="0E264E89" w14:textId="14CC1AE9" w:rsidR="00E87381" w:rsidRPr="00A64175" w:rsidRDefault="00C61FF8" w:rsidP="00A64175">
            <w:pPr>
              <w:tabs>
                <w:tab w:val="left" w:pos="-1545"/>
              </w:tabs>
              <w:contextualSpacing/>
              <w:jc w:val="both"/>
              <w:rPr>
                <w:rFonts w:ascii="Arial" w:hAnsi="Arial" w:cs="Arial"/>
              </w:rPr>
            </w:pPr>
            <w:r w:rsidRPr="00A64175">
              <w:rPr>
                <w:rFonts w:ascii="Arial" w:hAnsi="Arial" w:cs="Arial"/>
                <w:b/>
              </w:rPr>
              <w:t>Article 2</w:t>
            </w:r>
            <w:r w:rsidR="005E4744">
              <w:rPr>
                <w:rFonts w:ascii="Arial" w:hAnsi="Arial" w:cs="Arial"/>
                <w:b/>
              </w:rPr>
              <w:t>4</w:t>
            </w:r>
            <w:r w:rsidR="00436240">
              <w:rPr>
                <w:rFonts w:ascii="Arial" w:hAnsi="Arial" w:cs="Arial"/>
                <w:b/>
              </w:rPr>
              <w:t>9</w:t>
            </w:r>
            <w:r w:rsidR="00933134" w:rsidRPr="00A64175">
              <w:rPr>
                <w:rFonts w:ascii="Arial" w:hAnsi="Arial" w:cs="Arial"/>
                <w:b/>
              </w:rPr>
              <w:t>. –</w:t>
            </w:r>
            <w:r w:rsidR="00933134" w:rsidRPr="00A64175">
              <w:rPr>
                <w:rFonts w:ascii="Arial" w:hAnsi="Arial" w:cs="Arial"/>
                <w:color w:val="000000"/>
              </w:rPr>
              <w:t xml:space="preserve"> </w:t>
            </w:r>
            <w:r w:rsidR="00933134" w:rsidRPr="00A64175">
              <w:rPr>
                <w:rFonts w:ascii="Arial" w:hAnsi="Arial" w:cs="Arial"/>
              </w:rPr>
              <w:t>Lorsque, du fait de pertes constatées dans les états fina</w:t>
            </w:r>
            <w:r w:rsidR="006778B7" w:rsidRPr="00A64175">
              <w:rPr>
                <w:rFonts w:ascii="Arial" w:hAnsi="Arial" w:cs="Arial"/>
              </w:rPr>
              <w:t>nciers de synthèse, les fonds</w:t>
            </w:r>
            <w:r w:rsidR="00933134" w:rsidRPr="00A64175">
              <w:rPr>
                <w:rFonts w:ascii="Arial" w:hAnsi="Arial" w:cs="Arial"/>
              </w:rPr>
              <w:t xml:space="preserve"> propres deviennent </w:t>
            </w:r>
            <w:r w:rsidR="006778B7" w:rsidRPr="00A64175">
              <w:rPr>
                <w:rFonts w:ascii="Arial" w:hAnsi="Arial" w:cs="Arial"/>
              </w:rPr>
              <w:t>inférieurs au</w:t>
            </w:r>
            <w:r w:rsidR="00933134" w:rsidRPr="00A64175">
              <w:rPr>
                <w:rFonts w:ascii="Arial" w:hAnsi="Arial" w:cs="Arial"/>
              </w:rPr>
              <w:t xml:space="preserve"> capital social</w:t>
            </w:r>
            <w:r w:rsidR="006778B7" w:rsidRPr="00A64175">
              <w:rPr>
                <w:rFonts w:ascii="Arial" w:hAnsi="Arial" w:cs="Arial"/>
              </w:rPr>
              <w:t xml:space="preserve"> minimum</w:t>
            </w:r>
            <w:r w:rsidR="00933134" w:rsidRPr="00A64175">
              <w:rPr>
                <w:rFonts w:ascii="Arial" w:hAnsi="Arial" w:cs="Arial"/>
              </w:rPr>
              <w:t xml:space="preserve">, </w:t>
            </w:r>
            <w:r w:rsidR="006778B7" w:rsidRPr="00A64175">
              <w:rPr>
                <w:rFonts w:ascii="Arial" w:hAnsi="Arial" w:cs="Arial"/>
              </w:rPr>
              <w:t xml:space="preserve">l’intermédiaire de marché </w:t>
            </w:r>
            <w:r w:rsidR="00933134" w:rsidRPr="00A64175">
              <w:rPr>
                <w:rFonts w:ascii="Arial" w:hAnsi="Arial" w:cs="Arial"/>
              </w:rPr>
              <w:t>est tenu,</w:t>
            </w:r>
            <w:r w:rsidR="006778B7" w:rsidRPr="00A64175">
              <w:rPr>
                <w:rFonts w:ascii="Arial" w:hAnsi="Arial" w:cs="Arial"/>
              </w:rPr>
              <w:t xml:space="preserve"> au plus tard à la clôture de l’exercice au cours duquel la constatation des pertes est intervenue, de reconstituer les fonds propres à concurrence d’un montant au moins égal</w:t>
            </w:r>
            <w:r w:rsidR="00E87381" w:rsidRPr="00A64175">
              <w:rPr>
                <w:rFonts w:ascii="Arial" w:hAnsi="Arial" w:cs="Arial"/>
              </w:rPr>
              <w:t xml:space="preserve"> au capital social minimum.</w:t>
            </w:r>
          </w:p>
          <w:p w14:paraId="7A6BB15E" w14:textId="77777777" w:rsidR="00E87381" w:rsidRPr="00A64175" w:rsidRDefault="00E87381" w:rsidP="00A64175">
            <w:pPr>
              <w:tabs>
                <w:tab w:val="left" w:pos="-1545"/>
              </w:tabs>
              <w:contextualSpacing/>
              <w:jc w:val="both"/>
              <w:rPr>
                <w:rFonts w:ascii="Arial" w:hAnsi="Arial" w:cs="Arial"/>
              </w:rPr>
            </w:pPr>
          </w:p>
          <w:p w14:paraId="2257D660" w14:textId="753123C0" w:rsidR="00646B6C" w:rsidRPr="00A64175" w:rsidRDefault="00933134" w:rsidP="00A64175">
            <w:pPr>
              <w:tabs>
                <w:tab w:val="left" w:pos="-1545"/>
              </w:tabs>
              <w:contextualSpacing/>
              <w:jc w:val="both"/>
              <w:rPr>
                <w:rFonts w:ascii="Arial" w:hAnsi="Arial" w:cs="Arial"/>
                <w:bCs/>
              </w:rPr>
            </w:pPr>
            <w:r w:rsidRPr="00A64175">
              <w:rPr>
                <w:rFonts w:ascii="Arial" w:hAnsi="Arial" w:cs="Arial"/>
              </w:rPr>
              <w:t xml:space="preserve"> </w:t>
            </w:r>
            <w:r w:rsidR="00C61FF8" w:rsidRPr="00A64175">
              <w:rPr>
                <w:rFonts w:ascii="Arial" w:hAnsi="Arial" w:cs="Arial"/>
                <w:b/>
              </w:rPr>
              <w:t>Article 2</w:t>
            </w:r>
            <w:r w:rsidR="00436240">
              <w:rPr>
                <w:rFonts w:ascii="Arial" w:hAnsi="Arial" w:cs="Arial"/>
                <w:b/>
              </w:rPr>
              <w:t>50</w:t>
            </w:r>
            <w:r w:rsidR="008E051A" w:rsidRPr="00A64175">
              <w:rPr>
                <w:rFonts w:ascii="Arial" w:hAnsi="Arial" w:cs="Arial"/>
                <w:b/>
              </w:rPr>
              <w:t xml:space="preserve">. – </w:t>
            </w:r>
            <w:r w:rsidR="008E051A" w:rsidRPr="00A64175">
              <w:rPr>
                <w:rFonts w:ascii="Arial" w:hAnsi="Arial" w:cs="Arial"/>
              </w:rPr>
              <w:t>L</w:t>
            </w:r>
            <w:r w:rsidR="00E660B2" w:rsidRPr="00A64175">
              <w:rPr>
                <w:rFonts w:ascii="Arial" w:hAnsi="Arial" w:cs="Arial"/>
              </w:rPr>
              <w:t>e montant global d</w:t>
            </w:r>
            <w:r w:rsidR="008E051A" w:rsidRPr="00A64175">
              <w:rPr>
                <w:rFonts w:ascii="Arial" w:hAnsi="Arial" w:cs="Arial"/>
              </w:rPr>
              <w:t>es</w:t>
            </w:r>
            <w:r w:rsidR="00E660B2" w:rsidRPr="00A64175">
              <w:rPr>
                <w:rFonts w:ascii="Arial" w:hAnsi="Arial" w:cs="Arial"/>
              </w:rPr>
              <w:t xml:space="preserve"> concours, avances ou prêts consentis par les </w:t>
            </w:r>
            <w:r w:rsidR="008E051A" w:rsidRPr="00A64175">
              <w:rPr>
                <w:rFonts w:ascii="Arial" w:hAnsi="Arial" w:cs="Arial"/>
              </w:rPr>
              <w:t xml:space="preserve"> intermédiaires de marché </w:t>
            </w:r>
            <w:r w:rsidR="00E660B2" w:rsidRPr="00A64175">
              <w:rPr>
                <w:rFonts w:ascii="Arial" w:hAnsi="Arial" w:cs="Arial"/>
              </w:rPr>
              <w:t xml:space="preserve">aux membres de leurs organes d’administration, de gestion ou de direction, à leurs actionnaires ou à leur personnel ne doit pas dépasser 20% de leurs fonds propres. </w:t>
            </w:r>
            <w:r w:rsidR="0033078D" w:rsidRPr="00A64175">
              <w:rPr>
                <w:rFonts w:ascii="Arial" w:hAnsi="Arial" w:cs="Arial"/>
              </w:rPr>
              <w:t>Pour chaque</w:t>
            </w:r>
            <w:r w:rsidR="00E660B2" w:rsidRPr="00A64175">
              <w:rPr>
                <w:rFonts w:ascii="Arial" w:hAnsi="Arial" w:cs="Arial"/>
              </w:rPr>
              <w:t xml:space="preserve"> concours</w:t>
            </w:r>
            <w:r w:rsidR="0033078D" w:rsidRPr="00A64175">
              <w:rPr>
                <w:rFonts w:ascii="Arial" w:hAnsi="Arial" w:cs="Arial"/>
              </w:rPr>
              <w:t>, avance ou prêt consenti, des sûretés doivent être constituées, couvrant la totalité de l’exposition.</w:t>
            </w:r>
          </w:p>
          <w:p w14:paraId="1EC7DDB8" w14:textId="77777777" w:rsidR="00646B6C" w:rsidRPr="00A64175" w:rsidRDefault="00646B6C" w:rsidP="00A64175">
            <w:pPr>
              <w:tabs>
                <w:tab w:val="left" w:pos="-1545"/>
              </w:tabs>
              <w:contextualSpacing/>
              <w:jc w:val="both"/>
              <w:rPr>
                <w:rFonts w:ascii="Arial" w:hAnsi="Arial" w:cs="Arial"/>
                <w:b/>
                <w:bCs/>
              </w:rPr>
            </w:pPr>
          </w:p>
          <w:p w14:paraId="7789B8BB" w14:textId="7935650C" w:rsidR="00CA0758" w:rsidRPr="00A64175" w:rsidRDefault="00C61FF8" w:rsidP="00A64175">
            <w:pPr>
              <w:tabs>
                <w:tab w:val="left" w:pos="-1545"/>
              </w:tabs>
              <w:contextualSpacing/>
              <w:jc w:val="both"/>
              <w:rPr>
                <w:rFonts w:ascii="Arial" w:hAnsi="Arial" w:cs="Arial"/>
                <w:b/>
                <w:bCs/>
              </w:rPr>
            </w:pPr>
            <w:r w:rsidRPr="00A64175">
              <w:rPr>
                <w:rFonts w:ascii="Arial" w:hAnsi="Arial" w:cs="Arial"/>
                <w:b/>
              </w:rPr>
              <w:t>Article 2</w:t>
            </w:r>
            <w:r w:rsidR="00436240">
              <w:rPr>
                <w:rFonts w:ascii="Arial" w:hAnsi="Arial" w:cs="Arial"/>
                <w:b/>
              </w:rPr>
              <w:t>51</w:t>
            </w:r>
            <w:r w:rsidR="00CA0758" w:rsidRPr="00A64175">
              <w:rPr>
                <w:rFonts w:ascii="Arial" w:hAnsi="Arial" w:cs="Arial"/>
                <w:b/>
              </w:rPr>
              <w:t xml:space="preserve">. – </w:t>
            </w:r>
            <w:r w:rsidR="009B1EDF" w:rsidRPr="00A64175">
              <w:rPr>
                <w:rFonts w:ascii="Arial" w:hAnsi="Arial" w:cs="Arial"/>
              </w:rPr>
              <w:t>Les intermédiaires de marché respectent les règles prudentielles définies dans une instruction de la COSUMAF.</w:t>
            </w:r>
          </w:p>
          <w:p w14:paraId="51CC6632" w14:textId="77777777" w:rsidR="0033078D" w:rsidRPr="00A64175" w:rsidRDefault="0033078D" w:rsidP="00A64175">
            <w:pPr>
              <w:tabs>
                <w:tab w:val="left" w:pos="-1545"/>
              </w:tabs>
              <w:contextualSpacing/>
              <w:jc w:val="both"/>
              <w:rPr>
                <w:rFonts w:ascii="Arial" w:hAnsi="Arial" w:cs="Arial"/>
                <w:b/>
                <w:bCs/>
              </w:rPr>
            </w:pPr>
          </w:p>
          <w:p w14:paraId="170A838D" w14:textId="10727792" w:rsidR="00C61FF8" w:rsidRPr="00A64175" w:rsidRDefault="00C61FF8" w:rsidP="00A64175">
            <w:pPr>
              <w:tabs>
                <w:tab w:val="left" w:pos="-1545"/>
              </w:tabs>
              <w:contextualSpacing/>
              <w:jc w:val="both"/>
              <w:rPr>
                <w:rFonts w:ascii="Arial" w:hAnsi="Arial" w:cs="Arial"/>
              </w:rPr>
            </w:pPr>
            <w:r w:rsidRPr="00A64175">
              <w:rPr>
                <w:rFonts w:ascii="Arial" w:hAnsi="Arial" w:cs="Arial"/>
                <w:b/>
              </w:rPr>
              <w:t>Article 2</w:t>
            </w:r>
            <w:r w:rsidR="005E4744">
              <w:rPr>
                <w:rFonts w:ascii="Arial" w:hAnsi="Arial" w:cs="Arial"/>
                <w:b/>
              </w:rPr>
              <w:t>5</w:t>
            </w:r>
            <w:r w:rsidR="00436240">
              <w:rPr>
                <w:rFonts w:ascii="Arial" w:hAnsi="Arial" w:cs="Arial"/>
                <w:b/>
              </w:rPr>
              <w:t>2</w:t>
            </w:r>
            <w:r w:rsidR="00F920BD" w:rsidRPr="00A64175">
              <w:rPr>
                <w:rFonts w:ascii="Arial" w:hAnsi="Arial" w:cs="Arial"/>
                <w:b/>
              </w:rPr>
              <w:t>. –</w:t>
            </w:r>
            <w:r w:rsidR="00F920BD" w:rsidRPr="00A64175">
              <w:rPr>
                <w:rFonts w:ascii="Arial" w:hAnsi="Arial" w:cs="Arial"/>
                <w:color w:val="000000"/>
              </w:rPr>
              <w:t xml:space="preserve"> </w:t>
            </w:r>
            <w:r w:rsidR="00572D3A" w:rsidRPr="00A64175">
              <w:rPr>
                <w:rFonts w:ascii="Arial" w:hAnsi="Arial" w:cs="Arial"/>
              </w:rPr>
              <w:t>Les sociétés de bourse</w:t>
            </w:r>
            <w:r w:rsidR="00095F65" w:rsidRPr="00A64175">
              <w:rPr>
                <w:rFonts w:ascii="Arial" w:hAnsi="Arial" w:cs="Arial"/>
              </w:rPr>
              <w:t xml:space="preserve"> doivent souscrire à une participation</w:t>
            </w:r>
            <w:r w:rsidR="00C422C9" w:rsidRPr="00A64175">
              <w:rPr>
                <w:rFonts w:ascii="Arial" w:hAnsi="Arial" w:cs="Arial"/>
              </w:rPr>
              <w:t xml:space="preserve"> d’au moins quarante millions (40 000 000) de francs CFA dans le capital de la BVMAC</w:t>
            </w:r>
            <w:r w:rsidR="00572D3A" w:rsidRPr="00A64175">
              <w:rPr>
                <w:rFonts w:ascii="Arial" w:hAnsi="Arial" w:cs="Arial"/>
              </w:rPr>
              <w:t xml:space="preserve">. </w:t>
            </w:r>
          </w:p>
          <w:p w14:paraId="14D2CD54" w14:textId="77777777" w:rsidR="00C61FF8" w:rsidRPr="00A64175" w:rsidRDefault="00C61FF8" w:rsidP="00A64175">
            <w:pPr>
              <w:tabs>
                <w:tab w:val="left" w:pos="-1545"/>
              </w:tabs>
              <w:contextualSpacing/>
              <w:jc w:val="both"/>
              <w:rPr>
                <w:rFonts w:ascii="Arial" w:hAnsi="Arial" w:cs="Arial"/>
              </w:rPr>
            </w:pPr>
          </w:p>
          <w:p w14:paraId="1522B697" w14:textId="096578AA" w:rsidR="00C61FF8" w:rsidRPr="00A64175" w:rsidRDefault="00572D3A" w:rsidP="00A64175">
            <w:pPr>
              <w:tabs>
                <w:tab w:val="left" w:pos="-1545"/>
              </w:tabs>
              <w:contextualSpacing/>
              <w:jc w:val="both"/>
              <w:rPr>
                <w:rFonts w:ascii="Arial" w:hAnsi="Arial" w:cs="Arial"/>
              </w:rPr>
            </w:pPr>
            <w:r w:rsidRPr="00A64175">
              <w:rPr>
                <w:rFonts w:ascii="Arial" w:hAnsi="Arial" w:cs="Arial"/>
              </w:rPr>
              <w:t xml:space="preserve">Ce niveau minimum ne doit en aucun cas être réduit. </w:t>
            </w:r>
          </w:p>
          <w:p w14:paraId="388D1279" w14:textId="77777777" w:rsidR="00C61FF8" w:rsidRPr="00A64175" w:rsidRDefault="00C61FF8" w:rsidP="00A64175">
            <w:pPr>
              <w:tabs>
                <w:tab w:val="left" w:pos="-1545"/>
              </w:tabs>
              <w:contextualSpacing/>
              <w:jc w:val="both"/>
              <w:rPr>
                <w:rFonts w:ascii="Arial" w:hAnsi="Arial" w:cs="Arial"/>
              </w:rPr>
            </w:pPr>
          </w:p>
          <w:p w14:paraId="7B6D1019" w14:textId="6FC375DA" w:rsidR="00A965EA" w:rsidRPr="00A64175" w:rsidRDefault="00A965EA" w:rsidP="00A64175">
            <w:pPr>
              <w:tabs>
                <w:tab w:val="left" w:pos="-1545"/>
              </w:tabs>
              <w:contextualSpacing/>
              <w:jc w:val="both"/>
              <w:rPr>
                <w:rFonts w:ascii="Arial" w:hAnsi="Arial" w:cs="Arial"/>
                <w:b/>
                <w:bCs/>
              </w:rPr>
            </w:pPr>
            <w:r w:rsidRPr="00A64175">
              <w:rPr>
                <w:rFonts w:ascii="Arial" w:hAnsi="Arial" w:cs="Arial"/>
              </w:rPr>
              <w:t xml:space="preserve">Lorsqu’à la suite </w:t>
            </w:r>
            <w:r w:rsidR="00572D3A" w:rsidRPr="00A64175">
              <w:rPr>
                <w:rFonts w:ascii="Arial" w:hAnsi="Arial" w:cs="Arial"/>
              </w:rPr>
              <w:t xml:space="preserve"> d’opérations sur le capital de la Bourse, la participation d’une</w:t>
            </w:r>
            <w:r w:rsidRPr="00A64175">
              <w:rPr>
                <w:rFonts w:ascii="Arial" w:hAnsi="Arial" w:cs="Arial"/>
              </w:rPr>
              <w:t xml:space="preserve"> société de bourse devient inférieure au montant minimum, </w:t>
            </w:r>
            <w:r w:rsidR="005E1857" w:rsidRPr="00A64175">
              <w:rPr>
                <w:rFonts w:ascii="Arial" w:hAnsi="Arial" w:cs="Arial"/>
              </w:rPr>
              <w:t>la société de bourse</w:t>
            </w:r>
            <w:r w:rsidRPr="00A64175">
              <w:rPr>
                <w:rFonts w:ascii="Arial" w:hAnsi="Arial" w:cs="Arial"/>
              </w:rPr>
              <w:t xml:space="preserve"> est tenu</w:t>
            </w:r>
            <w:r w:rsidR="005E1857" w:rsidRPr="00A64175">
              <w:rPr>
                <w:rFonts w:ascii="Arial" w:hAnsi="Arial" w:cs="Arial"/>
              </w:rPr>
              <w:t>e</w:t>
            </w:r>
            <w:r w:rsidRPr="00A64175">
              <w:rPr>
                <w:rFonts w:ascii="Arial" w:hAnsi="Arial" w:cs="Arial"/>
              </w:rPr>
              <w:t>, au plus tard à la clôture de l’exercice au cours duquel la</w:t>
            </w:r>
            <w:r w:rsidR="005E1857" w:rsidRPr="00A64175">
              <w:rPr>
                <w:rFonts w:ascii="Arial" w:hAnsi="Arial" w:cs="Arial"/>
              </w:rPr>
              <w:t xml:space="preserve"> participation a été réduite</w:t>
            </w:r>
            <w:r w:rsidRPr="00A64175">
              <w:rPr>
                <w:rFonts w:ascii="Arial" w:hAnsi="Arial" w:cs="Arial"/>
              </w:rPr>
              <w:t>, d</w:t>
            </w:r>
            <w:r w:rsidR="005E1857" w:rsidRPr="00A64175">
              <w:rPr>
                <w:rFonts w:ascii="Arial" w:hAnsi="Arial" w:cs="Arial"/>
              </w:rPr>
              <w:t xml:space="preserve">e régulariser sa situation. </w:t>
            </w:r>
          </w:p>
          <w:p w14:paraId="4D7D315D" w14:textId="611CA840" w:rsidR="00095F65" w:rsidRPr="00A64175" w:rsidRDefault="00095F65" w:rsidP="00A64175">
            <w:pPr>
              <w:pStyle w:val="Paragraphedeliste"/>
              <w:tabs>
                <w:tab w:val="left" w:pos="-1545"/>
              </w:tabs>
              <w:spacing w:before="0" w:beforeAutospacing="0" w:after="0" w:afterAutospacing="0" w:line="240" w:lineRule="auto"/>
              <w:contextualSpacing/>
              <w:rPr>
                <w:highlight w:val="green"/>
              </w:rPr>
            </w:pPr>
          </w:p>
          <w:p w14:paraId="2C4991AC" w14:textId="1261D969" w:rsidR="00095F65" w:rsidRPr="00A64175" w:rsidRDefault="00C61FF8" w:rsidP="00A64175">
            <w:pPr>
              <w:tabs>
                <w:tab w:val="left" w:pos="-1545"/>
              </w:tabs>
              <w:contextualSpacing/>
              <w:jc w:val="both"/>
              <w:rPr>
                <w:rFonts w:ascii="Arial" w:hAnsi="Arial" w:cs="Arial"/>
              </w:rPr>
            </w:pPr>
            <w:r w:rsidRPr="00A64175">
              <w:rPr>
                <w:rFonts w:ascii="Arial" w:hAnsi="Arial" w:cs="Arial"/>
                <w:b/>
              </w:rPr>
              <w:t>Article 2</w:t>
            </w:r>
            <w:r w:rsidR="005E4744">
              <w:rPr>
                <w:rFonts w:ascii="Arial" w:hAnsi="Arial" w:cs="Arial"/>
                <w:b/>
              </w:rPr>
              <w:t>5</w:t>
            </w:r>
            <w:r w:rsidR="00436240">
              <w:rPr>
                <w:rFonts w:ascii="Arial" w:hAnsi="Arial" w:cs="Arial"/>
                <w:b/>
              </w:rPr>
              <w:t>3</w:t>
            </w:r>
            <w:r w:rsidR="005E1857" w:rsidRPr="00A64175">
              <w:rPr>
                <w:rFonts w:ascii="Arial" w:hAnsi="Arial" w:cs="Arial"/>
                <w:b/>
              </w:rPr>
              <w:t>. –</w:t>
            </w:r>
            <w:r w:rsidR="005E1857" w:rsidRPr="00A64175">
              <w:rPr>
                <w:rFonts w:ascii="Arial" w:hAnsi="Arial" w:cs="Arial"/>
                <w:color w:val="000000"/>
              </w:rPr>
              <w:t xml:space="preserve"> L</w:t>
            </w:r>
            <w:r w:rsidR="00095F65" w:rsidRPr="00A64175">
              <w:rPr>
                <w:rFonts w:ascii="Arial" w:hAnsi="Arial" w:cs="Arial"/>
              </w:rPr>
              <w:t>es intermédiaires de marché qui fournissent un service</w:t>
            </w:r>
            <w:r w:rsidR="00C422C9" w:rsidRPr="00A64175">
              <w:rPr>
                <w:rFonts w:ascii="Arial" w:hAnsi="Arial" w:cs="Arial"/>
              </w:rPr>
              <w:t xml:space="preserve"> de tenue de compte </w:t>
            </w:r>
            <w:r w:rsidR="00095F65" w:rsidRPr="00A64175">
              <w:rPr>
                <w:rFonts w:ascii="Arial" w:hAnsi="Arial" w:cs="Arial"/>
              </w:rPr>
              <w:t xml:space="preserve"> adhèrent au Dépositaire Central et souscrivent à une participation</w:t>
            </w:r>
            <w:r w:rsidR="00C422C9" w:rsidRPr="00A64175">
              <w:rPr>
                <w:rFonts w:ascii="Arial" w:hAnsi="Arial" w:cs="Arial"/>
              </w:rPr>
              <w:t xml:space="preserve"> dans son capital social </w:t>
            </w:r>
            <w:r w:rsidR="005E1857" w:rsidRPr="00A64175">
              <w:rPr>
                <w:rFonts w:ascii="Arial" w:hAnsi="Arial" w:cs="Arial"/>
              </w:rPr>
              <w:t xml:space="preserve">à concurrence </w:t>
            </w:r>
            <w:r w:rsidR="00C422C9" w:rsidRPr="00A64175">
              <w:rPr>
                <w:rFonts w:ascii="Arial" w:hAnsi="Arial" w:cs="Arial"/>
              </w:rPr>
              <w:t>d’au moins</w:t>
            </w:r>
            <w:r w:rsidR="00095F65" w:rsidRPr="00A64175">
              <w:rPr>
                <w:rFonts w:ascii="Arial" w:hAnsi="Arial" w:cs="Arial"/>
              </w:rPr>
              <w:t xml:space="preserve"> vingt millions (20 000 000</w:t>
            </w:r>
            <w:r w:rsidRPr="00A64175">
              <w:rPr>
                <w:rFonts w:ascii="Arial" w:hAnsi="Arial" w:cs="Arial"/>
              </w:rPr>
              <w:t>) de francs CFA.</w:t>
            </w:r>
          </w:p>
          <w:p w14:paraId="56DB8A2F" w14:textId="236F7C17" w:rsidR="005E1857" w:rsidRPr="00A64175" w:rsidRDefault="005E1857" w:rsidP="00A64175">
            <w:pPr>
              <w:tabs>
                <w:tab w:val="left" w:pos="-1545"/>
              </w:tabs>
              <w:contextualSpacing/>
              <w:jc w:val="both"/>
              <w:rPr>
                <w:rFonts w:ascii="Arial" w:hAnsi="Arial" w:cs="Arial"/>
                <w:highlight w:val="green"/>
              </w:rPr>
            </w:pPr>
          </w:p>
        </w:tc>
      </w:tr>
      <w:tr w:rsidR="00095F65" w:rsidRPr="00A64175" w14:paraId="17B484AA" w14:textId="77777777" w:rsidTr="00EC563C">
        <w:tc>
          <w:tcPr>
            <w:tcW w:w="9214" w:type="dxa"/>
            <w:shd w:val="clear" w:color="auto" w:fill="auto"/>
          </w:tcPr>
          <w:p w14:paraId="6B7B921F" w14:textId="77777777" w:rsidR="00102B57" w:rsidRPr="00A64175" w:rsidRDefault="00102B57" w:rsidP="00A64175">
            <w:pPr>
              <w:widowControl w:val="0"/>
              <w:tabs>
                <w:tab w:val="left" w:pos="3750"/>
              </w:tabs>
              <w:autoSpaceDE w:val="0"/>
              <w:adjustRightInd w:val="0"/>
              <w:jc w:val="both"/>
              <w:rPr>
                <w:rFonts w:ascii="Arial" w:hAnsi="Arial" w:cs="Arial"/>
                <w:b/>
                <w:kern w:val="1"/>
              </w:rPr>
            </w:pPr>
          </w:p>
          <w:p w14:paraId="18882B12" w14:textId="77777777" w:rsidR="00095F65" w:rsidRPr="00A64175" w:rsidRDefault="00095F65" w:rsidP="00A64175">
            <w:pPr>
              <w:widowControl w:val="0"/>
              <w:tabs>
                <w:tab w:val="left" w:pos="3750"/>
              </w:tabs>
              <w:autoSpaceDE w:val="0"/>
              <w:adjustRightInd w:val="0"/>
              <w:jc w:val="both"/>
              <w:rPr>
                <w:rFonts w:ascii="Arial" w:hAnsi="Arial" w:cs="Arial"/>
                <w:b/>
                <w:kern w:val="1"/>
              </w:rPr>
            </w:pPr>
            <w:r w:rsidRPr="00A64175">
              <w:rPr>
                <w:rFonts w:ascii="Arial" w:hAnsi="Arial" w:cs="Arial"/>
                <w:b/>
                <w:kern w:val="1"/>
              </w:rPr>
              <w:t>Section III : Règles d’organisation</w:t>
            </w:r>
          </w:p>
          <w:p w14:paraId="3AE90012"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0144C74D" w14:textId="77777777" w:rsidTr="00EC563C">
        <w:tc>
          <w:tcPr>
            <w:tcW w:w="9214" w:type="dxa"/>
            <w:shd w:val="clear" w:color="auto" w:fill="auto"/>
          </w:tcPr>
          <w:p w14:paraId="0352243C" w14:textId="77777777" w:rsidR="00095F65" w:rsidRPr="00A64175" w:rsidRDefault="00095F65" w:rsidP="00A64175">
            <w:pPr>
              <w:widowControl w:val="0"/>
              <w:tabs>
                <w:tab w:val="left" w:pos="3750"/>
              </w:tabs>
              <w:autoSpaceDE w:val="0"/>
              <w:adjustRightInd w:val="0"/>
              <w:jc w:val="both"/>
              <w:rPr>
                <w:rFonts w:ascii="Arial" w:hAnsi="Arial" w:cs="Arial"/>
                <w:bCs/>
                <w:i/>
                <w:iCs/>
                <w:kern w:val="1"/>
              </w:rPr>
            </w:pPr>
            <w:r w:rsidRPr="00A64175">
              <w:rPr>
                <w:rFonts w:ascii="Arial" w:hAnsi="Arial" w:cs="Arial"/>
                <w:bCs/>
                <w:i/>
                <w:iCs/>
                <w:kern w:val="1"/>
              </w:rPr>
              <w:t>Sous-section I : Dispositions générales</w:t>
            </w:r>
          </w:p>
        </w:tc>
      </w:tr>
      <w:tr w:rsidR="00095F65" w:rsidRPr="00A64175" w14:paraId="2D24C538" w14:textId="77777777" w:rsidTr="00EC563C">
        <w:tc>
          <w:tcPr>
            <w:tcW w:w="9214" w:type="dxa"/>
            <w:shd w:val="clear" w:color="auto" w:fill="auto"/>
          </w:tcPr>
          <w:p w14:paraId="469E7C9D" w14:textId="77777777" w:rsidR="00095F65" w:rsidRPr="00A64175" w:rsidRDefault="00095F65" w:rsidP="00A64175">
            <w:pPr>
              <w:jc w:val="both"/>
              <w:rPr>
                <w:rFonts w:ascii="Arial" w:hAnsi="Arial" w:cs="Arial"/>
                <w:b/>
                <w:bCs/>
              </w:rPr>
            </w:pPr>
          </w:p>
          <w:p w14:paraId="491F60E1" w14:textId="4EDE3B8E" w:rsidR="00095F65" w:rsidRPr="00A64175" w:rsidRDefault="008436A7" w:rsidP="00A64175">
            <w:pPr>
              <w:jc w:val="both"/>
              <w:rPr>
                <w:rFonts w:ascii="Arial" w:hAnsi="Arial" w:cs="Arial"/>
              </w:rPr>
            </w:pPr>
            <w:r w:rsidRPr="00A64175">
              <w:rPr>
                <w:rFonts w:ascii="Arial" w:hAnsi="Arial" w:cs="Arial"/>
                <w:b/>
              </w:rPr>
              <w:t>A</w:t>
            </w:r>
            <w:r w:rsidR="00C61FF8" w:rsidRPr="00A64175">
              <w:rPr>
                <w:rFonts w:ascii="Arial" w:hAnsi="Arial" w:cs="Arial"/>
                <w:b/>
              </w:rPr>
              <w:t>rticle 25</w:t>
            </w:r>
            <w:r w:rsidR="00AD15A8">
              <w:rPr>
                <w:rFonts w:ascii="Arial" w:hAnsi="Arial" w:cs="Arial"/>
                <w:b/>
              </w:rPr>
              <w:t>4</w:t>
            </w:r>
            <w:r w:rsidRPr="00A64175">
              <w:rPr>
                <w:rFonts w:ascii="Arial" w:hAnsi="Arial" w:cs="Arial"/>
                <w:b/>
              </w:rPr>
              <w:t>. –</w:t>
            </w:r>
            <w:r w:rsidRPr="00A64175">
              <w:rPr>
                <w:rFonts w:ascii="Arial" w:hAnsi="Arial" w:cs="Arial"/>
                <w:color w:val="000000"/>
              </w:rPr>
              <w:t xml:space="preserve"> </w:t>
            </w:r>
            <w:r w:rsidR="00095F65" w:rsidRPr="00A64175">
              <w:rPr>
                <w:rFonts w:ascii="Arial" w:hAnsi="Arial" w:cs="Arial"/>
              </w:rPr>
              <w:t xml:space="preserve">Les intermédiaires de marché : </w:t>
            </w:r>
          </w:p>
          <w:p w14:paraId="53D47A45" w14:textId="77777777" w:rsidR="00095F65" w:rsidRPr="00A64175" w:rsidRDefault="00095F65" w:rsidP="00A64175">
            <w:pPr>
              <w:jc w:val="both"/>
              <w:rPr>
                <w:rFonts w:ascii="Arial" w:hAnsi="Arial" w:cs="Arial"/>
              </w:rPr>
            </w:pPr>
          </w:p>
          <w:p w14:paraId="19637D70" w14:textId="77777777" w:rsidR="00095F65" w:rsidRPr="00A64175" w:rsidRDefault="00095F65" w:rsidP="00A64175">
            <w:pPr>
              <w:pStyle w:val="Paragraphedeliste"/>
              <w:numPr>
                <w:ilvl w:val="0"/>
                <w:numId w:val="25"/>
              </w:numPr>
              <w:spacing w:before="0" w:beforeAutospacing="0" w:after="0" w:afterAutospacing="0" w:line="240" w:lineRule="auto"/>
              <w:ind w:left="714" w:hanging="357"/>
            </w:pPr>
            <w:r w:rsidRPr="00A64175">
              <w:t xml:space="preserve">Établissent, mettent en œuvre et gardent opérationnelles des procédures de prise de décision et une structure organisationnelle précisant sous une forme claire et documentée les lignes hiérarchiques et la répartition des fonctions et responsabilités ; </w:t>
            </w:r>
          </w:p>
          <w:p w14:paraId="18CFF966" w14:textId="77777777" w:rsidR="00095F65" w:rsidRPr="00A64175" w:rsidRDefault="00095F65" w:rsidP="00A64175">
            <w:pPr>
              <w:ind w:left="357"/>
              <w:jc w:val="both"/>
              <w:rPr>
                <w:rFonts w:ascii="Arial" w:hAnsi="Arial" w:cs="Arial"/>
              </w:rPr>
            </w:pPr>
          </w:p>
          <w:p w14:paraId="7D9F6B02" w14:textId="562352C9" w:rsidR="00095F65" w:rsidRPr="00A64175" w:rsidRDefault="00095F65" w:rsidP="00A64175">
            <w:pPr>
              <w:pStyle w:val="Paragraphedeliste"/>
              <w:numPr>
                <w:ilvl w:val="0"/>
                <w:numId w:val="47"/>
              </w:numPr>
              <w:spacing w:before="0" w:beforeAutospacing="0" w:after="0" w:afterAutospacing="0" w:line="240" w:lineRule="auto"/>
              <w:ind w:left="714" w:hanging="357"/>
            </w:pPr>
            <w:r w:rsidRPr="00A64175">
              <w:t>S’assurent que leurs dirigeants, les membres de leur personnel et toute personne intervenant à un titre quelconque e</w:t>
            </w:r>
            <w:r w:rsidR="000577CC" w:rsidRPr="00A64175">
              <w:t>n leur sein sont informés de l’existence de</w:t>
            </w:r>
            <w:r w:rsidRPr="00A64175">
              <w:t xml:space="preserve"> procédures </w:t>
            </w:r>
            <w:r w:rsidR="000577CC" w:rsidRPr="00A64175">
              <w:t xml:space="preserve">encadrant </w:t>
            </w:r>
            <w:r w:rsidRPr="00A64175">
              <w:t>l'exercice</w:t>
            </w:r>
            <w:r w:rsidR="000577CC" w:rsidRPr="00A64175">
              <w:t xml:space="preserve"> approprié de leurs activ</w:t>
            </w:r>
            <w:r w:rsidRPr="00A64175">
              <w:t xml:space="preserve">ités ; </w:t>
            </w:r>
          </w:p>
          <w:p w14:paraId="67D92B54" w14:textId="77777777" w:rsidR="00095F65" w:rsidRPr="00A64175" w:rsidRDefault="00095F65" w:rsidP="00A64175">
            <w:pPr>
              <w:ind w:left="357"/>
              <w:jc w:val="both"/>
              <w:rPr>
                <w:rFonts w:ascii="Arial" w:hAnsi="Arial" w:cs="Arial"/>
              </w:rPr>
            </w:pPr>
          </w:p>
          <w:p w14:paraId="11601C3F" w14:textId="6E48AB7B" w:rsidR="00095F65" w:rsidRPr="00A64175" w:rsidRDefault="00095F65" w:rsidP="00A64175">
            <w:pPr>
              <w:pStyle w:val="Paragraphedeliste"/>
              <w:numPr>
                <w:ilvl w:val="0"/>
                <w:numId w:val="48"/>
              </w:numPr>
              <w:spacing w:before="0" w:beforeAutospacing="0" w:after="0" w:afterAutospacing="0" w:line="240" w:lineRule="auto"/>
              <w:ind w:left="714" w:hanging="357"/>
            </w:pPr>
            <w:r w:rsidRPr="00A64175">
              <w:t>Établissent, mettent en œuvre et gard</w:t>
            </w:r>
            <w:r w:rsidR="000577CC" w:rsidRPr="00A64175">
              <w:t>ent opérationnels des dispositifs</w:t>
            </w:r>
            <w:r w:rsidRPr="00A64175">
              <w:t xml:space="preserve"> de contrôle interne et de conformité appropriés, conçus pour garantir le respect des</w:t>
            </w:r>
            <w:r w:rsidR="008436A7" w:rsidRPr="00A64175">
              <w:t xml:space="preserve"> obligations professionnelles, des</w:t>
            </w:r>
            <w:r w:rsidRPr="00A64175">
              <w:t xml:space="preserve"> décisions et des procédures </w:t>
            </w:r>
            <w:r w:rsidR="000577CC" w:rsidRPr="00A64175">
              <w:t xml:space="preserve">internes </w:t>
            </w:r>
            <w:r w:rsidRPr="00A64175">
              <w:t xml:space="preserve">; </w:t>
            </w:r>
          </w:p>
          <w:p w14:paraId="2F28517D" w14:textId="77777777" w:rsidR="00095F65" w:rsidRPr="00A64175" w:rsidRDefault="00095F65" w:rsidP="00A64175">
            <w:pPr>
              <w:jc w:val="both"/>
              <w:rPr>
                <w:rFonts w:ascii="Arial" w:hAnsi="Arial" w:cs="Arial"/>
              </w:rPr>
            </w:pPr>
          </w:p>
          <w:p w14:paraId="38CAEF85" w14:textId="0DDA97AD" w:rsidR="00095F65" w:rsidRPr="00A64175" w:rsidRDefault="00095F65" w:rsidP="00A64175">
            <w:pPr>
              <w:pStyle w:val="Paragraphedeliste"/>
              <w:numPr>
                <w:ilvl w:val="0"/>
                <w:numId w:val="49"/>
              </w:numPr>
              <w:spacing w:before="0" w:beforeAutospacing="0" w:after="0" w:afterAutospacing="0" w:line="240" w:lineRule="auto"/>
            </w:pPr>
            <w:r w:rsidRPr="00A64175">
              <w:t>Établissent, mettent en œuvre et gardent opérationnel, à tous les niveaux pertinents de</w:t>
            </w:r>
            <w:r w:rsidR="000577CC" w:rsidRPr="00A64175">
              <w:t xml:space="preserve"> leur activité</w:t>
            </w:r>
            <w:r w:rsidRPr="00A64175">
              <w:t xml:space="preserve">, un système efficace de reporting interne et de communication des informations ; </w:t>
            </w:r>
          </w:p>
          <w:p w14:paraId="5C538340" w14:textId="77777777" w:rsidR="00095F65" w:rsidRPr="00A64175" w:rsidRDefault="00095F65" w:rsidP="00A64175">
            <w:pPr>
              <w:ind w:left="360"/>
              <w:jc w:val="both"/>
              <w:rPr>
                <w:rFonts w:ascii="Arial" w:hAnsi="Arial" w:cs="Arial"/>
              </w:rPr>
            </w:pPr>
          </w:p>
          <w:p w14:paraId="0ADF2876" w14:textId="77777777" w:rsidR="00095F65" w:rsidRPr="00A64175" w:rsidRDefault="00095F65" w:rsidP="00A64175">
            <w:pPr>
              <w:pStyle w:val="Paragraphedeliste"/>
              <w:numPr>
                <w:ilvl w:val="0"/>
                <w:numId w:val="50"/>
              </w:numPr>
              <w:spacing w:before="0" w:beforeAutospacing="0" w:after="0" w:afterAutospacing="0" w:line="240" w:lineRule="auto"/>
            </w:pPr>
            <w:r w:rsidRPr="00A64175">
              <w:t>Enregistrent de manière adéquate et ordonnée le détail de leurs activités et de leur organisation interne ;</w:t>
            </w:r>
          </w:p>
          <w:p w14:paraId="2E1FF429" w14:textId="77777777" w:rsidR="00095F65" w:rsidRPr="00A64175" w:rsidRDefault="00095F65" w:rsidP="00A64175">
            <w:pPr>
              <w:ind w:left="360"/>
              <w:jc w:val="both"/>
              <w:rPr>
                <w:rFonts w:ascii="Arial" w:hAnsi="Arial" w:cs="Arial"/>
              </w:rPr>
            </w:pPr>
          </w:p>
          <w:p w14:paraId="1AE692B4" w14:textId="703510F3" w:rsidR="00095F65" w:rsidRPr="00A64175" w:rsidRDefault="00095F65" w:rsidP="00A64175">
            <w:pPr>
              <w:pStyle w:val="Paragraphedeliste"/>
              <w:numPr>
                <w:ilvl w:val="0"/>
                <w:numId w:val="51"/>
              </w:numPr>
              <w:spacing w:before="0" w:beforeAutospacing="0" w:after="0" w:afterAutospacing="0" w:line="240" w:lineRule="auto"/>
            </w:pPr>
            <w:r w:rsidRPr="00A64175">
              <w:t>s'assurent que le fait de confier des fonctions multiples aux membres de leur personnel ne les empêche pas ou n'est pas susceptible de les empêcher de s</w:t>
            </w:r>
            <w:r w:rsidR="008436A7" w:rsidRPr="00A64175">
              <w:t xml:space="preserve">'acquitter de manière </w:t>
            </w:r>
            <w:r w:rsidRPr="00A64175">
              <w:t>professionnelle</w:t>
            </w:r>
            <w:r w:rsidR="008436A7" w:rsidRPr="00A64175">
              <w:t xml:space="preserve"> et honnête</w:t>
            </w:r>
            <w:r w:rsidRPr="00A64175">
              <w:t xml:space="preserve"> de l'une quelconque de ces fonctions.</w:t>
            </w:r>
          </w:p>
          <w:p w14:paraId="1A96B3A6" w14:textId="77777777" w:rsidR="00095F65" w:rsidRPr="00A64175" w:rsidRDefault="00095F65" w:rsidP="00A64175">
            <w:pPr>
              <w:jc w:val="both"/>
              <w:rPr>
                <w:rFonts w:ascii="Arial" w:hAnsi="Arial" w:cs="Arial"/>
              </w:rPr>
            </w:pPr>
          </w:p>
          <w:p w14:paraId="227699E2" w14:textId="09CDFB69" w:rsidR="00095F65" w:rsidRPr="00A64175" w:rsidRDefault="00095F65" w:rsidP="00A64175">
            <w:pPr>
              <w:jc w:val="both"/>
              <w:rPr>
                <w:rFonts w:ascii="Arial" w:hAnsi="Arial" w:cs="Arial"/>
              </w:rPr>
            </w:pPr>
            <w:r w:rsidRPr="00A64175">
              <w:rPr>
                <w:rFonts w:ascii="Arial" w:hAnsi="Arial" w:cs="Arial"/>
              </w:rPr>
              <w:t>En respectant les exigence</w:t>
            </w:r>
            <w:r w:rsidR="000E0165" w:rsidRPr="00A64175">
              <w:rPr>
                <w:rFonts w:ascii="Arial" w:hAnsi="Arial" w:cs="Arial"/>
              </w:rPr>
              <w:t>s prévues au présent article</w:t>
            </w:r>
            <w:r w:rsidRPr="00A64175">
              <w:rPr>
                <w:rFonts w:ascii="Arial" w:hAnsi="Arial" w:cs="Arial"/>
              </w:rPr>
              <w:t>, les interméd</w:t>
            </w:r>
            <w:r w:rsidR="000E0165" w:rsidRPr="00A64175">
              <w:rPr>
                <w:rFonts w:ascii="Arial" w:hAnsi="Arial" w:cs="Arial"/>
              </w:rPr>
              <w:t>iaires de marché prennent notamment en compte la nature, l'échelle et</w:t>
            </w:r>
            <w:r w:rsidRPr="00A64175">
              <w:rPr>
                <w:rFonts w:ascii="Arial" w:hAnsi="Arial" w:cs="Arial"/>
              </w:rPr>
              <w:t xml:space="preserve"> la complexité de leur</w:t>
            </w:r>
            <w:r w:rsidR="000E0165" w:rsidRPr="00A64175">
              <w:rPr>
                <w:rFonts w:ascii="Arial" w:hAnsi="Arial" w:cs="Arial"/>
              </w:rPr>
              <w:t>s</w:t>
            </w:r>
            <w:r w:rsidRPr="00A64175">
              <w:rPr>
                <w:rFonts w:ascii="Arial" w:hAnsi="Arial" w:cs="Arial"/>
              </w:rPr>
              <w:t xml:space="preserve"> acti</w:t>
            </w:r>
            <w:r w:rsidR="000E0165" w:rsidRPr="00A64175">
              <w:rPr>
                <w:rFonts w:ascii="Arial" w:hAnsi="Arial" w:cs="Arial"/>
              </w:rPr>
              <w:t>vités, ainsi que</w:t>
            </w:r>
            <w:r w:rsidRPr="00A64175">
              <w:rPr>
                <w:rFonts w:ascii="Arial" w:hAnsi="Arial" w:cs="Arial"/>
              </w:rPr>
              <w:t xml:space="preserve"> l'éventail des services qu'ils fournissent. </w:t>
            </w:r>
          </w:p>
          <w:p w14:paraId="3AFA3DE1" w14:textId="4A4F290C" w:rsidR="00095F65" w:rsidRPr="00A64175" w:rsidRDefault="00095F65" w:rsidP="00A64175">
            <w:pPr>
              <w:jc w:val="both"/>
              <w:rPr>
                <w:rFonts w:ascii="Arial" w:hAnsi="Arial" w:cs="Arial"/>
                <w:b/>
              </w:rPr>
            </w:pPr>
          </w:p>
        </w:tc>
      </w:tr>
      <w:tr w:rsidR="00095F65" w:rsidRPr="00A64175" w14:paraId="75F8FD5B" w14:textId="77777777" w:rsidTr="00EC563C">
        <w:tc>
          <w:tcPr>
            <w:tcW w:w="9214" w:type="dxa"/>
            <w:shd w:val="clear" w:color="auto" w:fill="auto"/>
          </w:tcPr>
          <w:p w14:paraId="03206A99" w14:textId="77777777" w:rsidR="00FB06C0" w:rsidRPr="00A64175" w:rsidRDefault="00FB06C0" w:rsidP="00A64175">
            <w:pPr>
              <w:jc w:val="both"/>
              <w:rPr>
                <w:rFonts w:ascii="Arial" w:hAnsi="Arial" w:cs="Arial"/>
                <w:b/>
                <w:bCs/>
              </w:rPr>
            </w:pPr>
          </w:p>
          <w:p w14:paraId="76AEBF12" w14:textId="3E9F8915" w:rsidR="00095F65" w:rsidRPr="00A64175" w:rsidRDefault="00C61FF8" w:rsidP="00A64175">
            <w:pPr>
              <w:jc w:val="both"/>
              <w:rPr>
                <w:rFonts w:ascii="Arial" w:hAnsi="Arial" w:cs="Arial"/>
              </w:rPr>
            </w:pPr>
            <w:r w:rsidRPr="00A64175">
              <w:rPr>
                <w:rFonts w:ascii="Arial" w:hAnsi="Arial" w:cs="Arial"/>
                <w:b/>
              </w:rPr>
              <w:t>Article 25</w:t>
            </w:r>
            <w:r w:rsidR="00AD15A8">
              <w:rPr>
                <w:rFonts w:ascii="Arial" w:hAnsi="Arial" w:cs="Arial"/>
                <w:b/>
              </w:rPr>
              <w:t>5</w:t>
            </w:r>
            <w:r w:rsidR="00FB06C0" w:rsidRPr="00A64175">
              <w:rPr>
                <w:rFonts w:ascii="Arial" w:hAnsi="Arial" w:cs="Arial"/>
                <w:b/>
              </w:rPr>
              <w:t>. –</w:t>
            </w:r>
            <w:r w:rsidR="00FB06C0" w:rsidRPr="00A64175">
              <w:rPr>
                <w:rFonts w:ascii="Arial" w:hAnsi="Arial" w:cs="Arial"/>
                <w:color w:val="000000"/>
              </w:rPr>
              <w:t xml:space="preserve"> </w:t>
            </w:r>
            <w:r w:rsidR="00095F65" w:rsidRPr="00A64175">
              <w:rPr>
                <w:rFonts w:ascii="Arial" w:hAnsi="Arial" w:cs="Arial"/>
              </w:rPr>
              <w:t xml:space="preserve">Les intermédiaires de marché établissent, mettent en œuvre et gardent opérationnels des systèmes et des procédures permettant de sauvegarder la sécurité, l’intégrité et la confidentialité des informations de manière appropriée eu égard à la nature des informations concernées. </w:t>
            </w:r>
          </w:p>
          <w:p w14:paraId="28E50B8E"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59D1BFFF" w14:textId="77777777" w:rsidTr="00EC563C">
        <w:tc>
          <w:tcPr>
            <w:tcW w:w="9214" w:type="dxa"/>
            <w:shd w:val="clear" w:color="auto" w:fill="auto"/>
          </w:tcPr>
          <w:p w14:paraId="6C1C83CB" w14:textId="095AC3F2" w:rsidR="00095F65" w:rsidRPr="00A64175" w:rsidRDefault="00C61FF8" w:rsidP="00A64175">
            <w:pPr>
              <w:jc w:val="both"/>
              <w:rPr>
                <w:rFonts w:ascii="Arial" w:hAnsi="Arial" w:cs="Arial"/>
              </w:rPr>
            </w:pPr>
            <w:r w:rsidRPr="00A64175">
              <w:rPr>
                <w:rFonts w:ascii="Arial" w:hAnsi="Arial" w:cs="Arial"/>
                <w:b/>
              </w:rPr>
              <w:t>Article 25</w:t>
            </w:r>
            <w:r w:rsidR="00AD15A8">
              <w:rPr>
                <w:rFonts w:ascii="Arial" w:hAnsi="Arial" w:cs="Arial"/>
                <w:b/>
              </w:rPr>
              <w:t>6</w:t>
            </w:r>
            <w:r w:rsidR="00FB06C0" w:rsidRPr="00A64175">
              <w:rPr>
                <w:rFonts w:ascii="Arial" w:hAnsi="Arial" w:cs="Arial"/>
                <w:b/>
              </w:rPr>
              <w:t>. –</w:t>
            </w:r>
            <w:r w:rsidR="00FB06C0" w:rsidRPr="00A64175">
              <w:rPr>
                <w:rFonts w:ascii="Arial" w:hAnsi="Arial" w:cs="Arial"/>
                <w:color w:val="000000"/>
              </w:rPr>
              <w:t xml:space="preserve"> </w:t>
            </w:r>
            <w:r w:rsidR="00095F65" w:rsidRPr="00A64175">
              <w:rPr>
                <w:rFonts w:ascii="Arial" w:hAnsi="Arial" w:cs="Arial"/>
              </w:rPr>
              <w:t>Les intermédiaires de marché établissent, mettent en œuvre et gardent opérationnelles des politiques appropriées de continuité de l’activité afin de garantir, en cas d'interruption de leurs systèmes et procédures, la sauvegarde de leurs données et fonctions essentielles et la poursuite de leurs services et activités d'investissement ou, en cas d’impossibilité, afin de permettre la récupération en temps utile de ces données et foncti</w:t>
            </w:r>
            <w:r w:rsidR="00FB06C0" w:rsidRPr="00A64175">
              <w:rPr>
                <w:rFonts w:ascii="Arial" w:hAnsi="Arial" w:cs="Arial"/>
              </w:rPr>
              <w:t>ons et la reprise rapide</w:t>
            </w:r>
            <w:r w:rsidR="00095F65" w:rsidRPr="00A64175">
              <w:rPr>
                <w:rFonts w:ascii="Arial" w:hAnsi="Arial" w:cs="Arial"/>
              </w:rPr>
              <w:t xml:space="preserve"> </w:t>
            </w:r>
            <w:r w:rsidR="00FB06C0" w:rsidRPr="00A64175">
              <w:rPr>
                <w:rFonts w:ascii="Arial" w:hAnsi="Arial" w:cs="Arial"/>
              </w:rPr>
              <w:t>de leurs activités</w:t>
            </w:r>
            <w:r w:rsidR="00095F65" w:rsidRPr="00A64175">
              <w:rPr>
                <w:rFonts w:ascii="Arial" w:hAnsi="Arial" w:cs="Arial"/>
              </w:rPr>
              <w:t xml:space="preserve">. </w:t>
            </w:r>
          </w:p>
          <w:p w14:paraId="1CF8E6C7" w14:textId="77777777" w:rsidR="00095F65" w:rsidRPr="00A64175" w:rsidRDefault="00095F65" w:rsidP="00A64175">
            <w:pPr>
              <w:jc w:val="both"/>
              <w:rPr>
                <w:rFonts w:ascii="Arial" w:hAnsi="Arial" w:cs="Arial"/>
              </w:rPr>
            </w:pPr>
          </w:p>
          <w:p w14:paraId="13BA26A7" w14:textId="667A181A" w:rsidR="00095F65" w:rsidRPr="00A64175" w:rsidRDefault="00095F65" w:rsidP="00A64175">
            <w:pPr>
              <w:jc w:val="both"/>
              <w:rPr>
                <w:rFonts w:ascii="Arial" w:hAnsi="Arial" w:cs="Arial"/>
              </w:rPr>
            </w:pPr>
            <w:r w:rsidRPr="00A64175">
              <w:rPr>
                <w:rFonts w:ascii="Arial" w:hAnsi="Arial" w:cs="Arial"/>
              </w:rPr>
              <w:t>Ils contrôlent et évaluent régulièrement l'adéquation et l’efficacité des systèmes, mécanismes de contrôle interne et autres dispositifs mis en place en application</w:t>
            </w:r>
            <w:r w:rsidR="001612CD" w:rsidRPr="00A64175">
              <w:rPr>
                <w:rFonts w:ascii="Arial" w:hAnsi="Arial" w:cs="Arial"/>
              </w:rPr>
              <w:t xml:space="preserve"> des dispositions</w:t>
            </w:r>
            <w:r w:rsidRPr="00A64175">
              <w:rPr>
                <w:rFonts w:ascii="Arial" w:hAnsi="Arial" w:cs="Arial"/>
              </w:rPr>
              <w:t xml:space="preserve"> du présent article, et prennent des mesures appropriées pour remédier à d'éventuelles défaillances.</w:t>
            </w:r>
          </w:p>
          <w:p w14:paraId="67699DA5"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37418FEE" w14:textId="77777777" w:rsidTr="00EC563C">
        <w:tc>
          <w:tcPr>
            <w:tcW w:w="9214" w:type="dxa"/>
            <w:shd w:val="clear" w:color="auto" w:fill="auto"/>
          </w:tcPr>
          <w:p w14:paraId="5EBF798B" w14:textId="7A1BE22B" w:rsidR="00095F65" w:rsidRPr="00A64175" w:rsidRDefault="00C61FF8" w:rsidP="00A64175">
            <w:pPr>
              <w:jc w:val="both"/>
              <w:rPr>
                <w:rFonts w:ascii="Arial" w:hAnsi="Arial" w:cs="Arial"/>
              </w:rPr>
            </w:pPr>
            <w:r w:rsidRPr="00A64175">
              <w:rPr>
                <w:rFonts w:ascii="Arial" w:hAnsi="Arial" w:cs="Arial"/>
                <w:b/>
              </w:rPr>
              <w:t>Article 25</w:t>
            </w:r>
            <w:r w:rsidR="00AD15A8">
              <w:rPr>
                <w:rFonts w:ascii="Arial" w:hAnsi="Arial" w:cs="Arial"/>
                <w:b/>
              </w:rPr>
              <w:t>7</w:t>
            </w:r>
            <w:r w:rsidR="00FB06C0" w:rsidRPr="00A64175">
              <w:rPr>
                <w:rFonts w:ascii="Arial" w:hAnsi="Arial" w:cs="Arial"/>
                <w:b/>
              </w:rPr>
              <w:t>. –</w:t>
            </w:r>
            <w:r w:rsidR="00FB06C0" w:rsidRPr="00A64175">
              <w:rPr>
                <w:rFonts w:ascii="Arial" w:hAnsi="Arial" w:cs="Arial"/>
                <w:color w:val="000000"/>
              </w:rPr>
              <w:t xml:space="preserve"> </w:t>
            </w:r>
            <w:r w:rsidR="00095F65" w:rsidRPr="00A64175">
              <w:rPr>
                <w:rFonts w:ascii="Arial" w:hAnsi="Arial" w:cs="Arial"/>
              </w:rPr>
              <w:t xml:space="preserve">Les intermédiaires de marché établissent, mettent en œuvre et gardent opérationnelles des politiques et des procédures comptables leur permettant de fournir rapidement à la COSUMAF, si elle en fait la demande, des informations financières qui donnent une image fidèle de leur situation financière et qui soient conformes à toutes les normes et règles comptables en vigueur. </w:t>
            </w:r>
          </w:p>
          <w:p w14:paraId="72A6B684" w14:textId="77777777" w:rsidR="00095F65" w:rsidRPr="00A64175" w:rsidRDefault="00095F65" w:rsidP="00A64175">
            <w:pPr>
              <w:jc w:val="both"/>
              <w:rPr>
                <w:rFonts w:ascii="Arial" w:hAnsi="Arial" w:cs="Arial"/>
              </w:rPr>
            </w:pPr>
          </w:p>
          <w:p w14:paraId="00B4CAD0" w14:textId="532AFC1E" w:rsidR="00095F65" w:rsidRPr="00A64175" w:rsidRDefault="00095F65" w:rsidP="00A64175">
            <w:pPr>
              <w:jc w:val="both"/>
              <w:rPr>
                <w:rFonts w:ascii="Arial" w:hAnsi="Arial" w:cs="Arial"/>
              </w:rPr>
            </w:pPr>
            <w:r w:rsidRPr="00A64175">
              <w:rPr>
                <w:rFonts w:ascii="Arial" w:hAnsi="Arial" w:cs="Arial"/>
              </w:rPr>
              <w:t>Ils contrôlent et évaluent régulièrement l'adéquation et l’efficacité des systèmes, mécanismes de contrôle interne et autres dispositifs mis en place en application</w:t>
            </w:r>
            <w:r w:rsidR="00FB06C0" w:rsidRPr="00A64175">
              <w:rPr>
                <w:rFonts w:ascii="Arial" w:hAnsi="Arial" w:cs="Arial"/>
              </w:rPr>
              <w:t xml:space="preserve"> des dispositions</w:t>
            </w:r>
            <w:r w:rsidRPr="00A64175">
              <w:rPr>
                <w:rFonts w:ascii="Arial" w:hAnsi="Arial" w:cs="Arial"/>
              </w:rPr>
              <w:t xml:space="preserve"> du présent article, et prennent des mesures appropriées pour remédier à d'éventuelles défaillances. </w:t>
            </w:r>
          </w:p>
          <w:p w14:paraId="32D52D8F"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63B4A54E" w14:textId="77777777" w:rsidTr="00EC563C">
        <w:tc>
          <w:tcPr>
            <w:tcW w:w="9214" w:type="dxa"/>
            <w:shd w:val="clear" w:color="auto" w:fill="auto"/>
          </w:tcPr>
          <w:p w14:paraId="693B7FA7" w14:textId="1AC081DC" w:rsidR="00095F65" w:rsidRPr="00A64175" w:rsidRDefault="00C76144" w:rsidP="00A64175">
            <w:pPr>
              <w:widowControl w:val="0"/>
              <w:autoSpaceDE w:val="0"/>
              <w:adjustRightInd w:val="0"/>
              <w:jc w:val="both"/>
              <w:rPr>
                <w:rFonts w:ascii="Arial" w:hAnsi="Arial" w:cs="Arial"/>
                <w:b/>
                <w:bCs/>
              </w:rPr>
            </w:pPr>
            <w:r w:rsidRPr="00A64175">
              <w:rPr>
                <w:rFonts w:ascii="Arial" w:hAnsi="Arial" w:cs="Arial"/>
                <w:b/>
              </w:rPr>
              <w:t>Article 25</w:t>
            </w:r>
            <w:r w:rsidR="00AD15A8">
              <w:rPr>
                <w:rFonts w:ascii="Arial" w:hAnsi="Arial" w:cs="Arial"/>
                <w:b/>
              </w:rPr>
              <w:t>8</w:t>
            </w:r>
            <w:r w:rsidR="001612CD" w:rsidRPr="00A64175">
              <w:rPr>
                <w:rFonts w:ascii="Arial" w:hAnsi="Arial" w:cs="Arial"/>
                <w:b/>
              </w:rPr>
              <w:t>. –</w:t>
            </w:r>
            <w:r w:rsidR="001612CD" w:rsidRPr="00A64175">
              <w:rPr>
                <w:rFonts w:ascii="Arial" w:hAnsi="Arial" w:cs="Arial"/>
                <w:color w:val="000000"/>
              </w:rPr>
              <w:t xml:space="preserve"> </w:t>
            </w:r>
            <w:r w:rsidR="00095F65" w:rsidRPr="00A64175">
              <w:rPr>
                <w:rFonts w:ascii="Arial" w:hAnsi="Arial" w:cs="Arial"/>
                <w:b/>
                <w:bCs/>
              </w:rPr>
              <w:t xml:space="preserve"> </w:t>
            </w:r>
          </w:p>
          <w:p w14:paraId="2A9D1844" w14:textId="77777777" w:rsidR="00095F65" w:rsidRPr="00A64175" w:rsidRDefault="00095F65" w:rsidP="00A64175">
            <w:pPr>
              <w:widowControl w:val="0"/>
              <w:autoSpaceDE w:val="0"/>
              <w:adjustRightInd w:val="0"/>
              <w:jc w:val="both"/>
              <w:rPr>
                <w:rFonts w:ascii="Arial" w:hAnsi="Arial" w:cs="Arial"/>
              </w:rPr>
            </w:pPr>
          </w:p>
          <w:p w14:paraId="67B8A013" w14:textId="77777777" w:rsidR="00095F65" w:rsidRPr="00A64175" w:rsidRDefault="00095F65" w:rsidP="00A64175">
            <w:pPr>
              <w:pStyle w:val="Paragraphedeliste"/>
              <w:widowControl w:val="0"/>
              <w:numPr>
                <w:ilvl w:val="0"/>
                <w:numId w:val="103"/>
              </w:numPr>
              <w:autoSpaceDE w:val="0"/>
              <w:adjustRightInd w:val="0"/>
              <w:spacing w:before="0" w:beforeAutospacing="0" w:after="0" w:afterAutospacing="0" w:line="240" w:lineRule="auto"/>
            </w:pPr>
            <w:r w:rsidRPr="00A64175">
              <w:t>Les intermédiaires de marché habilités à recevoir des ordres s’assurent que le système informatisé de réception d’ordres mis en place au sein de leurs services est correctement sécurisé et garantit l’intégrité des données, l’authentification de leur origine et la protection des messages à caractère confidentiel.</w:t>
            </w:r>
          </w:p>
          <w:p w14:paraId="30E1DBA9" w14:textId="77777777" w:rsidR="00095F65" w:rsidRPr="00A64175" w:rsidRDefault="00095F65" w:rsidP="00A64175">
            <w:pPr>
              <w:pStyle w:val="Paragraphedeliste"/>
              <w:widowControl w:val="0"/>
              <w:numPr>
                <w:ilvl w:val="0"/>
                <w:numId w:val="103"/>
              </w:numPr>
              <w:autoSpaceDE w:val="0"/>
              <w:adjustRightInd w:val="0"/>
              <w:spacing w:before="0" w:beforeAutospacing="0" w:after="0" w:afterAutospacing="0" w:line="240" w:lineRule="auto"/>
            </w:pPr>
            <w:r w:rsidRPr="00A64175">
              <w:t>Les intermédiaires de marché n'utilisent pas les informations relatives à des ordres de clients en attente d'exécution et sont tenus de prendre toutes les mesures raisonnables pour empêcher l'usage de ces informations par l'une quelconque des personnes intervenant en son sein.</w:t>
            </w:r>
          </w:p>
        </w:tc>
      </w:tr>
      <w:tr w:rsidR="00095F65" w:rsidRPr="00A64175" w14:paraId="081762C0" w14:textId="77777777" w:rsidTr="00EC563C">
        <w:tc>
          <w:tcPr>
            <w:tcW w:w="9214" w:type="dxa"/>
            <w:shd w:val="clear" w:color="auto" w:fill="auto"/>
          </w:tcPr>
          <w:p w14:paraId="2436830B" w14:textId="77777777" w:rsidR="00095F65" w:rsidRPr="00A64175" w:rsidRDefault="00095F65" w:rsidP="00A64175">
            <w:pPr>
              <w:widowControl w:val="0"/>
              <w:autoSpaceDE w:val="0"/>
              <w:adjustRightInd w:val="0"/>
              <w:jc w:val="both"/>
              <w:rPr>
                <w:rFonts w:ascii="Arial" w:hAnsi="Arial" w:cs="Arial"/>
                <w:b/>
                <w:bCs/>
              </w:rPr>
            </w:pPr>
          </w:p>
          <w:p w14:paraId="5A4E1170" w14:textId="6642A0AC" w:rsidR="00095F65" w:rsidRPr="00A64175" w:rsidRDefault="001612CD" w:rsidP="00A64175">
            <w:pPr>
              <w:widowControl w:val="0"/>
              <w:autoSpaceDE w:val="0"/>
              <w:adjustRightInd w:val="0"/>
              <w:jc w:val="both"/>
              <w:rPr>
                <w:rFonts w:ascii="Arial" w:hAnsi="Arial" w:cs="Arial"/>
              </w:rPr>
            </w:pPr>
            <w:r w:rsidRPr="00A64175">
              <w:rPr>
                <w:rFonts w:ascii="Arial" w:hAnsi="Arial" w:cs="Arial"/>
                <w:b/>
              </w:rPr>
              <w:t>Arti</w:t>
            </w:r>
            <w:r w:rsidR="00C76144" w:rsidRPr="00A64175">
              <w:rPr>
                <w:rFonts w:ascii="Arial" w:hAnsi="Arial" w:cs="Arial"/>
                <w:b/>
              </w:rPr>
              <w:t>cle 25</w:t>
            </w:r>
            <w:r w:rsidR="00AD15A8">
              <w:rPr>
                <w:rFonts w:ascii="Arial" w:hAnsi="Arial" w:cs="Arial"/>
                <w:b/>
              </w:rPr>
              <w:t>9</w:t>
            </w:r>
            <w:r w:rsidRPr="00A64175">
              <w:rPr>
                <w:rFonts w:ascii="Arial" w:hAnsi="Arial" w:cs="Arial"/>
                <w:b/>
              </w:rPr>
              <w:t>. –</w:t>
            </w:r>
            <w:r w:rsidRPr="00A64175">
              <w:rPr>
                <w:rFonts w:ascii="Arial" w:hAnsi="Arial" w:cs="Arial"/>
                <w:color w:val="000000"/>
              </w:rPr>
              <w:t xml:space="preserve"> </w:t>
            </w:r>
            <w:r w:rsidR="00095F65" w:rsidRPr="00A64175">
              <w:rPr>
                <w:rFonts w:ascii="Arial" w:hAnsi="Arial" w:cs="Arial"/>
              </w:rPr>
              <w:t xml:space="preserve">En matière de gestion des risques, les intermédiaires de marché : </w:t>
            </w:r>
          </w:p>
          <w:p w14:paraId="7FFFEAB9" w14:textId="77777777" w:rsidR="00095F65" w:rsidRPr="00A64175" w:rsidRDefault="00095F65" w:rsidP="00A64175">
            <w:pPr>
              <w:widowControl w:val="0"/>
              <w:autoSpaceDE w:val="0"/>
              <w:adjustRightInd w:val="0"/>
              <w:jc w:val="both"/>
              <w:rPr>
                <w:rFonts w:ascii="Arial" w:hAnsi="Arial" w:cs="Arial"/>
                <w:b/>
                <w:bCs/>
              </w:rPr>
            </w:pPr>
          </w:p>
          <w:p w14:paraId="17DCB0C6" w14:textId="77777777" w:rsidR="00095F65" w:rsidRPr="00A64175" w:rsidRDefault="00095F65" w:rsidP="00A64175">
            <w:pPr>
              <w:pStyle w:val="NormalWeb"/>
              <w:numPr>
                <w:ilvl w:val="0"/>
                <w:numId w:val="27"/>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Etablissent, mettent en œuvre et gardent opérationnelles des politiques et des procédures efficaces de gestion des risques permettant de repérer les risques liés aux activités, aux processus et aux systèmes de l'entreprise, et, le cas échéant, de déterminer le niveau de risque toléré par l'entreprise ; </w:t>
            </w:r>
          </w:p>
          <w:p w14:paraId="08764F42"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3DCB5AB6" w14:textId="27734461" w:rsidR="00095F65" w:rsidRPr="00A64175" w:rsidRDefault="00095F65" w:rsidP="00A64175">
            <w:pPr>
              <w:pStyle w:val="NormalWeb"/>
              <w:numPr>
                <w:ilvl w:val="0"/>
                <w:numId w:val="41"/>
              </w:numPr>
              <w:spacing w:before="0" w:beforeAutospacing="0" w:after="0" w:afterAutospacing="0"/>
              <w:jc w:val="both"/>
              <w:rPr>
                <w:rFonts w:ascii="Arial" w:hAnsi="Arial" w:cs="Arial"/>
                <w:sz w:val="22"/>
                <w:szCs w:val="22"/>
              </w:rPr>
            </w:pPr>
            <w:r w:rsidRPr="00A64175">
              <w:rPr>
                <w:rFonts w:ascii="Arial" w:hAnsi="Arial" w:cs="Arial"/>
                <w:sz w:val="22"/>
                <w:szCs w:val="22"/>
              </w:rPr>
              <w:t>Adoptent des d</w:t>
            </w:r>
            <w:r w:rsidR="001612CD" w:rsidRPr="00A64175">
              <w:rPr>
                <w:rFonts w:ascii="Arial" w:hAnsi="Arial" w:cs="Arial"/>
                <w:sz w:val="22"/>
                <w:szCs w:val="22"/>
              </w:rPr>
              <w:t>ispositifs ou</w:t>
            </w:r>
            <w:r w:rsidRPr="00A64175">
              <w:rPr>
                <w:rFonts w:ascii="Arial" w:hAnsi="Arial" w:cs="Arial"/>
                <w:sz w:val="22"/>
                <w:szCs w:val="22"/>
              </w:rPr>
              <w:t xml:space="preserve"> mécanismes permettant de gérer efficacement les risques l</w:t>
            </w:r>
            <w:r w:rsidR="001612CD" w:rsidRPr="00A64175">
              <w:rPr>
                <w:rFonts w:ascii="Arial" w:hAnsi="Arial" w:cs="Arial"/>
                <w:sz w:val="22"/>
                <w:szCs w:val="22"/>
              </w:rPr>
              <w:t>iés aux activités</w:t>
            </w:r>
            <w:r w:rsidRPr="00A64175">
              <w:rPr>
                <w:rFonts w:ascii="Arial" w:hAnsi="Arial" w:cs="Arial"/>
                <w:sz w:val="22"/>
                <w:szCs w:val="22"/>
              </w:rPr>
              <w:t xml:space="preserve"> et aux systèmes de l'entreprise</w:t>
            </w:r>
            <w:r w:rsidR="001612CD" w:rsidRPr="00A64175">
              <w:rPr>
                <w:rFonts w:ascii="Arial" w:hAnsi="Arial" w:cs="Arial"/>
                <w:sz w:val="22"/>
                <w:szCs w:val="22"/>
              </w:rPr>
              <w:t>,</w:t>
            </w:r>
            <w:r w:rsidRPr="00A64175">
              <w:rPr>
                <w:rFonts w:ascii="Arial" w:hAnsi="Arial" w:cs="Arial"/>
                <w:sz w:val="22"/>
                <w:szCs w:val="22"/>
              </w:rPr>
              <w:t xml:space="preserve"> eu égard à son niveau de tolérance au risque ; </w:t>
            </w:r>
          </w:p>
          <w:p w14:paraId="3D63D9C0"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3AA5683A" w14:textId="77777777" w:rsidR="00095F65" w:rsidRPr="00A64175" w:rsidRDefault="00095F65" w:rsidP="00A64175">
            <w:pPr>
              <w:pStyle w:val="NormalWeb"/>
              <w:numPr>
                <w:ilvl w:val="0"/>
                <w:numId w:val="42"/>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Contrôlent: </w:t>
            </w:r>
          </w:p>
          <w:p w14:paraId="769C4BDD"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65175279" w14:textId="77777777" w:rsidR="00095F65" w:rsidRPr="00A64175" w:rsidRDefault="00095F65" w:rsidP="00A64175">
            <w:pPr>
              <w:pStyle w:val="NormalWeb"/>
              <w:numPr>
                <w:ilvl w:val="0"/>
                <w:numId w:val="28"/>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L'adéquation et l’efficacité de leurs politiques et procédures de gestion des risques ; </w:t>
            </w:r>
          </w:p>
          <w:p w14:paraId="4AC3C918" w14:textId="77777777" w:rsidR="00095F65" w:rsidRPr="00A64175" w:rsidRDefault="00095F65" w:rsidP="00A64175">
            <w:pPr>
              <w:pStyle w:val="NormalWeb"/>
              <w:spacing w:before="0" w:beforeAutospacing="0" w:after="0" w:afterAutospacing="0"/>
              <w:ind w:left="1440"/>
              <w:jc w:val="both"/>
              <w:rPr>
                <w:rFonts w:ascii="Arial" w:hAnsi="Arial" w:cs="Arial"/>
                <w:sz w:val="22"/>
                <w:szCs w:val="22"/>
              </w:rPr>
            </w:pPr>
          </w:p>
          <w:p w14:paraId="54066F17" w14:textId="081D1360" w:rsidR="00095F65" w:rsidRPr="00A64175" w:rsidRDefault="00095F65" w:rsidP="00A64175">
            <w:pPr>
              <w:pStyle w:val="NormalWeb"/>
              <w:numPr>
                <w:ilvl w:val="0"/>
                <w:numId w:val="28"/>
              </w:numPr>
              <w:spacing w:before="0" w:beforeAutospacing="0" w:after="0" w:afterAutospacing="0"/>
              <w:jc w:val="both"/>
              <w:rPr>
                <w:rFonts w:ascii="Arial" w:hAnsi="Arial" w:cs="Arial"/>
                <w:sz w:val="22"/>
                <w:szCs w:val="22"/>
              </w:rPr>
            </w:pPr>
            <w:r w:rsidRPr="00A64175">
              <w:rPr>
                <w:rFonts w:ascii="Arial" w:hAnsi="Arial" w:cs="Arial"/>
                <w:sz w:val="22"/>
                <w:szCs w:val="22"/>
              </w:rPr>
              <w:t>Le degré</w:t>
            </w:r>
            <w:r w:rsidR="004B3FD9" w:rsidRPr="00A64175">
              <w:rPr>
                <w:rFonts w:ascii="Arial" w:hAnsi="Arial" w:cs="Arial"/>
                <w:sz w:val="22"/>
                <w:szCs w:val="22"/>
              </w:rPr>
              <w:t xml:space="preserve"> de conformité de leur structure, de</w:t>
            </w:r>
            <w:r w:rsidRPr="00A64175">
              <w:rPr>
                <w:rFonts w:ascii="Arial" w:hAnsi="Arial" w:cs="Arial"/>
                <w:sz w:val="22"/>
                <w:szCs w:val="22"/>
              </w:rPr>
              <w:t xml:space="preserve"> </w:t>
            </w:r>
            <w:r w:rsidR="004B3FD9" w:rsidRPr="00A64175">
              <w:rPr>
                <w:rFonts w:ascii="Arial" w:hAnsi="Arial" w:cs="Arial"/>
                <w:sz w:val="22"/>
                <w:szCs w:val="22"/>
              </w:rPr>
              <w:t>ses dirigeants, d</w:t>
            </w:r>
            <w:r w:rsidR="008C3602" w:rsidRPr="00A64175">
              <w:rPr>
                <w:rFonts w:ascii="Arial" w:hAnsi="Arial" w:cs="Arial"/>
                <w:sz w:val="22"/>
                <w:szCs w:val="22"/>
              </w:rPr>
              <w:t>es membres du</w:t>
            </w:r>
            <w:r w:rsidRPr="00A64175">
              <w:rPr>
                <w:rFonts w:ascii="Arial" w:hAnsi="Arial" w:cs="Arial"/>
                <w:sz w:val="22"/>
                <w:szCs w:val="22"/>
              </w:rPr>
              <w:t xml:space="preserve"> personnel</w:t>
            </w:r>
            <w:r w:rsidR="004B3FD9" w:rsidRPr="00A64175">
              <w:rPr>
                <w:rFonts w:ascii="Arial" w:hAnsi="Arial" w:cs="Arial"/>
                <w:sz w:val="22"/>
                <w:szCs w:val="22"/>
              </w:rPr>
              <w:t xml:space="preserve"> et </w:t>
            </w:r>
            <w:r w:rsidR="008C3602" w:rsidRPr="00A64175">
              <w:rPr>
                <w:rFonts w:ascii="Arial" w:hAnsi="Arial" w:cs="Arial"/>
                <w:sz w:val="22"/>
                <w:szCs w:val="22"/>
              </w:rPr>
              <w:t xml:space="preserve">de </w:t>
            </w:r>
            <w:r w:rsidR="004B3FD9" w:rsidRPr="00A64175">
              <w:rPr>
                <w:rFonts w:ascii="Arial" w:hAnsi="Arial" w:cs="Arial"/>
                <w:sz w:val="22"/>
                <w:szCs w:val="22"/>
              </w:rPr>
              <w:t>tou</w:t>
            </w:r>
            <w:r w:rsidR="008C3602" w:rsidRPr="00A64175">
              <w:rPr>
                <w:rFonts w:ascii="Arial" w:hAnsi="Arial" w:cs="Arial"/>
                <w:sz w:val="22"/>
                <w:szCs w:val="22"/>
              </w:rPr>
              <w:t>te personne intervenant pour leur</w:t>
            </w:r>
            <w:r w:rsidR="004B3FD9" w:rsidRPr="00A64175">
              <w:rPr>
                <w:rFonts w:ascii="Arial" w:hAnsi="Arial" w:cs="Arial"/>
                <w:sz w:val="22"/>
                <w:szCs w:val="22"/>
              </w:rPr>
              <w:t xml:space="preserve"> compte</w:t>
            </w:r>
            <w:r w:rsidR="008C3602" w:rsidRPr="00A64175">
              <w:rPr>
                <w:rFonts w:ascii="Arial" w:hAnsi="Arial" w:cs="Arial"/>
                <w:sz w:val="22"/>
                <w:szCs w:val="22"/>
              </w:rPr>
              <w:t>,</w:t>
            </w:r>
            <w:r w:rsidR="004B3FD9" w:rsidRPr="00A64175">
              <w:rPr>
                <w:rFonts w:ascii="Arial" w:hAnsi="Arial" w:cs="Arial"/>
                <w:sz w:val="22"/>
                <w:szCs w:val="22"/>
              </w:rPr>
              <w:t xml:space="preserve"> aux dispositifs, procédures ou </w:t>
            </w:r>
            <w:r w:rsidRPr="00A64175">
              <w:rPr>
                <w:rFonts w:ascii="Arial" w:hAnsi="Arial" w:cs="Arial"/>
                <w:sz w:val="22"/>
                <w:szCs w:val="22"/>
              </w:rPr>
              <w:t xml:space="preserve">mécanismes adoptés en application </w:t>
            </w:r>
            <w:r w:rsidR="004B3FD9" w:rsidRPr="00A64175">
              <w:rPr>
                <w:rFonts w:ascii="Arial" w:hAnsi="Arial" w:cs="Arial"/>
                <w:sz w:val="22"/>
                <w:szCs w:val="22"/>
              </w:rPr>
              <w:t xml:space="preserve">des dispositions </w:t>
            </w:r>
            <w:r w:rsidRPr="00A64175">
              <w:rPr>
                <w:rFonts w:ascii="Arial" w:hAnsi="Arial" w:cs="Arial"/>
                <w:sz w:val="22"/>
                <w:szCs w:val="22"/>
              </w:rPr>
              <w:t>du présent article ;</w:t>
            </w:r>
          </w:p>
          <w:p w14:paraId="15E0A93D"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66C94181" w14:textId="4FA049AC" w:rsidR="00095F65" w:rsidRPr="00A64175" w:rsidRDefault="00095F65" w:rsidP="00A64175">
            <w:pPr>
              <w:pStyle w:val="NormalWeb"/>
              <w:numPr>
                <w:ilvl w:val="0"/>
                <w:numId w:val="28"/>
              </w:numPr>
              <w:spacing w:before="0" w:beforeAutospacing="0" w:after="0" w:afterAutospacing="0"/>
              <w:jc w:val="both"/>
              <w:rPr>
                <w:rFonts w:ascii="Arial" w:hAnsi="Arial" w:cs="Arial"/>
                <w:sz w:val="22"/>
                <w:szCs w:val="22"/>
              </w:rPr>
            </w:pPr>
            <w:r w:rsidRPr="00A64175">
              <w:rPr>
                <w:rFonts w:ascii="Arial" w:hAnsi="Arial" w:cs="Arial"/>
                <w:sz w:val="22"/>
                <w:szCs w:val="22"/>
              </w:rPr>
              <w:t>L'adéquation et l’efficacité des mesures prises</w:t>
            </w:r>
            <w:r w:rsidR="004B3FD9" w:rsidRPr="00A64175">
              <w:rPr>
                <w:rFonts w:ascii="Arial" w:hAnsi="Arial" w:cs="Arial"/>
                <w:sz w:val="22"/>
                <w:szCs w:val="22"/>
              </w:rPr>
              <w:t xml:space="preserve"> pou</w:t>
            </w:r>
            <w:r w:rsidR="00476843" w:rsidRPr="00A64175">
              <w:rPr>
                <w:rFonts w:ascii="Arial" w:hAnsi="Arial" w:cs="Arial"/>
                <w:sz w:val="22"/>
                <w:szCs w:val="22"/>
              </w:rPr>
              <w:t>r remédier à toute défaillance aussi bien d</w:t>
            </w:r>
            <w:r w:rsidRPr="00A64175">
              <w:rPr>
                <w:rFonts w:ascii="Arial" w:hAnsi="Arial" w:cs="Arial"/>
                <w:sz w:val="22"/>
                <w:szCs w:val="22"/>
              </w:rPr>
              <w:t>es dispositifs et procédures</w:t>
            </w:r>
            <w:r w:rsidR="00476843" w:rsidRPr="00A64175">
              <w:rPr>
                <w:rFonts w:ascii="Arial" w:hAnsi="Arial" w:cs="Arial"/>
                <w:sz w:val="22"/>
                <w:szCs w:val="22"/>
              </w:rPr>
              <w:t xml:space="preserve"> visés au présent article que </w:t>
            </w:r>
            <w:r w:rsidRPr="00A64175">
              <w:rPr>
                <w:rFonts w:ascii="Arial" w:hAnsi="Arial" w:cs="Arial"/>
                <w:sz w:val="22"/>
                <w:szCs w:val="22"/>
              </w:rPr>
              <w:t>de</w:t>
            </w:r>
            <w:r w:rsidR="00476843" w:rsidRPr="00A64175">
              <w:rPr>
                <w:rFonts w:ascii="Arial" w:hAnsi="Arial" w:cs="Arial"/>
                <w:sz w:val="22"/>
                <w:szCs w:val="22"/>
              </w:rPr>
              <w:t>s dirigeants, des membres du personnel ou</w:t>
            </w:r>
            <w:r w:rsidRPr="00A64175">
              <w:rPr>
                <w:rFonts w:ascii="Arial" w:hAnsi="Arial" w:cs="Arial"/>
                <w:sz w:val="22"/>
                <w:szCs w:val="22"/>
              </w:rPr>
              <w:t xml:space="preserve"> de toute personne intervenant</w:t>
            </w:r>
            <w:r w:rsidR="00476843" w:rsidRPr="00A64175">
              <w:rPr>
                <w:rFonts w:ascii="Arial" w:hAnsi="Arial" w:cs="Arial"/>
                <w:sz w:val="22"/>
                <w:szCs w:val="22"/>
              </w:rPr>
              <w:t xml:space="preserve"> pour leur compte.</w:t>
            </w:r>
            <w:r w:rsidRPr="00A64175">
              <w:rPr>
                <w:rFonts w:ascii="Arial" w:hAnsi="Arial" w:cs="Arial"/>
                <w:sz w:val="22"/>
                <w:szCs w:val="22"/>
              </w:rPr>
              <w:t xml:space="preserve"> </w:t>
            </w:r>
          </w:p>
          <w:p w14:paraId="51E2E27B"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65DE6588" w14:textId="77777777" w:rsidTr="00EC563C">
        <w:tc>
          <w:tcPr>
            <w:tcW w:w="9214" w:type="dxa"/>
            <w:shd w:val="clear" w:color="auto" w:fill="auto"/>
          </w:tcPr>
          <w:p w14:paraId="04341FF8" w14:textId="251AD8D4" w:rsidR="00095F65" w:rsidRPr="00A64175" w:rsidRDefault="00C76144" w:rsidP="00A64175">
            <w:pPr>
              <w:widowControl w:val="0"/>
              <w:autoSpaceDE w:val="0"/>
              <w:adjustRightInd w:val="0"/>
              <w:jc w:val="both"/>
              <w:rPr>
                <w:rFonts w:ascii="Arial" w:hAnsi="Arial" w:cs="Arial"/>
              </w:rPr>
            </w:pPr>
            <w:r w:rsidRPr="00A64175">
              <w:rPr>
                <w:rFonts w:ascii="Arial" w:hAnsi="Arial" w:cs="Arial"/>
                <w:b/>
              </w:rPr>
              <w:t>Article 2</w:t>
            </w:r>
            <w:r w:rsidR="00AD15A8">
              <w:rPr>
                <w:rFonts w:ascii="Arial" w:hAnsi="Arial" w:cs="Arial"/>
                <w:b/>
              </w:rPr>
              <w:t>60</w:t>
            </w:r>
            <w:r w:rsidR="00476843" w:rsidRPr="00A64175">
              <w:rPr>
                <w:rFonts w:ascii="Arial" w:hAnsi="Arial" w:cs="Arial"/>
                <w:b/>
              </w:rPr>
              <w:t>. –</w:t>
            </w:r>
            <w:r w:rsidR="00476843" w:rsidRPr="00A64175">
              <w:rPr>
                <w:rFonts w:ascii="Arial" w:hAnsi="Arial" w:cs="Arial"/>
                <w:color w:val="000000"/>
              </w:rPr>
              <w:t xml:space="preserve"> </w:t>
            </w:r>
            <w:r w:rsidR="00095F65" w:rsidRPr="00A64175">
              <w:rPr>
                <w:rFonts w:ascii="Arial" w:hAnsi="Arial" w:cs="Arial"/>
              </w:rPr>
              <w:t>Les intermédiaires de marché établissent, mettent en œuvre et gardent opérationnelles des politiques et des procédures transparentes de gestion des plaintes</w:t>
            </w:r>
            <w:r w:rsidR="00476843" w:rsidRPr="00A64175">
              <w:rPr>
                <w:rFonts w:ascii="Arial" w:hAnsi="Arial" w:cs="Arial"/>
              </w:rPr>
              <w:t xml:space="preserve"> adressées par des clients</w:t>
            </w:r>
            <w:r w:rsidR="00D228E9" w:rsidRPr="00A64175">
              <w:rPr>
                <w:rFonts w:ascii="Arial" w:hAnsi="Arial" w:cs="Arial"/>
              </w:rPr>
              <w:t>, y compris</w:t>
            </w:r>
            <w:r w:rsidR="00476843" w:rsidRPr="00A64175">
              <w:rPr>
                <w:rFonts w:ascii="Arial" w:hAnsi="Arial" w:cs="Arial"/>
              </w:rPr>
              <w:t xml:space="preserve"> des clients potentiels</w:t>
            </w:r>
            <w:r w:rsidR="00D228E9" w:rsidRPr="00A64175">
              <w:rPr>
                <w:rFonts w:ascii="Arial" w:hAnsi="Arial" w:cs="Arial"/>
              </w:rPr>
              <w:t>.</w:t>
            </w:r>
            <w:r w:rsidR="00095F65" w:rsidRPr="00A64175">
              <w:rPr>
                <w:rFonts w:ascii="Arial" w:hAnsi="Arial" w:cs="Arial"/>
              </w:rPr>
              <w:t xml:space="preserve"> </w:t>
            </w:r>
            <w:r w:rsidR="00D228E9" w:rsidRPr="00A64175">
              <w:rPr>
                <w:rFonts w:ascii="Arial" w:hAnsi="Arial" w:cs="Arial"/>
              </w:rPr>
              <w:t>Des procédures doivent assurer un</w:t>
            </w:r>
            <w:r w:rsidR="00095F65" w:rsidRPr="00A64175">
              <w:rPr>
                <w:rFonts w:ascii="Arial" w:hAnsi="Arial" w:cs="Arial"/>
              </w:rPr>
              <w:t xml:space="preserve"> traitement rapide de</w:t>
            </w:r>
            <w:r w:rsidR="00D228E9" w:rsidRPr="00A64175">
              <w:rPr>
                <w:rFonts w:ascii="Arial" w:hAnsi="Arial" w:cs="Arial"/>
              </w:rPr>
              <w:t xml:space="preserve"> ce</w:t>
            </w:r>
            <w:r w:rsidR="00095F65" w:rsidRPr="00A64175">
              <w:rPr>
                <w:rFonts w:ascii="Arial" w:hAnsi="Arial" w:cs="Arial"/>
              </w:rPr>
              <w:t>s plaintes</w:t>
            </w:r>
            <w:r w:rsidR="00D228E9" w:rsidRPr="00A64175">
              <w:rPr>
                <w:rFonts w:ascii="Arial" w:hAnsi="Arial" w:cs="Arial"/>
              </w:rPr>
              <w:t xml:space="preserve">. Les intermédiaires de marché </w:t>
            </w:r>
            <w:r w:rsidR="00095F65" w:rsidRPr="00A64175">
              <w:rPr>
                <w:rFonts w:ascii="Arial" w:hAnsi="Arial" w:cs="Arial"/>
              </w:rPr>
              <w:t xml:space="preserve"> tiennent un registre des plaintes reçues et des mesures prises pour leur résolution. </w:t>
            </w:r>
          </w:p>
          <w:p w14:paraId="5EBB13C1" w14:textId="77777777" w:rsidR="00095F65" w:rsidRPr="00A64175" w:rsidRDefault="00095F65" w:rsidP="00A64175">
            <w:pPr>
              <w:widowControl w:val="0"/>
              <w:autoSpaceDE w:val="0"/>
              <w:adjustRightInd w:val="0"/>
              <w:jc w:val="both"/>
              <w:rPr>
                <w:rFonts w:ascii="Arial" w:hAnsi="Arial" w:cs="Arial"/>
              </w:rPr>
            </w:pPr>
          </w:p>
          <w:p w14:paraId="49F1C8D3" w14:textId="77777777" w:rsidR="00095F65" w:rsidRPr="00A64175" w:rsidRDefault="00095F65" w:rsidP="00A64175">
            <w:pPr>
              <w:widowControl w:val="0"/>
              <w:autoSpaceDE w:val="0"/>
              <w:adjustRightInd w:val="0"/>
              <w:jc w:val="both"/>
              <w:rPr>
                <w:rFonts w:ascii="Arial" w:hAnsi="Arial" w:cs="Arial"/>
              </w:rPr>
            </w:pPr>
            <w:r w:rsidRPr="00A64175">
              <w:rPr>
                <w:rFonts w:ascii="Arial" w:hAnsi="Arial" w:cs="Arial"/>
              </w:rPr>
              <w:t xml:space="preserve">La politique de gestion des plaintes fournit des informations claires, précises et actualisées sur le processus de traitement des plaintes. Cette politique est validée par l'organe de direction de l'entreprise. </w:t>
            </w:r>
          </w:p>
          <w:p w14:paraId="5BB22E34" w14:textId="77777777" w:rsidR="00095F65" w:rsidRPr="00A64175" w:rsidRDefault="00095F65" w:rsidP="00A64175">
            <w:pPr>
              <w:widowControl w:val="0"/>
              <w:autoSpaceDE w:val="0"/>
              <w:adjustRightInd w:val="0"/>
              <w:jc w:val="both"/>
              <w:rPr>
                <w:rFonts w:ascii="Arial" w:hAnsi="Arial" w:cs="Arial"/>
              </w:rPr>
            </w:pPr>
          </w:p>
          <w:p w14:paraId="5DA35BC7" w14:textId="0BC510C9" w:rsidR="00095F65" w:rsidRPr="00A64175" w:rsidRDefault="00095F65" w:rsidP="00A64175">
            <w:pPr>
              <w:widowControl w:val="0"/>
              <w:autoSpaceDE w:val="0"/>
              <w:adjustRightInd w:val="0"/>
              <w:jc w:val="both"/>
              <w:rPr>
                <w:rFonts w:ascii="Arial" w:hAnsi="Arial" w:cs="Arial"/>
              </w:rPr>
            </w:pPr>
            <w:r w:rsidRPr="00A64175">
              <w:rPr>
                <w:rFonts w:ascii="Arial" w:hAnsi="Arial" w:cs="Arial"/>
              </w:rPr>
              <w:t>Les intermédiaires de m</w:t>
            </w:r>
            <w:r w:rsidR="00D228E9" w:rsidRPr="00A64175">
              <w:rPr>
                <w:rFonts w:ascii="Arial" w:hAnsi="Arial" w:cs="Arial"/>
              </w:rPr>
              <w:t>arché doivent</w:t>
            </w:r>
            <w:r w:rsidR="00AD47D7" w:rsidRPr="00A64175">
              <w:rPr>
                <w:rFonts w:ascii="Arial" w:hAnsi="Arial" w:cs="Arial"/>
              </w:rPr>
              <w:t xml:space="preserve"> préciser dans le détail la procédure</w:t>
            </w:r>
            <w:r w:rsidRPr="00A64175">
              <w:rPr>
                <w:rFonts w:ascii="Arial" w:hAnsi="Arial" w:cs="Arial"/>
              </w:rPr>
              <w:t xml:space="preserve"> à suivre pour </w:t>
            </w:r>
            <w:r w:rsidR="00AD47D7" w:rsidRPr="00A64175">
              <w:rPr>
                <w:rFonts w:ascii="Arial" w:hAnsi="Arial" w:cs="Arial"/>
              </w:rPr>
              <w:t xml:space="preserve">traiter une plainte. Les précisions à donner portent notamment </w:t>
            </w:r>
            <w:r w:rsidRPr="00A64175">
              <w:rPr>
                <w:rFonts w:ascii="Arial" w:hAnsi="Arial" w:cs="Arial"/>
              </w:rPr>
              <w:t>sur la politique de gestion des plaintes</w:t>
            </w:r>
            <w:r w:rsidR="00AD47D7" w:rsidRPr="00A64175">
              <w:rPr>
                <w:rFonts w:ascii="Arial" w:hAnsi="Arial" w:cs="Arial"/>
              </w:rPr>
              <w:t>, l’identité</w:t>
            </w:r>
            <w:r w:rsidRPr="00A64175">
              <w:rPr>
                <w:rFonts w:ascii="Arial" w:hAnsi="Arial" w:cs="Arial"/>
              </w:rPr>
              <w:t xml:space="preserve"> et les coordonnées de la</w:t>
            </w:r>
            <w:r w:rsidR="00AD47D7" w:rsidRPr="00A64175">
              <w:rPr>
                <w:rFonts w:ascii="Arial" w:hAnsi="Arial" w:cs="Arial"/>
              </w:rPr>
              <w:t xml:space="preserve"> </w:t>
            </w:r>
            <w:r w:rsidR="008F3C2C">
              <w:rPr>
                <w:rFonts w:ascii="Arial" w:hAnsi="Arial" w:cs="Arial"/>
              </w:rPr>
              <w:t xml:space="preserve">personne </w:t>
            </w:r>
            <w:r w:rsidR="00AD47D7" w:rsidRPr="00A64175">
              <w:rPr>
                <w:rFonts w:ascii="Arial" w:hAnsi="Arial" w:cs="Arial"/>
              </w:rPr>
              <w:t>exerçant</w:t>
            </w:r>
            <w:r w:rsidRPr="00A64175">
              <w:rPr>
                <w:rFonts w:ascii="Arial" w:hAnsi="Arial" w:cs="Arial"/>
              </w:rPr>
              <w:t xml:space="preserve"> </w:t>
            </w:r>
            <w:r w:rsidR="008F3C2C">
              <w:rPr>
                <w:rFonts w:ascii="Arial" w:hAnsi="Arial" w:cs="Arial"/>
              </w:rPr>
              <w:t xml:space="preserve">la </w:t>
            </w:r>
            <w:r w:rsidRPr="00A64175">
              <w:rPr>
                <w:rFonts w:ascii="Arial" w:hAnsi="Arial" w:cs="Arial"/>
              </w:rPr>
              <w:t xml:space="preserve">fonction de gestion des plaintes. Les intermédiaires de marché communiquent ces informations aux clients ou clients potentiels, à leur demande ou en accusant réception d'une plainte. Ils permettent à leurs clients et clients potentiels de déposer une plainte sans frais. </w:t>
            </w:r>
          </w:p>
          <w:p w14:paraId="5F04C7CB" w14:textId="77777777" w:rsidR="00095F65" w:rsidRPr="00A64175" w:rsidRDefault="00095F65" w:rsidP="00A64175">
            <w:pPr>
              <w:widowControl w:val="0"/>
              <w:autoSpaceDE w:val="0"/>
              <w:adjustRightInd w:val="0"/>
              <w:jc w:val="both"/>
              <w:rPr>
                <w:rFonts w:ascii="Arial" w:hAnsi="Arial" w:cs="Arial"/>
              </w:rPr>
            </w:pPr>
          </w:p>
          <w:p w14:paraId="5571A32B" w14:textId="2678F9F8" w:rsidR="00095F65" w:rsidRPr="00A64175" w:rsidRDefault="00AD47D7" w:rsidP="00A64175">
            <w:pPr>
              <w:widowControl w:val="0"/>
              <w:autoSpaceDE w:val="0"/>
              <w:adjustRightInd w:val="0"/>
              <w:jc w:val="both"/>
              <w:rPr>
                <w:rFonts w:ascii="Arial" w:hAnsi="Arial" w:cs="Arial"/>
              </w:rPr>
            </w:pPr>
            <w:r w:rsidRPr="00A64175">
              <w:rPr>
                <w:rFonts w:ascii="Arial" w:hAnsi="Arial" w:cs="Arial"/>
              </w:rPr>
              <w:t>La f</w:t>
            </w:r>
            <w:r w:rsidR="00095F65" w:rsidRPr="00A64175">
              <w:rPr>
                <w:rFonts w:ascii="Arial" w:hAnsi="Arial" w:cs="Arial"/>
              </w:rPr>
              <w:t>onction de gestion des plaintes</w:t>
            </w:r>
            <w:r w:rsidRPr="00A64175">
              <w:rPr>
                <w:rFonts w:ascii="Arial" w:hAnsi="Arial" w:cs="Arial"/>
              </w:rPr>
              <w:t xml:space="preserve"> </w:t>
            </w:r>
            <w:r w:rsidR="00095F65" w:rsidRPr="00A64175">
              <w:rPr>
                <w:rFonts w:ascii="Arial" w:hAnsi="Arial" w:cs="Arial"/>
              </w:rPr>
              <w:t xml:space="preserve">peut être assurée par le responsable de la conformité et du contrôle interne. </w:t>
            </w:r>
          </w:p>
          <w:p w14:paraId="038D7C18"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70149861" w14:textId="77777777" w:rsidTr="00EC563C">
        <w:tc>
          <w:tcPr>
            <w:tcW w:w="9214" w:type="dxa"/>
            <w:shd w:val="clear" w:color="auto" w:fill="auto"/>
          </w:tcPr>
          <w:p w14:paraId="1FE9F0D1" w14:textId="11FCF78A" w:rsidR="00095F65" w:rsidRPr="00A64175" w:rsidRDefault="00C76144" w:rsidP="00A64175">
            <w:pPr>
              <w:pStyle w:val="NormalWeb"/>
              <w:spacing w:before="0" w:beforeAutospacing="0" w:after="0" w:afterAutospacing="0"/>
              <w:jc w:val="both"/>
              <w:rPr>
                <w:rFonts w:ascii="Arial" w:hAnsi="Arial" w:cs="Arial"/>
                <w:sz w:val="22"/>
                <w:szCs w:val="22"/>
              </w:rPr>
            </w:pPr>
            <w:r w:rsidRPr="00A64175">
              <w:rPr>
                <w:rFonts w:ascii="Arial" w:hAnsi="Arial" w:cs="Arial"/>
                <w:b/>
                <w:sz w:val="22"/>
                <w:szCs w:val="22"/>
              </w:rPr>
              <w:t>Article 2</w:t>
            </w:r>
            <w:r w:rsidR="00AD15A8">
              <w:rPr>
                <w:rFonts w:ascii="Arial" w:hAnsi="Arial" w:cs="Arial"/>
                <w:b/>
                <w:sz w:val="22"/>
                <w:szCs w:val="22"/>
              </w:rPr>
              <w:t>61</w:t>
            </w:r>
            <w:r w:rsidR="00D228E9" w:rsidRPr="00A64175">
              <w:rPr>
                <w:rFonts w:ascii="Arial" w:hAnsi="Arial" w:cs="Arial"/>
                <w:b/>
                <w:sz w:val="22"/>
                <w:szCs w:val="22"/>
              </w:rPr>
              <w:t>. –</w:t>
            </w:r>
            <w:r w:rsidR="00D228E9" w:rsidRPr="00A64175">
              <w:rPr>
                <w:rFonts w:ascii="Arial" w:hAnsi="Arial" w:cs="Arial"/>
                <w:color w:val="000000"/>
                <w:sz w:val="22"/>
                <w:szCs w:val="22"/>
              </w:rPr>
              <w:t xml:space="preserve"> </w:t>
            </w:r>
            <w:r w:rsidR="00095F65" w:rsidRPr="00A64175">
              <w:rPr>
                <w:rFonts w:ascii="Arial" w:hAnsi="Arial" w:cs="Arial"/>
                <w:sz w:val="22"/>
                <w:szCs w:val="22"/>
              </w:rPr>
              <w:t>Les intermédiaires de marché établissent, mettent en œuvre et gardent opérationnelle une politique efficace de gestion des conflits d'intérêts</w:t>
            </w:r>
            <w:r w:rsidR="00724497" w:rsidRPr="00A64175">
              <w:rPr>
                <w:rFonts w:ascii="Arial" w:hAnsi="Arial" w:cs="Arial"/>
                <w:sz w:val="22"/>
                <w:szCs w:val="22"/>
              </w:rPr>
              <w:t>,</w:t>
            </w:r>
            <w:r w:rsidR="00095F65" w:rsidRPr="00A64175">
              <w:rPr>
                <w:rFonts w:ascii="Arial" w:hAnsi="Arial" w:cs="Arial"/>
                <w:sz w:val="22"/>
                <w:szCs w:val="22"/>
              </w:rPr>
              <w:t xml:space="preserve"> qui doit être fixée par écrit et être</w:t>
            </w:r>
            <w:r w:rsidR="00724497" w:rsidRPr="00A64175">
              <w:rPr>
                <w:rFonts w:ascii="Arial" w:hAnsi="Arial" w:cs="Arial"/>
                <w:sz w:val="22"/>
                <w:szCs w:val="22"/>
              </w:rPr>
              <w:t xml:space="preserve"> en adéquation avec, d’une part,</w:t>
            </w:r>
            <w:r w:rsidR="00095F65" w:rsidRPr="00A64175">
              <w:rPr>
                <w:rFonts w:ascii="Arial" w:hAnsi="Arial" w:cs="Arial"/>
                <w:sz w:val="22"/>
                <w:szCs w:val="22"/>
              </w:rPr>
              <w:t xml:space="preserve"> </w:t>
            </w:r>
            <w:r w:rsidR="00724497" w:rsidRPr="00A64175">
              <w:rPr>
                <w:rFonts w:ascii="Arial" w:hAnsi="Arial" w:cs="Arial"/>
                <w:sz w:val="22"/>
                <w:szCs w:val="22"/>
              </w:rPr>
              <w:t>la taille et</w:t>
            </w:r>
            <w:r w:rsidR="00095F65" w:rsidRPr="00A64175">
              <w:rPr>
                <w:rFonts w:ascii="Arial" w:hAnsi="Arial" w:cs="Arial"/>
                <w:sz w:val="22"/>
                <w:szCs w:val="22"/>
              </w:rPr>
              <w:t xml:space="preserve"> l'organisation de l'entreprise et</w:t>
            </w:r>
            <w:r w:rsidR="00724497" w:rsidRPr="00A64175">
              <w:rPr>
                <w:rFonts w:ascii="Arial" w:hAnsi="Arial" w:cs="Arial"/>
                <w:sz w:val="22"/>
                <w:szCs w:val="22"/>
              </w:rPr>
              <w:t>, d’autre part, la nature et</w:t>
            </w:r>
            <w:r w:rsidR="00095F65" w:rsidRPr="00A64175">
              <w:rPr>
                <w:rFonts w:ascii="Arial" w:hAnsi="Arial" w:cs="Arial"/>
                <w:sz w:val="22"/>
                <w:szCs w:val="22"/>
              </w:rPr>
              <w:t xml:space="preserve"> la complexité de son activité. </w:t>
            </w:r>
          </w:p>
          <w:p w14:paraId="6CC856AB"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5CB1C8AB" w14:textId="77777777" w:rsidR="00095F65" w:rsidRPr="00A64175" w:rsidRDefault="00095F65" w:rsidP="00A64175">
            <w:pPr>
              <w:pStyle w:val="NormalWeb"/>
              <w:spacing w:before="0" w:beforeAutospacing="0" w:after="0" w:afterAutospacing="0"/>
              <w:jc w:val="both"/>
              <w:rPr>
                <w:rFonts w:ascii="Arial" w:hAnsi="Arial" w:cs="Arial"/>
                <w:sz w:val="22"/>
                <w:szCs w:val="22"/>
              </w:rPr>
            </w:pPr>
            <w:r w:rsidRPr="00A64175">
              <w:rPr>
                <w:rFonts w:ascii="Arial" w:hAnsi="Arial" w:cs="Arial"/>
                <w:sz w:val="22"/>
                <w:szCs w:val="22"/>
              </w:rPr>
              <w:t xml:space="preserve">Lorsque l'intermédiaire de marché appartient à un groupe, la politique doit aussi prendre en compte les circonstances, qui sont connues ou devraient être connues par l'entreprise, susceptibles de provoquer un conflit d'intérêts résultant de la structure et des activités professionnelles des autres membres du groupe. </w:t>
            </w:r>
          </w:p>
          <w:p w14:paraId="2B6C2D5A"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51CE240D" w14:textId="77777777" w:rsidTr="00EC563C">
        <w:tc>
          <w:tcPr>
            <w:tcW w:w="9214" w:type="dxa"/>
            <w:shd w:val="clear" w:color="auto" w:fill="auto"/>
          </w:tcPr>
          <w:p w14:paraId="6126B467" w14:textId="30B1174A" w:rsidR="00095F65" w:rsidRPr="00A64175" w:rsidRDefault="00C76144" w:rsidP="00A64175">
            <w:pPr>
              <w:pStyle w:val="NormalWeb"/>
              <w:spacing w:before="0" w:beforeAutospacing="0" w:after="0" w:afterAutospacing="0"/>
              <w:jc w:val="both"/>
              <w:rPr>
                <w:rFonts w:ascii="Arial" w:hAnsi="Arial" w:cs="Arial"/>
                <w:sz w:val="22"/>
                <w:szCs w:val="22"/>
              </w:rPr>
            </w:pPr>
            <w:r w:rsidRPr="00A64175">
              <w:rPr>
                <w:rFonts w:ascii="Arial" w:hAnsi="Arial" w:cs="Arial"/>
                <w:b/>
                <w:sz w:val="22"/>
                <w:szCs w:val="22"/>
              </w:rPr>
              <w:t>Article 2</w:t>
            </w:r>
            <w:r w:rsidR="00AD15A8">
              <w:rPr>
                <w:rFonts w:ascii="Arial" w:hAnsi="Arial" w:cs="Arial"/>
                <w:b/>
                <w:sz w:val="22"/>
                <w:szCs w:val="22"/>
              </w:rPr>
              <w:t>62</w:t>
            </w:r>
            <w:r w:rsidR="00724497" w:rsidRPr="00A64175">
              <w:rPr>
                <w:rFonts w:ascii="Arial" w:hAnsi="Arial" w:cs="Arial"/>
                <w:b/>
                <w:sz w:val="22"/>
                <w:szCs w:val="22"/>
              </w:rPr>
              <w:t>. –</w:t>
            </w:r>
            <w:r w:rsidR="00724497" w:rsidRPr="00A64175">
              <w:rPr>
                <w:rFonts w:ascii="Arial" w:hAnsi="Arial" w:cs="Arial"/>
                <w:color w:val="000000"/>
                <w:sz w:val="22"/>
                <w:szCs w:val="22"/>
              </w:rPr>
              <w:t xml:space="preserve"> </w:t>
            </w:r>
            <w:r w:rsidR="00095F65" w:rsidRPr="00A64175">
              <w:rPr>
                <w:rFonts w:ascii="Arial" w:hAnsi="Arial" w:cs="Arial"/>
                <w:sz w:val="22"/>
                <w:szCs w:val="22"/>
              </w:rPr>
              <w:t xml:space="preserve">La politique en matière de conflits d'intérêts doit en particulier : </w:t>
            </w:r>
          </w:p>
          <w:p w14:paraId="24E3B44D"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4E88C27E" w14:textId="19841E20" w:rsidR="00095F65" w:rsidRPr="00A64175" w:rsidRDefault="00095F65" w:rsidP="00A64175">
            <w:pPr>
              <w:pStyle w:val="NormalWeb"/>
              <w:numPr>
                <w:ilvl w:val="0"/>
                <w:numId w:val="29"/>
              </w:numPr>
              <w:spacing w:before="0" w:beforeAutospacing="0" w:after="0" w:afterAutospacing="0"/>
              <w:jc w:val="both"/>
              <w:rPr>
                <w:rFonts w:ascii="Arial" w:hAnsi="Arial" w:cs="Arial"/>
                <w:sz w:val="22"/>
                <w:szCs w:val="22"/>
              </w:rPr>
            </w:pPr>
            <w:r w:rsidRPr="00A64175">
              <w:rPr>
                <w:rFonts w:ascii="Arial" w:hAnsi="Arial" w:cs="Arial"/>
                <w:sz w:val="22"/>
                <w:szCs w:val="22"/>
              </w:rPr>
              <w:t>Identifier, en mentionnant les services ou a</w:t>
            </w:r>
            <w:r w:rsidR="00554F43" w:rsidRPr="00A64175">
              <w:rPr>
                <w:rFonts w:ascii="Arial" w:hAnsi="Arial" w:cs="Arial"/>
                <w:sz w:val="22"/>
                <w:szCs w:val="22"/>
              </w:rPr>
              <w:t>ctivité d'investissement</w:t>
            </w:r>
            <w:r w:rsidRPr="00A64175">
              <w:rPr>
                <w:rFonts w:ascii="Arial" w:hAnsi="Arial" w:cs="Arial"/>
                <w:sz w:val="22"/>
                <w:szCs w:val="22"/>
              </w:rPr>
              <w:t xml:space="preserve">  concernés, les situations qui donnent ou sont susceptibles de donner lieu à un conflit d'intérêts comportant un risque d'atteinte aux intérêts d'un ou de plusieurs clients ; </w:t>
            </w:r>
          </w:p>
          <w:p w14:paraId="6F9A316A"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0966A0F4" w14:textId="77777777" w:rsidR="00095F65" w:rsidRPr="00A64175" w:rsidRDefault="00095F65" w:rsidP="00A64175">
            <w:pPr>
              <w:pStyle w:val="NormalWeb"/>
              <w:numPr>
                <w:ilvl w:val="0"/>
                <w:numId w:val="32"/>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Définir les procédures à suivre et les mesures à prendre en vue de prévenir ou de gérer ces conflits. </w:t>
            </w:r>
          </w:p>
          <w:p w14:paraId="4139646B"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3100B87B" w14:textId="77777777" w:rsidTr="00EC563C">
        <w:tc>
          <w:tcPr>
            <w:tcW w:w="9214" w:type="dxa"/>
            <w:shd w:val="clear" w:color="auto" w:fill="auto"/>
          </w:tcPr>
          <w:p w14:paraId="6C49F5FD" w14:textId="14D74787" w:rsidR="00095F65" w:rsidRPr="00A64175" w:rsidRDefault="00724497" w:rsidP="00A64175">
            <w:pPr>
              <w:jc w:val="both"/>
              <w:rPr>
                <w:rFonts w:ascii="Arial" w:hAnsi="Arial" w:cs="Arial"/>
              </w:rPr>
            </w:pPr>
            <w:r w:rsidRPr="00A64175">
              <w:rPr>
                <w:rFonts w:ascii="Arial" w:hAnsi="Arial" w:cs="Arial"/>
                <w:b/>
              </w:rPr>
              <w:t>Article</w:t>
            </w:r>
            <w:r w:rsidR="00C76144" w:rsidRPr="00A64175">
              <w:rPr>
                <w:rFonts w:ascii="Arial" w:hAnsi="Arial" w:cs="Arial"/>
                <w:b/>
              </w:rPr>
              <w:t xml:space="preserve"> 2</w:t>
            </w:r>
            <w:r w:rsidR="00AD15A8">
              <w:rPr>
                <w:rFonts w:ascii="Arial" w:hAnsi="Arial" w:cs="Arial"/>
                <w:b/>
              </w:rPr>
              <w:t>63</w:t>
            </w:r>
            <w:r w:rsidRPr="00A64175">
              <w:rPr>
                <w:rFonts w:ascii="Arial" w:hAnsi="Arial" w:cs="Arial"/>
                <w:b/>
              </w:rPr>
              <w:t>. –</w:t>
            </w:r>
            <w:r w:rsidRPr="00A64175">
              <w:rPr>
                <w:rFonts w:ascii="Arial" w:hAnsi="Arial" w:cs="Arial"/>
                <w:color w:val="000000"/>
              </w:rPr>
              <w:t xml:space="preserve"> </w:t>
            </w:r>
            <w:r w:rsidR="00095F65" w:rsidRPr="00A64175">
              <w:rPr>
                <w:rFonts w:ascii="Arial" w:hAnsi="Arial" w:cs="Arial"/>
              </w:rPr>
              <w:t xml:space="preserve">Tout intermédiaire de marché </w:t>
            </w:r>
            <w:r w:rsidR="00554F43" w:rsidRPr="00A64175">
              <w:rPr>
                <w:rFonts w:ascii="Arial" w:hAnsi="Arial" w:cs="Arial"/>
              </w:rPr>
              <w:t>tient et met régulièrement à jour</w:t>
            </w:r>
            <w:r w:rsidR="00095F65" w:rsidRPr="00A64175">
              <w:rPr>
                <w:rFonts w:ascii="Arial" w:hAnsi="Arial" w:cs="Arial"/>
              </w:rPr>
              <w:t xml:space="preserve"> un registre consignant les types de service</w:t>
            </w:r>
            <w:r w:rsidR="00554F43" w:rsidRPr="00A64175">
              <w:rPr>
                <w:rFonts w:ascii="Arial" w:hAnsi="Arial" w:cs="Arial"/>
              </w:rPr>
              <w:t>s</w:t>
            </w:r>
            <w:r w:rsidR="00095F65" w:rsidRPr="00A64175">
              <w:rPr>
                <w:rFonts w:ascii="Arial" w:hAnsi="Arial" w:cs="Arial"/>
              </w:rPr>
              <w:t xml:space="preserve"> d'investissement ou d’activité</w:t>
            </w:r>
            <w:r w:rsidR="00554F43" w:rsidRPr="00A64175">
              <w:rPr>
                <w:rFonts w:ascii="Arial" w:hAnsi="Arial" w:cs="Arial"/>
              </w:rPr>
              <w:t xml:space="preserve">s </w:t>
            </w:r>
            <w:r w:rsidR="00C932E3" w:rsidRPr="00A64175">
              <w:rPr>
                <w:rFonts w:ascii="Arial" w:hAnsi="Arial" w:cs="Arial"/>
              </w:rPr>
              <w:t>qu’il réalise ou qui sont réalisées pour son compte,</w:t>
            </w:r>
            <w:r w:rsidR="00095F65" w:rsidRPr="00A64175">
              <w:rPr>
                <w:rFonts w:ascii="Arial" w:hAnsi="Arial" w:cs="Arial"/>
              </w:rPr>
              <w:t xml:space="preserve"> pour lesquel</w:t>
            </w:r>
            <w:r w:rsidR="00C932E3" w:rsidRPr="00A64175">
              <w:rPr>
                <w:rFonts w:ascii="Arial" w:hAnsi="Arial" w:cs="Arial"/>
              </w:rPr>
              <w:t>le</w:t>
            </w:r>
            <w:r w:rsidR="00095F65" w:rsidRPr="00A64175">
              <w:rPr>
                <w:rFonts w:ascii="Arial" w:hAnsi="Arial" w:cs="Arial"/>
              </w:rPr>
              <w:t xml:space="preserve">s un conflit d'intérêts comportant un risque d'atteinte aux intérêts d'un ou de plusieurs clients s'est produit ou, dans le cas d'un service ou d'une activité en cours, est susceptible de se produire. </w:t>
            </w:r>
          </w:p>
          <w:p w14:paraId="6C6EE0FF" w14:textId="77777777" w:rsidR="00095F65" w:rsidRPr="00A64175" w:rsidRDefault="00095F65" w:rsidP="00A64175">
            <w:pPr>
              <w:jc w:val="both"/>
              <w:rPr>
                <w:rFonts w:ascii="Arial" w:hAnsi="Arial" w:cs="Arial"/>
              </w:rPr>
            </w:pPr>
          </w:p>
          <w:p w14:paraId="74BA7AAA" w14:textId="3DD20C6C" w:rsidR="00095F65" w:rsidRPr="00A64175" w:rsidRDefault="00C932E3" w:rsidP="00A64175">
            <w:pPr>
              <w:widowControl w:val="0"/>
              <w:tabs>
                <w:tab w:val="left" w:pos="3750"/>
              </w:tabs>
              <w:autoSpaceDE w:val="0"/>
              <w:adjustRightInd w:val="0"/>
              <w:jc w:val="both"/>
              <w:rPr>
                <w:rFonts w:ascii="Arial" w:hAnsi="Arial" w:cs="Arial"/>
                <w:b/>
                <w:kern w:val="1"/>
              </w:rPr>
            </w:pPr>
            <w:r w:rsidRPr="00A64175">
              <w:rPr>
                <w:rFonts w:ascii="Arial" w:hAnsi="Arial" w:cs="Arial"/>
              </w:rPr>
              <w:t>L’organe de direction de l’intermédiaire de marché reçoi</w:t>
            </w:r>
            <w:r w:rsidR="00340789" w:rsidRPr="00A64175">
              <w:rPr>
                <w:rFonts w:ascii="Arial" w:hAnsi="Arial" w:cs="Arial"/>
              </w:rPr>
              <w:t>t, à intervalle régulier</w:t>
            </w:r>
            <w:r w:rsidR="00095F65" w:rsidRPr="00A64175">
              <w:rPr>
                <w:rFonts w:ascii="Arial" w:hAnsi="Arial" w:cs="Arial"/>
              </w:rPr>
              <w:t xml:space="preserve"> et au moins une fois par an, des rapports écrits sur les situations visées au présent article.</w:t>
            </w:r>
          </w:p>
        </w:tc>
      </w:tr>
      <w:tr w:rsidR="00095F65" w:rsidRPr="00A64175" w14:paraId="23105C94" w14:textId="77777777" w:rsidTr="00EC563C">
        <w:tc>
          <w:tcPr>
            <w:tcW w:w="9214" w:type="dxa"/>
            <w:shd w:val="clear" w:color="auto" w:fill="auto"/>
          </w:tcPr>
          <w:p w14:paraId="03B20FBE" w14:textId="77777777" w:rsidR="00095F65" w:rsidRPr="00A64175" w:rsidRDefault="00095F65" w:rsidP="00A64175">
            <w:pPr>
              <w:widowControl w:val="0"/>
              <w:autoSpaceDE w:val="0"/>
              <w:adjustRightInd w:val="0"/>
              <w:jc w:val="both"/>
              <w:rPr>
                <w:rFonts w:ascii="Arial" w:hAnsi="Arial" w:cs="Arial"/>
                <w:b/>
                <w:bCs/>
              </w:rPr>
            </w:pPr>
          </w:p>
          <w:p w14:paraId="6112A352" w14:textId="21DFD120" w:rsidR="00095F65" w:rsidRPr="00A64175" w:rsidRDefault="00C76144" w:rsidP="00A64175">
            <w:pPr>
              <w:widowControl w:val="0"/>
              <w:autoSpaceDE w:val="0"/>
              <w:adjustRightInd w:val="0"/>
              <w:jc w:val="both"/>
              <w:rPr>
                <w:rFonts w:ascii="Arial" w:hAnsi="Arial" w:cs="Arial"/>
                <w:b/>
                <w:kern w:val="1"/>
              </w:rPr>
            </w:pPr>
            <w:r w:rsidRPr="00A64175">
              <w:rPr>
                <w:rFonts w:ascii="Arial" w:hAnsi="Arial" w:cs="Arial"/>
                <w:b/>
              </w:rPr>
              <w:t>Article 26</w:t>
            </w:r>
            <w:r w:rsidR="00AD15A8">
              <w:rPr>
                <w:rFonts w:ascii="Arial" w:hAnsi="Arial" w:cs="Arial"/>
                <w:b/>
              </w:rPr>
              <w:t>4</w:t>
            </w:r>
            <w:r w:rsidR="004D030A" w:rsidRPr="00A64175">
              <w:rPr>
                <w:rFonts w:ascii="Arial" w:hAnsi="Arial" w:cs="Arial"/>
                <w:b/>
              </w:rPr>
              <w:t>. –</w:t>
            </w:r>
            <w:r w:rsidR="004D030A" w:rsidRPr="00A64175">
              <w:rPr>
                <w:rFonts w:ascii="Arial" w:hAnsi="Arial" w:cs="Arial"/>
                <w:color w:val="000000"/>
              </w:rPr>
              <w:t xml:space="preserve"> </w:t>
            </w:r>
            <w:r w:rsidR="00095F65" w:rsidRPr="00A64175">
              <w:rPr>
                <w:rFonts w:ascii="Arial" w:hAnsi="Arial" w:cs="Arial"/>
              </w:rPr>
              <w:t>Les actionnaires, les dirigeants et les membres du personnel des intermédiaires de marché doivent, en toutes circonstances,</w:t>
            </w:r>
            <w:r w:rsidR="004D030A" w:rsidRPr="00A64175">
              <w:rPr>
                <w:rFonts w:ascii="Arial" w:hAnsi="Arial" w:cs="Arial"/>
              </w:rPr>
              <w:t xml:space="preserve"> veiller à respecter </w:t>
            </w:r>
            <w:r w:rsidR="00B87CD9" w:rsidRPr="00A64175">
              <w:rPr>
                <w:rFonts w:ascii="Arial" w:hAnsi="Arial" w:cs="Arial"/>
              </w:rPr>
              <w:t>le principe de primauté des intérêts des clients et, en conséquence,</w:t>
            </w:r>
            <w:r w:rsidR="00095F65" w:rsidRPr="00A64175">
              <w:rPr>
                <w:rFonts w:ascii="Arial" w:hAnsi="Arial" w:cs="Arial"/>
              </w:rPr>
              <w:t xml:space="preserve"> s’abstenir de toute initiative qui aurait pour objet ou pour effet de privilégier leurs intérêts propres au détriment de ceux de leurs clients.</w:t>
            </w:r>
          </w:p>
        </w:tc>
      </w:tr>
      <w:tr w:rsidR="00095F65" w:rsidRPr="00A64175" w14:paraId="60BFEE04" w14:textId="77777777" w:rsidTr="00EC563C">
        <w:tc>
          <w:tcPr>
            <w:tcW w:w="9214" w:type="dxa"/>
            <w:shd w:val="clear" w:color="auto" w:fill="auto"/>
          </w:tcPr>
          <w:p w14:paraId="45BC60CC" w14:textId="77777777" w:rsidR="00095F65" w:rsidRPr="00A64175" w:rsidRDefault="00095F65" w:rsidP="00A64175">
            <w:pPr>
              <w:widowControl w:val="0"/>
              <w:autoSpaceDE w:val="0"/>
              <w:adjustRightInd w:val="0"/>
              <w:jc w:val="both"/>
              <w:rPr>
                <w:rFonts w:ascii="Arial" w:hAnsi="Arial" w:cs="Arial"/>
                <w:b/>
              </w:rPr>
            </w:pPr>
          </w:p>
          <w:p w14:paraId="66DA5370" w14:textId="22666C41" w:rsidR="00095F65" w:rsidRPr="00A64175" w:rsidRDefault="00C76144" w:rsidP="00A64175">
            <w:pPr>
              <w:widowControl w:val="0"/>
              <w:autoSpaceDE w:val="0"/>
              <w:adjustRightInd w:val="0"/>
              <w:jc w:val="both"/>
              <w:rPr>
                <w:rFonts w:ascii="Arial" w:hAnsi="Arial" w:cs="Arial"/>
                <w:b/>
                <w:kern w:val="1"/>
              </w:rPr>
            </w:pPr>
            <w:r w:rsidRPr="00A64175">
              <w:rPr>
                <w:rFonts w:ascii="Arial" w:hAnsi="Arial" w:cs="Arial"/>
                <w:b/>
                <w:bCs/>
              </w:rPr>
              <w:t>Article 26</w:t>
            </w:r>
            <w:r w:rsidR="00AD15A8">
              <w:rPr>
                <w:rFonts w:ascii="Arial" w:hAnsi="Arial" w:cs="Arial"/>
                <w:b/>
                <w:bCs/>
              </w:rPr>
              <w:t>5</w:t>
            </w:r>
            <w:r w:rsidR="00095F65" w:rsidRPr="00A64175">
              <w:rPr>
                <w:rFonts w:ascii="Arial" w:hAnsi="Arial" w:cs="Arial"/>
                <w:b/>
                <w:bCs/>
              </w:rPr>
              <w:t xml:space="preserve"> </w:t>
            </w:r>
            <w:r w:rsidR="00095F65" w:rsidRPr="00A64175">
              <w:rPr>
                <w:rFonts w:ascii="Arial" w:hAnsi="Arial" w:cs="Arial"/>
                <w:b/>
              </w:rPr>
              <w:t>–</w:t>
            </w:r>
            <w:r w:rsidR="00095F65" w:rsidRPr="00A64175">
              <w:rPr>
                <w:rFonts w:ascii="Arial" w:hAnsi="Arial" w:cs="Arial"/>
              </w:rPr>
              <w:t xml:space="preserve"> </w:t>
            </w:r>
            <w:r w:rsidR="00095F65" w:rsidRPr="00A64175">
              <w:rPr>
                <w:rFonts w:ascii="Arial" w:hAnsi="Arial" w:cs="Arial"/>
                <w:color w:val="000000"/>
              </w:rPr>
              <w:t>Les intermédiaires de marché s'assurent et doivent être en mesure de démontrer à la COSUMAF que les personnes physiques qui fournissent pour leur compte des services ou activités financières disposent des connaissances et des compétences nécessaires pour respecter les obligations prévues à la présente section.</w:t>
            </w:r>
          </w:p>
        </w:tc>
      </w:tr>
      <w:tr w:rsidR="00095F65" w:rsidRPr="00A64175" w14:paraId="7F56DB9C" w14:textId="77777777" w:rsidTr="00EC563C">
        <w:trPr>
          <w:trHeight w:val="1397"/>
        </w:trPr>
        <w:tc>
          <w:tcPr>
            <w:tcW w:w="9214" w:type="dxa"/>
            <w:shd w:val="clear" w:color="auto" w:fill="auto"/>
          </w:tcPr>
          <w:p w14:paraId="3E1AF2BC" w14:textId="77777777" w:rsidR="00095F65" w:rsidRPr="00A64175" w:rsidRDefault="00095F65" w:rsidP="00A64175">
            <w:pPr>
              <w:widowControl w:val="0"/>
              <w:autoSpaceDE w:val="0"/>
              <w:adjustRightInd w:val="0"/>
              <w:jc w:val="both"/>
              <w:rPr>
                <w:rFonts w:ascii="Arial" w:hAnsi="Arial" w:cs="Arial"/>
                <w:b/>
              </w:rPr>
            </w:pPr>
          </w:p>
          <w:p w14:paraId="2ADEE3A0" w14:textId="4E53B2DC" w:rsidR="00095F65" w:rsidRPr="00A64175" w:rsidRDefault="00C76144" w:rsidP="00A64175">
            <w:pPr>
              <w:widowControl w:val="0"/>
              <w:autoSpaceDE w:val="0"/>
              <w:adjustRightInd w:val="0"/>
              <w:jc w:val="both"/>
              <w:rPr>
                <w:rFonts w:ascii="Arial" w:hAnsi="Arial" w:cs="Arial"/>
                <w:color w:val="000000"/>
              </w:rPr>
            </w:pPr>
            <w:r w:rsidRPr="00A64175">
              <w:rPr>
                <w:rFonts w:ascii="Arial" w:hAnsi="Arial" w:cs="Arial"/>
                <w:b/>
                <w:bCs/>
              </w:rPr>
              <w:t>Article 26</w:t>
            </w:r>
            <w:r w:rsidR="005F0497">
              <w:rPr>
                <w:rFonts w:ascii="Arial" w:hAnsi="Arial" w:cs="Arial"/>
                <w:b/>
                <w:bCs/>
              </w:rPr>
              <w:t>6</w:t>
            </w:r>
            <w:r w:rsidR="00095F65" w:rsidRPr="00A64175">
              <w:rPr>
                <w:rFonts w:ascii="Arial" w:hAnsi="Arial" w:cs="Arial"/>
                <w:b/>
                <w:bCs/>
              </w:rPr>
              <w:t xml:space="preserve"> </w:t>
            </w:r>
            <w:r w:rsidR="00095F65" w:rsidRPr="00A64175">
              <w:rPr>
                <w:rFonts w:ascii="Arial" w:hAnsi="Arial" w:cs="Arial"/>
                <w:b/>
              </w:rPr>
              <w:t>–</w:t>
            </w:r>
            <w:r w:rsidR="00095F65" w:rsidRPr="00A64175">
              <w:rPr>
                <w:rFonts w:ascii="Arial" w:hAnsi="Arial" w:cs="Arial"/>
                <w:color w:val="000000"/>
              </w:rPr>
              <w:t xml:space="preserve"> L’intermédiaire de marché se dote d'une organisation et de procédures permettant de répondre aux prescriptions de vigilance et d'informations prévues dans le Règlement n° 01/</w:t>
            </w:r>
            <w:r w:rsidR="00B87CD9" w:rsidRPr="00A64175">
              <w:rPr>
                <w:rFonts w:ascii="Arial" w:hAnsi="Arial" w:cs="Arial"/>
                <w:color w:val="000000"/>
              </w:rPr>
              <w:t>16</w:t>
            </w:r>
            <w:r w:rsidR="00095F65" w:rsidRPr="00A64175">
              <w:rPr>
                <w:rFonts w:ascii="Arial" w:hAnsi="Arial" w:cs="Arial"/>
                <w:color w:val="000000"/>
              </w:rPr>
              <w:t xml:space="preserve"> CEMAC/UMAC/CM </w:t>
            </w:r>
            <w:r w:rsidR="00B87CD9" w:rsidRPr="00A64175">
              <w:rPr>
                <w:rFonts w:ascii="Arial" w:hAnsi="Arial" w:cs="Arial"/>
                <w:color w:val="000000"/>
              </w:rPr>
              <w:t xml:space="preserve">du 21 avril 2016 </w:t>
            </w:r>
            <w:r w:rsidR="00095F65" w:rsidRPr="00A64175">
              <w:rPr>
                <w:rFonts w:ascii="Arial" w:hAnsi="Arial" w:cs="Arial"/>
                <w:color w:val="000000"/>
              </w:rPr>
              <w:t>portant Prévention et Répression</w:t>
            </w:r>
            <w:r w:rsidR="00B87CD9" w:rsidRPr="00A64175">
              <w:rPr>
                <w:rFonts w:ascii="Arial" w:hAnsi="Arial" w:cs="Arial"/>
                <w:color w:val="000000"/>
              </w:rPr>
              <w:t xml:space="preserve"> du Blanchiment des Capitaux, </w:t>
            </w:r>
            <w:r w:rsidR="00095F65" w:rsidRPr="00A64175">
              <w:rPr>
                <w:rFonts w:ascii="Arial" w:hAnsi="Arial" w:cs="Arial"/>
                <w:color w:val="000000"/>
              </w:rPr>
              <w:t xml:space="preserve">du Financement du Terrorisme et de la Prolifération en Afrique Centrale. </w:t>
            </w:r>
          </w:p>
          <w:p w14:paraId="1235EEE1" w14:textId="77777777" w:rsidR="00095F65" w:rsidRPr="00A64175" w:rsidRDefault="00095F65" w:rsidP="00A64175">
            <w:pPr>
              <w:widowControl w:val="0"/>
              <w:tabs>
                <w:tab w:val="left" w:pos="3750"/>
              </w:tabs>
              <w:autoSpaceDE w:val="0"/>
              <w:adjustRightInd w:val="0"/>
              <w:jc w:val="both"/>
              <w:rPr>
                <w:rFonts w:ascii="Arial" w:hAnsi="Arial" w:cs="Arial"/>
                <w:b/>
                <w:kern w:val="1"/>
              </w:rPr>
            </w:pPr>
          </w:p>
          <w:p w14:paraId="43CF35FC" w14:textId="77777777" w:rsidR="00B87CD9" w:rsidRPr="00A64175" w:rsidRDefault="00B87CD9" w:rsidP="00A64175">
            <w:pPr>
              <w:widowControl w:val="0"/>
              <w:tabs>
                <w:tab w:val="left" w:pos="3750"/>
              </w:tabs>
              <w:autoSpaceDE w:val="0"/>
              <w:adjustRightInd w:val="0"/>
              <w:jc w:val="both"/>
              <w:rPr>
                <w:rFonts w:ascii="Arial" w:hAnsi="Arial" w:cs="Arial"/>
                <w:b/>
                <w:kern w:val="1"/>
              </w:rPr>
            </w:pPr>
          </w:p>
        </w:tc>
      </w:tr>
      <w:tr w:rsidR="00095F65" w:rsidRPr="00A64175" w14:paraId="5DE7F1B9" w14:textId="77777777" w:rsidTr="00EC563C">
        <w:trPr>
          <w:trHeight w:val="376"/>
        </w:trPr>
        <w:tc>
          <w:tcPr>
            <w:tcW w:w="9214" w:type="dxa"/>
            <w:shd w:val="clear" w:color="auto" w:fill="auto"/>
          </w:tcPr>
          <w:p w14:paraId="4233F26C" w14:textId="77777777" w:rsidR="00095F65" w:rsidRPr="00A64175" w:rsidRDefault="00095F65" w:rsidP="00A64175">
            <w:pPr>
              <w:widowControl w:val="0"/>
              <w:tabs>
                <w:tab w:val="left" w:pos="3750"/>
              </w:tabs>
              <w:autoSpaceDE w:val="0"/>
              <w:adjustRightInd w:val="0"/>
              <w:jc w:val="both"/>
              <w:rPr>
                <w:rFonts w:ascii="Arial" w:hAnsi="Arial" w:cs="Arial"/>
                <w:bCs/>
                <w:i/>
                <w:iCs/>
                <w:kern w:val="1"/>
              </w:rPr>
            </w:pPr>
            <w:r w:rsidRPr="00A64175">
              <w:rPr>
                <w:rFonts w:ascii="Arial" w:hAnsi="Arial" w:cs="Arial"/>
                <w:bCs/>
                <w:i/>
                <w:iCs/>
                <w:kern w:val="1"/>
              </w:rPr>
              <w:t xml:space="preserve">Sous-section II : Conformité et contrôle interne </w:t>
            </w:r>
          </w:p>
        </w:tc>
      </w:tr>
      <w:tr w:rsidR="00095F65" w:rsidRPr="00A64175" w14:paraId="332FA464" w14:textId="77777777" w:rsidTr="00EC563C">
        <w:tc>
          <w:tcPr>
            <w:tcW w:w="9214" w:type="dxa"/>
            <w:shd w:val="clear" w:color="auto" w:fill="auto"/>
          </w:tcPr>
          <w:p w14:paraId="47653F30" w14:textId="77777777" w:rsidR="00B87CD9" w:rsidRPr="00A64175" w:rsidRDefault="00B87CD9" w:rsidP="00A64175">
            <w:pPr>
              <w:spacing w:before="100" w:beforeAutospacing="1" w:afterAutospacing="1"/>
              <w:jc w:val="both"/>
              <w:rPr>
                <w:rFonts w:ascii="Arial" w:hAnsi="Arial" w:cs="Arial"/>
                <w:b/>
                <w:bCs/>
              </w:rPr>
            </w:pPr>
          </w:p>
          <w:p w14:paraId="263133E7" w14:textId="7C017311" w:rsidR="00095F65" w:rsidRPr="00A64175" w:rsidRDefault="00C76144" w:rsidP="00A64175">
            <w:pPr>
              <w:spacing w:before="100" w:beforeAutospacing="1" w:afterAutospacing="1"/>
              <w:jc w:val="both"/>
              <w:rPr>
                <w:rFonts w:ascii="Arial" w:hAnsi="Arial" w:cs="Arial"/>
              </w:rPr>
            </w:pPr>
            <w:r w:rsidRPr="00A64175">
              <w:rPr>
                <w:rFonts w:ascii="Arial" w:hAnsi="Arial" w:cs="Arial"/>
                <w:b/>
                <w:bCs/>
              </w:rPr>
              <w:t>Article 26</w:t>
            </w:r>
            <w:r w:rsidR="005F0497">
              <w:rPr>
                <w:rFonts w:ascii="Arial" w:hAnsi="Arial" w:cs="Arial"/>
                <w:b/>
                <w:bCs/>
              </w:rPr>
              <w:t>7</w:t>
            </w:r>
            <w:r w:rsidR="00095F65" w:rsidRPr="00A64175">
              <w:rPr>
                <w:rFonts w:ascii="Arial" w:hAnsi="Arial" w:cs="Arial"/>
                <w:b/>
                <w:bCs/>
              </w:rPr>
              <w:t xml:space="preserve"> -</w:t>
            </w:r>
          </w:p>
          <w:p w14:paraId="48A0FBC2" w14:textId="573934DD" w:rsidR="00095F65" w:rsidRPr="00A64175" w:rsidRDefault="00095F65" w:rsidP="00A64175">
            <w:pPr>
              <w:pStyle w:val="Paragraphedeliste"/>
              <w:numPr>
                <w:ilvl w:val="0"/>
                <w:numId w:val="91"/>
              </w:numPr>
              <w:spacing w:after="0" w:line="240" w:lineRule="auto"/>
            </w:pPr>
            <w:r w:rsidRPr="00A64175">
              <w:t>Les intermédiaires de marché établissent, mettent en œuvre et gardent opérationnelles des politiques et des procédures internes de contrôle et de conformité des modalités d’exercice des activités pour lesquelles i</w:t>
            </w:r>
            <w:r w:rsidR="00726E26" w:rsidRPr="00A64175">
              <w:t>ls ont été agréés</w:t>
            </w:r>
            <w:r w:rsidRPr="00A64175">
              <w:t xml:space="preserve">, en vue d’assurer le respect des règles qui leur sont applicables et des dispositions prévues dans leur programme d’activité. </w:t>
            </w:r>
          </w:p>
          <w:p w14:paraId="62E72F52" w14:textId="055F0133" w:rsidR="00095F65" w:rsidRPr="00A64175" w:rsidRDefault="00095F65" w:rsidP="00A64175">
            <w:pPr>
              <w:pStyle w:val="Paragraphedeliste"/>
            </w:pPr>
            <w:r w:rsidRPr="00A64175">
              <w:t>Dans le cadre de leurs procédures de contrôle</w:t>
            </w:r>
            <w:r w:rsidR="00726E26" w:rsidRPr="00A64175">
              <w:t xml:space="preserve"> interne</w:t>
            </w:r>
            <w:r w:rsidRPr="00A64175">
              <w:t xml:space="preserve"> et de conformité, ils </w:t>
            </w:r>
            <w:r w:rsidR="00205B56" w:rsidRPr="00A64175">
              <w:t>prennent en compte la nature et</w:t>
            </w:r>
            <w:r w:rsidRPr="00A64175">
              <w:t xml:space="preserve"> la complexit</w:t>
            </w:r>
            <w:r w:rsidR="00205B56" w:rsidRPr="00A64175">
              <w:t>é de leur activité, ainsi que</w:t>
            </w:r>
            <w:r w:rsidRPr="00A64175">
              <w:t xml:space="preserve"> la</w:t>
            </w:r>
            <w:r w:rsidR="00205B56" w:rsidRPr="00A64175">
              <w:t xml:space="preserve"> </w:t>
            </w:r>
            <w:r w:rsidRPr="00A64175">
              <w:t xml:space="preserve"> </w:t>
            </w:r>
            <w:r w:rsidR="00205B56" w:rsidRPr="00A64175">
              <w:t xml:space="preserve">diversité </w:t>
            </w:r>
            <w:r w:rsidRPr="00A64175">
              <w:t>des services qu'ils fournissent</w:t>
            </w:r>
            <w:r w:rsidR="00205B56" w:rsidRPr="00A64175">
              <w:t>.</w:t>
            </w:r>
            <w:r w:rsidRPr="00A64175">
              <w:t xml:space="preserve"> </w:t>
            </w:r>
          </w:p>
          <w:p w14:paraId="5A0F4191" w14:textId="07E10D5B" w:rsidR="00095F65" w:rsidRPr="00A64175" w:rsidRDefault="00095F65" w:rsidP="00A64175">
            <w:pPr>
              <w:pStyle w:val="Paragraphedeliste"/>
              <w:numPr>
                <w:ilvl w:val="0"/>
                <w:numId w:val="91"/>
              </w:numPr>
              <w:spacing w:after="0" w:line="240" w:lineRule="auto"/>
            </w:pPr>
            <w:r w:rsidRPr="00A64175">
              <w:t>L’intermédiaire de marché désigne un responsable de la confo</w:t>
            </w:r>
            <w:r w:rsidR="00205B56" w:rsidRPr="00A64175">
              <w:t>rmité et du contrôle interne. Ce responsable</w:t>
            </w:r>
            <w:r w:rsidRPr="00A64175">
              <w:t xml:space="preserve"> doit disposer d’une position hiérarchique qui garantit son indépendance à l’égard des autres fonctions opérationnelles de l’organisme. </w:t>
            </w:r>
          </w:p>
          <w:p w14:paraId="16533D48" w14:textId="5FCA2184" w:rsidR="00095F65" w:rsidRPr="00A64175" w:rsidRDefault="00095F65" w:rsidP="00A64175">
            <w:pPr>
              <w:pStyle w:val="Paragraphedeliste"/>
            </w:pPr>
            <w:r w:rsidRPr="00A64175">
              <w:t>Ne peuvent être responsable de la conformité et du contrôle interne d’un intermédiaire de marché les personnes ayant fait l’objet d’une condamnation pénale pour crime ou délit</w:t>
            </w:r>
            <w:r w:rsidR="00205B56" w:rsidRPr="00A64175">
              <w:t xml:space="preserve"> en matière financière</w:t>
            </w:r>
            <w:r w:rsidRPr="00A64175">
              <w:t xml:space="preserve"> ou sur lesquelles le système bancaire et financier de la zone CEMAC porte des créances douteuses.</w:t>
            </w:r>
          </w:p>
          <w:p w14:paraId="6F5FD259" w14:textId="7F74F307" w:rsidR="00095F65" w:rsidRPr="00A64175" w:rsidRDefault="00095F65" w:rsidP="00A64175">
            <w:pPr>
              <w:pStyle w:val="Paragraphedeliste"/>
            </w:pPr>
            <w:r w:rsidRPr="00A64175">
              <w:t xml:space="preserve">Dans les conditions décrites dans une instruction </w:t>
            </w:r>
            <w:r w:rsidR="00205B56" w:rsidRPr="00A64175">
              <w:t>de la COSUMAF, les foncti</w:t>
            </w:r>
            <w:r w:rsidRPr="00A64175">
              <w:t xml:space="preserve">ons de conformité et de contrôle interne peuvent faire l’objet d’une délégation à une entité tierce. </w:t>
            </w:r>
            <w:r w:rsidR="00205B56" w:rsidRPr="00A64175">
              <w:t>En cas de délégation ou d’externalisation de ces fonctions, l</w:t>
            </w:r>
            <w:r w:rsidRPr="00A64175">
              <w:t>’intermédiaire de mar</w:t>
            </w:r>
            <w:r w:rsidR="006E16F3" w:rsidRPr="00A64175">
              <w:t xml:space="preserve">ché ne peut en aucun cas s’affranchir </w:t>
            </w:r>
            <w:r w:rsidR="00772B5D" w:rsidRPr="00A64175">
              <w:t>de sa</w:t>
            </w:r>
            <w:r w:rsidRPr="00A64175">
              <w:t xml:space="preserve"> responsabilité. Toute disposition contractuelle contraire est nulle.</w:t>
            </w:r>
          </w:p>
          <w:p w14:paraId="4A158303" w14:textId="77777777" w:rsidR="00095F65" w:rsidRPr="00A64175" w:rsidRDefault="00095F65" w:rsidP="00A64175">
            <w:pPr>
              <w:pStyle w:val="Paragraphedeliste"/>
              <w:widowControl w:val="0"/>
              <w:numPr>
                <w:ilvl w:val="0"/>
                <w:numId w:val="91"/>
              </w:numPr>
              <w:autoSpaceDE w:val="0"/>
              <w:adjustRightInd w:val="0"/>
              <w:spacing w:after="0" w:line="240" w:lineRule="auto"/>
              <w:rPr>
                <w:b/>
                <w:bCs/>
              </w:rPr>
            </w:pPr>
            <w:r w:rsidRPr="00A64175">
              <w:t>La COSUMAF délivre une carte professionnelle aux personnes exerçant la fonction de responsable de la conformité et du contrôle interne au sein des intermédiaires de marché.</w:t>
            </w:r>
          </w:p>
          <w:p w14:paraId="364FEC79" w14:textId="77777777" w:rsidR="00095F65" w:rsidRPr="00A64175" w:rsidRDefault="00095F65" w:rsidP="00A64175">
            <w:pPr>
              <w:pStyle w:val="Paragraphedeliste"/>
              <w:widowControl w:val="0"/>
              <w:autoSpaceDE w:val="0"/>
              <w:adjustRightInd w:val="0"/>
              <w:rPr>
                <w:b/>
                <w:bCs/>
              </w:rPr>
            </w:pPr>
            <w:r w:rsidRPr="00A64175">
              <w:t>Une instruction de la COSUMAF détermine les conditions d’attribution des cartes professionnelles aux personnes physiques appelées à exercer, au sein d’un intermédiaire de marché, les fonctions de responsable de la conformité et du contrôle interne.</w:t>
            </w:r>
          </w:p>
        </w:tc>
      </w:tr>
      <w:tr w:rsidR="00095F65" w:rsidRPr="00A64175" w14:paraId="6FDDAF57" w14:textId="77777777" w:rsidTr="00EC563C">
        <w:tc>
          <w:tcPr>
            <w:tcW w:w="9214" w:type="dxa"/>
            <w:shd w:val="clear" w:color="auto" w:fill="auto"/>
          </w:tcPr>
          <w:p w14:paraId="45C26047" w14:textId="77777777" w:rsidR="00095F65" w:rsidRPr="00A64175" w:rsidRDefault="00095F65" w:rsidP="00A64175">
            <w:pPr>
              <w:jc w:val="both"/>
              <w:rPr>
                <w:rFonts w:ascii="Arial" w:hAnsi="Arial" w:cs="Arial"/>
                <w:b/>
                <w:bCs/>
              </w:rPr>
            </w:pPr>
          </w:p>
          <w:p w14:paraId="4CF4565D" w14:textId="5EA84883" w:rsidR="00095F65" w:rsidRPr="00A64175" w:rsidRDefault="00C76144" w:rsidP="00A64175">
            <w:pPr>
              <w:jc w:val="both"/>
              <w:rPr>
                <w:rFonts w:ascii="Arial" w:hAnsi="Arial" w:cs="Arial"/>
                <w:b/>
                <w:bCs/>
              </w:rPr>
            </w:pPr>
            <w:r w:rsidRPr="00A64175">
              <w:rPr>
                <w:rFonts w:ascii="Arial" w:hAnsi="Arial" w:cs="Arial"/>
                <w:b/>
                <w:bCs/>
              </w:rPr>
              <w:t>Article 26</w:t>
            </w:r>
            <w:r w:rsidR="005F0497">
              <w:rPr>
                <w:rFonts w:ascii="Arial" w:hAnsi="Arial" w:cs="Arial"/>
                <w:b/>
                <w:bCs/>
              </w:rPr>
              <w:t>8</w:t>
            </w:r>
            <w:r w:rsidR="00095F65" w:rsidRPr="00A64175">
              <w:rPr>
                <w:rFonts w:ascii="Arial" w:hAnsi="Arial" w:cs="Arial"/>
                <w:b/>
                <w:bCs/>
              </w:rPr>
              <w:t xml:space="preserve"> – </w:t>
            </w:r>
          </w:p>
          <w:p w14:paraId="54A20E11" w14:textId="77777777" w:rsidR="00095F65" w:rsidRPr="00A64175" w:rsidRDefault="00095F65" w:rsidP="00A64175">
            <w:pPr>
              <w:jc w:val="both"/>
              <w:rPr>
                <w:rFonts w:ascii="Arial" w:hAnsi="Arial" w:cs="Arial"/>
                <w:b/>
                <w:bCs/>
              </w:rPr>
            </w:pPr>
          </w:p>
          <w:p w14:paraId="68028BAC" w14:textId="10D86C6E" w:rsidR="00095F65" w:rsidRPr="00A64175" w:rsidRDefault="00095F65" w:rsidP="00A64175">
            <w:pPr>
              <w:pStyle w:val="Paragraphedeliste"/>
              <w:numPr>
                <w:ilvl w:val="0"/>
                <w:numId w:val="92"/>
              </w:numPr>
              <w:spacing w:before="0" w:beforeAutospacing="0" w:after="0" w:afterAutospacing="0" w:line="240" w:lineRule="auto"/>
              <w:contextualSpacing/>
            </w:pPr>
            <w:r w:rsidRPr="00A64175">
              <w:t>Le responsable de la conformité e</w:t>
            </w:r>
            <w:r w:rsidR="006E16F3" w:rsidRPr="00A64175">
              <w:t>t du contrôle interne agit de</w:t>
            </w:r>
            <w:r w:rsidRPr="00A64175">
              <w:t xml:space="preserve"> manière indépendante</w:t>
            </w:r>
            <w:r w:rsidR="006E16F3" w:rsidRPr="00A64175">
              <w:t>. Il exerce notamment l</w:t>
            </w:r>
            <w:r w:rsidRPr="00A64175">
              <w:t xml:space="preserve">es missions suivantes : </w:t>
            </w:r>
          </w:p>
          <w:p w14:paraId="44B53C19" w14:textId="77777777" w:rsidR="00095F65" w:rsidRPr="00A64175" w:rsidRDefault="00095F65" w:rsidP="00A64175">
            <w:pPr>
              <w:contextualSpacing/>
              <w:jc w:val="both"/>
              <w:rPr>
                <w:rFonts w:ascii="Arial" w:hAnsi="Arial" w:cs="Arial"/>
                <w:b/>
                <w:bCs/>
              </w:rPr>
            </w:pPr>
          </w:p>
          <w:p w14:paraId="77CF5329" w14:textId="3E3F815F" w:rsidR="00095F65" w:rsidRPr="00A64175" w:rsidRDefault="00095F65" w:rsidP="00A64175">
            <w:pPr>
              <w:pStyle w:val="NormalWeb"/>
              <w:numPr>
                <w:ilvl w:val="0"/>
                <w:numId w:val="26"/>
              </w:numPr>
              <w:spacing w:before="0" w:beforeAutospacing="0" w:after="0" w:afterAutospacing="0"/>
              <w:ind w:left="1134"/>
              <w:contextualSpacing/>
              <w:jc w:val="both"/>
              <w:rPr>
                <w:rFonts w:ascii="Arial" w:hAnsi="Arial" w:cs="Arial"/>
                <w:sz w:val="22"/>
                <w:szCs w:val="22"/>
              </w:rPr>
            </w:pPr>
            <w:r w:rsidRPr="00A64175">
              <w:rPr>
                <w:rFonts w:ascii="Arial" w:hAnsi="Arial" w:cs="Arial"/>
                <w:sz w:val="22"/>
                <w:szCs w:val="22"/>
              </w:rPr>
              <w:t xml:space="preserve">Contrôle, en permanence, et évalue à intervalles réguliers, l'adéquation et l’efficacité </w:t>
            </w:r>
            <w:r w:rsidR="008370FB" w:rsidRPr="00A64175">
              <w:rPr>
                <w:rFonts w:ascii="Arial" w:hAnsi="Arial" w:cs="Arial"/>
                <w:sz w:val="22"/>
                <w:szCs w:val="22"/>
              </w:rPr>
              <w:t xml:space="preserve">d’une part </w:t>
            </w:r>
            <w:r w:rsidRPr="00A64175">
              <w:rPr>
                <w:rFonts w:ascii="Arial" w:hAnsi="Arial" w:cs="Arial"/>
                <w:sz w:val="22"/>
                <w:szCs w:val="22"/>
              </w:rPr>
              <w:t xml:space="preserve">des mesures, politiques et procédures mises en place </w:t>
            </w:r>
            <w:r w:rsidR="008370FB" w:rsidRPr="00A64175">
              <w:rPr>
                <w:rFonts w:ascii="Arial" w:hAnsi="Arial" w:cs="Arial"/>
                <w:sz w:val="22"/>
                <w:szCs w:val="22"/>
              </w:rPr>
              <w:t xml:space="preserve">et d’autre </w:t>
            </w:r>
            <w:r w:rsidR="00772B5D" w:rsidRPr="00A64175">
              <w:rPr>
                <w:rFonts w:ascii="Arial" w:hAnsi="Arial" w:cs="Arial"/>
                <w:sz w:val="22"/>
                <w:szCs w:val="22"/>
              </w:rPr>
              <w:t>part des</w:t>
            </w:r>
            <w:r w:rsidRPr="00A64175">
              <w:rPr>
                <w:rFonts w:ascii="Arial" w:hAnsi="Arial" w:cs="Arial"/>
                <w:sz w:val="22"/>
                <w:szCs w:val="22"/>
              </w:rPr>
              <w:t xml:space="preserve"> actions entreprises pour remédier à d'éventuels manquements de l'intermédiaire à ses obligations ; </w:t>
            </w:r>
          </w:p>
          <w:p w14:paraId="67B6420E" w14:textId="77777777" w:rsidR="00095F65" w:rsidRPr="00A64175" w:rsidRDefault="00095F65" w:rsidP="00A64175">
            <w:pPr>
              <w:pStyle w:val="NormalWeb"/>
              <w:spacing w:before="0" w:beforeAutospacing="0" w:after="0" w:afterAutospacing="0"/>
              <w:ind w:left="1134"/>
              <w:jc w:val="both"/>
              <w:rPr>
                <w:rFonts w:ascii="Arial" w:hAnsi="Arial" w:cs="Arial"/>
                <w:sz w:val="22"/>
                <w:szCs w:val="22"/>
              </w:rPr>
            </w:pPr>
          </w:p>
          <w:p w14:paraId="5610FE28" w14:textId="7BD2A3E8" w:rsidR="00095F65" w:rsidRPr="00A64175" w:rsidRDefault="00095F65" w:rsidP="00A64175">
            <w:pPr>
              <w:pStyle w:val="NormalWeb"/>
              <w:numPr>
                <w:ilvl w:val="0"/>
                <w:numId w:val="39"/>
              </w:numPr>
              <w:spacing w:before="0" w:beforeAutospacing="0" w:after="0" w:afterAutospacing="0"/>
              <w:ind w:left="1134"/>
              <w:jc w:val="both"/>
              <w:rPr>
                <w:rFonts w:ascii="Arial" w:hAnsi="Arial" w:cs="Arial"/>
                <w:sz w:val="22"/>
                <w:szCs w:val="22"/>
              </w:rPr>
            </w:pPr>
            <w:r w:rsidRPr="00A64175">
              <w:rPr>
                <w:rFonts w:ascii="Arial" w:hAnsi="Arial" w:cs="Arial"/>
                <w:sz w:val="22"/>
                <w:szCs w:val="22"/>
              </w:rPr>
              <w:t>Effectue des recommandations co</w:t>
            </w:r>
            <w:r w:rsidR="008370FB" w:rsidRPr="00A64175">
              <w:rPr>
                <w:rFonts w:ascii="Arial" w:hAnsi="Arial" w:cs="Arial"/>
                <w:sz w:val="22"/>
                <w:szCs w:val="22"/>
              </w:rPr>
              <w:t xml:space="preserve">ntraignantes aux dirigeants, </w:t>
            </w:r>
            <w:r w:rsidR="00772B5D" w:rsidRPr="00A64175">
              <w:rPr>
                <w:rFonts w:ascii="Arial" w:hAnsi="Arial" w:cs="Arial"/>
                <w:sz w:val="22"/>
                <w:szCs w:val="22"/>
              </w:rPr>
              <w:t>aux membres</w:t>
            </w:r>
            <w:r w:rsidRPr="00A64175">
              <w:rPr>
                <w:rFonts w:ascii="Arial" w:hAnsi="Arial" w:cs="Arial"/>
                <w:sz w:val="22"/>
                <w:szCs w:val="22"/>
              </w:rPr>
              <w:t xml:space="preserve"> du personnel et</w:t>
            </w:r>
            <w:r w:rsidR="008370FB" w:rsidRPr="00A64175">
              <w:rPr>
                <w:rFonts w:ascii="Arial" w:hAnsi="Arial" w:cs="Arial"/>
                <w:sz w:val="22"/>
                <w:szCs w:val="22"/>
              </w:rPr>
              <w:t xml:space="preserve"> à</w:t>
            </w:r>
            <w:r w:rsidRPr="00A64175">
              <w:rPr>
                <w:rFonts w:ascii="Arial" w:hAnsi="Arial" w:cs="Arial"/>
                <w:sz w:val="22"/>
                <w:szCs w:val="22"/>
              </w:rPr>
              <w:t xml:space="preserve"> toute personne intervenant </w:t>
            </w:r>
            <w:r w:rsidR="008370FB" w:rsidRPr="00A64175">
              <w:rPr>
                <w:rFonts w:ascii="Arial" w:hAnsi="Arial" w:cs="Arial"/>
                <w:sz w:val="22"/>
                <w:szCs w:val="22"/>
              </w:rPr>
              <w:t xml:space="preserve">pour le compte </w:t>
            </w:r>
            <w:r w:rsidRPr="00A64175">
              <w:rPr>
                <w:rFonts w:ascii="Arial" w:hAnsi="Arial" w:cs="Arial"/>
                <w:sz w:val="22"/>
                <w:szCs w:val="22"/>
              </w:rPr>
              <w:t>de l’intermédiaire de marché</w:t>
            </w:r>
            <w:r w:rsidR="00827595" w:rsidRPr="00A64175">
              <w:rPr>
                <w:rFonts w:ascii="Arial" w:hAnsi="Arial" w:cs="Arial"/>
                <w:sz w:val="22"/>
                <w:szCs w:val="22"/>
              </w:rPr>
              <w:t>,</w:t>
            </w:r>
            <w:r w:rsidRPr="00A64175">
              <w:rPr>
                <w:rFonts w:ascii="Arial" w:hAnsi="Arial" w:cs="Arial"/>
                <w:sz w:val="22"/>
                <w:szCs w:val="22"/>
              </w:rPr>
              <w:t xml:space="preserve"> dans </w:t>
            </w:r>
            <w:r w:rsidR="00827595" w:rsidRPr="00A64175">
              <w:rPr>
                <w:rFonts w:ascii="Arial" w:hAnsi="Arial" w:cs="Arial"/>
                <w:sz w:val="22"/>
                <w:szCs w:val="22"/>
              </w:rPr>
              <w:t xml:space="preserve">le cadre de </w:t>
            </w:r>
            <w:r w:rsidRPr="00A64175">
              <w:rPr>
                <w:rFonts w:ascii="Arial" w:hAnsi="Arial" w:cs="Arial"/>
                <w:sz w:val="22"/>
                <w:szCs w:val="22"/>
              </w:rPr>
              <w:t>la mise en œuvre des obligations</w:t>
            </w:r>
            <w:r w:rsidR="00827595" w:rsidRPr="00A64175">
              <w:rPr>
                <w:rFonts w:ascii="Arial" w:hAnsi="Arial" w:cs="Arial"/>
                <w:sz w:val="22"/>
                <w:szCs w:val="22"/>
              </w:rPr>
              <w:t xml:space="preserve"> professionnelles et autres prescriptions réglementaires </w:t>
            </w:r>
            <w:r w:rsidRPr="00A64175">
              <w:rPr>
                <w:rFonts w:ascii="Arial" w:hAnsi="Arial" w:cs="Arial"/>
                <w:sz w:val="22"/>
                <w:szCs w:val="22"/>
              </w:rPr>
              <w:t xml:space="preserve">; </w:t>
            </w:r>
          </w:p>
          <w:p w14:paraId="64F33406" w14:textId="77777777" w:rsidR="00095F65" w:rsidRPr="00A64175" w:rsidRDefault="00095F65" w:rsidP="00A64175">
            <w:pPr>
              <w:pStyle w:val="NormalWeb"/>
              <w:spacing w:before="0" w:beforeAutospacing="0" w:after="0" w:afterAutospacing="0"/>
              <w:ind w:left="1134"/>
              <w:jc w:val="both"/>
              <w:rPr>
                <w:rFonts w:ascii="Arial" w:hAnsi="Arial" w:cs="Arial"/>
                <w:sz w:val="22"/>
                <w:szCs w:val="22"/>
              </w:rPr>
            </w:pPr>
          </w:p>
          <w:p w14:paraId="611FAECF" w14:textId="1C7CE3AF" w:rsidR="00095F65" w:rsidRPr="00A64175" w:rsidRDefault="00095F65" w:rsidP="00A64175">
            <w:pPr>
              <w:pStyle w:val="NormalWeb"/>
              <w:numPr>
                <w:ilvl w:val="0"/>
                <w:numId w:val="40"/>
              </w:numPr>
              <w:spacing w:before="0" w:beforeAutospacing="0" w:after="0" w:afterAutospacing="0"/>
              <w:ind w:left="1134"/>
              <w:jc w:val="both"/>
              <w:rPr>
                <w:rFonts w:ascii="Arial" w:hAnsi="Arial" w:cs="Arial"/>
                <w:sz w:val="22"/>
                <w:szCs w:val="22"/>
              </w:rPr>
            </w:pPr>
            <w:r w:rsidRPr="00A64175">
              <w:rPr>
                <w:rFonts w:ascii="Arial" w:hAnsi="Arial" w:cs="Arial"/>
                <w:sz w:val="22"/>
                <w:szCs w:val="22"/>
              </w:rPr>
              <w:t xml:space="preserve">Remet à l'organe de direction et au conseil d’administration, au moins une fois par an, au plus tard trois (3) mois après la clôture de l’exercice, un rapport sur la mise en œuvre et </w:t>
            </w:r>
            <w:r w:rsidR="001C2977" w:rsidRPr="00A64175">
              <w:rPr>
                <w:rFonts w:ascii="Arial" w:hAnsi="Arial" w:cs="Arial"/>
                <w:sz w:val="22"/>
                <w:szCs w:val="22"/>
              </w:rPr>
              <w:t>l’effectivité du dispositif</w:t>
            </w:r>
            <w:r w:rsidRPr="00A64175">
              <w:rPr>
                <w:rFonts w:ascii="Arial" w:hAnsi="Arial" w:cs="Arial"/>
                <w:sz w:val="22"/>
                <w:szCs w:val="22"/>
              </w:rPr>
              <w:t xml:space="preserve"> de contrôle interne et </w:t>
            </w:r>
            <w:r w:rsidR="001C2977" w:rsidRPr="00A64175">
              <w:rPr>
                <w:rFonts w:ascii="Arial" w:hAnsi="Arial" w:cs="Arial"/>
                <w:sz w:val="22"/>
                <w:szCs w:val="22"/>
              </w:rPr>
              <w:t>de conformité. Le rapport</w:t>
            </w:r>
            <w:r w:rsidRPr="00A64175">
              <w:rPr>
                <w:rFonts w:ascii="Arial" w:hAnsi="Arial" w:cs="Arial"/>
                <w:sz w:val="22"/>
                <w:szCs w:val="22"/>
              </w:rPr>
              <w:t xml:space="preserve"> décrit notamment les tâches accomplies dans l’exercice de la mission, les observations que le responsable de la conformité et du contrôle interne a été amené à formu</w:t>
            </w:r>
            <w:r w:rsidR="001C2977" w:rsidRPr="00A64175">
              <w:rPr>
                <w:rFonts w:ascii="Arial" w:hAnsi="Arial" w:cs="Arial"/>
                <w:sz w:val="22"/>
                <w:szCs w:val="22"/>
              </w:rPr>
              <w:t>ler et</w:t>
            </w:r>
            <w:r w:rsidRPr="00A64175">
              <w:rPr>
                <w:rFonts w:ascii="Arial" w:hAnsi="Arial" w:cs="Arial"/>
                <w:sz w:val="22"/>
                <w:szCs w:val="22"/>
              </w:rPr>
              <w:t xml:space="preserve"> le</w:t>
            </w:r>
            <w:r w:rsidR="001C2977" w:rsidRPr="00A64175">
              <w:rPr>
                <w:rFonts w:ascii="Arial" w:hAnsi="Arial" w:cs="Arial"/>
                <w:sz w:val="22"/>
                <w:szCs w:val="22"/>
              </w:rPr>
              <w:t>s mesures adoptées en suite de c</w:t>
            </w:r>
            <w:r w:rsidRPr="00A64175">
              <w:rPr>
                <w:rFonts w:ascii="Arial" w:hAnsi="Arial" w:cs="Arial"/>
                <w:sz w:val="22"/>
                <w:szCs w:val="22"/>
              </w:rPr>
              <w:t>es observations.</w:t>
            </w:r>
          </w:p>
          <w:p w14:paraId="178212DE" w14:textId="77777777" w:rsidR="00095F65" w:rsidRPr="00A64175" w:rsidRDefault="00095F65" w:rsidP="00A64175">
            <w:pPr>
              <w:pStyle w:val="NormalWeb"/>
              <w:spacing w:before="0" w:beforeAutospacing="0" w:after="0" w:afterAutospacing="0"/>
              <w:ind w:left="1134"/>
              <w:jc w:val="both"/>
              <w:rPr>
                <w:rFonts w:ascii="Arial" w:hAnsi="Arial" w:cs="Arial"/>
                <w:sz w:val="22"/>
                <w:szCs w:val="22"/>
              </w:rPr>
            </w:pPr>
          </w:p>
          <w:p w14:paraId="741A960D" w14:textId="7E375FDA" w:rsidR="00095F65" w:rsidRPr="00A64175" w:rsidRDefault="00095F65" w:rsidP="00A64175">
            <w:pPr>
              <w:pStyle w:val="NormalWeb"/>
              <w:numPr>
                <w:ilvl w:val="0"/>
                <w:numId w:val="39"/>
              </w:numPr>
              <w:spacing w:before="0" w:beforeAutospacing="0" w:after="0" w:afterAutospacing="0"/>
              <w:ind w:left="1134"/>
              <w:contextualSpacing/>
              <w:jc w:val="both"/>
              <w:rPr>
                <w:rFonts w:ascii="Arial" w:hAnsi="Arial" w:cs="Arial"/>
                <w:sz w:val="22"/>
                <w:szCs w:val="22"/>
              </w:rPr>
            </w:pPr>
            <w:r w:rsidRPr="00A64175">
              <w:rPr>
                <w:rFonts w:ascii="Arial" w:hAnsi="Arial" w:cs="Arial"/>
                <w:sz w:val="22"/>
                <w:szCs w:val="22"/>
              </w:rPr>
              <w:t>Contrôle le fonctionnement du processus de traitement des plaintes ;</w:t>
            </w:r>
          </w:p>
          <w:p w14:paraId="3AFB74E6" w14:textId="77777777" w:rsidR="00095F65" w:rsidRPr="00A64175" w:rsidRDefault="00095F65" w:rsidP="00A64175">
            <w:pPr>
              <w:pStyle w:val="NormalWeb"/>
              <w:spacing w:before="0" w:beforeAutospacing="0" w:after="0" w:afterAutospacing="0"/>
              <w:ind w:left="1134"/>
              <w:contextualSpacing/>
              <w:jc w:val="both"/>
              <w:rPr>
                <w:rFonts w:ascii="Arial" w:hAnsi="Arial" w:cs="Arial"/>
                <w:sz w:val="22"/>
                <w:szCs w:val="22"/>
              </w:rPr>
            </w:pPr>
          </w:p>
          <w:p w14:paraId="5BC05EEA" w14:textId="77777777" w:rsidR="00095F65" w:rsidRPr="00A64175" w:rsidRDefault="00095F65" w:rsidP="00A64175">
            <w:pPr>
              <w:pStyle w:val="NormalWeb"/>
              <w:numPr>
                <w:ilvl w:val="0"/>
                <w:numId w:val="39"/>
              </w:numPr>
              <w:spacing w:before="0" w:beforeAutospacing="0" w:after="0" w:afterAutospacing="0"/>
              <w:ind w:left="1134"/>
              <w:contextualSpacing/>
              <w:jc w:val="both"/>
              <w:rPr>
                <w:rFonts w:ascii="Arial" w:hAnsi="Arial" w:cs="Arial"/>
                <w:sz w:val="22"/>
                <w:szCs w:val="22"/>
              </w:rPr>
            </w:pPr>
            <w:r w:rsidRPr="00A64175">
              <w:rPr>
                <w:rFonts w:ascii="Arial" w:hAnsi="Arial" w:cs="Arial"/>
                <w:sz w:val="22"/>
                <w:szCs w:val="22"/>
              </w:rPr>
              <w:t xml:space="preserve">Veille à prévenir la circulation d’informations confidentielles ; </w:t>
            </w:r>
          </w:p>
          <w:p w14:paraId="7E061C28" w14:textId="77777777" w:rsidR="00095F65" w:rsidRPr="00A64175" w:rsidRDefault="00095F65" w:rsidP="00A64175">
            <w:pPr>
              <w:pStyle w:val="NormalWeb"/>
              <w:spacing w:before="0" w:beforeAutospacing="0" w:after="0" w:afterAutospacing="0"/>
              <w:contextualSpacing/>
              <w:jc w:val="both"/>
              <w:rPr>
                <w:rFonts w:ascii="Arial" w:hAnsi="Arial" w:cs="Arial"/>
                <w:sz w:val="22"/>
                <w:szCs w:val="22"/>
              </w:rPr>
            </w:pPr>
          </w:p>
          <w:p w14:paraId="4B7332FA" w14:textId="675697BB" w:rsidR="00095F65" w:rsidRPr="00A64175" w:rsidRDefault="006104DF" w:rsidP="00A64175">
            <w:pPr>
              <w:pStyle w:val="NormalWeb"/>
              <w:numPr>
                <w:ilvl w:val="0"/>
                <w:numId w:val="39"/>
              </w:numPr>
              <w:spacing w:before="0" w:beforeAutospacing="0" w:after="0" w:afterAutospacing="0"/>
              <w:ind w:left="1134"/>
              <w:contextualSpacing/>
              <w:jc w:val="both"/>
              <w:rPr>
                <w:rFonts w:ascii="Arial" w:hAnsi="Arial" w:cs="Arial"/>
                <w:sz w:val="22"/>
                <w:szCs w:val="22"/>
              </w:rPr>
            </w:pPr>
            <w:r w:rsidRPr="00A64175">
              <w:rPr>
                <w:rFonts w:ascii="Arial" w:hAnsi="Arial" w:cs="Arial"/>
                <w:sz w:val="22"/>
                <w:szCs w:val="22"/>
              </w:rPr>
              <w:t>Veille au respect par l</w:t>
            </w:r>
            <w:r w:rsidR="00095F65" w:rsidRPr="00A64175">
              <w:rPr>
                <w:rFonts w:ascii="Arial" w:hAnsi="Arial" w:cs="Arial"/>
                <w:sz w:val="22"/>
                <w:szCs w:val="22"/>
              </w:rPr>
              <w:t xml:space="preserve">es collaborateurs du secret professionnel auquel ces derniers sont soumis et </w:t>
            </w:r>
            <w:r w:rsidRPr="00A64175">
              <w:rPr>
                <w:rFonts w:ascii="Arial" w:hAnsi="Arial" w:cs="Arial"/>
                <w:sz w:val="22"/>
                <w:szCs w:val="22"/>
              </w:rPr>
              <w:t xml:space="preserve">les </w:t>
            </w:r>
            <w:r w:rsidR="00095F65" w:rsidRPr="00A64175">
              <w:rPr>
                <w:rFonts w:ascii="Arial" w:hAnsi="Arial" w:cs="Arial"/>
                <w:sz w:val="22"/>
                <w:szCs w:val="22"/>
              </w:rPr>
              <w:t>infor</w:t>
            </w:r>
            <w:r w:rsidRPr="00A64175">
              <w:rPr>
                <w:rFonts w:ascii="Arial" w:hAnsi="Arial" w:cs="Arial"/>
                <w:sz w:val="22"/>
                <w:szCs w:val="22"/>
              </w:rPr>
              <w:t xml:space="preserve">me quant aux sanctions liées </w:t>
            </w:r>
            <w:r w:rsidR="00772B5D" w:rsidRPr="00A64175">
              <w:rPr>
                <w:rFonts w:ascii="Arial" w:hAnsi="Arial" w:cs="Arial"/>
                <w:sz w:val="22"/>
                <w:szCs w:val="22"/>
              </w:rPr>
              <w:t>à l’utilisation</w:t>
            </w:r>
            <w:r w:rsidRPr="00A64175">
              <w:rPr>
                <w:rFonts w:ascii="Arial" w:hAnsi="Arial" w:cs="Arial"/>
                <w:sz w:val="22"/>
                <w:szCs w:val="22"/>
              </w:rPr>
              <w:t xml:space="preserve"> et à la diffusion</w:t>
            </w:r>
            <w:r w:rsidR="00095F65" w:rsidRPr="00A64175">
              <w:rPr>
                <w:rFonts w:ascii="Arial" w:hAnsi="Arial" w:cs="Arial"/>
                <w:sz w:val="22"/>
                <w:szCs w:val="22"/>
              </w:rPr>
              <w:t xml:space="preserve"> d’informations privilégiées.</w:t>
            </w:r>
          </w:p>
          <w:p w14:paraId="1D7771D2" w14:textId="77777777" w:rsidR="00095F65" w:rsidRPr="00A64175" w:rsidRDefault="00095F65" w:rsidP="00A64175">
            <w:pPr>
              <w:widowControl w:val="0"/>
              <w:autoSpaceDE w:val="0"/>
              <w:adjustRightInd w:val="0"/>
              <w:contextualSpacing/>
              <w:jc w:val="both"/>
              <w:rPr>
                <w:rFonts w:ascii="Arial" w:hAnsi="Arial" w:cs="Arial"/>
              </w:rPr>
            </w:pPr>
          </w:p>
          <w:p w14:paraId="0A564655" w14:textId="1868A364" w:rsidR="00095F65" w:rsidRPr="00A64175" w:rsidRDefault="00095F65" w:rsidP="00A64175">
            <w:pPr>
              <w:pStyle w:val="Paragraphedeliste"/>
              <w:widowControl w:val="0"/>
              <w:numPr>
                <w:ilvl w:val="0"/>
                <w:numId w:val="92"/>
              </w:numPr>
              <w:autoSpaceDE w:val="0"/>
              <w:adjustRightInd w:val="0"/>
              <w:spacing w:before="0" w:beforeAutospacing="0" w:after="0" w:afterAutospacing="0" w:line="240" w:lineRule="auto"/>
              <w:contextualSpacing/>
            </w:pPr>
            <w:r w:rsidRPr="00A64175">
              <w:t xml:space="preserve">Le </w:t>
            </w:r>
            <w:r w:rsidR="006104DF" w:rsidRPr="00A64175">
              <w:t>rapport</w:t>
            </w:r>
            <w:r w:rsidR="00616B0C" w:rsidRPr="00A64175">
              <w:t xml:space="preserve"> de contrôle interne</w:t>
            </w:r>
            <w:r w:rsidR="006104DF" w:rsidRPr="00A64175">
              <w:t xml:space="preserve"> visé au présent article</w:t>
            </w:r>
            <w:r w:rsidRPr="00A64175">
              <w:t xml:space="preserve"> est adressé à la COSUMAF dans un délai de trois (3) mois après la clôture de l’exercice.</w:t>
            </w:r>
          </w:p>
          <w:p w14:paraId="2AD4D178" w14:textId="77777777" w:rsidR="00095F65" w:rsidRPr="00A64175" w:rsidRDefault="00095F65" w:rsidP="00A64175">
            <w:pPr>
              <w:widowControl w:val="0"/>
              <w:autoSpaceDE w:val="0"/>
              <w:adjustRightInd w:val="0"/>
              <w:ind w:left="360"/>
              <w:contextualSpacing/>
              <w:jc w:val="both"/>
              <w:rPr>
                <w:rFonts w:ascii="Arial" w:hAnsi="Arial" w:cs="Arial"/>
              </w:rPr>
            </w:pPr>
          </w:p>
          <w:p w14:paraId="4174B0FA" w14:textId="3E7A1278" w:rsidR="00095F65" w:rsidRPr="00A64175" w:rsidRDefault="00616B0C" w:rsidP="00A64175">
            <w:pPr>
              <w:pStyle w:val="Paragraphedeliste"/>
              <w:widowControl w:val="0"/>
              <w:numPr>
                <w:ilvl w:val="0"/>
                <w:numId w:val="92"/>
              </w:numPr>
              <w:autoSpaceDE w:val="0"/>
              <w:adjustRightInd w:val="0"/>
              <w:spacing w:before="0" w:beforeAutospacing="0" w:after="0" w:afterAutospacing="0" w:line="240" w:lineRule="auto"/>
              <w:contextualSpacing/>
              <w:rPr>
                <w:b/>
                <w:bCs/>
              </w:rPr>
            </w:pPr>
            <w:r w:rsidRPr="00A64175">
              <w:t>L</w:t>
            </w:r>
            <w:r w:rsidR="00095F65" w:rsidRPr="00A64175">
              <w:t>e responsable de la conformité et du c</w:t>
            </w:r>
            <w:r w:rsidRPr="00A64175">
              <w:t>ontrôle interne veille</w:t>
            </w:r>
            <w:r w:rsidR="00095F65" w:rsidRPr="00A64175">
              <w:t xml:space="preserve"> au respect, par les collaborateurs de l’intermédiaire de marché, de la priorité de traitement des ordres de la clientèle, lesquels sont exécutés avant les ordres émis pour le compte propre de l’intermédiaire de marché. Il veille en outre </w:t>
            </w:r>
            <w:r w:rsidRPr="00A64175">
              <w:t>au respect des obligations d’information envers les clients</w:t>
            </w:r>
            <w:r w:rsidR="00095F65" w:rsidRPr="00A64175">
              <w:t>.</w:t>
            </w:r>
          </w:p>
          <w:p w14:paraId="34B62C21" w14:textId="77777777" w:rsidR="00095F65" w:rsidRPr="00A64175" w:rsidRDefault="00095F65" w:rsidP="00A64175">
            <w:pPr>
              <w:widowControl w:val="0"/>
              <w:autoSpaceDE w:val="0"/>
              <w:adjustRightInd w:val="0"/>
              <w:contextualSpacing/>
              <w:jc w:val="both"/>
              <w:rPr>
                <w:rFonts w:ascii="Arial" w:hAnsi="Arial" w:cs="Arial"/>
                <w:b/>
                <w:bCs/>
              </w:rPr>
            </w:pPr>
          </w:p>
          <w:p w14:paraId="4BC7C880" w14:textId="5AC60F74" w:rsidR="00095F65" w:rsidRPr="00A64175" w:rsidRDefault="00095F65" w:rsidP="00A64175">
            <w:pPr>
              <w:pStyle w:val="Paragraphedeliste"/>
              <w:widowControl w:val="0"/>
              <w:numPr>
                <w:ilvl w:val="0"/>
                <w:numId w:val="92"/>
              </w:numPr>
              <w:autoSpaceDE w:val="0"/>
              <w:adjustRightInd w:val="0"/>
              <w:spacing w:before="0" w:beforeAutospacing="0" w:after="0" w:afterAutospacing="0" w:line="240" w:lineRule="auto"/>
              <w:contextualSpacing/>
              <w:rPr>
                <w:kern w:val="1"/>
              </w:rPr>
            </w:pPr>
            <w:r w:rsidRPr="00A64175">
              <w:rPr>
                <w:kern w:val="1"/>
              </w:rPr>
              <w:t>La COSUMAF peut</w:t>
            </w:r>
            <w:r w:rsidR="00616B0C" w:rsidRPr="00A64175">
              <w:rPr>
                <w:kern w:val="1"/>
              </w:rPr>
              <w:t>, dans le cadre d’une instruction,</w:t>
            </w:r>
            <w:r w:rsidRPr="00A64175">
              <w:rPr>
                <w:kern w:val="1"/>
              </w:rPr>
              <w:t xml:space="preserve"> préciser et compléter les</w:t>
            </w:r>
            <w:r w:rsidR="00616B0C" w:rsidRPr="00A64175">
              <w:rPr>
                <w:kern w:val="1"/>
              </w:rPr>
              <w:t xml:space="preserve"> </w:t>
            </w:r>
            <w:r w:rsidR="001474B4" w:rsidRPr="00A64175">
              <w:rPr>
                <w:kern w:val="1"/>
              </w:rPr>
              <w:t>dispositions du présent article</w:t>
            </w:r>
            <w:r w:rsidRPr="00A64175">
              <w:rPr>
                <w:kern w:val="1"/>
              </w:rPr>
              <w:t>.</w:t>
            </w:r>
          </w:p>
          <w:p w14:paraId="4A63C086"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6FD3A444" w14:textId="77777777" w:rsidTr="00EC563C">
        <w:tc>
          <w:tcPr>
            <w:tcW w:w="9214" w:type="dxa"/>
            <w:shd w:val="clear" w:color="auto" w:fill="auto"/>
          </w:tcPr>
          <w:p w14:paraId="269C9491" w14:textId="78F2B4CF" w:rsidR="00095F65" w:rsidRPr="00A64175" w:rsidRDefault="00C76144" w:rsidP="00A64175">
            <w:pPr>
              <w:widowControl w:val="0"/>
              <w:autoSpaceDE w:val="0"/>
              <w:adjustRightInd w:val="0"/>
              <w:jc w:val="both"/>
              <w:rPr>
                <w:rFonts w:ascii="Arial" w:hAnsi="Arial" w:cs="Arial"/>
                <w:b/>
                <w:bCs/>
              </w:rPr>
            </w:pPr>
            <w:r w:rsidRPr="00A64175">
              <w:rPr>
                <w:rFonts w:ascii="Arial" w:hAnsi="Arial" w:cs="Arial"/>
                <w:b/>
                <w:bCs/>
              </w:rPr>
              <w:t>Article 26</w:t>
            </w:r>
            <w:r w:rsidR="005F0497">
              <w:rPr>
                <w:rFonts w:ascii="Arial" w:hAnsi="Arial" w:cs="Arial"/>
                <w:b/>
                <w:bCs/>
              </w:rPr>
              <w:t>9</w:t>
            </w:r>
            <w:r w:rsidR="00095F65" w:rsidRPr="00A64175">
              <w:rPr>
                <w:rFonts w:ascii="Arial" w:hAnsi="Arial" w:cs="Arial"/>
                <w:b/>
                <w:bCs/>
              </w:rPr>
              <w:t xml:space="preserve"> - </w:t>
            </w:r>
            <w:r w:rsidR="00095F65" w:rsidRPr="00A64175">
              <w:rPr>
                <w:rFonts w:ascii="Arial" w:hAnsi="Arial" w:cs="Arial"/>
                <w:kern w:val="1"/>
              </w:rPr>
              <w:t>Le responsable de la conformité et du contrôle interne :</w:t>
            </w:r>
          </w:p>
          <w:p w14:paraId="5FFC512C" w14:textId="77777777" w:rsidR="00095F65" w:rsidRPr="00A64175" w:rsidRDefault="00095F65" w:rsidP="00A64175">
            <w:pPr>
              <w:widowControl w:val="0"/>
              <w:autoSpaceDE w:val="0"/>
              <w:adjustRightInd w:val="0"/>
              <w:jc w:val="both"/>
              <w:rPr>
                <w:rFonts w:ascii="Arial" w:hAnsi="Arial" w:cs="Arial"/>
                <w:kern w:val="1"/>
              </w:rPr>
            </w:pPr>
          </w:p>
          <w:p w14:paraId="6DC2DE4C" w14:textId="77777777" w:rsidR="00095F65" w:rsidRPr="00A64175" w:rsidRDefault="00095F65" w:rsidP="00A64175">
            <w:pPr>
              <w:pStyle w:val="Paragraphedeliste"/>
              <w:widowControl w:val="0"/>
              <w:numPr>
                <w:ilvl w:val="0"/>
                <w:numId w:val="93"/>
              </w:numPr>
              <w:autoSpaceDE w:val="0"/>
              <w:adjustRightInd w:val="0"/>
              <w:spacing w:before="0" w:beforeAutospacing="0" w:after="0" w:afterAutospacing="0" w:line="240" w:lineRule="auto"/>
              <w:ind w:left="714" w:hanging="357"/>
              <w:contextualSpacing/>
              <w:rPr>
                <w:kern w:val="1"/>
              </w:rPr>
            </w:pPr>
            <w:r w:rsidRPr="00A64175">
              <w:rPr>
                <w:kern w:val="1"/>
              </w:rPr>
              <w:t>Met en place</w:t>
            </w:r>
            <w:r w:rsidRPr="00A64175">
              <w:t xml:space="preserve"> des mécanismes de surveillance des transactions sur instruments financiers ou autres produits de placement effectués par l’intermédiaire de marché pour son propre compte, lorsqu’une information sensible a été relevée, rendant nécessaire une surveillance particulière.</w:t>
            </w:r>
          </w:p>
          <w:p w14:paraId="67D6F73A" w14:textId="77777777" w:rsidR="00095F65" w:rsidRPr="00A64175" w:rsidRDefault="00095F65" w:rsidP="00A64175">
            <w:pPr>
              <w:pStyle w:val="Paragraphedeliste"/>
              <w:widowControl w:val="0"/>
              <w:autoSpaceDE w:val="0"/>
              <w:adjustRightInd w:val="0"/>
              <w:ind w:left="714"/>
              <w:contextualSpacing/>
              <w:rPr>
                <w:kern w:val="1"/>
              </w:rPr>
            </w:pPr>
          </w:p>
          <w:p w14:paraId="3CD76262" w14:textId="120F66A2" w:rsidR="00095F65" w:rsidRPr="00C21CF0" w:rsidRDefault="00095F65" w:rsidP="00A64175">
            <w:pPr>
              <w:pStyle w:val="Paragraphedeliste"/>
              <w:widowControl w:val="0"/>
              <w:numPr>
                <w:ilvl w:val="0"/>
                <w:numId w:val="93"/>
              </w:numPr>
              <w:autoSpaceDE w:val="0"/>
              <w:adjustRightInd w:val="0"/>
              <w:spacing w:before="0" w:beforeAutospacing="0" w:after="0" w:afterAutospacing="0" w:line="240" w:lineRule="auto"/>
              <w:ind w:left="714" w:hanging="357"/>
              <w:contextualSpacing/>
              <w:rPr>
                <w:kern w:val="1"/>
              </w:rPr>
            </w:pPr>
            <w:r w:rsidRPr="004E2953">
              <w:t>Détermine les conditions d’interdiction des transactions visées à l’alinéa précédent</w:t>
            </w:r>
            <w:r w:rsidR="009E7501" w:rsidRPr="004E2953">
              <w:t xml:space="preserve"> lorsque</w:t>
            </w:r>
            <w:r w:rsidRPr="00964CD4">
              <w:t xml:space="preserve">, compte tenu de </w:t>
            </w:r>
            <w:r w:rsidR="009E7501" w:rsidRPr="00B538D7">
              <w:t>l’information dont il dispose</w:t>
            </w:r>
            <w:r w:rsidRPr="00C21CF0">
              <w:t>, il apparaît qu</w:t>
            </w:r>
            <w:r w:rsidR="009E7501" w:rsidRPr="00C21CF0">
              <w:t>e</w:t>
            </w:r>
            <w:r w:rsidRPr="00C21CF0">
              <w:t xml:space="preserve"> </w:t>
            </w:r>
            <w:r w:rsidR="009E7501" w:rsidRPr="00C21CF0">
              <w:t>l’</w:t>
            </w:r>
            <w:r w:rsidRPr="00C21CF0">
              <w:t>intermédiaire de marché, ses dirigeants et les membres de son personnel doivent s’abstenir d’intervenir pour son propre compte et de diffuser une analy</w:t>
            </w:r>
            <w:r w:rsidR="001F6854" w:rsidRPr="00C21CF0">
              <w:t>se financière tel que définie à l’</w:t>
            </w:r>
            <w:r w:rsidR="00A92C1B" w:rsidRPr="00C21CF0">
              <w:t xml:space="preserve">article </w:t>
            </w:r>
            <w:r w:rsidR="006E0433" w:rsidRPr="00C21CF0">
              <w:t xml:space="preserve">300 </w:t>
            </w:r>
            <w:r w:rsidR="001F6854" w:rsidRPr="00C21CF0">
              <w:t xml:space="preserve"> du présent règlement général</w:t>
            </w:r>
            <w:r w:rsidRPr="00C21CF0">
              <w:t>.</w:t>
            </w:r>
          </w:p>
          <w:p w14:paraId="2DE61C2D"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6D2790F0" w14:textId="77777777" w:rsidTr="00EC563C">
        <w:tc>
          <w:tcPr>
            <w:tcW w:w="9214" w:type="dxa"/>
            <w:shd w:val="clear" w:color="auto" w:fill="auto"/>
          </w:tcPr>
          <w:p w14:paraId="2551AE34" w14:textId="73E10B06" w:rsidR="00095F65" w:rsidRPr="00A64175" w:rsidRDefault="001F6854" w:rsidP="00A64175">
            <w:pPr>
              <w:widowControl w:val="0"/>
              <w:autoSpaceDE w:val="0"/>
              <w:adjustRightInd w:val="0"/>
              <w:jc w:val="both"/>
              <w:rPr>
                <w:rFonts w:ascii="Arial" w:hAnsi="Arial" w:cs="Arial"/>
                <w:b/>
                <w:bCs/>
              </w:rPr>
            </w:pPr>
            <w:r w:rsidRPr="00A64175">
              <w:rPr>
                <w:rFonts w:ascii="Arial" w:hAnsi="Arial" w:cs="Arial"/>
                <w:b/>
                <w:bCs/>
              </w:rPr>
              <w:t>Article 2</w:t>
            </w:r>
            <w:r w:rsidR="005F0497">
              <w:rPr>
                <w:rFonts w:ascii="Arial" w:hAnsi="Arial" w:cs="Arial"/>
                <w:b/>
                <w:bCs/>
              </w:rPr>
              <w:t>70</w:t>
            </w:r>
            <w:r w:rsidR="00095F65" w:rsidRPr="00A64175">
              <w:rPr>
                <w:rFonts w:ascii="Arial" w:hAnsi="Arial" w:cs="Arial"/>
                <w:b/>
                <w:bCs/>
              </w:rPr>
              <w:t xml:space="preserve"> – </w:t>
            </w:r>
          </w:p>
          <w:p w14:paraId="4994D123" w14:textId="77777777" w:rsidR="00095F65" w:rsidRPr="00A64175" w:rsidRDefault="00095F65" w:rsidP="00A64175">
            <w:pPr>
              <w:pStyle w:val="Paragraphedeliste"/>
              <w:widowControl w:val="0"/>
              <w:numPr>
                <w:ilvl w:val="0"/>
                <w:numId w:val="94"/>
              </w:numPr>
              <w:autoSpaceDE w:val="0"/>
              <w:adjustRightInd w:val="0"/>
              <w:spacing w:after="0" w:line="240" w:lineRule="auto"/>
            </w:pPr>
            <w:r w:rsidRPr="00A64175">
              <w:t xml:space="preserve">Afin de permettre au responsable de la conformité et du contrôle interne d'exercer ses responsabilités de manière appropriée et indépendante, ce dernier : </w:t>
            </w:r>
          </w:p>
          <w:p w14:paraId="6D281A28" w14:textId="77777777" w:rsidR="00095F65" w:rsidRPr="00A64175" w:rsidRDefault="00095F65" w:rsidP="00A64175">
            <w:pPr>
              <w:pStyle w:val="NormalWeb"/>
              <w:numPr>
                <w:ilvl w:val="0"/>
                <w:numId w:val="37"/>
              </w:numPr>
              <w:spacing w:before="0" w:beforeAutospacing="0" w:after="0" w:afterAutospacing="0"/>
              <w:ind w:left="1418" w:hanging="357"/>
              <w:contextualSpacing/>
              <w:jc w:val="both"/>
              <w:rPr>
                <w:rFonts w:ascii="Arial" w:hAnsi="Arial" w:cs="Arial"/>
                <w:sz w:val="22"/>
                <w:szCs w:val="22"/>
              </w:rPr>
            </w:pPr>
            <w:r w:rsidRPr="00A64175">
              <w:rPr>
                <w:rFonts w:ascii="Arial" w:hAnsi="Arial" w:cs="Arial"/>
                <w:sz w:val="22"/>
                <w:szCs w:val="22"/>
              </w:rPr>
              <w:t>Dispose de l’autorité, des ressources et de l'expertise nécessaires et a accès à toutes les informations pertinentes ;</w:t>
            </w:r>
          </w:p>
          <w:p w14:paraId="368066B2" w14:textId="77777777" w:rsidR="00095F65" w:rsidRPr="00A64175" w:rsidRDefault="00095F65" w:rsidP="00A64175">
            <w:pPr>
              <w:pStyle w:val="NormalWeb"/>
              <w:spacing w:before="0" w:beforeAutospacing="0" w:after="0" w:afterAutospacing="0"/>
              <w:ind w:left="1418"/>
              <w:contextualSpacing/>
              <w:jc w:val="both"/>
              <w:rPr>
                <w:rFonts w:ascii="Arial" w:hAnsi="Arial" w:cs="Arial"/>
                <w:sz w:val="22"/>
                <w:szCs w:val="22"/>
              </w:rPr>
            </w:pPr>
          </w:p>
          <w:p w14:paraId="76F07F5F" w14:textId="77777777" w:rsidR="00095F65" w:rsidRPr="00A64175" w:rsidRDefault="00095F65" w:rsidP="00A64175">
            <w:pPr>
              <w:pStyle w:val="NormalWeb"/>
              <w:numPr>
                <w:ilvl w:val="0"/>
                <w:numId w:val="38"/>
              </w:numPr>
              <w:spacing w:before="0" w:beforeAutospacing="0" w:after="0" w:afterAutospacing="0"/>
              <w:ind w:left="1418"/>
              <w:contextualSpacing/>
              <w:jc w:val="both"/>
              <w:rPr>
                <w:rFonts w:ascii="Arial" w:hAnsi="Arial" w:cs="Arial"/>
                <w:sz w:val="22"/>
                <w:szCs w:val="22"/>
              </w:rPr>
            </w:pPr>
            <w:r w:rsidRPr="00A64175">
              <w:rPr>
                <w:rFonts w:ascii="Arial" w:hAnsi="Arial" w:cs="Arial"/>
                <w:sz w:val="22"/>
                <w:szCs w:val="22"/>
              </w:rPr>
              <w:t>Informe de façon ponctuelle l'organe de direction s’il détecte un risque significatif de non-respect par l'intermédiaire de marché de ses obligations au titre de la réglementation applicable.</w:t>
            </w:r>
          </w:p>
          <w:p w14:paraId="03534F02" w14:textId="77777777" w:rsidR="00095F65" w:rsidRPr="00A64175" w:rsidRDefault="00095F65" w:rsidP="00A64175">
            <w:pPr>
              <w:pStyle w:val="NormalWeb"/>
              <w:spacing w:before="0" w:beforeAutospacing="0" w:after="0" w:afterAutospacing="0"/>
              <w:contextualSpacing/>
              <w:jc w:val="both"/>
              <w:rPr>
                <w:rFonts w:ascii="Arial" w:hAnsi="Arial" w:cs="Arial"/>
                <w:sz w:val="22"/>
                <w:szCs w:val="22"/>
              </w:rPr>
            </w:pPr>
          </w:p>
          <w:p w14:paraId="2E0ABDFE" w14:textId="77777777" w:rsidR="00095F65" w:rsidRPr="00A64175" w:rsidRDefault="00095F65" w:rsidP="00A64175">
            <w:pPr>
              <w:pStyle w:val="NormalWeb"/>
              <w:numPr>
                <w:ilvl w:val="0"/>
                <w:numId w:val="94"/>
              </w:numPr>
              <w:spacing w:before="0" w:beforeAutospacing="0" w:after="0" w:afterAutospacing="0"/>
              <w:contextualSpacing/>
              <w:jc w:val="both"/>
              <w:rPr>
                <w:rFonts w:ascii="Arial" w:hAnsi="Arial" w:cs="Arial"/>
                <w:sz w:val="22"/>
                <w:szCs w:val="22"/>
              </w:rPr>
            </w:pPr>
            <w:r w:rsidRPr="00A64175">
              <w:rPr>
                <w:rFonts w:ascii="Arial" w:hAnsi="Arial" w:cs="Arial"/>
                <w:sz w:val="22"/>
                <w:szCs w:val="22"/>
              </w:rPr>
              <w:t>Le mode de détermination de la rémunération du responsable de la conformité et du contrôle interne et de toutes les personnes participant à cette fonction ne compromet pas leur activité et n'est pas susceptible de compromettre leur objectivité.</w:t>
            </w:r>
          </w:p>
        </w:tc>
      </w:tr>
      <w:tr w:rsidR="00095F65" w:rsidRPr="00A64175" w14:paraId="5E94A9B8" w14:textId="77777777" w:rsidTr="00EC563C">
        <w:tc>
          <w:tcPr>
            <w:tcW w:w="9214" w:type="dxa"/>
            <w:shd w:val="clear" w:color="auto" w:fill="auto"/>
          </w:tcPr>
          <w:p w14:paraId="21F04BF6" w14:textId="77777777" w:rsidR="00095F65" w:rsidRPr="00A64175" w:rsidRDefault="00095F65" w:rsidP="00A64175">
            <w:pPr>
              <w:widowControl w:val="0"/>
              <w:autoSpaceDE w:val="0"/>
              <w:adjustRightInd w:val="0"/>
              <w:jc w:val="both"/>
              <w:rPr>
                <w:rFonts w:ascii="Arial" w:hAnsi="Arial" w:cs="Arial"/>
                <w:b/>
                <w:bCs/>
              </w:rPr>
            </w:pPr>
          </w:p>
          <w:p w14:paraId="1A9EF11D" w14:textId="77777777" w:rsidR="00095F65" w:rsidRPr="00A64175" w:rsidRDefault="00095F65" w:rsidP="00A64175">
            <w:pPr>
              <w:widowControl w:val="0"/>
              <w:autoSpaceDE w:val="0"/>
              <w:adjustRightInd w:val="0"/>
              <w:jc w:val="both"/>
              <w:rPr>
                <w:rFonts w:ascii="Arial" w:hAnsi="Arial" w:cs="Arial"/>
                <w:i/>
                <w:iCs/>
              </w:rPr>
            </w:pPr>
            <w:r w:rsidRPr="00A64175">
              <w:rPr>
                <w:rFonts w:ascii="Arial" w:hAnsi="Arial" w:cs="Arial"/>
                <w:i/>
                <w:iCs/>
              </w:rPr>
              <w:t>Sous-section III : Enregistrement des transactions</w:t>
            </w:r>
          </w:p>
        </w:tc>
      </w:tr>
      <w:tr w:rsidR="00095F65" w:rsidRPr="00A64175" w14:paraId="15B6E197" w14:textId="77777777" w:rsidTr="00EC563C">
        <w:tc>
          <w:tcPr>
            <w:tcW w:w="9214" w:type="dxa"/>
            <w:shd w:val="clear" w:color="auto" w:fill="auto"/>
          </w:tcPr>
          <w:p w14:paraId="083FDCED" w14:textId="77777777" w:rsidR="00095F65" w:rsidRPr="00A64175" w:rsidRDefault="00095F65" w:rsidP="00A64175">
            <w:pPr>
              <w:widowControl w:val="0"/>
              <w:autoSpaceDE w:val="0"/>
              <w:adjustRightInd w:val="0"/>
              <w:jc w:val="both"/>
              <w:rPr>
                <w:rFonts w:ascii="Arial" w:hAnsi="Arial" w:cs="Arial"/>
                <w:b/>
              </w:rPr>
            </w:pPr>
          </w:p>
          <w:p w14:paraId="73166871" w14:textId="1B70CB89" w:rsidR="00B12D3A" w:rsidRPr="00A64175" w:rsidRDefault="001F6854" w:rsidP="00A64175">
            <w:pPr>
              <w:widowControl w:val="0"/>
              <w:autoSpaceDE w:val="0"/>
              <w:adjustRightInd w:val="0"/>
              <w:jc w:val="both"/>
              <w:rPr>
                <w:rFonts w:ascii="Arial" w:hAnsi="Arial" w:cs="Arial"/>
                <w:b/>
                <w:bCs/>
              </w:rPr>
            </w:pPr>
            <w:r w:rsidRPr="00A64175">
              <w:rPr>
                <w:rFonts w:ascii="Arial" w:hAnsi="Arial" w:cs="Arial"/>
                <w:b/>
                <w:bCs/>
              </w:rPr>
              <w:t>Article 2</w:t>
            </w:r>
            <w:r w:rsidR="005F0497">
              <w:rPr>
                <w:rFonts w:ascii="Arial" w:hAnsi="Arial" w:cs="Arial"/>
                <w:b/>
                <w:bCs/>
              </w:rPr>
              <w:t>71</w:t>
            </w:r>
            <w:r w:rsidR="00B12D3A" w:rsidRPr="00A64175">
              <w:rPr>
                <w:rFonts w:ascii="Arial" w:hAnsi="Arial" w:cs="Arial"/>
                <w:b/>
                <w:bCs/>
              </w:rPr>
              <w:t xml:space="preserve"> – </w:t>
            </w:r>
          </w:p>
          <w:p w14:paraId="150B24DA" w14:textId="6EDF07A2" w:rsidR="00095F65" w:rsidRPr="00A64175" w:rsidRDefault="00095F65" w:rsidP="00A64175">
            <w:pPr>
              <w:widowControl w:val="0"/>
              <w:autoSpaceDE w:val="0"/>
              <w:adjustRightInd w:val="0"/>
              <w:jc w:val="both"/>
              <w:rPr>
                <w:rFonts w:ascii="Arial" w:hAnsi="Arial" w:cs="Arial"/>
                <w:b/>
              </w:rPr>
            </w:pPr>
          </w:p>
          <w:p w14:paraId="67916DE0" w14:textId="77777777" w:rsidR="00095F65" w:rsidRPr="00A64175" w:rsidRDefault="00095F65" w:rsidP="00A64175">
            <w:pPr>
              <w:pStyle w:val="Paragraphedeliste"/>
              <w:widowControl w:val="0"/>
              <w:numPr>
                <w:ilvl w:val="0"/>
                <w:numId w:val="95"/>
              </w:numPr>
              <w:autoSpaceDE w:val="0"/>
              <w:adjustRightInd w:val="0"/>
              <w:spacing w:after="0" w:line="240" w:lineRule="auto"/>
              <w:rPr>
                <w:b/>
                <w:bCs/>
              </w:rPr>
            </w:pPr>
            <w:r w:rsidRPr="00A64175">
              <w:rPr>
                <w:bCs/>
              </w:rPr>
              <w:t xml:space="preserve">Les intermédiaires de marché </w:t>
            </w:r>
            <w:r w:rsidRPr="00A64175">
              <w:rPr>
                <w:color w:val="000000"/>
              </w:rPr>
              <w:t xml:space="preserve">veillent à conserver, pendant au moins cinq (5) ans, un enregistrement des conversations téléphoniques ou des communications électroniques en rapport, au moins, avec les transactions conclues dans le cadre de leurs services et activités. </w:t>
            </w:r>
          </w:p>
          <w:p w14:paraId="51310A6F" w14:textId="38524D85" w:rsidR="00095F65" w:rsidRPr="00A64175" w:rsidRDefault="00B12D3A" w:rsidP="00A64175">
            <w:pPr>
              <w:pStyle w:val="Paragraphedeliste"/>
              <w:widowControl w:val="0"/>
              <w:autoSpaceDE w:val="0"/>
              <w:adjustRightInd w:val="0"/>
              <w:rPr>
                <w:color w:val="000000"/>
              </w:rPr>
            </w:pPr>
            <w:r w:rsidRPr="00A64175">
              <w:rPr>
                <w:color w:val="000000"/>
              </w:rPr>
              <w:t>L</w:t>
            </w:r>
            <w:r w:rsidR="00095F65" w:rsidRPr="00A64175">
              <w:rPr>
                <w:color w:val="000000"/>
              </w:rPr>
              <w:t xml:space="preserve">es conversations téléphoniques et communications électroniques incluent également celles qui sont destinées à donner lieu à des transactions se rapportant aux activités et services d’investissement fournis, même si ces conversations et communications ne donnent pas lieu à la conclusion de telles transactions ou à la fourniture de services et activités. </w:t>
            </w:r>
          </w:p>
          <w:p w14:paraId="616A18EB" w14:textId="1BF261F7" w:rsidR="00095F65" w:rsidRPr="00A64175" w:rsidRDefault="00095F65" w:rsidP="00A64175">
            <w:pPr>
              <w:pStyle w:val="Paragraphedeliste"/>
              <w:widowControl w:val="0"/>
              <w:autoSpaceDE w:val="0"/>
              <w:adjustRightInd w:val="0"/>
              <w:rPr>
                <w:color w:val="000000"/>
              </w:rPr>
            </w:pPr>
            <w:r w:rsidRPr="00A64175">
              <w:rPr>
                <w:color w:val="000000"/>
              </w:rPr>
              <w:t>Pour se conformer aux dispositions des précédents alinéas, les interm</w:t>
            </w:r>
            <w:r w:rsidR="0064334E" w:rsidRPr="00A64175">
              <w:rPr>
                <w:color w:val="000000"/>
              </w:rPr>
              <w:t>édiaires de marché sont tenus</w:t>
            </w:r>
            <w:r w:rsidRPr="00A64175">
              <w:rPr>
                <w:color w:val="000000"/>
              </w:rPr>
              <w:t xml:space="preserve"> </w:t>
            </w:r>
            <w:r w:rsidR="0064334E" w:rsidRPr="00A64175">
              <w:rPr>
                <w:color w:val="000000"/>
              </w:rPr>
              <w:t>d’</w:t>
            </w:r>
            <w:r w:rsidRPr="00A64175">
              <w:rPr>
                <w:color w:val="000000"/>
              </w:rPr>
              <w:t>enregistrer les conversations téléphoniques et les communications électroniques concernées qui sont effectuées, envoyées ou reçues au moyen d’un équipement fourni par l’intermédiaire de marché à un employé ou à un contractant ou dont l’utilisation par un employé ou un contractant a ét</w:t>
            </w:r>
            <w:r w:rsidR="0064334E" w:rsidRPr="00A64175">
              <w:rPr>
                <w:color w:val="000000"/>
              </w:rPr>
              <w:t>é approuvée ou autorisée par l’intermédiaire de marché</w:t>
            </w:r>
            <w:r w:rsidRPr="00A64175">
              <w:rPr>
                <w:color w:val="000000"/>
              </w:rPr>
              <w:t>.</w:t>
            </w:r>
          </w:p>
          <w:p w14:paraId="3E4ACBFC" w14:textId="77777777" w:rsidR="00095F65" w:rsidRPr="00A64175" w:rsidRDefault="00095F65" w:rsidP="00A64175">
            <w:pPr>
              <w:widowControl w:val="0"/>
              <w:autoSpaceDE w:val="0"/>
              <w:adjustRightInd w:val="0"/>
              <w:jc w:val="both"/>
              <w:rPr>
                <w:rFonts w:ascii="Arial" w:hAnsi="Arial" w:cs="Arial"/>
                <w:b/>
                <w:bCs/>
              </w:rPr>
            </w:pPr>
          </w:p>
          <w:p w14:paraId="56804981" w14:textId="77777777" w:rsidR="00095F65" w:rsidRPr="00A64175" w:rsidRDefault="00095F65" w:rsidP="00A64175">
            <w:pPr>
              <w:pStyle w:val="NormalWeb"/>
              <w:numPr>
                <w:ilvl w:val="0"/>
                <w:numId w:val="95"/>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Les enregistrements sont conservés sur un support qui permet le stockage d'informations de telle façon qu'elles puissent être consultées ultérieurement par la COSUMAF, et sous une forme et d'une manière qui satisfont aux conditions suivantes : </w:t>
            </w:r>
          </w:p>
          <w:p w14:paraId="1290B43B"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545EF128" w14:textId="77777777" w:rsidR="00095F65" w:rsidRPr="00A64175" w:rsidRDefault="00095F65" w:rsidP="00A64175">
            <w:pPr>
              <w:pStyle w:val="NormalWeb"/>
              <w:numPr>
                <w:ilvl w:val="0"/>
                <w:numId w:val="30"/>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La COSUMAF peut y accéder facilement et reconstituer chaque étape essentielle du traitement de chaque transaction ; </w:t>
            </w:r>
          </w:p>
          <w:p w14:paraId="59566E6F"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63D78F89" w14:textId="77777777" w:rsidR="00095F65" w:rsidRPr="00A64175" w:rsidRDefault="00095F65" w:rsidP="00A64175">
            <w:pPr>
              <w:pStyle w:val="NormalWeb"/>
              <w:numPr>
                <w:ilvl w:val="0"/>
                <w:numId w:val="33"/>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Il est possible de vérifier aisément toute correction ou autre modification, ainsi que le contenu des enregistrements avant ces corrections ou modifications ; </w:t>
            </w:r>
          </w:p>
          <w:p w14:paraId="5FAA543B"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246E56FE" w14:textId="7BA8F3AE" w:rsidR="00095F65" w:rsidRPr="00A64175" w:rsidRDefault="00095F65" w:rsidP="00A64175">
            <w:pPr>
              <w:pStyle w:val="NormalWeb"/>
              <w:numPr>
                <w:ilvl w:val="0"/>
                <w:numId w:val="34"/>
              </w:numPr>
              <w:spacing w:before="0" w:beforeAutospacing="0" w:after="0" w:afterAutospacing="0"/>
              <w:jc w:val="both"/>
              <w:rPr>
                <w:rFonts w:ascii="Arial" w:hAnsi="Arial" w:cs="Arial"/>
                <w:sz w:val="22"/>
                <w:szCs w:val="22"/>
              </w:rPr>
            </w:pPr>
            <w:r w:rsidRPr="00A64175">
              <w:rPr>
                <w:rFonts w:ascii="Arial" w:hAnsi="Arial" w:cs="Arial"/>
                <w:sz w:val="22"/>
                <w:szCs w:val="22"/>
              </w:rPr>
              <w:t>Il n'est pas possible de manipuler ou d'altérer les enregistrements de q</w:t>
            </w:r>
            <w:r w:rsidR="0064334E" w:rsidRPr="00A64175">
              <w:rPr>
                <w:rFonts w:ascii="Arial" w:hAnsi="Arial" w:cs="Arial"/>
                <w:sz w:val="22"/>
                <w:szCs w:val="22"/>
              </w:rPr>
              <w:t>uelque manière</w:t>
            </w:r>
            <w:r w:rsidRPr="00A64175">
              <w:rPr>
                <w:rFonts w:ascii="Arial" w:hAnsi="Arial" w:cs="Arial"/>
                <w:sz w:val="22"/>
                <w:szCs w:val="22"/>
              </w:rPr>
              <w:t xml:space="preserve"> que ce soit ; </w:t>
            </w:r>
          </w:p>
          <w:p w14:paraId="380C15E8"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42B131A2" w14:textId="42F2A681" w:rsidR="00095F65" w:rsidRPr="00A64175" w:rsidRDefault="00095F65" w:rsidP="00A64175">
            <w:pPr>
              <w:pStyle w:val="NormalWeb"/>
              <w:numPr>
                <w:ilvl w:val="0"/>
                <w:numId w:val="35"/>
              </w:numPr>
              <w:spacing w:before="0" w:beforeAutospacing="0" w:after="0" w:afterAutospacing="0"/>
              <w:jc w:val="both"/>
              <w:rPr>
                <w:rFonts w:ascii="Arial" w:hAnsi="Arial" w:cs="Arial"/>
                <w:sz w:val="22"/>
                <w:szCs w:val="22"/>
              </w:rPr>
            </w:pPr>
            <w:r w:rsidRPr="00A64175">
              <w:rPr>
                <w:rFonts w:ascii="Arial" w:hAnsi="Arial" w:cs="Arial"/>
                <w:sz w:val="22"/>
                <w:szCs w:val="22"/>
              </w:rPr>
              <w:t>Une exploitation informatique ou toute autre exploitation efficace est possible lorsque l'analyse des données ne peut pas être f</w:t>
            </w:r>
            <w:r w:rsidR="00902BFE" w:rsidRPr="00A64175">
              <w:rPr>
                <w:rFonts w:ascii="Arial" w:hAnsi="Arial" w:cs="Arial"/>
                <w:sz w:val="22"/>
                <w:szCs w:val="22"/>
              </w:rPr>
              <w:t>acilement effectuée en raison de leur nature ou de leur</w:t>
            </w:r>
            <w:r w:rsidRPr="00A64175">
              <w:rPr>
                <w:rFonts w:ascii="Arial" w:hAnsi="Arial" w:cs="Arial"/>
                <w:sz w:val="22"/>
                <w:szCs w:val="22"/>
              </w:rPr>
              <w:t xml:space="preserve"> vo</w:t>
            </w:r>
            <w:r w:rsidR="00902BFE" w:rsidRPr="00A64175">
              <w:rPr>
                <w:rFonts w:ascii="Arial" w:hAnsi="Arial" w:cs="Arial"/>
                <w:sz w:val="22"/>
                <w:szCs w:val="22"/>
              </w:rPr>
              <w:t>lume</w:t>
            </w:r>
            <w:r w:rsidRPr="00A64175">
              <w:rPr>
                <w:rFonts w:ascii="Arial" w:hAnsi="Arial" w:cs="Arial"/>
                <w:sz w:val="22"/>
                <w:szCs w:val="22"/>
              </w:rPr>
              <w:t xml:space="preserve"> ; </w:t>
            </w:r>
          </w:p>
          <w:p w14:paraId="22C9F137"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38378AE5" w14:textId="51D45EF4" w:rsidR="00095F65" w:rsidRPr="00A64175" w:rsidRDefault="00902BFE" w:rsidP="00A64175">
            <w:pPr>
              <w:pStyle w:val="NormalWeb"/>
              <w:numPr>
                <w:ilvl w:val="0"/>
                <w:numId w:val="36"/>
              </w:numPr>
              <w:spacing w:before="0" w:beforeAutospacing="0" w:after="0" w:afterAutospacing="0"/>
              <w:jc w:val="both"/>
              <w:rPr>
                <w:rFonts w:ascii="Arial" w:hAnsi="Arial" w:cs="Arial"/>
                <w:sz w:val="22"/>
                <w:szCs w:val="22"/>
              </w:rPr>
            </w:pPr>
            <w:r w:rsidRPr="00A64175">
              <w:rPr>
                <w:rFonts w:ascii="Arial" w:hAnsi="Arial" w:cs="Arial"/>
                <w:sz w:val="22"/>
                <w:szCs w:val="22"/>
              </w:rPr>
              <w:t>L</w:t>
            </w:r>
            <w:r w:rsidR="00095F65" w:rsidRPr="00A64175">
              <w:rPr>
                <w:rFonts w:ascii="Arial" w:hAnsi="Arial" w:cs="Arial"/>
                <w:sz w:val="22"/>
                <w:szCs w:val="22"/>
              </w:rPr>
              <w:t>'in</w:t>
            </w:r>
            <w:r w:rsidRPr="00A64175">
              <w:rPr>
                <w:rFonts w:ascii="Arial" w:hAnsi="Arial" w:cs="Arial"/>
                <w:sz w:val="22"/>
                <w:szCs w:val="22"/>
              </w:rPr>
              <w:t>termédiaire de marché respecte</w:t>
            </w:r>
            <w:r w:rsidR="00095F65" w:rsidRPr="00A64175">
              <w:rPr>
                <w:rFonts w:ascii="Arial" w:hAnsi="Arial" w:cs="Arial"/>
                <w:sz w:val="22"/>
                <w:szCs w:val="22"/>
              </w:rPr>
              <w:t xml:space="preserve"> les obligations d'enregistrement indépendamment de la technologie utilisée. </w:t>
            </w:r>
          </w:p>
          <w:p w14:paraId="45D84AB5" w14:textId="7DE9C53B" w:rsidR="00095F65" w:rsidRPr="00A64175" w:rsidRDefault="00095F65" w:rsidP="00A64175">
            <w:pPr>
              <w:pStyle w:val="Paragraphedeliste"/>
              <w:widowControl w:val="0"/>
              <w:numPr>
                <w:ilvl w:val="0"/>
                <w:numId w:val="95"/>
              </w:numPr>
              <w:autoSpaceDE w:val="0"/>
              <w:adjustRightInd w:val="0"/>
              <w:spacing w:after="0" w:line="240" w:lineRule="auto"/>
              <w:rPr>
                <w:b/>
                <w:bCs/>
              </w:rPr>
            </w:pPr>
            <w:r w:rsidRPr="00A64175">
              <w:t>Les intermédiaires de marché exerçant des activités de réception-transmission d’ordres et d’exécution d’ordres sont tenus, dans les conditio</w:t>
            </w:r>
            <w:r w:rsidR="00902BFE" w:rsidRPr="00A64175">
              <w:t>ns prévues au présent article,</w:t>
            </w:r>
            <w:r w:rsidRPr="00A64175">
              <w:t xml:space="preserve"> d’assurer un enregistrement chronologique des ordres émis par les clients, lors de leur réception, de leur transmission et de leur exécution.</w:t>
            </w:r>
          </w:p>
        </w:tc>
      </w:tr>
      <w:tr w:rsidR="00095F65" w:rsidRPr="00A64175" w14:paraId="289FE277" w14:textId="77777777" w:rsidTr="00EC563C">
        <w:tc>
          <w:tcPr>
            <w:tcW w:w="9214" w:type="dxa"/>
            <w:shd w:val="clear" w:color="auto" w:fill="auto"/>
          </w:tcPr>
          <w:p w14:paraId="23F91D8C" w14:textId="513CFF0A" w:rsidR="00095F65" w:rsidRPr="00A64175" w:rsidRDefault="00902BFE" w:rsidP="00A64175">
            <w:pPr>
              <w:widowControl w:val="0"/>
              <w:autoSpaceDE w:val="0"/>
              <w:adjustRightInd w:val="0"/>
              <w:jc w:val="both"/>
              <w:rPr>
                <w:rFonts w:ascii="Arial" w:hAnsi="Arial" w:cs="Arial"/>
                <w:b/>
              </w:rPr>
            </w:pPr>
            <w:r w:rsidRPr="00A64175">
              <w:rPr>
                <w:rFonts w:ascii="Arial" w:hAnsi="Arial" w:cs="Arial"/>
                <w:b/>
              </w:rPr>
              <w:t xml:space="preserve">Article </w:t>
            </w:r>
            <w:r w:rsidR="001F6854" w:rsidRPr="00A64175">
              <w:rPr>
                <w:rFonts w:ascii="Arial" w:hAnsi="Arial" w:cs="Arial"/>
                <w:b/>
              </w:rPr>
              <w:t>2</w:t>
            </w:r>
            <w:r w:rsidR="005F0497">
              <w:rPr>
                <w:rFonts w:ascii="Arial" w:hAnsi="Arial" w:cs="Arial"/>
                <w:b/>
              </w:rPr>
              <w:t>72</w:t>
            </w:r>
            <w:r w:rsidR="00095F65" w:rsidRPr="00A64175">
              <w:rPr>
                <w:rFonts w:ascii="Arial" w:hAnsi="Arial" w:cs="Arial"/>
                <w:b/>
              </w:rPr>
              <w:t xml:space="preserve"> – </w:t>
            </w:r>
          </w:p>
          <w:p w14:paraId="26EF4679" w14:textId="77777777" w:rsidR="00095F65" w:rsidRPr="00A64175" w:rsidRDefault="00095F65" w:rsidP="00A64175">
            <w:pPr>
              <w:widowControl w:val="0"/>
              <w:autoSpaceDE w:val="0"/>
              <w:adjustRightInd w:val="0"/>
              <w:jc w:val="both"/>
              <w:rPr>
                <w:rFonts w:ascii="Arial" w:hAnsi="Arial" w:cs="Arial"/>
                <w:b/>
              </w:rPr>
            </w:pPr>
          </w:p>
          <w:p w14:paraId="446F55CA" w14:textId="439F78BD" w:rsidR="00095F65" w:rsidRPr="00A64175" w:rsidRDefault="00095F65" w:rsidP="00A64175">
            <w:pPr>
              <w:pStyle w:val="NormalWeb"/>
              <w:numPr>
                <w:ilvl w:val="0"/>
                <w:numId w:val="96"/>
              </w:numPr>
              <w:spacing w:before="0" w:beforeAutospacing="0" w:after="0" w:afterAutospacing="0"/>
              <w:jc w:val="both"/>
              <w:rPr>
                <w:rFonts w:ascii="Arial" w:hAnsi="Arial" w:cs="Arial"/>
                <w:sz w:val="22"/>
                <w:szCs w:val="22"/>
              </w:rPr>
            </w:pPr>
            <w:r w:rsidRPr="00A64175">
              <w:rPr>
                <w:rFonts w:ascii="Arial" w:hAnsi="Arial" w:cs="Arial"/>
                <w:sz w:val="22"/>
                <w:szCs w:val="22"/>
              </w:rPr>
              <w:t>L’int</w:t>
            </w:r>
            <w:r w:rsidR="00902BFE" w:rsidRPr="00A64175">
              <w:rPr>
                <w:rFonts w:ascii="Arial" w:hAnsi="Arial" w:cs="Arial"/>
                <w:sz w:val="22"/>
                <w:szCs w:val="22"/>
              </w:rPr>
              <w:t>ermédiaire de marché informe ses clients</w:t>
            </w:r>
            <w:r w:rsidRPr="00A64175">
              <w:rPr>
                <w:rFonts w:ascii="Arial" w:hAnsi="Arial" w:cs="Arial"/>
                <w:sz w:val="22"/>
                <w:szCs w:val="22"/>
              </w:rPr>
              <w:t xml:space="preserve"> que les communications ou conversations téléphoniques qui donnent lieu ou sont susceptibles de do</w:t>
            </w:r>
            <w:r w:rsidR="00C64047" w:rsidRPr="00A64175">
              <w:rPr>
                <w:rFonts w:ascii="Arial" w:hAnsi="Arial" w:cs="Arial"/>
                <w:sz w:val="22"/>
                <w:szCs w:val="22"/>
              </w:rPr>
              <w:t>nner lieu à des transactions s</w:t>
            </w:r>
            <w:r w:rsidRPr="00A64175">
              <w:rPr>
                <w:rFonts w:ascii="Arial" w:hAnsi="Arial" w:cs="Arial"/>
                <w:sz w:val="22"/>
                <w:szCs w:val="22"/>
              </w:rPr>
              <w:t xml:space="preserve">ont enregistrées et archivées. </w:t>
            </w:r>
          </w:p>
          <w:p w14:paraId="7E3B0B4F"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3A2DC93D" w14:textId="57E7C88B" w:rsidR="00095F65" w:rsidRPr="00A64175" w:rsidRDefault="00095F65" w:rsidP="00A64175">
            <w:pPr>
              <w:pStyle w:val="NormalWeb"/>
              <w:numPr>
                <w:ilvl w:val="0"/>
                <w:numId w:val="96"/>
              </w:numPr>
              <w:spacing w:before="0" w:beforeAutospacing="0" w:after="0" w:afterAutospacing="0"/>
              <w:jc w:val="both"/>
              <w:rPr>
                <w:rFonts w:ascii="Arial" w:hAnsi="Arial" w:cs="Arial"/>
                <w:sz w:val="22"/>
                <w:szCs w:val="22"/>
              </w:rPr>
            </w:pPr>
            <w:r w:rsidRPr="00A64175">
              <w:rPr>
                <w:rFonts w:ascii="Arial" w:hAnsi="Arial" w:cs="Arial"/>
                <w:sz w:val="22"/>
                <w:szCs w:val="22"/>
              </w:rPr>
              <w:t>L’intermédiaire de marché ne fournit pas par téléphone la prestation de services à des clients qui n’ont pas été informés à l’avance du fait que leurs communications ou conversations téléphoniques sont enregistrées.</w:t>
            </w:r>
          </w:p>
          <w:p w14:paraId="098E0699"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20055AA9" w14:textId="77777777" w:rsidTr="00EC563C">
        <w:tc>
          <w:tcPr>
            <w:tcW w:w="9214" w:type="dxa"/>
            <w:shd w:val="clear" w:color="auto" w:fill="auto"/>
          </w:tcPr>
          <w:p w14:paraId="18BFC2A1" w14:textId="2C110C49" w:rsidR="00095F65" w:rsidRPr="00A64175" w:rsidRDefault="001F6854" w:rsidP="00A64175">
            <w:pPr>
              <w:widowControl w:val="0"/>
              <w:autoSpaceDE w:val="0"/>
              <w:adjustRightInd w:val="0"/>
              <w:jc w:val="both"/>
              <w:rPr>
                <w:rFonts w:ascii="Arial" w:hAnsi="Arial" w:cs="Arial"/>
                <w:color w:val="000000"/>
              </w:rPr>
            </w:pPr>
            <w:r w:rsidRPr="00A64175">
              <w:rPr>
                <w:rFonts w:ascii="Arial" w:hAnsi="Arial" w:cs="Arial"/>
                <w:b/>
              </w:rPr>
              <w:t>Article 2</w:t>
            </w:r>
            <w:r w:rsidR="005F0497">
              <w:rPr>
                <w:rFonts w:ascii="Arial" w:hAnsi="Arial" w:cs="Arial"/>
                <w:b/>
              </w:rPr>
              <w:t>73</w:t>
            </w:r>
            <w:r w:rsidR="00095F65" w:rsidRPr="00A64175">
              <w:rPr>
                <w:rFonts w:ascii="Arial" w:hAnsi="Arial" w:cs="Arial"/>
                <w:b/>
              </w:rPr>
              <w:t xml:space="preserve"> –</w:t>
            </w:r>
            <w:r w:rsidR="00095F65" w:rsidRPr="00A64175">
              <w:rPr>
                <w:rFonts w:ascii="Arial" w:hAnsi="Arial" w:cs="Arial"/>
                <w:color w:val="000000"/>
              </w:rPr>
              <w:t xml:space="preserve"> Les services et activités peuvent être four</w:t>
            </w:r>
            <w:r w:rsidR="00C64047" w:rsidRPr="00A64175">
              <w:rPr>
                <w:rFonts w:ascii="Arial" w:hAnsi="Arial" w:cs="Arial"/>
                <w:color w:val="000000"/>
              </w:rPr>
              <w:t xml:space="preserve">nies par des voies autres </w:t>
            </w:r>
            <w:r w:rsidR="00772B5D" w:rsidRPr="00A64175">
              <w:rPr>
                <w:rFonts w:ascii="Arial" w:hAnsi="Arial" w:cs="Arial"/>
                <w:color w:val="000000"/>
              </w:rPr>
              <w:t>que téléphoniques</w:t>
            </w:r>
            <w:r w:rsidR="00095F65" w:rsidRPr="00A64175">
              <w:rPr>
                <w:rFonts w:ascii="Arial" w:hAnsi="Arial" w:cs="Arial"/>
                <w:color w:val="000000"/>
              </w:rPr>
              <w:t>, à condition</w:t>
            </w:r>
            <w:r w:rsidR="00C64047" w:rsidRPr="00A64175">
              <w:rPr>
                <w:rFonts w:ascii="Arial" w:hAnsi="Arial" w:cs="Arial"/>
                <w:color w:val="000000"/>
              </w:rPr>
              <w:t xml:space="preserve"> qu’ils soient</w:t>
            </w:r>
            <w:r w:rsidR="00C863AD" w:rsidRPr="00A64175">
              <w:rPr>
                <w:rFonts w:ascii="Arial" w:hAnsi="Arial" w:cs="Arial"/>
                <w:color w:val="000000"/>
              </w:rPr>
              <w:t xml:space="preserve"> effectué</w:t>
            </w:r>
            <w:r w:rsidR="00095F65" w:rsidRPr="00A64175">
              <w:rPr>
                <w:rFonts w:ascii="Arial" w:hAnsi="Arial" w:cs="Arial"/>
                <w:color w:val="000000"/>
              </w:rPr>
              <w:t>s au moyen d’un support durable. En particulier, le contenu des conversations en tête-à-tête avec un client doit être consigné par écrit dans un compte rendu ou dans des notes.</w:t>
            </w:r>
          </w:p>
          <w:p w14:paraId="0F9A5456" w14:textId="77777777" w:rsidR="00095F65" w:rsidRPr="00A64175" w:rsidRDefault="00095F65" w:rsidP="00A64175">
            <w:pPr>
              <w:widowControl w:val="0"/>
              <w:autoSpaceDE w:val="0"/>
              <w:adjustRightInd w:val="0"/>
              <w:jc w:val="both"/>
              <w:rPr>
                <w:rFonts w:ascii="Arial" w:hAnsi="Arial" w:cs="Arial"/>
                <w:color w:val="000000"/>
              </w:rPr>
            </w:pPr>
          </w:p>
          <w:p w14:paraId="2EA22369" w14:textId="25110458" w:rsidR="00095F65" w:rsidRPr="00A64175" w:rsidRDefault="00095F65" w:rsidP="00A64175">
            <w:pPr>
              <w:widowControl w:val="0"/>
              <w:autoSpaceDE w:val="0"/>
              <w:adjustRightInd w:val="0"/>
              <w:jc w:val="both"/>
              <w:rPr>
                <w:rFonts w:ascii="Arial" w:hAnsi="Arial" w:cs="Arial"/>
                <w:color w:val="000000"/>
              </w:rPr>
            </w:pPr>
            <w:r w:rsidRPr="00A64175">
              <w:rPr>
                <w:rFonts w:ascii="Arial" w:hAnsi="Arial" w:cs="Arial"/>
                <w:color w:val="000000"/>
              </w:rPr>
              <w:t>Les enregistrements sont conservés conformément aux dispositions</w:t>
            </w:r>
            <w:r w:rsidR="001F6854" w:rsidRPr="00A64175">
              <w:rPr>
                <w:rFonts w:ascii="Arial" w:hAnsi="Arial" w:cs="Arial"/>
                <w:color w:val="000000"/>
              </w:rPr>
              <w:t xml:space="preserve"> de </w:t>
            </w:r>
            <w:r w:rsidR="00772B5D" w:rsidRPr="00A64175">
              <w:rPr>
                <w:rFonts w:ascii="Arial" w:hAnsi="Arial" w:cs="Arial"/>
                <w:color w:val="000000"/>
              </w:rPr>
              <w:t xml:space="preserve">l’article </w:t>
            </w:r>
            <w:r w:rsidR="00586DF1" w:rsidRPr="00C21CF0">
              <w:rPr>
                <w:rFonts w:ascii="Arial" w:hAnsi="Arial" w:cs="Arial"/>
                <w:color w:val="000000"/>
              </w:rPr>
              <w:t xml:space="preserve">271 </w:t>
            </w:r>
            <w:r w:rsidR="001F6854" w:rsidRPr="00C21CF0">
              <w:rPr>
                <w:rFonts w:ascii="Arial" w:hAnsi="Arial" w:cs="Arial"/>
                <w:color w:val="000000"/>
              </w:rPr>
              <w:t xml:space="preserve"> </w:t>
            </w:r>
            <w:r w:rsidRPr="00C21CF0">
              <w:rPr>
                <w:rFonts w:ascii="Arial" w:hAnsi="Arial" w:cs="Arial"/>
                <w:color w:val="000000"/>
              </w:rPr>
              <w:t>du présent règlement</w:t>
            </w:r>
            <w:r w:rsidR="00C863AD" w:rsidRPr="00C21CF0">
              <w:rPr>
                <w:rFonts w:ascii="Arial" w:hAnsi="Arial" w:cs="Arial"/>
                <w:color w:val="000000"/>
              </w:rPr>
              <w:t xml:space="preserve"> général</w:t>
            </w:r>
            <w:r w:rsidRPr="00C21CF0">
              <w:rPr>
                <w:rFonts w:ascii="Arial" w:hAnsi="Arial" w:cs="Arial"/>
                <w:color w:val="000000"/>
              </w:rPr>
              <w:t>.</w:t>
            </w:r>
            <w:r w:rsidRPr="00A64175">
              <w:rPr>
                <w:rFonts w:ascii="Arial" w:hAnsi="Arial" w:cs="Arial"/>
                <w:color w:val="000000"/>
              </w:rPr>
              <w:t xml:space="preserve"> </w:t>
            </w:r>
          </w:p>
          <w:p w14:paraId="1D354784"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4474227F" w14:textId="77777777" w:rsidTr="00EC563C">
        <w:trPr>
          <w:trHeight w:val="521"/>
        </w:trPr>
        <w:tc>
          <w:tcPr>
            <w:tcW w:w="9214" w:type="dxa"/>
            <w:shd w:val="clear" w:color="auto" w:fill="auto"/>
          </w:tcPr>
          <w:p w14:paraId="0873D8B8" w14:textId="18E063CF" w:rsidR="00095F65" w:rsidRPr="00A64175" w:rsidRDefault="001F6854" w:rsidP="00A64175">
            <w:pPr>
              <w:widowControl w:val="0"/>
              <w:autoSpaceDE w:val="0"/>
              <w:adjustRightInd w:val="0"/>
              <w:jc w:val="both"/>
              <w:rPr>
                <w:rFonts w:ascii="Arial" w:hAnsi="Arial" w:cs="Arial"/>
                <w:color w:val="000000"/>
              </w:rPr>
            </w:pPr>
            <w:r w:rsidRPr="00A64175">
              <w:rPr>
                <w:rFonts w:ascii="Arial" w:hAnsi="Arial" w:cs="Arial"/>
                <w:b/>
              </w:rPr>
              <w:t>Article 27</w:t>
            </w:r>
            <w:r w:rsidR="005F0497">
              <w:rPr>
                <w:rFonts w:ascii="Arial" w:hAnsi="Arial" w:cs="Arial"/>
                <w:b/>
              </w:rPr>
              <w:t>4</w:t>
            </w:r>
            <w:r w:rsidR="00095F65" w:rsidRPr="00A64175">
              <w:rPr>
                <w:rFonts w:ascii="Arial" w:hAnsi="Arial" w:cs="Arial"/>
                <w:b/>
              </w:rPr>
              <w:t xml:space="preserve"> –</w:t>
            </w:r>
            <w:r w:rsidR="00095F65" w:rsidRPr="00A64175">
              <w:rPr>
                <w:rFonts w:ascii="Arial" w:hAnsi="Arial" w:cs="Arial"/>
                <w:color w:val="000000"/>
              </w:rPr>
              <w:t xml:space="preserve"> Les intermédiaires de marché prennent toutes les mesur</w:t>
            </w:r>
            <w:r w:rsidR="00486172" w:rsidRPr="00A64175">
              <w:rPr>
                <w:rFonts w:ascii="Arial" w:hAnsi="Arial" w:cs="Arial"/>
                <w:color w:val="000000"/>
              </w:rPr>
              <w:t xml:space="preserve">es raisonnables pour </w:t>
            </w:r>
            <w:r w:rsidR="00772B5D" w:rsidRPr="00A64175">
              <w:rPr>
                <w:rFonts w:ascii="Arial" w:hAnsi="Arial" w:cs="Arial"/>
                <w:color w:val="000000"/>
              </w:rPr>
              <w:t>empêcher</w:t>
            </w:r>
            <w:r w:rsidR="00486172" w:rsidRPr="00A64175">
              <w:rPr>
                <w:rFonts w:ascii="Arial" w:hAnsi="Arial" w:cs="Arial"/>
                <w:color w:val="000000"/>
              </w:rPr>
              <w:t xml:space="preserve"> leurs</w:t>
            </w:r>
            <w:r w:rsidR="00095F65" w:rsidRPr="00A64175">
              <w:rPr>
                <w:rFonts w:ascii="Arial" w:hAnsi="Arial" w:cs="Arial"/>
                <w:color w:val="000000"/>
              </w:rPr>
              <w:t xml:space="preserve"> employé</w:t>
            </w:r>
            <w:r w:rsidR="00486172" w:rsidRPr="00A64175">
              <w:rPr>
                <w:rFonts w:ascii="Arial" w:hAnsi="Arial" w:cs="Arial"/>
                <w:color w:val="000000"/>
              </w:rPr>
              <w:t>s</w:t>
            </w:r>
            <w:r w:rsidR="00095F65" w:rsidRPr="00A64175">
              <w:rPr>
                <w:rFonts w:ascii="Arial" w:hAnsi="Arial" w:cs="Arial"/>
                <w:color w:val="000000"/>
              </w:rPr>
              <w:t xml:space="preserve"> d’effectuer, d’envoyer ou de recevoir les conversations téléphoniques ou les communi</w:t>
            </w:r>
            <w:r w:rsidR="00486172" w:rsidRPr="00A64175">
              <w:rPr>
                <w:rFonts w:ascii="Arial" w:hAnsi="Arial" w:cs="Arial"/>
                <w:color w:val="000000"/>
              </w:rPr>
              <w:t>cations électroniques</w:t>
            </w:r>
            <w:r w:rsidR="00796872" w:rsidRPr="00A64175">
              <w:rPr>
                <w:rFonts w:ascii="Arial" w:hAnsi="Arial" w:cs="Arial"/>
                <w:color w:val="000000"/>
              </w:rPr>
              <w:t xml:space="preserve"> au moyen d’un équipement privé.</w:t>
            </w:r>
            <w:r w:rsidR="00486172" w:rsidRPr="00A64175">
              <w:rPr>
                <w:rFonts w:ascii="Arial" w:hAnsi="Arial" w:cs="Arial"/>
                <w:color w:val="000000"/>
              </w:rPr>
              <w:t xml:space="preserve"> </w:t>
            </w:r>
          </w:p>
          <w:p w14:paraId="5F4DBDB8" w14:textId="77777777" w:rsidR="00095F65" w:rsidRPr="00A64175" w:rsidRDefault="00095F65" w:rsidP="00A64175">
            <w:pPr>
              <w:widowControl w:val="0"/>
              <w:tabs>
                <w:tab w:val="left" w:pos="3750"/>
              </w:tabs>
              <w:autoSpaceDE w:val="0"/>
              <w:adjustRightInd w:val="0"/>
              <w:jc w:val="both"/>
              <w:rPr>
                <w:rFonts w:ascii="Arial" w:hAnsi="Arial" w:cs="Arial"/>
                <w:b/>
                <w:kern w:val="1"/>
              </w:rPr>
            </w:pPr>
          </w:p>
        </w:tc>
      </w:tr>
      <w:tr w:rsidR="00095F65" w:rsidRPr="00A64175" w14:paraId="0A958195" w14:textId="77777777" w:rsidTr="00EC563C">
        <w:tc>
          <w:tcPr>
            <w:tcW w:w="9214" w:type="dxa"/>
            <w:shd w:val="clear" w:color="auto" w:fill="auto"/>
          </w:tcPr>
          <w:p w14:paraId="365C3622" w14:textId="77777777"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Sous-section IV : Rémunération</w:t>
            </w:r>
          </w:p>
        </w:tc>
      </w:tr>
      <w:tr w:rsidR="00095F65" w:rsidRPr="00A64175" w14:paraId="1B8EB0C0" w14:textId="77777777" w:rsidTr="00EC563C">
        <w:tc>
          <w:tcPr>
            <w:tcW w:w="9214" w:type="dxa"/>
            <w:shd w:val="clear" w:color="auto" w:fill="auto"/>
          </w:tcPr>
          <w:p w14:paraId="2498F2B1" w14:textId="77777777" w:rsidR="00095F65" w:rsidRPr="00A64175" w:rsidRDefault="00095F65" w:rsidP="00A64175">
            <w:pPr>
              <w:jc w:val="both"/>
              <w:rPr>
                <w:rFonts w:ascii="Arial" w:hAnsi="Arial" w:cs="Arial"/>
                <w:b/>
              </w:rPr>
            </w:pPr>
          </w:p>
          <w:p w14:paraId="1AA347AB" w14:textId="7361CCBF" w:rsidR="00095F65" w:rsidRPr="00A64175" w:rsidRDefault="001F6854" w:rsidP="00A64175">
            <w:pPr>
              <w:jc w:val="both"/>
              <w:rPr>
                <w:rFonts w:ascii="Arial" w:hAnsi="Arial" w:cs="Arial"/>
              </w:rPr>
            </w:pPr>
            <w:r w:rsidRPr="00A64175">
              <w:rPr>
                <w:rFonts w:ascii="Arial" w:hAnsi="Arial" w:cs="Arial"/>
                <w:b/>
              </w:rPr>
              <w:t>Article 27</w:t>
            </w:r>
            <w:r w:rsidR="005F0497">
              <w:rPr>
                <w:rFonts w:ascii="Arial" w:hAnsi="Arial" w:cs="Arial"/>
                <w:b/>
              </w:rPr>
              <w:t>5</w:t>
            </w:r>
            <w:r w:rsidR="00095F65" w:rsidRPr="00A64175">
              <w:rPr>
                <w:rFonts w:ascii="Arial" w:hAnsi="Arial" w:cs="Arial"/>
                <w:b/>
              </w:rPr>
              <w:t xml:space="preserve"> –</w:t>
            </w:r>
            <w:r w:rsidR="00095F65" w:rsidRPr="00A64175">
              <w:rPr>
                <w:rFonts w:ascii="Arial" w:hAnsi="Arial" w:cs="Arial"/>
              </w:rPr>
              <w:t xml:space="preserve"> Les intermédiaires de marché sont rémunérés, au titre des services et prestations qu’ils fournissent à leur clientèle, par des frais et commissions dont les tarifs sont affichés dans leurs locaux et sur leurs sites internet.</w:t>
            </w:r>
          </w:p>
          <w:p w14:paraId="05013D06" w14:textId="77777777" w:rsidR="00095F65" w:rsidRPr="00A64175" w:rsidRDefault="00095F65" w:rsidP="00A64175">
            <w:pPr>
              <w:jc w:val="both"/>
              <w:rPr>
                <w:rFonts w:ascii="Arial" w:hAnsi="Arial" w:cs="Arial"/>
                <w:b/>
                <w:kern w:val="1"/>
              </w:rPr>
            </w:pPr>
          </w:p>
        </w:tc>
      </w:tr>
      <w:tr w:rsidR="00095F65" w:rsidRPr="00A64175" w14:paraId="2443686C" w14:textId="77777777" w:rsidTr="00EC563C">
        <w:tc>
          <w:tcPr>
            <w:tcW w:w="9214" w:type="dxa"/>
            <w:shd w:val="clear" w:color="auto" w:fill="auto"/>
          </w:tcPr>
          <w:p w14:paraId="4C1F779D" w14:textId="09F89F58" w:rsidR="00095F65" w:rsidRPr="00A64175" w:rsidRDefault="00095F65" w:rsidP="00A64175">
            <w:pPr>
              <w:jc w:val="both"/>
              <w:rPr>
                <w:rFonts w:ascii="Arial" w:hAnsi="Arial" w:cs="Arial"/>
              </w:rPr>
            </w:pPr>
            <w:r w:rsidRPr="00A64175">
              <w:rPr>
                <w:rFonts w:ascii="Arial" w:hAnsi="Arial" w:cs="Arial"/>
                <w:b/>
                <w:bCs/>
              </w:rPr>
              <w:t xml:space="preserve">Article </w:t>
            </w:r>
            <w:r w:rsidR="001F6854" w:rsidRPr="00A64175">
              <w:rPr>
                <w:rFonts w:ascii="Arial" w:hAnsi="Arial" w:cs="Arial"/>
                <w:b/>
                <w:bCs/>
              </w:rPr>
              <w:t>27</w:t>
            </w:r>
            <w:r w:rsidR="005F0497">
              <w:rPr>
                <w:rFonts w:ascii="Arial" w:hAnsi="Arial" w:cs="Arial"/>
                <w:b/>
                <w:bCs/>
              </w:rPr>
              <w:t>6</w:t>
            </w:r>
            <w:r w:rsidRPr="00A64175">
              <w:rPr>
                <w:rFonts w:ascii="Arial" w:hAnsi="Arial" w:cs="Arial"/>
                <w:b/>
                <w:bCs/>
              </w:rPr>
              <w:t xml:space="preserve"> </w:t>
            </w:r>
            <w:r w:rsidRPr="00A64175">
              <w:rPr>
                <w:rFonts w:ascii="Arial" w:hAnsi="Arial" w:cs="Arial"/>
                <w:b/>
              </w:rPr>
              <w:t>–</w:t>
            </w:r>
            <w:r w:rsidRPr="00A64175">
              <w:rPr>
                <w:rFonts w:ascii="Arial" w:hAnsi="Arial" w:cs="Arial"/>
              </w:rPr>
              <w:t xml:space="preserve"> Les intermédiaires de marché veillent à ne pas rémunérer ni évaluer les résultats de leurs emplo</w:t>
            </w:r>
            <w:r w:rsidR="00AB7895" w:rsidRPr="00A64175">
              <w:rPr>
                <w:rFonts w:ascii="Arial" w:hAnsi="Arial" w:cs="Arial"/>
              </w:rPr>
              <w:t>yés d'une façon qui compromet le respect</w:t>
            </w:r>
            <w:r w:rsidRPr="00A64175">
              <w:rPr>
                <w:rFonts w:ascii="Arial" w:hAnsi="Arial" w:cs="Arial"/>
              </w:rPr>
              <w:t xml:space="preserve"> </w:t>
            </w:r>
            <w:r w:rsidR="00AB7895" w:rsidRPr="00A64175">
              <w:rPr>
                <w:rFonts w:ascii="Arial" w:hAnsi="Arial" w:cs="Arial"/>
              </w:rPr>
              <w:t>de l’</w:t>
            </w:r>
            <w:r w:rsidRPr="00A64175">
              <w:rPr>
                <w:rFonts w:ascii="Arial" w:hAnsi="Arial" w:cs="Arial"/>
              </w:rPr>
              <w:t>obligation d'agir au mieux des intérêts de leurs</w:t>
            </w:r>
            <w:r w:rsidR="00AB7895" w:rsidRPr="00A64175">
              <w:rPr>
                <w:rFonts w:ascii="Arial" w:hAnsi="Arial" w:cs="Arial"/>
              </w:rPr>
              <w:t xml:space="preserve"> clients</w:t>
            </w:r>
            <w:r w:rsidRPr="00A64175">
              <w:rPr>
                <w:rFonts w:ascii="Arial" w:hAnsi="Arial" w:cs="Arial"/>
              </w:rPr>
              <w:t xml:space="preserve">. </w:t>
            </w:r>
          </w:p>
          <w:p w14:paraId="6E3C8EE9" w14:textId="77777777" w:rsidR="00095F65" w:rsidRPr="00A64175" w:rsidRDefault="00095F65" w:rsidP="00A64175">
            <w:pPr>
              <w:jc w:val="both"/>
              <w:rPr>
                <w:rFonts w:ascii="Arial" w:hAnsi="Arial" w:cs="Arial"/>
                <w:b/>
              </w:rPr>
            </w:pPr>
          </w:p>
        </w:tc>
      </w:tr>
      <w:tr w:rsidR="00095F65" w:rsidRPr="00A64175" w14:paraId="621B8FA0" w14:textId="77777777" w:rsidTr="00EC563C">
        <w:tc>
          <w:tcPr>
            <w:tcW w:w="9214" w:type="dxa"/>
            <w:shd w:val="clear" w:color="auto" w:fill="auto"/>
          </w:tcPr>
          <w:p w14:paraId="4909C0BD" w14:textId="2205B26F" w:rsidR="00095F65" w:rsidRPr="00A64175" w:rsidRDefault="00095F65" w:rsidP="00A64175">
            <w:pPr>
              <w:widowControl w:val="0"/>
              <w:autoSpaceDE w:val="0"/>
              <w:adjustRightInd w:val="0"/>
              <w:jc w:val="both"/>
              <w:rPr>
                <w:rFonts w:ascii="Arial" w:hAnsi="Arial" w:cs="Arial"/>
              </w:rPr>
            </w:pPr>
            <w:r w:rsidRPr="00A64175">
              <w:rPr>
                <w:rFonts w:ascii="Arial" w:hAnsi="Arial" w:cs="Arial"/>
                <w:b/>
                <w:bCs/>
              </w:rPr>
              <w:t>Artic</w:t>
            </w:r>
            <w:r w:rsidR="001F6854" w:rsidRPr="00A64175">
              <w:rPr>
                <w:rFonts w:ascii="Arial" w:hAnsi="Arial" w:cs="Arial"/>
                <w:b/>
                <w:bCs/>
              </w:rPr>
              <w:t>le 27</w:t>
            </w:r>
            <w:r w:rsidR="005F0497">
              <w:rPr>
                <w:rFonts w:ascii="Arial" w:hAnsi="Arial" w:cs="Arial"/>
                <w:b/>
                <w:bCs/>
              </w:rPr>
              <w:t>7</w:t>
            </w:r>
            <w:r w:rsidRPr="00A64175">
              <w:rPr>
                <w:rFonts w:ascii="Arial" w:hAnsi="Arial" w:cs="Arial"/>
                <w:b/>
                <w:bCs/>
              </w:rPr>
              <w:t xml:space="preserve"> </w:t>
            </w:r>
            <w:r w:rsidRPr="00A64175">
              <w:rPr>
                <w:rFonts w:ascii="Arial" w:hAnsi="Arial" w:cs="Arial"/>
                <w:b/>
              </w:rPr>
              <w:t>–</w:t>
            </w:r>
            <w:r w:rsidRPr="00A64175">
              <w:rPr>
                <w:rFonts w:ascii="Arial" w:hAnsi="Arial" w:cs="Arial"/>
              </w:rPr>
              <w:t xml:space="preserve"> Les intermédiaires de marché ne prennent aucune disposition, notamment sous forme de rémunération ou d'objectif de vente, qui pourrait encourager leurs employés à recommander un instrument financier particulier à un client alors qu'ils pourraient proposer un autre instrument financier ou service correspondant mieux aux besoins</w:t>
            </w:r>
            <w:r w:rsidR="00AB7895" w:rsidRPr="00A64175">
              <w:rPr>
                <w:rFonts w:ascii="Arial" w:hAnsi="Arial" w:cs="Arial"/>
              </w:rPr>
              <w:t xml:space="preserve"> ou au profil de risque</w:t>
            </w:r>
            <w:r w:rsidRPr="00A64175">
              <w:rPr>
                <w:rFonts w:ascii="Arial" w:hAnsi="Arial" w:cs="Arial"/>
              </w:rPr>
              <w:t xml:space="preserve"> de ce client. </w:t>
            </w:r>
          </w:p>
          <w:p w14:paraId="1633F3C5" w14:textId="77777777" w:rsidR="00095F65" w:rsidRPr="00A64175" w:rsidRDefault="00095F65" w:rsidP="00A64175">
            <w:pPr>
              <w:widowControl w:val="0"/>
              <w:autoSpaceDE w:val="0"/>
              <w:adjustRightInd w:val="0"/>
              <w:jc w:val="both"/>
              <w:rPr>
                <w:rFonts w:ascii="Arial" w:hAnsi="Arial" w:cs="Arial"/>
              </w:rPr>
            </w:pPr>
          </w:p>
        </w:tc>
      </w:tr>
      <w:tr w:rsidR="00095F65" w:rsidRPr="00A64175" w14:paraId="77D17DFD" w14:textId="77777777" w:rsidTr="00EC563C">
        <w:tc>
          <w:tcPr>
            <w:tcW w:w="9214" w:type="dxa"/>
            <w:shd w:val="clear" w:color="auto" w:fill="auto"/>
          </w:tcPr>
          <w:p w14:paraId="5661DCC4" w14:textId="77777777"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Section IV : Protection de la clientèle</w:t>
            </w:r>
          </w:p>
          <w:p w14:paraId="035F3DC6"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0869EFCE" w14:textId="77777777" w:rsidTr="00EC563C">
        <w:tc>
          <w:tcPr>
            <w:tcW w:w="9214" w:type="dxa"/>
            <w:shd w:val="clear" w:color="auto" w:fill="auto"/>
          </w:tcPr>
          <w:p w14:paraId="3ADB416E" w14:textId="77777777" w:rsidR="00095F65" w:rsidRPr="00A64175" w:rsidRDefault="00095F65" w:rsidP="00A64175">
            <w:pPr>
              <w:widowControl w:val="0"/>
              <w:autoSpaceDE w:val="0"/>
              <w:adjustRightInd w:val="0"/>
              <w:jc w:val="both"/>
              <w:rPr>
                <w:rFonts w:ascii="Arial" w:hAnsi="Arial" w:cs="Arial"/>
                <w:i/>
                <w:iCs/>
                <w:kern w:val="1"/>
              </w:rPr>
            </w:pPr>
            <w:r w:rsidRPr="00A64175">
              <w:rPr>
                <w:rFonts w:ascii="Arial" w:hAnsi="Arial" w:cs="Arial"/>
                <w:i/>
                <w:iCs/>
              </w:rPr>
              <w:t>Sous-section I : Conventions écrites</w:t>
            </w:r>
          </w:p>
        </w:tc>
      </w:tr>
      <w:tr w:rsidR="00095F65" w:rsidRPr="00A64175" w14:paraId="0E96D7A5" w14:textId="77777777" w:rsidTr="00EC563C">
        <w:tc>
          <w:tcPr>
            <w:tcW w:w="9214" w:type="dxa"/>
            <w:shd w:val="clear" w:color="auto" w:fill="auto"/>
          </w:tcPr>
          <w:p w14:paraId="63217951" w14:textId="77777777" w:rsidR="00095F65" w:rsidRPr="00A64175" w:rsidRDefault="00095F65" w:rsidP="00A64175">
            <w:pPr>
              <w:jc w:val="both"/>
              <w:rPr>
                <w:rFonts w:ascii="Arial" w:hAnsi="Arial" w:cs="Arial"/>
                <w:b/>
              </w:rPr>
            </w:pPr>
          </w:p>
          <w:p w14:paraId="1637FD35" w14:textId="4F9B2065" w:rsidR="00095F65" w:rsidRPr="00A64175" w:rsidRDefault="001F6854" w:rsidP="00A64175">
            <w:pPr>
              <w:jc w:val="both"/>
              <w:rPr>
                <w:rFonts w:ascii="Arial" w:hAnsi="Arial" w:cs="Arial"/>
              </w:rPr>
            </w:pPr>
            <w:r w:rsidRPr="00A64175">
              <w:rPr>
                <w:rFonts w:ascii="Arial" w:hAnsi="Arial" w:cs="Arial"/>
                <w:b/>
              </w:rPr>
              <w:t>Article 27</w:t>
            </w:r>
            <w:r w:rsidR="005F0497">
              <w:rPr>
                <w:rFonts w:ascii="Arial" w:hAnsi="Arial" w:cs="Arial"/>
                <w:b/>
              </w:rPr>
              <w:t>8</w:t>
            </w:r>
            <w:r w:rsidR="00095F65" w:rsidRPr="00A64175">
              <w:rPr>
                <w:rFonts w:ascii="Arial" w:hAnsi="Arial" w:cs="Arial"/>
                <w:b/>
              </w:rPr>
              <w:t xml:space="preserve"> –</w:t>
            </w:r>
            <w:r w:rsidR="00095F65" w:rsidRPr="00A64175">
              <w:rPr>
                <w:rFonts w:ascii="Arial" w:hAnsi="Arial" w:cs="Arial"/>
              </w:rPr>
              <w:t xml:space="preserve"> Les intermédiaires de marché établissent, préalablement à la fourniture de services d’investissement, avec chacun de leurs clients une convention écrite conforme, le cas échéant, au modèle-type défini dans une instruction de la COSUMAF en fonction de la nature de l’activité ou du service fourni.</w:t>
            </w:r>
          </w:p>
          <w:p w14:paraId="7CF9997D" w14:textId="77777777" w:rsidR="00095F65" w:rsidRPr="00A64175" w:rsidRDefault="00095F65" w:rsidP="00A64175">
            <w:pPr>
              <w:widowControl w:val="0"/>
              <w:autoSpaceDE w:val="0"/>
              <w:adjustRightInd w:val="0"/>
              <w:jc w:val="both"/>
              <w:rPr>
                <w:rFonts w:ascii="Arial" w:hAnsi="Arial" w:cs="Arial"/>
                <w:kern w:val="1"/>
              </w:rPr>
            </w:pPr>
          </w:p>
          <w:p w14:paraId="0E825C4E" w14:textId="77777777" w:rsidR="00095F65" w:rsidRPr="00A64175" w:rsidRDefault="00095F65" w:rsidP="00A64175">
            <w:pPr>
              <w:widowControl w:val="0"/>
              <w:autoSpaceDE w:val="0"/>
              <w:adjustRightInd w:val="0"/>
              <w:jc w:val="both"/>
              <w:rPr>
                <w:rFonts w:ascii="Arial" w:hAnsi="Arial" w:cs="Arial"/>
              </w:rPr>
            </w:pPr>
            <w:r w:rsidRPr="00A64175">
              <w:rPr>
                <w:rFonts w:ascii="Arial" w:hAnsi="Arial" w:cs="Arial"/>
              </w:rPr>
              <w:t>Les intermédiaires de marché exerçant l’activité de réception et de transmission d’ordres ou d’exécution d’ordres établissent avec chacun de leurs clients une convention de services.</w:t>
            </w:r>
          </w:p>
          <w:p w14:paraId="3A1BD49C" w14:textId="77777777" w:rsidR="00095F65" w:rsidRPr="00A64175" w:rsidRDefault="00095F65" w:rsidP="00A64175">
            <w:pPr>
              <w:widowControl w:val="0"/>
              <w:autoSpaceDE w:val="0"/>
              <w:adjustRightInd w:val="0"/>
              <w:jc w:val="both"/>
              <w:rPr>
                <w:rFonts w:ascii="Arial" w:hAnsi="Arial" w:cs="Arial"/>
                <w:kern w:val="1"/>
              </w:rPr>
            </w:pPr>
          </w:p>
          <w:p w14:paraId="58B827F5" w14:textId="79DCD2FE" w:rsidR="00095F65" w:rsidRPr="00A64175" w:rsidRDefault="00095F65" w:rsidP="00A64175">
            <w:pPr>
              <w:widowControl w:val="0"/>
              <w:autoSpaceDE w:val="0"/>
              <w:adjustRightInd w:val="0"/>
              <w:jc w:val="both"/>
              <w:rPr>
                <w:rFonts w:ascii="Arial" w:hAnsi="Arial" w:cs="Arial"/>
                <w:kern w:val="1"/>
              </w:rPr>
            </w:pPr>
            <w:r w:rsidRPr="00A64175">
              <w:rPr>
                <w:rFonts w:ascii="Arial" w:hAnsi="Arial" w:cs="Arial"/>
              </w:rPr>
              <w:t>Les intermédiaires agréés pour fournir le service de tenue de compte doivent, préalablement à toute comptabilisation d’instruments financiers et autres produits de placement, établir une convention d’ou</w:t>
            </w:r>
            <w:r w:rsidR="00C7269A" w:rsidRPr="00A64175">
              <w:rPr>
                <w:rFonts w:ascii="Arial" w:hAnsi="Arial" w:cs="Arial"/>
              </w:rPr>
              <w:t>verture de compte avec</w:t>
            </w:r>
            <w:r w:rsidRPr="00A64175">
              <w:rPr>
                <w:rFonts w:ascii="Arial" w:hAnsi="Arial" w:cs="Arial"/>
              </w:rPr>
              <w:t xml:space="preserve"> leurs</w:t>
            </w:r>
            <w:r w:rsidR="00C7269A" w:rsidRPr="00A64175">
              <w:rPr>
                <w:rFonts w:ascii="Arial" w:hAnsi="Arial" w:cs="Arial"/>
              </w:rPr>
              <w:t xml:space="preserve"> clients</w:t>
            </w:r>
            <w:r w:rsidRPr="00A64175">
              <w:rPr>
                <w:rFonts w:ascii="Arial" w:hAnsi="Arial" w:cs="Arial"/>
              </w:rPr>
              <w:t>.</w:t>
            </w:r>
          </w:p>
          <w:p w14:paraId="2BE1C031"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65073935" w14:textId="77777777" w:rsidTr="00EC563C">
        <w:tc>
          <w:tcPr>
            <w:tcW w:w="9214" w:type="dxa"/>
            <w:shd w:val="clear" w:color="auto" w:fill="auto"/>
          </w:tcPr>
          <w:p w14:paraId="4BDB7F20" w14:textId="01FAAC46" w:rsidR="00095F65" w:rsidRPr="00A64175" w:rsidRDefault="001F6854" w:rsidP="00A64175">
            <w:pPr>
              <w:jc w:val="both"/>
              <w:rPr>
                <w:rFonts w:ascii="Arial" w:hAnsi="Arial" w:cs="Arial"/>
              </w:rPr>
            </w:pPr>
            <w:r w:rsidRPr="00A64175">
              <w:rPr>
                <w:rFonts w:ascii="Arial" w:hAnsi="Arial" w:cs="Arial"/>
                <w:b/>
              </w:rPr>
              <w:t>Article 27</w:t>
            </w:r>
            <w:r w:rsidR="005F0497">
              <w:rPr>
                <w:rFonts w:ascii="Arial" w:hAnsi="Arial" w:cs="Arial"/>
                <w:b/>
              </w:rPr>
              <w:t>9</w:t>
            </w:r>
            <w:r w:rsidR="00095F65" w:rsidRPr="00A64175">
              <w:rPr>
                <w:rFonts w:ascii="Arial" w:hAnsi="Arial" w:cs="Arial"/>
                <w:b/>
              </w:rPr>
              <w:t xml:space="preserve"> –</w:t>
            </w:r>
            <w:r w:rsidR="00095F65" w:rsidRPr="00A64175">
              <w:rPr>
                <w:rFonts w:ascii="Arial" w:hAnsi="Arial" w:cs="Arial"/>
              </w:rPr>
              <w:t xml:space="preserve"> Les conventions visées </w:t>
            </w:r>
            <w:r w:rsidRPr="00964CD4">
              <w:rPr>
                <w:rFonts w:ascii="Arial" w:hAnsi="Arial" w:cs="Arial"/>
              </w:rPr>
              <w:t xml:space="preserve">à </w:t>
            </w:r>
            <w:r w:rsidRPr="00C21CF0">
              <w:rPr>
                <w:rFonts w:ascii="Arial" w:hAnsi="Arial" w:cs="Arial"/>
              </w:rPr>
              <w:t xml:space="preserve">l’article </w:t>
            </w:r>
            <w:r w:rsidR="00F1331D" w:rsidRPr="00C21CF0">
              <w:rPr>
                <w:rFonts w:ascii="Arial" w:hAnsi="Arial" w:cs="Arial"/>
              </w:rPr>
              <w:t xml:space="preserve">278 </w:t>
            </w:r>
            <w:r w:rsidR="00C7269A" w:rsidRPr="00C21CF0">
              <w:rPr>
                <w:rFonts w:ascii="Arial" w:hAnsi="Arial" w:cs="Arial"/>
              </w:rPr>
              <w:t xml:space="preserve"> du présent r</w:t>
            </w:r>
            <w:r w:rsidR="00095F65" w:rsidRPr="00C21CF0">
              <w:rPr>
                <w:rFonts w:ascii="Arial" w:hAnsi="Arial" w:cs="Arial"/>
              </w:rPr>
              <w:t>èglement</w:t>
            </w:r>
            <w:r w:rsidR="00C7269A" w:rsidRPr="00C21CF0">
              <w:rPr>
                <w:rFonts w:ascii="Arial" w:hAnsi="Arial" w:cs="Arial"/>
              </w:rPr>
              <w:t xml:space="preserve"> général</w:t>
            </w:r>
            <w:r w:rsidR="00C7269A" w:rsidRPr="00A64175">
              <w:rPr>
                <w:rFonts w:ascii="Arial" w:hAnsi="Arial" w:cs="Arial"/>
              </w:rPr>
              <w:t xml:space="preserve"> </w:t>
            </w:r>
            <w:r w:rsidR="00095F65" w:rsidRPr="00A64175">
              <w:rPr>
                <w:rFonts w:ascii="Arial" w:hAnsi="Arial" w:cs="Arial"/>
              </w:rPr>
              <w:t xml:space="preserve"> doivent notamment préciser :</w:t>
            </w:r>
          </w:p>
          <w:p w14:paraId="3EA8D294" w14:textId="77777777" w:rsidR="00095F65" w:rsidRPr="00A64175" w:rsidRDefault="00095F65" w:rsidP="00A64175">
            <w:pPr>
              <w:widowControl w:val="0"/>
              <w:autoSpaceDE w:val="0"/>
              <w:adjustRightInd w:val="0"/>
              <w:jc w:val="both"/>
              <w:rPr>
                <w:rFonts w:ascii="Arial" w:hAnsi="Arial" w:cs="Arial"/>
                <w:kern w:val="1"/>
              </w:rPr>
            </w:pPr>
          </w:p>
          <w:p w14:paraId="6DA35D71" w14:textId="77777777" w:rsidR="00095F65" w:rsidRPr="00A64175" w:rsidRDefault="00095F65" w:rsidP="00A64175">
            <w:pPr>
              <w:widowControl w:val="0"/>
              <w:numPr>
                <w:ilvl w:val="0"/>
                <w:numId w:val="8"/>
              </w:numPr>
              <w:tabs>
                <w:tab w:val="left" w:pos="220"/>
                <w:tab w:val="left" w:pos="720"/>
              </w:tabs>
              <w:autoSpaceDE w:val="0"/>
              <w:autoSpaceDN w:val="0"/>
              <w:adjustRightInd w:val="0"/>
              <w:jc w:val="both"/>
              <w:rPr>
                <w:rFonts w:ascii="Arial" w:hAnsi="Arial" w:cs="Arial"/>
                <w:kern w:val="1"/>
              </w:rPr>
            </w:pPr>
            <w:r w:rsidRPr="00A64175">
              <w:rPr>
                <w:rFonts w:ascii="Arial" w:hAnsi="Arial" w:cs="Arial"/>
              </w:rPr>
              <w:t>L’identité de la ou des personnes avec lesquelles est établie la convention ;</w:t>
            </w:r>
          </w:p>
          <w:p w14:paraId="2F44A48C"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7769694B" w14:textId="77777777" w:rsidR="00095F65" w:rsidRPr="00A64175" w:rsidRDefault="00095F65" w:rsidP="00A64175">
            <w:pPr>
              <w:widowControl w:val="0"/>
              <w:numPr>
                <w:ilvl w:val="0"/>
                <w:numId w:val="7"/>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services que l’intermédiaire s’engage à fournir ;</w:t>
            </w:r>
          </w:p>
          <w:p w14:paraId="21F96BAB"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78A437B0" w14:textId="77777777" w:rsidR="00095F65" w:rsidRPr="00A64175" w:rsidRDefault="00095F65" w:rsidP="00A64175">
            <w:pPr>
              <w:widowControl w:val="0"/>
              <w:numPr>
                <w:ilvl w:val="0"/>
                <w:numId w:val="7"/>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catégories d’instruments financiers et autres produits de placement sur lesquels portent les prestations de l’intermédiaire ;</w:t>
            </w:r>
          </w:p>
          <w:p w14:paraId="4EF96076" w14:textId="77777777" w:rsidR="00095F65" w:rsidRPr="00A64175" w:rsidRDefault="00095F65" w:rsidP="00A64175">
            <w:pPr>
              <w:widowControl w:val="0"/>
              <w:tabs>
                <w:tab w:val="left" w:pos="220"/>
                <w:tab w:val="left" w:pos="720"/>
              </w:tabs>
              <w:autoSpaceDE w:val="0"/>
              <w:adjustRightInd w:val="0"/>
              <w:jc w:val="both"/>
              <w:rPr>
                <w:rFonts w:ascii="Arial" w:hAnsi="Arial" w:cs="Arial"/>
                <w:kern w:val="1"/>
              </w:rPr>
            </w:pPr>
          </w:p>
          <w:p w14:paraId="4FF65CB8" w14:textId="77777777" w:rsidR="00095F65" w:rsidRPr="00A64175" w:rsidRDefault="00095F65" w:rsidP="00A64175">
            <w:pPr>
              <w:widowControl w:val="0"/>
              <w:numPr>
                <w:ilvl w:val="0"/>
                <w:numId w:val="7"/>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obligations mises à la charge de l’intermédiaire ;</w:t>
            </w:r>
          </w:p>
          <w:p w14:paraId="394FCE1E" w14:textId="77777777" w:rsidR="00095F65" w:rsidRPr="00A64175" w:rsidRDefault="00095F65" w:rsidP="00A64175">
            <w:pPr>
              <w:widowControl w:val="0"/>
              <w:tabs>
                <w:tab w:val="left" w:pos="220"/>
                <w:tab w:val="left" w:pos="720"/>
              </w:tabs>
              <w:autoSpaceDE w:val="0"/>
              <w:adjustRightInd w:val="0"/>
              <w:jc w:val="both"/>
              <w:rPr>
                <w:rFonts w:ascii="Arial" w:hAnsi="Arial" w:cs="Arial"/>
                <w:kern w:val="1"/>
              </w:rPr>
            </w:pPr>
          </w:p>
          <w:p w14:paraId="45A3357B" w14:textId="77777777" w:rsidR="00095F65" w:rsidRPr="00A64175" w:rsidRDefault="00095F65" w:rsidP="00A64175">
            <w:pPr>
              <w:widowControl w:val="0"/>
              <w:numPr>
                <w:ilvl w:val="0"/>
                <w:numId w:val="7"/>
              </w:numPr>
              <w:tabs>
                <w:tab w:val="left" w:pos="220"/>
                <w:tab w:val="left" w:pos="720"/>
              </w:tabs>
              <w:autoSpaceDE w:val="0"/>
              <w:autoSpaceDN w:val="0"/>
              <w:adjustRightInd w:val="0"/>
              <w:jc w:val="both"/>
              <w:rPr>
                <w:rFonts w:ascii="Arial" w:hAnsi="Arial" w:cs="Arial"/>
                <w:kern w:val="1"/>
              </w:rPr>
            </w:pPr>
            <w:r w:rsidRPr="00A64175">
              <w:rPr>
                <w:rFonts w:ascii="Arial" w:hAnsi="Arial" w:cs="Arial"/>
              </w:rPr>
              <w:t>La tarification des services fournis par l’intermédiaire ;</w:t>
            </w:r>
          </w:p>
          <w:p w14:paraId="21478EB2" w14:textId="77777777" w:rsidR="00095F65" w:rsidRPr="00A64175" w:rsidRDefault="00095F65" w:rsidP="00A64175">
            <w:pPr>
              <w:widowControl w:val="0"/>
              <w:tabs>
                <w:tab w:val="left" w:pos="220"/>
                <w:tab w:val="left" w:pos="720"/>
              </w:tabs>
              <w:autoSpaceDE w:val="0"/>
              <w:adjustRightInd w:val="0"/>
              <w:jc w:val="both"/>
              <w:rPr>
                <w:rFonts w:ascii="Arial" w:hAnsi="Arial" w:cs="Arial"/>
                <w:kern w:val="1"/>
              </w:rPr>
            </w:pPr>
          </w:p>
          <w:p w14:paraId="513A026D" w14:textId="77777777" w:rsidR="00095F65" w:rsidRPr="00A64175" w:rsidRDefault="00095F65" w:rsidP="00A64175">
            <w:pPr>
              <w:widowControl w:val="0"/>
              <w:numPr>
                <w:ilvl w:val="0"/>
                <w:numId w:val="7"/>
              </w:numPr>
              <w:tabs>
                <w:tab w:val="left" w:pos="220"/>
                <w:tab w:val="left" w:pos="720"/>
              </w:tabs>
              <w:autoSpaceDE w:val="0"/>
              <w:autoSpaceDN w:val="0"/>
              <w:adjustRightInd w:val="0"/>
              <w:jc w:val="both"/>
              <w:rPr>
                <w:rFonts w:ascii="Arial" w:hAnsi="Arial" w:cs="Arial"/>
                <w:kern w:val="1"/>
              </w:rPr>
            </w:pPr>
            <w:r w:rsidRPr="00A64175">
              <w:rPr>
                <w:rFonts w:ascii="Arial" w:hAnsi="Arial" w:cs="Arial"/>
              </w:rPr>
              <w:t>La durée de la convention.</w:t>
            </w:r>
          </w:p>
          <w:p w14:paraId="397BFF8B"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B324C1C" w14:textId="77777777" w:rsidTr="00EC563C">
        <w:tc>
          <w:tcPr>
            <w:tcW w:w="9214" w:type="dxa"/>
            <w:shd w:val="clear" w:color="auto" w:fill="auto"/>
          </w:tcPr>
          <w:p w14:paraId="612A8B8E" w14:textId="56389593" w:rsidR="00095F65" w:rsidRPr="00A64175" w:rsidRDefault="00C7269A" w:rsidP="00A64175">
            <w:pPr>
              <w:jc w:val="both"/>
              <w:rPr>
                <w:rFonts w:ascii="Arial" w:hAnsi="Arial" w:cs="Arial"/>
              </w:rPr>
            </w:pPr>
            <w:r w:rsidRPr="00A64175">
              <w:rPr>
                <w:rFonts w:ascii="Arial" w:hAnsi="Arial" w:cs="Arial"/>
                <w:b/>
              </w:rPr>
              <w:t>Art</w:t>
            </w:r>
            <w:r w:rsidR="001F6854" w:rsidRPr="00A64175">
              <w:rPr>
                <w:rFonts w:ascii="Arial" w:hAnsi="Arial" w:cs="Arial"/>
                <w:b/>
              </w:rPr>
              <w:t>icle 2</w:t>
            </w:r>
            <w:r w:rsidR="005F0497">
              <w:rPr>
                <w:rFonts w:ascii="Arial" w:hAnsi="Arial" w:cs="Arial"/>
                <w:b/>
              </w:rPr>
              <w:t>80</w:t>
            </w:r>
            <w:r w:rsidR="00095F65" w:rsidRPr="00A64175">
              <w:rPr>
                <w:rFonts w:ascii="Arial" w:hAnsi="Arial" w:cs="Arial"/>
                <w:b/>
              </w:rPr>
              <w:t xml:space="preserve"> –</w:t>
            </w:r>
            <w:r w:rsidR="00095F65" w:rsidRPr="00A64175">
              <w:rPr>
                <w:rFonts w:ascii="Arial" w:hAnsi="Arial" w:cs="Arial"/>
              </w:rPr>
              <w:t xml:space="preserve"> Lorsqu’un donneur d’ordres conclut avec un intermédiaire habilité une convention de tenue de compte, celle-ci prévoit :</w:t>
            </w:r>
          </w:p>
          <w:p w14:paraId="3838B69B" w14:textId="77777777" w:rsidR="00095F65" w:rsidRPr="00A64175" w:rsidRDefault="00095F65" w:rsidP="00A64175">
            <w:pPr>
              <w:widowControl w:val="0"/>
              <w:autoSpaceDE w:val="0"/>
              <w:adjustRightInd w:val="0"/>
              <w:jc w:val="both"/>
              <w:rPr>
                <w:rFonts w:ascii="Arial" w:hAnsi="Arial" w:cs="Arial"/>
                <w:kern w:val="1"/>
              </w:rPr>
            </w:pPr>
          </w:p>
          <w:p w14:paraId="72C220FC" w14:textId="77777777" w:rsidR="00095F65" w:rsidRPr="00A64175" w:rsidRDefault="00095F65" w:rsidP="00A64175">
            <w:pPr>
              <w:widowControl w:val="0"/>
              <w:numPr>
                <w:ilvl w:val="0"/>
                <w:numId w:val="6"/>
              </w:numPr>
              <w:tabs>
                <w:tab w:val="left" w:pos="220"/>
                <w:tab w:val="left" w:pos="720"/>
              </w:tabs>
              <w:autoSpaceDE w:val="0"/>
              <w:autoSpaceDN w:val="0"/>
              <w:adjustRightInd w:val="0"/>
              <w:jc w:val="both"/>
              <w:rPr>
                <w:rFonts w:ascii="Arial" w:hAnsi="Arial" w:cs="Arial"/>
                <w:kern w:val="1"/>
              </w:rPr>
            </w:pPr>
            <w:r w:rsidRPr="00A64175">
              <w:rPr>
                <w:rFonts w:ascii="Arial" w:hAnsi="Arial" w:cs="Arial"/>
              </w:rPr>
              <w:t>Une obligation d’information sur les mouvements affectant les instruments financiers, les autres produits de placement et les espèces figurant au compte du titulaire ;</w:t>
            </w:r>
          </w:p>
          <w:p w14:paraId="1C786B18"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52B141D2" w14:textId="21BB9AF7" w:rsidR="00095F65" w:rsidRPr="00A64175" w:rsidRDefault="00095F65" w:rsidP="00A64175">
            <w:pPr>
              <w:widowControl w:val="0"/>
              <w:numPr>
                <w:ilvl w:val="0"/>
                <w:numId w:val="6"/>
              </w:numPr>
              <w:tabs>
                <w:tab w:val="left" w:pos="220"/>
                <w:tab w:val="left" w:pos="720"/>
              </w:tabs>
              <w:autoSpaceDE w:val="0"/>
              <w:autoSpaceDN w:val="0"/>
              <w:adjustRightInd w:val="0"/>
              <w:jc w:val="both"/>
              <w:rPr>
                <w:rFonts w:ascii="Arial" w:hAnsi="Arial" w:cs="Arial"/>
                <w:kern w:val="1"/>
              </w:rPr>
            </w:pPr>
            <w:r w:rsidRPr="00A64175">
              <w:rPr>
                <w:rFonts w:ascii="Arial" w:hAnsi="Arial" w:cs="Arial"/>
              </w:rPr>
              <w:t xml:space="preserve">Une obligation d’information du </w:t>
            </w:r>
            <w:r w:rsidR="006C3065" w:rsidRPr="00A64175">
              <w:rPr>
                <w:rFonts w:ascii="Arial" w:hAnsi="Arial" w:cs="Arial"/>
              </w:rPr>
              <w:t>titulaire du compte sur les</w:t>
            </w:r>
            <w:r w:rsidRPr="00A64175">
              <w:rPr>
                <w:rFonts w:ascii="Arial" w:hAnsi="Arial" w:cs="Arial"/>
              </w:rPr>
              <w:t xml:space="preserve"> obligations mises à la charge de l’intermédiaire habilité en matière de lutte contre le blanchiment de capitaux</w:t>
            </w:r>
            <w:r w:rsidR="006C3065" w:rsidRPr="00A64175">
              <w:rPr>
                <w:rFonts w:ascii="Arial" w:hAnsi="Arial" w:cs="Arial"/>
              </w:rPr>
              <w:t xml:space="preserve"> et le financement du terrorisme</w:t>
            </w:r>
            <w:r w:rsidRPr="00A64175">
              <w:rPr>
                <w:rFonts w:ascii="Arial" w:hAnsi="Arial" w:cs="Arial"/>
              </w:rPr>
              <w:t>.</w:t>
            </w:r>
          </w:p>
          <w:p w14:paraId="753707C7"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29013877" w14:textId="77777777" w:rsidTr="00EC563C">
        <w:tc>
          <w:tcPr>
            <w:tcW w:w="9214" w:type="dxa"/>
            <w:shd w:val="clear" w:color="auto" w:fill="auto"/>
          </w:tcPr>
          <w:p w14:paraId="339EC0E3" w14:textId="53CF1916" w:rsidR="00095F65" w:rsidRPr="00A64175" w:rsidRDefault="005515A4" w:rsidP="00A64175">
            <w:pPr>
              <w:jc w:val="both"/>
              <w:rPr>
                <w:rFonts w:ascii="Arial" w:hAnsi="Arial" w:cs="Arial"/>
              </w:rPr>
            </w:pPr>
            <w:r w:rsidRPr="00A64175">
              <w:rPr>
                <w:rFonts w:ascii="Arial" w:hAnsi="Arial" w:cs="Arial"/>
                <w:b/>
              </w:rPr>
              <w:t>Artic</w:t>
            </w:r>
            <w:r w:rsidR="001F6854" w:rsidRPr="00A64175">
              <w:rPr>
                <w:rFonts w:ascii="Arial" w:hAnsi="Arial" w:cs="Arial"/>
                <w:b/>
              </w:rPr>
              <w:t>le 2</w:t>
            </w:r>
            <w:r w:rsidR="005F0497">
              <w:rPr>
                <w:rFonts w:ascii="Arial" w:hAnsi="Arial" w:cs="Arial"/>
                <w:b/>
              </w:rPr>
              <w:t>81</w:t>
            </w:r>
            <w:r w:rsidR="00095F65" w:rsidRPr="00A64175">
              <w:rPr>
                <w:rFonts w:ascii="Arial" w:hAnsi="Arial" w:cs="Arial"/>
                <w:b/>
              </w:rPr>
              <w:t xml:space="preserve"> –</w:t>
            </w:r>
            <w:r w:rsidR="00095F65" w:rsidRPr="00A64175">
              <w:rPr>
                <w:rFonts w:ascii="Arial" w:hAnsi="Arial" w:cs="Arial"/>
              </w:rPr>
              <w:t xml:space="preserve"> Lorsqu’un donneur d’ordres conclut avec un intermédiaire de marché habilité une convention relative à la</w:t>
            </w:r>
            <w:r w:rsidR="005861AF" w:rsidRPr="00A64175">
              <w:rPr>
                <w:rFonts w:ascii="Arial" w:hAnsi="Arial" w:cs="Arial"/>
              </w:rPr>
              <w:t xml:space="preserve"> fourniture du service de</w:t>
            </w:r>
            <w:r w:rsidR="00095F65" w:rsidRPr="00A64175">
              <w:rPr>
                <w:rFonts w:ascii="Arial" w:hAnsi="Arial" w:cs="Arial"/>
              </w:rPr>
              <w:t xml:space="preserve"> réception et transmission d’</w:t>
            </w:r>
            <w:r w:rsidR="005861AF" w:rsidRPr="00A64175">
              <w:rPr>
                <w:rFonts w:ascii="Arial" w:hAnsi="Arial" w:cs="Arial"/>
              </w:rPr>
              <w:t>ordres, cette convention de services précise</w:t>
            </w:r>
            <w:r w:rsidR="00095F65" w:rsidRPr="00A64175">
              <w:rPr>
                <w:rFonts w:ascii="Arial" w:hAnsi="Arial" w:cs="Arial"/>
              </w:rPr>
              <w:t> :</w:t>
            </w:r>
          </w:p>
          <w:p w14:paraId="6C5AA1D3" w14:textId="77777777" w:rsidR="00095F65" w:rsidRPr="00A64175" w:rsidRDefault="00095F65" w:rsidP="00A64175">
            <w:pPr>
              <w:widowControl w:val="0"/>
              <w:autoSpaceDE w:val="0"/>
              <w:adjustRightInd w:val="0"/>
              <w:jc w:val="both"/>
              <w:rPr>
                <w:rFonts w:ascii="Arial" w:hAnsi="Arial" w:cs="Arial"/>
                <w:kern w:val="1"/>
              </w:rPr>
            </w:pPr>
          </w:p>
          <w:p w14:paraId="6BFF01ED" w14:textId="77777777" w:rsidR="00095F65" w:rsidRPr="00A64175" w:rsidRDefault="00095F65" w:rsidP="00A64175">
            <w:pPr>
              <w:widowControl w:val="0"/>
              <w:numPr>
                <w:ilvl w:val="0"/>
                <w:numId w:val="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caractéristiques des ordres susceptibles d’être adressés à l’intermédiaire ;</w:t>
            </w:r>
          </w:p>
          <w:p w14:paraId="30F9DF0E"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7CEEDC99" w14:textId="77777777" w:rsidR="00095F65" w:rsidRPr="00A64175" w:rsidRDefault="00095F65" w:rsidP="00A64175">
            <w:pPr>
              <w:widowControl w:val="0"/>
              <w:numPr>
                <w:ilvl w:val="0"/>
                <w:numId w:val="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 mode de transmission des ordres ;</w:t>
            </w:r>
          </w:p>
          <w:p w14:paraId="7291C27B" w14:textId="77777777" w:rsidR="00095F65" w:rsidRPr="00A64175" w:rsidRDefault="00095F65" w:rsidP="00A64175">
            <w:pPr>
              <w:widowControl w:val="0"/>
              <w:tabs>
                <w:tab w:val="left" w:pos="220"/>
                <w:tab w:val="left" w:pos="720"/>
              </w:tabs>
              <w:autoSpaceDE w:val="0"/>
              <w:adjustRightInd w:val="0"/>
              <w:jc w:val="both"/>
              <w:rPr>
                <w:rFonts w:ascii="Arial" w:hAnsi="Arial" w:cs="Arial"/>
                <w:kern w:val="1"/>
              </w:rPr>
            </w:pPr>
          </w:p>
          <w:p w14:paraId="5CDECDE9" w14:textId="77777777" w:rsidR="00095F65" w:rsidRPr="00A64175" w:rsidRDefault="00095F65" w:rsidP="00A64175">
            <w:pPr>
              <w:widowControl w:val="0"/>
              <w:numPr>
                <w:ilvl w:val="0"/>
                <w:numId w:val="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modalités d’information du donneur d’ordres dans les cas où l’ordre n’a pu être transmis à son destinataire ;</w:t>
            </w:r>
          </w:p>
          <w:p w14:paraId="6A8E4CC4"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7023F555" w14:textId="77777777" w:rsidR="00095F65" w:rsidRPr="00A64175" w:rsidRDefault="00095F65" w:rsidP="00A64175">
            <w:pPr>
              <w:widowControl w:val="0"/>
              <w:numPr>
                <w:ilvl w:val="0"/>
                <w:numId w:val="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L’intermédiaire de marché assurant la tenue de compte si le teneur de compte n’est pas le prestataire assurant le service de réception et transmission d’ordres.</w:t>
            </w:r>
          </w:p>
          <w:p w14:paraId="2E87C0EE"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313B1AA2" w14:textId="77777777" w:rsidTr="00EC563C">
        <w:tc>
          <w:tcPr>
            <w:tcW w:w="9214" w:type="dxa"/>
            <w:shd w:val="clear" w:color="auto" w:fill="auto"/>
          </w:tcPr>
          <w:p w14:paraId="2EDFE414" w14:textId="4B0232BD" w:rsidR="00095F65" w:rsidRPr="00A64175" w:rsidRDefault="005861AF" w:rsidP="00A64175">
            <w:pPr>
              <w:jc w:val="both"/>
              <w:rPr>
                <w:rFonts w:ascii="Arial" w:hAnsi="Arial" w:cs="Arial"/>
              </w:rPr>
            </w:pPr>
            <w:r w:rsidRPr="00A64175">
              <w:rPr>
                <w:rFonts w:ascii="Arial" w:hAnsi="Arial" w:cs="Arial"/>
                <w:b/>
              </w:rPr>
              <w:t xml:space="preserve">Article </w:t>
            </w:r>
            <w:r w:rsidR="001F6854" w:rsidRPr="00A64175">
              <w:rPr>
                <w:rFonts w:ascii="Arial" w:hAnsi="Arial" w:cs="Arial"/>
                <w:b/>
              </w:rPr>
              <w:t>2</w:t>
            </w:r>
            <w:r w:rsidR="005F0497">
              <w:rPr>
                <w:rFonts w:ascii="Arial" w:hAnsi="Arial" w:cs="Arial"/>
                <w:b/>
              </w:rPr>
              <w:t>82</w:t>
            </w:r>
            <w:r w:rsidR="00095F65" w:rsidRPr="00A64175">
              <w:rPr>
                <w:rFonts w:ascii="Arial" w:hAnsi="Arial" w:cs="Arial"/>
                <w:b/>
              </w:rPr>
              <w:t xml:space="preserve"> –</w:t>
            </w:r>
            <w:r w:rsidR="00095F65" w:rsidRPr="00A64175">
              <w:rPr>
                <w:rFonts w:ascii="Arial" w:hAnsi="Arial" w:cs="Arial"/>
              </w:rPr>
              <w:t xml:space="preserve"> L’intermédiaire de marché chargé de transmettre un ordre en vue de son exécution sur le marché est en mesure :</w:t>
            </w:r>
          </w:p>
          <w:p w14:paraId="5E3DAB9B" w14:textId="77777777" w:rsidR="00095F65" w:rsidRPr="00A64175" w:rsidRDefault="00095F65" w:rsidP="00A64175">
            <w:pPr>
              <w:widowControl w:val="0"/>
              <w:autoSpaceDE w:val="0"/>
              <w:adjustRightInd w:val="0"/>
              <w:jc w:val="both"/>
              <w:rPr>
                <w:rFonts w:ascii="Arial" w:hAnsi="Arial" w:cs="Arial"/>
                <w:kern w:val="1"/>
              </w:rPr>
            </w:pPr>
          </w:p>
          <w:p w14:paraId="7EED3910" w14:textId="76084D84" w:rsidR="00095F65" w:rsidRPr="00A64175" w:rsidRDefault="00095F65" w:rsidP="00A64175">
            <w:pPr>
              <w:widowControl w:val="0"/>
              <w:numPr>
                <w:ilvl w:val="0"/>
                <w:numId w:val="9"/>
              </w:numPr>
              <w:tabs>
                <w:tab w:val="left" w:pos="220"/>
                <w:tab w:val="left" w:pos="720"/>
              </w:tabs>
              <w:autoSpaceDE w:val="0"/>
              <w:autoSpaceDN w:val="0"/>
              <w:adjustRightInd w:val="0"/>
              <w:jc w:val="both"/>
              <w:rPr>
                <w:rFonts w:ascii="Arial" w:hAnsi="Arial" w:cs="Arial"/>
                <w:kern w:val="1"/>
              </w:rPr>
            </w:pPr>
            <w:r w:rsidRPr="00A64175">
              <w:rPr>
                <w:rFonts w:ascii="Arial" w:hAnsi="Arial" w:cs="Arial"/>
              </w:rPr>
              <w:t>De justifier que l’ordre transmis a été émis par le donneur d’ordre</w:t>
            </w:r>
            <w:r w:rsidR="005861AF" w:rsidRPr="00A64175">
              <w:rPr>
                <w:rFonts w:ascii="Arial" w:hAnsi="Arial" w:cs="Arial"/>
              </w:rPr>
              <w:t>s</w:t>
            </w:r>
            <w:r w:rsidRPr="00A64175">
              <w:rPr>
                <w:rFonts w:ascii="Arial" w:hAnsi="Arial" w:cs="Arial"/>
              </w:rPr>
              <w:t> ;</w:t>
            </w:r>
          </w:p>
          <w:p w14:paraId="6DB32042" w14:textId="77777777" w:rsidR="00095F65" w:rsidRPr="00A64175" w:rsidRDefault="00095F65" w:rsidP="00A64175">
            <w:pPr>
              <w:widowControl w:val="0"/>
              <w:tabs>
                <w:tab w:val="left" w:pos="220"/>
                <w:tab w:val="left" w:pos="720"/>
              </w:tabs>
              <w:autoSpaceDE w:val="0"/>
              <w:adjustRightInd w:val="0"/>
              <w:ind w:left="720"/>
              <w:jc w:val="both"/>
              <w:rPr>
                <w:rFonts w:ascii="Arial" w:hAnsi="Arial" w:cs="Arial"/>
                <w:kern w:val="1"/>
              </w:rPr>
            </w:pPr>
          </w:p>
          <w:p w14:paraId="0BE97127" w14:textId="77777777" w:rsidR="00095F65" w:rsidRPr="00A64175" w:rsidRDefault="00095F65" w:rsidP="00A64175">
            <w:pPr>
              <w:widowControl w:val="0"/>
              <w:numPr>
                <w:ilvl w:val="0"/>
                <w:numId w:val="9"/>
              </w:numPr>
              <w:tabs>
                <w:tab w:val="left" w:pos="220"/>
                <w:tab w:val="left" w:pos="720"/>
              </w:tabs>
              <w:autoSpaceDE w:val="0"/>
              <w:autoSpaceDN w:val="0"/>
              <w:adjustRightInd w:val="0"/>
              <w:jc w:val="both"/>
              <w:rPr>
                <w:rFonts w:ascii="Arial" w:hAnsi="Arial" w:cs="Arial"/>
                <w:kern w:val="1"/>
              </w:rPr>
            </w:pPr>
            <w:r w:rsidRPr="00A64175">
              <w:rPr>
                <w:rFonts w:ascii="Arial" w:hAnsi="Arial" w:cs="Arial"/>
              </w:rPr>
              <w:t>De prouver les dates et heures de la réception et de la transmission de l’ordre.</w:t>
            </w:r>
          </w:p>
          <w:p w14:paraId="15A68B4F"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A6964DD" w14:textId="77777777" w:rsidTr="00EC563C">
        <w:tc>
          <w:tcPr>
            <w:tcW w:w="9214" w:type="dxa"/>
            <w:shd w:val="clear" w:color="auto" w:fill="auto"/>
          </w:tcPr>
          <w:p w14:paraId="437996E3" w14:textId="2E615D05" w:rsidR="00095F65" w:rsidRPr="00A64175" w:rsidRDefault="001F6854" w:rsidP="00A64175">
            <w:pPr>
              <w:jc w:val="both"/>
              <w:rPr>
                <w:rFonts w:ascii="Arial" w:hAnsi="Arial" w:cs="Arial"/>
              </w:rPr>
            </w:pPr>
            <w:r w:rsidRPr="00A64175">
              <w:rPr>
                <w:rFonts w:ascii="Arial" w:hAnsi="Arial" w:cs="Arial"/>
                <w:b/>
              </w:rPr>
              <w:t>Article 2</w:t>
            </w:r>
            <w:r w:rsidR="005F0497">
              <w:rPr>
                <w:rFonts w:ascii="Arial" w:hAnsi="Arial" w:cs="Arial"/>
                <w:b/>
              </w:rPr>
              <w:t>83</w:t>
            </w:r>
            <w:r w:rsidR="00095F65" w:rsidRPr="00A64175">
              <w:rPr>
                <w:rFonts w:ascii="Arial" w:hAnsi="Arial" w:cs="Arial"/>
                <w:b/>
              </w:rPr>
              <w:t xml:space="preserve"> –</w:t>
            </w:r>
            <w:r w:rsidR="00095F65" w:rsidRPr="00A64175">
              <w:rPr>
                <w:rFonts w:ascii="Arial" w:hAnsi="Arial" w:cs="Arial"/>
              </w:rPr>
              <w:t xml:space="preserve"> Les intermédiaires de marché sont tenus de vérifier l’identité de tout client ou celle de la personne pour le compte de laquelle le client agit, préalablement à la fourniture de toute prestation. </w:t>
            </w:r>
          </w:p>
          <w:p w14:paraId="2A9E5ABB" w14:textId="77777777" w:rsidR="00095F65" w:rsidRPr="00A64175" w:rsidRDefault="00095F65" w:rsidP="00A64175">
            <w:pPr>
              <w:widowControl w:val="0"/>
              <w:autoSpaceDE w:val="0"/>
              <w:adjustRightInd w:val="0"/>
              <w:jc w:val="both"/>
              <w:rPr>
                <w:rFonts w:ascii="Arial" w:hAnsi="Arial" w:cs="Arial"/>
                <w:kern w:val="1"/>
              </w:rPr>
            </w:pPr>
          </w:p>
          <w:p w14:paraId="180B90BA" w14:textId="77777777" w:rsidR="00095F65" w:rsidRPr="00A64175" w:rsidRDefault="00095F65" w:rsidP="00A64175">
            <w:pPr>
              <w:widowControl w:val="0"/>
              <w:autoSpaceDE w:val="0"/>
              <w:adjustRightInd w:val="0"/>
              <w:jc w:val="both"/>
              <w:rPr>
                <w:rFonts w:ascii="Arial" w:hAnsi="Arial" w:cs="Arial"/>
                <w:kern w:val="1"/>
              </w:rPr>
            </w:pPr>
            <w:r w:rsidRPr="00A64175">
              <w:rPr>
                <w:rFonts w:ascii="Arial" w:hAnsi="Arial" w:cs="Arial"/>
              </w:rPr>
              <w:t>Les vérifications portent également sur la capacité juridique et la qualité requises pour émettre des ordres ou donner des instructions en matière d’investissement.</w:t>
            </w:r>
          </w:p>
          <w:p w14:paraId="0EBBEC6A"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3861342E" w14:textId="77777777" w:rsidTr="00EC563C">
        <w:tc>
          <w:tcPr>
            <w:tcW w:w="9214" w:type="dxa"/>
            <w:shd w:val="clear" w:color="auto" w:fill="auto"/>
          </w:tcPr>
          <w:p w14:paraId="184F61A2" w14:textId="77777777" w:rsidR="00095F65" w:rsidRPr="00A64175" w:rsidRDefault="00095F65" w:rsidP="00A64175">
            <w:pPr>
              <w:widowControl w:val="0"/>
              <w:autoSpaceDE w:val="0"/>
              <w:adjustRightInd w:val="0"/>
              <w:jc w:val="both"/>
              <w:rPr>
                <w:rFonts w:ascii="Arial" w:hAnsi="Arial" w:cs="Arial"/>
                <w:i/>
                <w:iCs/>
              </w:rPr>
            </w:pPr>
            <w:r w:rsidRPr="00A64175">
              <w:rPr>
                <w:rFonts w:ascii="Arial" w:hAnsi="Arial" w:cs="Arial"/>
                <w:i/>
                <w:iCs/>
              </w:rPr>
              <w:t>Sous-section II : Information de la clientèle</w:t>
            </w:r>
          </w:p>
        </w:tc>
      </w:tr>
      <w:tr w:rsidR="00095F65" w:rsidRPr="00A64175" w14:paraId="278228F7" w14:textId="77777777" w:rsidTr="00EC563C">
        <w:tc>
          <w:tcPr>
            <w:tcW w:w="9214" w:type="dxa"/>
            <w:shd w:val="clear" w:color="auto" w:fill="auto"/>
          </w:tcPr>
          <w:p w14:paraId="041BA8A0" w14:textId="77777777" w:rsidR="00095F65" w:rsidRPr="00A64175" w:rsidRDefault="00095F65" w:rsidP="00A64175">
            <w:pPr>
              <w:jc w:val="both"/>
              <w:rPr>
                <w:rFonts w:ascii="Arial" w:hAnsi="Arial" w:cs="Arial"/>
                <w:b/>
              </w:rPr>
            </w:pPr>
          </w:p>
          <w:p w14:paraId="3420A26C" w14:textId="683A52EB" w:rsidR="00095F65" w:rsidRPr="00A64175" w:rsidRDefault="001F6854" w:rsidP="00A64175">
            <w:pPr>
              <w:jc w:val="both"/>
              <w:rPr>
                <w:rFonts w:ascii="Arial" w:hAnsi="Arial" w:cs="Arial"/>
              </w:rPr>
            </w:pPr>
            <w:r w:rsidRPr="00A64175">
              <w:rPr>
                <w:rFonts w:ascii="Arial" w:hAnsi="Arial" w:cs="Arial"/>
                <w:b/>
              </w:rPr>
              <w:t>Article 28</w:t>
            </w:r>
            <w:r w:rsidR="005F0497">
              <w:rPr>
                <w:rFonts w:ascii="Arial" w:hAnsi="Arial" w:cs="Arial"/>
                <w:b/>
              </w:rPr>
              <w:t>4</w:t>
            </w:r>
            <w:r w:rsidR="00095F65" w:rsidRPr="00A64175">
              <w:rPr>
                <w:rFonts w:ascii="Arial" w:hAnsi="Arial" w:cs="Arial"/>
                <w:b/>
              </w:rPr>
              <w:t xml:space="preserve"> –</w:t>
            </w:r>
            <w:r w:rsidR="00095F65" w:rsidRPr="00A64175">
              <w:rPr>
                <w:rFonts w:ascii="Arial" w:hAnsi="Arial" w:cs="Arial"/>
              </w:rPr>
              <w:t xml:space="preserve"> En toutes circonstances, les intermédiaires de marché, fournissent à leur clientèle des informations fiables relatives à la tarification de leurs prestations. Ils précisent les modalités de leur intervention, les types d’ordres qu’ils sont en mesure de traiter, les modalités de réception et transmission des ordres ainsi que les modalités de communication au client des informations relatives aux opérations envisagées.</w:t>
            </w:r>
          </w:p>
          <w:p w14:paraId="6303C7B9" w14:textId="77777777" w:rsidR="00095F65" w:rsidRPr="00A64175" w:rsidRDefault="00095F65" w:rsidP="00A64175">
            <w:pPr>
              <w:widowControl w:val="0"/>
              <w:autoSpaceDE w:val="0"/>
              <w:adjustRightInd w:val="0"/>
              <w:jc w:val="both"/>
              <w:rPr>
                <w:rFonts w:ascii="Arial" w:hAnsi="Arial" w:cs="Arial"/>
                <w:kern w:val="1"/>
              </w:rPr>
            </w:pPr>
          </w:p>
          <w:p w14:paraId="2311F0C8" w14:textId="77777777" w:rsidR="00095F65" w:rsidRPr="00A64175" w:rsidRDefault="00095F65" w:rsidP="00A64175">
            <w:pPr>
              <w:widowControl w:val="0"/>
              <w:autoSpaceDE w:val="0"/>
              <w:adjustRightInd w:val="0"/>
              <w:jc w:val="both"/>
              <w:rPr>
                <w:rFonts w:ascii="Arial" w:hAnsi="Arial" w:cs="Arial"/>
                <w:kern w:val="1"/>
              </w:rPr>
            </w:pPr>
            <w:r w:rsidRPr="00A64175">
              <w:rPr>
                <w:rFonts w:ascii="Arial" w:hAnsi="Arial" w:cs="Arial"/>
              </w:rPr>
              <w:t>Les intermédiaires de marché habilités informent sans délai leurs clients des caractéristiques des instruments financiers dont la négociation est envisagée, des opérations susceptibles d’être traitées et des risques particuliers qu’ils peuvent comporter.</w:t>
            </w:r>
          </w:p>
          <w:p w14:paraId="024EE3B4"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007DAB9D" w14:textId="77777777" w:rsidTr="00EC563C">
        <w:tc>
          <w:tcPr>
            <w:tcW w:w="9214" w:type="dxa"/>
            <w:shd w:val="clear" w:color="auto" w:fill="auto"/>
          </w:tcPr>
          <w:p w14:paraId="476A4487" w14:textId="208BF3DD" w:rsidR="00095F65" w:rsidRPr="00A64175" w:rsidRDefault="001F6854" w:rsidP="00A64175">
            <w:pPr>
              <w:jc w:val="both"/>
              <w:rPr>
                <w:rFonts w:ascii="Arial" w:hAnsi="Arial" w:cs="Arial"/>
              </w:rPr>
            </w:pPr>
            <w:r w:rsidRPr="00A64175">
              <w:rPr>
                <w:rFonts w:ascii="Arial" w:hAnsi="Arial" w:cs="Arial"/>
                <w:b/>
              </w:rPr>
              <w:t>Article 28</w:t>
            </w:r>
            <w:r w:rsidR="005F0497">
              <w:rPr>
                <w:rFonts w:ascii="Arial" w:hAnsi="Arial" w:cs="Arial"/>
                <w:b/>
              </w:rPr>
              <w:t>5</w:t>
            </w:r>
            <w:r w:rsidR="00095F65" w:rsidRPr="00A64175">
              <w:rPr>
                <w:rFonts w:ascii="Arial" w:hAnsi="Arial" w:cs="Arial"/>
                <w:b/>
              </w:rPr>
              <w:t xml:space="preserve"> –</w:t>
            </w:r>
            <w:r w:rsidR="00095F65" w:rsidRPr="00A64175">
              <w:rPr>
                <w:rFonts w:ascii="Arial" w:hAnsi="Arial" w:cs="Arial"/>
              </w:rPr>
              <w:t xml:space="preserve"> L’intermédiaire de marché qui détient des instruments financiers ou des fonds de clients adresse au moins une fois par trimestre aux clients dont il détient des instruments financiers ou des fonds, sur un support durable, un relevé de ces instruments ou fonds, à moins que les mêmes informations n'aient été fournies dans un autre relevé périodique. A la demande du client, l’intermédiaire fournit ces relevés plus fréquemment, </w:t>
            </w:r>
            <w:r w:rsidR="002165E0" w:rsidRPr="00A64175">
              <w:rPr>
                <w:rFonts w:ascii="Arial" w:hAnsi="Arial" w:cs="Arial"/>
              </w:rPr>
              <w:t>le cas échéant, moyennant des frais.</w:t>
            </w:r>
          </w:p>
          <w:p w14:paraId="52D3D3BF"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236F2506" w14:textId="3EE19451" w:rsidR="00095F65" w:rsidRPr="00A64175" w:rsidRDefault="00095F65" w:rsidP="00A64175">
            <w:pPr>
              <w:pStyle w:val="NormalWeb"/>
              <w:spacing w:before="0" w:beforeAutospacing="0" w:after="0" w:afterAutospacing="0"/>
              <w:jc w:val="both"/>
              <w:rPr>
                <w:rFonts w:ascii="Arial" w:hAnsi="Arial" w:cs="Arial"/>
                <w:sz w:val="22"/>
                <w:szCs w:val="22"/>
              </w:rPr>
            </w:pPr>
            <w:r w:rsidRPr="00A64175">
              <w:rPr>
                <w:rFonts w:ascii="Arial" w:hAnsi="Arial" w:cs="Arial"/>
                <w:sz w:val="22"/>
                <w:szCs w:val="22"/>
              </w:rPr>
              <w:t>L</w:t>
            </w:r>
            <w:r w:rsidR="00275A55" w:rsidRPr="00A64175">
              <w:rPr>
                <w:rFonts w:ascii="Arial" w:hAnsi="Arial" w:cs="Arial"/>
                <w:sz w:val="22"/>
                <w:szCs w:val="22"/>
              </w:rPr>
              <w:t>es dispositions de l</w:t>
            </w:r>
            <w:r w:rsidRPr="00A64175">
              <w:rPr>
                <w:rFonts w:ascii="Arial" w:hAnsi="Arial" w:cs="Arial"/>
                <w:sz w:val="22"/>
                <w:szCs w:val="22"/>
              </w:rPr>
              <w:t>’alinéa premier</w:t>
            </w:r>
            <w:r w:rsidR="00275A55" w:rsidRPr="00A64175">
              <w:rPr>
                <w:rFonts w:ascii="Arial" w:hAnsi="Arial" w:cs="Arial"/>
                <w:sz w:val="22"/>
                <w:szCs w:val="22"/>
              </w:rPr>
              <w:t xml:space="preserve"> du présent article</w:t>
            </w:r>
            <w:r w:rsidRPr="00A64175">
              <w:rPr>
                <w:rFonts w:ascii="Arial" w:hAnsi="Arial" w:cs="Arial"/>
                <w:sz w:val="22"/>
                <w:szCs w:val="22"/>
              </w:rPr>
              <w:t xml:space="preserve"> ne s'applique</w:t>
            </w:r>
            <w:r w:rsidR="00275A55" w:rsidRPr="00A64175">
              <w:rPr>
                <w:rFonts w:ascii="Arial" w:hAnsi="Arial" w:cs="Arial"/>
                <w:sz w:val="22"/>
                <w:szCs w:val="22"/>
              </w:rPr>
              <w:t>nt</w:t>
            </w:r>
            <w:r w:rsidRPr="00A64175">
              <w:rPr>
                <w:rFonts w:ascii="Arial" w:hAnsi="Arial" w:cs="Arial"/>
                <w:sz w:val="22"/>
                <w:szCs w:val="22"/>
              </w:rPr>
              <w:t xml:space="preserve"> pas aux établissements de crédit agréés. </w:t>
            </w:r>
          </w:p>
          <w:p w14:paraId="79EC1A76"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71C0256A" w14:textId="0342150E" w:rsidR="00095F65" w:rsidRPr="00A64175" w:rsidRDefault="00095F65" w:rsidP="00A64175">
            <w:pPr>
              <w:pStyle w:val="NormalWeb"/>
              <w:spacing w:before="0" w:beforeAutospacing="0" w:after="0" w:afterAutospacing="0"/>
              <w:jc w:val="both"/>
              <w:rPr>
                <w:rFonts w:ascii="Arial" w:hAnsi="Arial" w:cs="Arial"/>
                <w:sz w:val="22"/>
                <w:szCs w:val="22"/>
              </w:rPr>
            </w:pPr>
            <w:r w:rsidRPr="00A64175">
              <w:rPr>
                <w:rFonts w:ascii="Arial" w:hAnsi="Arial" w:cs="Arial"/>
                <w:sz w:val="22"/>
                <w:szCs w:val="22"/>
              </w:rPr>
              <w:t>Le relevé périodique des actifs du client visé à l’alinéa premier du présent article n'est pas fourni lorsque l’intermédiaire de marché fournit à ses clients un accès à un système en ligne, qualifié de support durable, permettant au client d'accéder facilement aux relevés actualisés de ses instruments financiers ou fonds, et à condition q</w:t>
            </w:r>
            <w:r w:rsidR="00275A55" w:rsidRPr="00A64175">
              <w:rPr>
                <w:rFonts w:ascii="Arial" w:hAnsi="Arial" w:cs="Arial"/>
                <w:sz w:val="22"/>
                <w:szCs w:val="22"/>
              </w:rPr>
              <w:t>ue l'intermédiaire soit en mesure d’établir</w:t>
            </w:r>
            <w:r w:rsidRPr="00A64175">
              <w:rPr>
                <w:rFonts w:ascii="Arial" w:hAnsi="Arial" w:cs="Arial"/>
                <w:sz w:val="22"/>
                <w:szCs w:val="22"/>
              </w:rPr>
              <w:t xml:space="preserve"> que le client a accès à ce relevé au moins une fois par trimestre.</w:t>
            </w:r>
          </w:p>
          <w:p w14:paraId="736839C8" w14:textId="77777777" w:rsidR="00095F65" w:rsidRPr="00A64175" w:rsidRDefault="00095F65" w:rsidP="00A64175">
            <w:pPr>
              <w:pStyle w:val="NormalWeb"/>
              <w:spacing w:before="0" w:beforeAutospacing="0" w:after="0" w:afterAutospacing="0"/>
              <w:jc w:val="both"/>
              <w:rPr>
                <w:rFonts w:ascii="Arial" w:hAnsi="Arial" w:cs="Arial"/>
                <w:sz w:val="22"/>
                <w:szCs w:val="22"/>
              </w:rPr>
            </w:pPr>
          </w:p>
        </w:tc>
      </w:tr>
      <w:tr w:rsidR="00095F65" w:rsidRPr="00A64175" w14:paraId="18C3F1C3" w14:textId="77777777" w:rsidTr="00EC563C">
        <w:trPr>
          <w:trHeight w:val="85"/>
        </w:trPr>
        <w:tc>
          <w:tcPr>
            <w:tcW w:w="9214" w:type="dxa"/>
            <w:shd w:val="clear" w:color="auto" w:fill="auto"/>
          </w:tcPr>
          <w:p w14:paraId="702D668C" w14:textId="46357A60" w:rsidR="00095F65" w:rsidRPr="00A64175" w:rsidRDefault="00095F65" w:rsidP="00A64175">
            <w:pPr>
              <w:jc w:val="both"/>
              <w:rPr>
                <w:rFonts w:ascii="Arial" w:hAnsi="Arial" w:cs="Arial"/>
                <w:i/>
                <w:iCs/>
              </w:rPr>
            </w:pPr>
            <w:r w:rsidRPr="00A64175">
              <w:rPr>
                <w:rFonts w:ascii="Arial" w:hAnsi="Arial" w:cs="Arial"/>
                <w:i/>
                <w:iCs/>
              </w:rPr>
              <w:t>Sou</w:t>
            </w:r>
            <w:r w:rsidR="00275A55" w:rsidRPr="00A64175">
              <w:rPr>
                <w:rFonts w:ascii="Arial" w:hAnsi="Arial" w:cs="Arial"/>
                <w:i/>
                <w:iCs/>
              </w:rPr>
              <w:t>s-section III : Règles de bonne</w:t>
            </w:r>
            <w:r w:rsidRPr="00A64175">
              <w:rPr>
                <w:rFonts w:ascii="Arial" w:hAnsi="Arial" w:cs="Arial"/>
                <w:i/>
                <w:iCs/>
              </w:rPr>
              <w:t xml:space="preserve"> conduite</w:t>
            </w:r>
          </w:p>
        </w:tc>
      </w:tr>
      <w:tr w:rsidR="00095F65" w:rsidRPr="00A64175" w14:paraId="1F908287" w14:textId="77777777" w:rsidTr="00EC563C">
        <w:tc>
          <w:tcPr>
            <w:tcW w:w="9214" w:type="dxa"/>
            <w:shd w:val="clear" w:color="auto" w:fill="auto"/>
          </w:tcPr>
          <w:p w14:paraId="301E903F" w14:textId="77777777" w:rsidR="00095F65" w:rsidRPr="00A64175" w:rsidRDefault="00095F65" w:rsidP="00A64175">
            <w:pPr>
              <w:jc w:val="both"/>
              <w:rPr>
                <w:rFonts w:ascii="Arial" w:hAnsi="Arial" w:cs="Arial"/>
                <w:b/>
              </w:rPr>
            </w:pPr>
          </w:p>
        </w:tc>
      </w:tr>
      <w:tr w:rsidR="00095F65" w:rsidRPr="00A64175" w14:paraId="5341606C" w14:textId="77777777" w:rsidTr="00EC563C">
        <w:tc>
          <w:tcPr>
            <w:tcW w:w="9214" w:type="dxa"/>
            <w:shd w:val="clear" w:color="auto" w:fill="auto"/>
          </w:tcPr>
          <w:p w14:paraId="05EC2D05" w14:textId="34172DBE" w:rsidR="00095F65" w:rsidRPr="00A64175" w:rsidRDefault="00A92C1B" w:rsidP="00A64175">
            <w:pPr>
              <w:jc w:val="both"/>
              <w:rPr>
                <w:rFonts w:ascii="Arial" w:hAnsi="Arial" w:cs="Arial"/>
                <w:b/>
                <w:bCs/>
              </w:rPr>
            </w:pPr>
            <w:r w:rsidRPr="00A64175">
              <w:rPr>
                <w:rFonts w:ascii="Arial" w:hAnsi="Arial" w:cs="Arial"/>
                <w:b/>
                <w:bCs/>
              </w:rPr>
              <w:t>Article 28</w:t>
            </w:r>
            <w:r w:rsidR="005F0497">
              <w:rPr>
                <w:rFonts w:ascii="Arial" w:hAnsi="Arial" w:cs="Arial"/>
                <w:b/>
                <w:bCs/>
              </w:rPr>
              <w:t>6</w:t>
            </w:r>
            <w:r w:rsidR="00095F65" w:rsidRPr="00A64175">
              <w:rPr>
                <w:rFonts w:ascii="Arial" w:hAnsi="Arial" w:cs="Arial"/>
                <w:b/>
                <w:bCs/>
              </w:rPr>
              <w:t xml:space="preserve"> – </w:t>
            </w:r>
          </w:p>
          <w:p w14:paraId="5087C03A" w14:textId="77777777" w:rsidR="00095F65" w:rsidRPr="00A64175" w:rsidRDefault="00095F65" w:rsidP="00A64175">
            <w:pPr>
              <w:jc w:val="both"/>
              <w:rPr>
                <w:rFonts w:ascii="Arial" w:hAnsi="Arial" w:cs="Arial"/>
                <w:b/>
                <w:bCs/>
              </w:rPr>
            </w:pPr>
          </w:p>
          <w:p w14:paraId="02E65FBE" w14:textId="243A4DAA" w:rsidR="00095F65" w:rsidRPr="00A64175" w:rsidRDefault="00095F65" w:rsidP="00A64175">
            <w:pPr>
              <w:pStyle w:val="Paragraphedeliste"/>
              <w:spacing w:before="0" w:beforeAutospacing="0" w:after="0" w:afterAutospacing="0" w:line="240" w:lineRule="auto"/>
              <w:rPr>
                <w:shd w:val="clear" w:color="auto" w:fill="FFFFFF"/>
              </w:rPr>
            </w:pPr>
            <w:r w:rsidRPr="00A64175">
              <w:rPr>
                <w:shd w:val="clear" w:color="auto" w:fill="FFFFFF"/>
              </w:rPr>
              <w:t>L’intermédiaire de marche se procure les informations nécessaires concernant les connaissances et l'expérie</w:t>
            </w:r>
            <w:r w:rsidR="00FB59F8" w:rsidRPr="00A64175">
              <w:rPr>
                <w:shd w:val="clear" w:color="auto" w:fill="FFFFFF"/>
              </w:rPr>
              <w:t>nce de ses clients, y compris</w:t>
            </w:r>
            <w:r w:rsidRPr="00A64175">
              <w:rPr>
                <w:shd w:val="clear" w:color="auto" w:fill="FFFFFF"/>
              </w:rPr>
              <w:t xml:space="preserve"> ses clients potentiels, en matière d'investissement</w:t>
            </w:r>
            <w:r w:rsidR="00FB59F8" w:rsidRPr="00A64175">
              <w:rPr>
                <w:shd w:val="clear" w:color="auto" w:fill="FFFFFF"/>
              </w:rPr>
              <w:t>,</w:t>
            </w:r>
            <w:r w:rsidRPr="00A64175">
              <w:rPr>
                <w:shd w:val="clear" w:color="auto" w:fill="FFFFFF"/>
              </w:rPr>
              <w:t xml:space="preserve"> en rapport</w:t>
            </w:r>
            <w:r w:rsidR="00FB59F8" w:rsidRPr="00A64175">
              <w:rPr>
                <w:shd w:val="clear" w:color="auto" w:fill="FFFFFF"/>
              </w:rPr>
              <w:t xml:space="preserve"> notamment</w:t>
            </w:r>
            <w:r w:rsidRPr="00A64175">
              <w:rPr>
                <w:shd w:val="clear" w:color="auto" w:fill="FFFFFF"/>
              </w:rPr>
              <w:t xml:space="preserve"> avec le type spécifique d'instrument financier ou de service</w:t>
            </w:r>
            <w:r w:rsidR="00FB59F8" w:rsidRPr="00A64175">
              <w:rPr>
                <w:shd w:val="clear" w:color="auto" w:fill="FFFFFF"/>
              </w:rPr>
              <w:t xml:space="preserve"> envisagé</w:t>
            </w:r>
            <w:r w:rsidRPr="00A64175">
              <w:rPr>
                <w:shd w:val="clear" w:color="auto" w:fill="FFFFFF"/>
              </w:rPr>
              <w:t>, leur</w:t>
            </w:r>
            <w:r w:rsidR="00FB59F8" w:rsidRPr="00A64175">
              <w:rPr>
                <w:shd w:val="clear" w:color="auto" w:fill="FFFFFF"/>
              </w:rPr>
              <w:t xml:space="preserve"> situation financière,</w:t>
            </w:r>
            <w:r w:rsidRPr="00A64175">
              <w:rPr>
                <w:shd w:val="clear" w:color="auto" w:fill="FFFFFF"/>
              </w:rPr>
              <w:t xml:space="preserve"> leur</w:t>
            </w:r>
            <w:r w:rsidR="00FB59F8" w:rsidRPr="00A64175">
              <w:rPr>
                <w:shd w:val="clear" w:color="auto" w:fill="FFFFFF"/>
              </w:rPr>
              <w:t xml:space="preserve"> capacité à subir des pertes,</w:t>
            </w:r>
            <w:r w:rsidRPr="00A64175">
              <w:rPr>
                <w:shd w:val="clear" w:color="auto" w:fill="FFFFFF"/>
              </w:rPr>
              <w:t xml:space="preserve"> leurs objec</w:t>
            </w:r>
            <w:r w:rsidR="00FB59F8" w:rsidRPr="00A64175">
              <w:rPr>
                <w:shd w:val="clear" w:color="auto" w:fill="FFFFFF"/>
              </w:rPr>
              <w:t>tifs d'investissement et</w:t>
            </w:r>
            <w:r w:rsidRPr="00A64175">
              <w:rPr>
                <w:shd w:val="clear" w:color="auto" w:fill="FFFFFF"/>
              </w:rPr>
              <w:t xml:space="preserve"> leur tolérance au risque, de manière à pouvoir leur recommander les services d'investissement et les instruments financiers adéquats et adaptés à leur</w:t>
            </w:r>
            <w:r w:rsidR="00FB59F8" w:rsidRPr="00A64175">
              <w:rPr>
                <w:shd w:val="clear" w:color="auto" w:fill="FFFFFF"/>
              </w:rPr>
              <w:t xml:space="preserve"> profil de risque</w:t>
            </w:r>
            <w:r w:rsidRPr="00A64175">
              <w:rPr>
                <w:shd w:val="clear" w:color="auto" w:fill="FFFFFF"/>
              </w:rPr>
              <w:t>.</w:t>
            </w:r>
          </w:p>
          <w:p w14:paraId="5AF3BA5D" w14:textId="586E2952" w:rsidR="00095F65" w:rsidRPr="00A64175" w:rsidRDefault="00095F65" w:rsidP="00A64175">
            <w:pPr>
              <w:pStyle w:val="Paragraphedeliste"/>
              <w:spacing w:before="0" w:beforeAutospacing="0" w:after="0" w:afterAutospacing="0" w:line="240" w:lineRule="auto"/>
              <w:rPr>
                <w:shd w:val="clear" w:color="auto" w:fill="FFFFFF"/>
              </w:rPr>
            </w:pPr>
          </w:p>
        </w:tc>
      </w:tr>
      <w:tr w:rsidR="00095F65" w:rsidRPr="00A64175" w14:paraId="2760BC08" w14:textId="77777777" w:rsidTr="00EC563C">
        <w:tc>
          <w:tcPr>
            <w:tcW w:w="9214" w:type="dxa"/>
            <w:shd w:val="clear" w:color="auto" w:fill="auto"/>
          </w:tcPr>
          <w:p w14:paraId="0E1CE987" w14:textId="77777777" w:rsidR="00095F65" w:rsidRPr="00A64175" w:rsidRDefault="00095F65" w:rsidP="00A64175">
            <w:pPr>
              <w:jc w:val="both"/>
              <w:rPr>
                <w:rFonts w:ascii="Arial" w:hAnsi="Arial" w:cs="Arial"/>
                <w:b/>
                <w:bCs/>
              </w:rPr>
            </w:pPr>
          </w:p>
          <w:p w14:paraId="06378ECD" w14:textId="78429E4C" w:rsidR="00095F65" w:rsidRPr="00A64175" w:rsidRDefault="00A92C1B" w:rsidP="00A64175">
            <w:pPr>
              <w:jc w:val="both"/>
              <w:rPr>
                <w:rFonts w:ascii="Arial" w:hAnsi="Arial" w:cs="Arial"/>
              </w:rPr>
            </w:pPr>
            <w:r w:rsidRPr="00A64175">
              <w:rPr>
                <w:rFonts w:ascii="Arial" w:hAnsi="Arial" w:cs="Arial"/>
                <w:b/>
                <w:bCs/>
              </w:rPr>
              <w:t>Article 28</w:t>
            </w:r>
            <w:r w:rsidR="005F0497">
              <w:rPr>
                <w:rFonts w:ascii="Arial" w:hAnsi="Arial" w:cs="Arial"/>
                <w:b/>
                <w:bCs/>
              </w:rPr>
              <w:t>7</w:t>
            </w:r>
            <w:r w:rsidR="00CB0599" w:rsidRPr="00A64175">
              <w:rPr>
                <w:rFonts w:ascii="Arial" w:hAnsi="Arial" w:cs="Arial"/>
                <w:b/>
                <w:bCs/>
              </w:rPr>
              <w:t xml:space="preserve"> –</w:t>
            </w:r>
            <w:r w:rsidR="00095F65" w:rsidRPr="00A64175">
              <w:rPr>
                <w:rFonts w:ascii="Arial" w:hAnsi="Arial" w:cs="Arial"/>
                <w:b/>
                <w:bCs/>
              </w:rPr>
              <w:t xml:space="preserve"> </w:t>
            </w:r>
            <w:r w:rsidR="00095F65" w:rsidRPr="00A64175">
              <w:rPr>
                <w:rFonts w:ascii="Arial" w:hAnsi="Arial" w:cs="Arial"/>
              </w:rPr>
              <w:t>Une association professionnelle élabore un code de bonne conduite destiné à s'appliquer aux intermédiaires de marché ou à une catégorie d’intermédiaires de marché</w:t>
            </w:r>
            <w:r w:rsidR="001B5EBE" w:rsidRPr="00A64175">
              <w:rPr>
                <w:rFonts w:ascii="Arial" w:hAnsi="Arial" w:cs="Arial"/>
              </w:rPr>
              <w:t xml:space="preserve"> </w:t>
            </w:r>
            <w:r w:rsidR="000225A0" w:rsidRPr="00A64175">
              <w:rPr>
                <w:rFonts w:ascii="Arial" w:hAnsi="Arial" w:cs="Arial"/>
              </w:rPr>
              <w:t>relevant de la profession visée par ladite association</w:t>
            </w:r>
            <w:r w:rsidR="00095F65" w:rsidRPr="00A64175">
              <w:rPr>
                <w:rFonts w:ascii="Arial" w:hAnsi="Arial" w:cs="Arial"/>
              </w:rPr>
              <w:t>.</w:t>
            </w:r>
          </w:p>
          <w:p w14:paraId="1C6E0F23" w14:textId="77777777" w:rsidR="00095F65" w:rsidRPr="00A64175" w:rsidRDefault="00095F65" w:rsidP="00A64175">
            <w:pPr>
              <w:jc w:val="both"/>
              <w:rPr>
                <w:rFonts w:ascii="Arial" w:hAnsi="Arial" w:cs="Arial"/>
              </w:rPr>
            </w:pPr>
          </w:p>
          <w:p w14:paraId="45478230" w14:textId="1874DDA6" w:rsidR="00095F65" w:rsidRPr="00A64175" w:rsidRDefault="00095F65" w:rsidP="00A64175">
            <w:pPr>
              <w:shd w:val="clear" w:color="auto" w:fill="FFFFFF"/>
              <w:spacing w:after="150"/>
              <w:jc w:val="both"/>
              <w:rPr>
                <w:rFonts w:ascii="Arial" w:hAnsi="Arial" w:cs="Arial"/>
              </w:rPr>
            </w:pPr>
            <w:r w:rsidRPr="00A64175">
              <w:rPr>
                <w:rFonts w:ascii="Arial" w:hAnsi="Arial" w:cs="Arial"/>
              </w:rPr>
              <w:t>La COSUMAF s'assure de la</w:t>
            </w:r>
            <w:r w:rsidR="000225A0" w:rsidRPr="00A64175">
              <w:rPr>
                <w:rFonts w:ascii="Arial" w:hAnsi="Arial" w:cs="Arial"/>
              </w:rPr>
              <w:t xml:space="preserve"> compatibilité d</w:t>
            </w:r>
            <w:r w:rsidRPr="00A64175">
              <w:rPr>
                <w:rFonts w:ascii="Arial" w:hAnsi="Arial" w:cs="Arial"/>
              </w:rPr>
              <w:t xml:space="preserve">es dispositions </w:t>
            </w:r>
            <w:r w:rsidR="000225A0" w:rsidRPr="00A64175">
              <w:rPr>
                <w:rFonts w:ascii="Arial" w:hAnsi="Arial" w:cs="Arial"/>
              </w:rPr>
              <w:t xml:space="preserve">dudit code </w:t>
            </w:r>
            <w:r w:rsidRPr="00A64175">
              <w:rPr>
                <w:rFonts w:ascii="Arial" w:hAnsi="Arial" w:cs="Arial"/>
              </w:rPr>
              <w:t>avec celles du présent règlement</w:t>
            </w:r>
            <w:r w:rsidR="000225A0" w:rsidRPr="00A64175">
              <w:rPr>
                <w:rFonts w:ascii="Arial" w:hAnsi="Arial" w:cs="Arial"/>
              </w:rPr>
              <w:t xml:space="preserve"> général</w:t>
            </w:r>
            <w:r w:rsidRPr="00A64175">
              <w:rPr>
                <w:rFonts w:ascii="Arial" w:hAnsi="Arial" w:cs="Arial"/>
              </w:rPr>
              <w:t>.</w:t>
            </w:r>
          </w:p>
          <w:p w14:paraId="635A486C" w14:textId="77777777" w:rsidR="00095F65" w:rsidRPr="00A64175" w:rsidRDefault="00095F65" w:rsidP="00A64175">
            <w:pPr>
              <w:shd w:val="clear" w:color="auto" w:fill="FFFFFF"/>
              <w:spacing w:after="150"/>
              <w:jc w:val="both"/>
              <w:rPr>
                <w:rFonts w:ascii="Arial" w:hAnsi="Arial" w:cs="Arial"/>
              </w:rPr>
            </w:pPr>
            <w:r w:rsidRPr="00A64175">
              <w:rPr>
                <w:rFonts w:ascii="Arial" w:hAnsi="Arial" w:cs="Arial"/>
              </w:rPr>
              <w:t>L'association professionnelle peut demander à la COSUMAF d'approuver tout ou partie de ce code en qualité de règles professionnelles.</w:t>
            </w:r>
          </w:p>
          <w:p w14:paraId="6881B689" w14:textId="77777777" w:rsidR="00095F65" w:rsidRPr="00A64175" w:rsidRDefault="00095F65" w:rsidP="00A64175">
            <w:pPr>
              <w:shd w:val="clear" w:color="auto" w:fill="FFFFFF"/>
              <w:spacing w:after="150"/>
              <w:jc w:val="both"/>
              <w:rPr>
                <w:rFonts w:ascii="Arial" w:hAnsi="Arial" w:cs="Arial"/>
              </w:rPr>
            </w:pPr>
            <w:r w:rsidRPr="00A64175">
              <w:rPr>
                <w:rFonts w:ascii="Arial" w:hAnsi="Arial" w:cs="Arial"/>
              </w:rPr>
              <w:t>Quand la COSUMAF estime opportun d'appliquer à l'ensemble des intermédiaires de marché</w:t>
            </w:r>
            <w:r w:rsidR="000225A0" w:rsidRPr="00A64175">
              <w:rPr>
                <w:rFonts w:ascii="Arial" w:hAnsi="Arial" w:cs="Arial"/>
              </w:rPr>
              <w:t xml:space="preserve"> ou à une catégorie d’intermédiaires de marché</w:t>
            </w:r>
            <w:r w:rsidRPr="00A64175">
              <w:rPr>
                <w:rFonts w:ascii="Arial" w:hAnsi="Arial" w:cs="Arial"/>
              </w:rPr>
              <w:t xml:space="preserve"> tout ou partie des dispositions du code en cause, elle fait connaître cette décision en la publiant sur son site.</w:t>
            </w:r>
          </w:p>
          <w:p w14:paraId="550C5DD0" w14:textId="77777777" w:rsidR="00CB0599" w:rsidRPr="00A64175" w:rsidRDefault="00CB0599" w:rsidP="00A64175">
            <w:pPr>
              <w:shd w:val="clear" w:color="auto" w:fill="FFFFFF"/>
              <w:spacing w:after="150"/>
              <w:jc w:val="both"/>
              <w:rPr>
                <w:rFonts w:ascii="Arial" w:hAnsi="Arial" w:cs="Arial"/>
              </w:rPr>
            </w:pPr>
          </w:p>
          <w:p w14:paraId="5344A49F" w14:textId="2EBFC65E" w:rsidR="00CB0599" w:rsidRPr="00A64175" w:rsidRDefault="00A92C1B" w:rsidP="00A64175">
            <w:pPr>
              <w:shd w:val="clear" w:color="auto" w:fill="FFFFFF"/>
              <w:spacing w:after="150"/>
              <w:jc w:val="both"/>
              <w:rPr>
                <w:rFonts w:ascii="Arial" w:hAnsi="Arial" w:cs="Arial"/>
              </w:rPr>
            </w:pPr>
            <w:r w:rsidRPr="00A64175">
              <w:rPr>
                <w:rFonts w:ascii="Arial" w:hAnsi="Arial" w:cs="Arial"/>
                <w:b/>
                <w:bCs/>
              </w:rPr>
              <w:t>Article 28</w:t>
            </w:r>
            <w:r w:rsidR="005F0497">
              <w:rPr>
                <w:rFonts w:ascii="Arial" w:hAnsi="Arial" w:cs="Arial"/>
                <w:b/>
                <w:bCs/>
              </w:rPr>
              <w:t>8</w:t>
            </w:r>
            <w:r w:rsidR="00CB0599" w:rsidRPr="00A64175">
              <w:rPr>
                <w:rFonts w:ascii="Arial" w:hAnsi="Arial" w:cs="Arial"/>
                <w:b/>
                <w:bCs/>
              </w:rPr>
              <w:t xml:space="preserve"> – </w:t>
            </w:r>
            <w:r w:rsidR="00CB0599" w:rsidRPr="00A64175">
              <w:rPr>
                <w:rFonts w:ascii="Arial" w:hAnsi="Arial" w:cs="Arial"/>
              </w:rPr>
              <w:t>Les intermédiaires de marché sont tenus d’adhérer à une association professionnelle.</w:t>
            </w:r>
          </w:p>
          <w:p w14:paraId="58687F3D" w14:textId="51F73329" w:rsidR="00CB0599" w:rsidRPr="00A64175" w:rsidRDefault="00CB0599" w:rsidP="00A64175">
            <w:pPr>
              <w:shd w:val="clear" w:color="auto" w:fill="FFFFFF"/>
              <w:spacing w:after="150"/>
              <w:jc w:val="both"/>
              <w:rPr>
                <w:rFonts w:ascii="Arial" w:hAnsi="Arial" w:cs="Arial"/>
              </w:rPr>
            </w:pPr>
            <w:r w:rsidRPr="00A64175">
              <w:rPr>
                <w:rFonts w:ascii="Arial" w:hAnsi="Arial" w:cs="Arial"/>
              </w:rPr>
              <w:t xml:space="preserve">Les associations professionnelles veillent à l’observation par leurs membres de leurs obligations professionnelles et au respect par eux de la réglementation du marché financier régional. Elles sont tenues d’informer la COSUMAF de tout manquement relevé dans l’exercice de leurs fonctions. </w:t>
            </w:r>
          </w:p>
          <w:p w14:paraId="3BE6390D" w14:textId="0D611620" w:rsidR="00CB0599" w:rsidRPr="00A64175" w:rsidRDefault="00CB0599" w:rsidP="00A64175">
            <w:pPr>
              <w:shd w:val="clear" w:color="auto" w:fill="FFFFFF"/>
              <w:spacing w:after="150"/>
              <w:jc w:val="both"/>
              <w:rPr>
                <w:rFonts w:ascii="Arial" w:hAnsi="Arial" w:cs="Arial"/>
              </w:rPr>
            </w:pPr>
            <w:r w:rsidRPr="00A64175">
              <w:rPr>
                <w:rFonts w:ascii="Arial" w:hAnsi="Arial" w:cs="Arial"/>
              </w:rPr>
              <w:t>L’association professionnelle peut être consultée par la COSUMAF</w:t>
            </w:r>
            <w:r w:rsidR="003B08D8" w:rsidRPr="00A64175">
              <w:rPr>
                <w:rFonts w:ascii="Arial" w:hAnsi="Arial" w:cs="Arial"/>
              </w:rPr>
              <w:t xml:space="preserve"> sur toute question intéressant la profession de ses membres.</w:t>
            </w:r>
          </w:p>
          <w:p w14:paraId="22B554FF" w14:textId="63B3B616" w:rsidR="003B08D8" w:rsidRPr="00A64175" w:rsidRDefault="003B08D8" w:rsidP="00A64175">
            <w:pPr>
              <w:shd w:val="clear" w:color="auto" w:fill="FFFFFF"/>
              <w:spacing w:after="150"/>
              <w:jc w:val="both"/>
              <w:rPr>
                <w:rFonts w:ascii="Arial" w:hAnsi="Arial" w:cs="Arial"/>
              </w:rPr>
            </w:pPr>
            <w:r w:rsidRPr="00A64175">
              <w:rPr>
                <w:rFonts w:ascii="Arial" w:hAnsi="Arial" w:cs="Arial"/>
              </w:rPr>
              <w:t>Les statuts de l’association doivent être approuvés par la COSUMAF.</w:t>
            </w:r>
          </w:p>
          <w:p w14:paraId="19994109" w14:textId="0E82F345" w:rsidR="003B08D8" w:rsidRPr="00A64175" w:rsidRDefault="003B08D8" w:rsidP="00A64175">
            <w:pPr>
              <w:shd w:val="clear" w:color="auto" w:fill="FFFFFF"/>
              <w:spacing w:after="150"/>
              <w:jc w:val="both"/>
              <w:rPr>
                <w:rFonts w:ascii="Arial" w:hAnsi="Arial" w:cs="Arial"/>
                <w:b/>
              </w:rPr>
            </w:pPr>
          </w:p>
        </w:tc>
      </w:tr>
      <w:tr w:rsidR="00095F65" w:rsidRPr="00A64175" w14:paraId="6AB69C0D" w14:textId="77777777" w:rsidTr="00EC563C">
        <w:tc>
          <w:tcPr>
            <w:tcW w:w="9214" w:type="dxa"/>
            <w:shd w:val="clear" w:color="auto" w:fill="auto"/>
          </w:tcPr>
          <w:p w14:paraId="451A3681" w14:textId="0E29C843" w:rsidR="00095F65" w:rsidRPr="00A64175" w:rsidRDefault="00A92C1B" w:rsidP="00A64175">
            <w:pPr>
              <w:jc w:val="both"/>
              <w:rPr>
                <w:rFonts w:ascii="Arial" w:hAnsi="Arial" w:cs="Arial"/>
              </w:rPr>
            </w:pPr>
            <w:r w:rsidRPr="00A64175">
              <w:rPr>
                <w:rFonts w:ascii="Arial" w:hAnsi="Arial" w:cs="Arial"/>
                <w:b/>
                <w:bCs/>
              </w:rPr>
              <w:t>Article 28</w:t>
            </w:r>
            <w:r w:rsidR="005F0497">
              <w:rPr>
                <w:rFonts w:ascii="Arial" w:hAnsi="Arial" w:cs="Arial"/>
                <w:b/>
                <w:bCs/>
              </w:rPr>
              <w:t>9</w:t>
            </w:r>
            <w:r w:rsidR="00095F65" w:rsidRPr="00A64175">
              <w:rPr>
                <w:rFonts w:ascii="Arial" w:hAnsi="Arial" w:cs="Arial"/>
                <w:b/>
                <w:bCs/>
              </w:rPr>
              <w:t xml:space="preserve"> </w:t>
            </w:r>
            <w:r w:rsidR="00095F65" w:rsidRPr="00A64175">
              <w:rPr>
                <w:rFonts w:ascii="Arial" w:hAnsi="Arial" w:cs="Arial"/>
                <w:b/>
              </w:rPr>
              <w:t>–</w:t>
            </w:r>
            <w:r w:rsidR="00095F65" w:rsidRPr="00A64175">
              <w:rPr>
                <w:rFonts w:ascii="Arial" w:hAnsi="Arial" w:cs="Arial"/>
              </w:rPr>
              <w:t xml:space="preserve"> Tout intermédiaire de marché ayant groupé des transactions pour compte propre avec un ou plusieurs ordres de clients s'abstient de répartir les opérations correspondantes d'une manière qui soit préjudiciable à un client. </w:t>
            </w:r>
          </w:p>
          <w:p w14:paraId="19A9C42A"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20D735CF" w14:textId="77777777" w:rsidR="00095F65" w:rsidRPr="00A64175" w:rsidRDefault="00095F65" w:rsidP="00A64175">
            <w:pPr>
              <w:jc w:val="both"/>
              <w:rPr>
                <w:rFonts w:ascii="Arial" w:hAnsi="Arial" w:cs="Arial"/>
              </w:rPr>
            </w:pPr>
            <w:r w:rsidRPr="00A64175">
              <w:rPr>
                <w:rFonts w:ascii="Arial" w:hAnsi="Arial" w:cs="Arial"/>
              </w:rPr>
              <w:t xml:space="preserve">Dans les cas où un intermédiaire de marché groupe un ordre de client avec une transaction pour compte propre et où l'ordre groupé est partiellement exécuté, il alloue les opérations correspondantes prioritairement au client, et non à lui-même. </w:t>
            </w:r>
          </w:p>
          <w:p w14:paraId="7B3802AA" w14:textId="77777777" w:rsidR="00095F65" w:rsidRPr="00A64175" w:rsidRDefault="00095F65" w:rsidP="00A64175">
            <w:pPr>
              <w:jc w:val="both"/>
              <w:rPr>
                <w:rFonts w:ascii="Arial" w:hAnsi="Arial" w:cs="Arial"/>
              </w:rPr>
            </w:pPr>
          </w:p>
          <w:p w14:paraId="2ECB2400" w14:textId="77777777" w:rsidR="00095F65" w:rsidRPr="00A64175" w:rsidRDefault="00095F65" w:rsidP="00A64175">
            <w:pPr>
              <w:jc w:val="both"/>
              <w:rPr>
                <w:rFonts w:ascii="Arial" w:hAnsi="Arial" w:cs="Arial"/>
              </w:rPr>
            </w:pPr>
            <w:r w:rsidRPr="00A64175">
              <w:rPr>
                <w:rFonts w:ascii="Arial" w:hAnsi="Arial" w:cs="Arial"/>
              </w:rPr>
              <w:t xml:space="preserve">L’intermédiaire de marché met en place, dans le cadre de sa politique de répartition des ordres, des procédures visant à empêcher la réallocation selon des modalités défavorables aux clients de transactions pour compte propre exécutées en combinaison avec des ordres de clients. </w:t>
            </w:r>
          </w:p>
          <w:p w14:paraId="4230F1BC" w14:textId="77777777" w:rsidR="00095F65" w:rsidRPr="00A64175" w:rsidRDefault="00095F65" w:rsidP="00A64175">
            <w:pPr>
              <w:jc w:val="both"/>
              <w:rPr>
                <w:rFonts w:ascii="Arial" w:hAnsi="Arial" w:cs="Arial"/>
                <w:b/>
              </w:rPr>
            </w:pPr>
          </w:p>
        </w:tc>
      </w:tr>
      <w:tr w:rsidR="00095F65" w:rsidRPr="00A64175" w14:paraId="0103BB6B" w14:textId="77777777" w:rsidTr="00EC563C">
        <w:tc>
          <w:tcPr>
            <w:tcW w:w="9214" w:type="dxa"/>
            <w:shd w:val="clear" w:color="auto" w:fill="auto"/>
          </w:tcPr>
          <w:p w14:paraId="7A8D87FE" w14:textId="73F46A15" w:rsidR="00095F65" w:rsidRPr="00A64175" w:rsidRDefault="00095F65" w:rsidP="00A64175">
            <w:pPr>
              <w:jc w:val="both"/>
              <w:rPr>
                <w:rFonts w:ascii="Arial" w:hAnsi="Arial" w:cs="Arial"/>
                <w:shd w:val="clear" w:color="auto" w:fill="FFFFFF"/>
              </w:rPr>
            </w:pPr>
            <w:r w:rsidRPr="00A64175">
              <w:rPr>
                <w:rFonts w:ascii="Arial" w:hAnsi="Arial" w:cs="Arial"/>
                <w:b/>
                <w:bCs/>
              </w:rPr>
              <w:t xml:space="preserve">Article </w:t>
            </w:r>
            <w:r w:rsidR="00A92C1B" w:rsidRPr="00A64175">
              <w:rPr>
                <w:rFonts w:ascii="Arial" w:hAnsi="Arial" w:cs="Arial"/>
                <w:b/>
                <w:bCs/>
              </w:rPr>
              <w:t>2</w:t>
            </w:r>
            <w:r w:rsidR="005F0497">
              <w:rPr>
                <w:rFonts w:ascii="Arial" w:hAnsi="Arial" w:cs="Arial"/>
                <w:b/>
                <w:bCs/>
              </w:rPr>
              <w:t>90</w:t>
            </w:r>
            <w:r w:rsidRPr="00A64175">
              <w:rPr>
                <w:rFonts w:ascii="Arial" w:hAnsi="Arial" w:cs="Arial"/>
                <w:b/>
                <w:bCs/>
              </w:rPr>
              <w:t xml:space="preserve"> </w:t>
            </w:r>
            <w:r w:rsidRPr="00A64175">
              <w:rPr>
                <w:rFonts w:ascii="Arial" w:hAnsi="Arial" w:cs="Arial"/>
                <w:b/>
              </w:rPr>
              <w:t>–</w:t>
            </w:r>
            <w:r w:rsidRPr="00A64175">
              <w:rPr>
                <w:rFonts w:ascii="Arial" w:hAnsi="Arial" w:cs="Arial"/>
              </w:rPr>
              <w:t xml:space="preserve"> Un </w:t>
            </w:r>
            <w:r w:rsidRPr="00A64175">
              <w:rPr>
                <w:rFonts w:ascii="Arial" w:hAnsi="Arial" w:cs="Arial"/>
                <w:shd w:val="clear" w:color="auto" w:fill="FFFFFF"/>
              </w:rPr>
              <w:t>intermédiaire de marché ne peut procéder à des opérations de financement sur titres en utilisant les instruments financiers qu'il détient pour le compte d'un client ou les utiliser de quelque autre manière que ce soit pour son propre compte ou le compte de toute autre personne ou le compte d'un autre de ses clients.</w:t>
            </w:r>
          </w:p>
          <w:p w14:paraId="22A72358" w14:textId="77777777" w:rsidR="00095F65" w:rsidRPr="00A64175" w:rsidRDefault="00095F65" w:rsidP="00A64175">
            <w:pPr>
              <w:jc w:val="both"/>
              <w:rPr>
                <w:rFonts w:ascii="Arial" w:hAnsi="Arial" w:cs="Arial"/>
                <w:b/>
              </w:rPr>
            </w:pPr>
          </w:p>
        </w:tc>
      </w:tr>
      <w:tr w:rsidR="00095F65" w:rsidRPr="00A64175" w14:paraId="48C2FA46" w14:textId="77777777" w:rsidTr="00EC563C">
        <w:trPr>
          <w:trHeight w:val="377"/>
        </w:trPr>
        <w:tc>
          <w:tcPr>
            <w:tcW w:w="9214" w:type="dxa"/>
            <w:shd w:val="clear" w:color="auto" w:fill="auto"/>
          </w:tcPr>
          <w:p w14:paraId="0739A030" w14:textId="77777777" w:rsidR="00095F65" w:rsidRPr="00A64175" w:rsidRDefault="00095F65" w:rsidP="00A64175">
            <w:pPr>
              <w:widowControl w:val="0"/>
              <w:autoSpaceDE w:val="0"/>
              <w:adjustRightInd w:val="0"/>
              <w:jc w:val="both"/>
              <w:rPr>
                <w:rFonts w:ascii="Arial" w:hAnsi="Arial" w:cs="Arial"/>
                <w:bCs/>
                <w:i/>
                <w:iCs/>
              </w:rPr>
            </w:pPr>
            <w:r w:rsidRPr="00A64175">
              <w:rPr>
                <w:rFonts w:ascii="Arial" w:hAnsi="Arial" w:cs="Arial"/>
                <w:bCs/>
                <w:i/>
                <w:iCs/>
                <w:color w:val="000000" w:themeColor="text1"/>
              </w:rPr>
              <w:t xml:space="preserve">Sous-section IV : Obligations de reporting </w:t>
            </w:r>
          </w:p>
        </w:tc>
      </w:tr>
      <w:tr w:rsidR="00095F65" w:rsidRPr="00A64175" w14:paraId="04D4AA3E" w14:textId="77777777" w:rsidTr="00EC563C">
        <w:tc>
          <w:tcPr>
            <w:tcW w:w="9214" w:type="dxa"/>
            <w:shd w:val="clear" w:color="auto" w:fill="auto"/>
          </w:tcPr>
          <w:p w14:paraId="77F19901" w14:textId="77777777" w:rsidR="00095F65" w:rsidRDefault="00A92C1B"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sz w:val="22"/>
                <w:szCs w:val="22"/>
              </w:rPr>
              <w:t>Article 2</w:t>
            </w:r>
            <w:r w:rsidR="009B231D">
              <w:rPr>
                <w:rFonts w:ascii="Arial" w:hAnsi="Arial" w:cs="Arial"/>
                <w:b/>
                <w:bCs/>
                <w:sz w:val="22"/>
                <w:szCs w:val="22"/>
              </w:rPr>
              <w:t>91</w:t>
            </w:r>
            <w:r w:rsidR="00095F65" w:rsidRPr="00A64175">
              <w:rPr>
                <w:rFonts w:ascii="Arial" w:hAnsi="Arial" w:cs="Arial"/>
                <w:b/>
                <w:bCs/>
                <w:sz w:val="22"/>
                <w:szCs w:val="22"/>
              </w:rPr>
              <w:t xml:space="preserve"> - </w:t>
            </w:r>
            <w:r w:rsidR="00095F65" w:rsidRPr="00A64175">
              <w:rPr>
                <w:rFonts w:ascii="Arial" w:hAnsi="Arial" w:cs="Arial"/>
                <w:bCs/>
                <w:color w:val="000000" w:themeColor="text1"/>
                <w:sz w:val="22"/>
                <w:szCs w:val="22"/>
              </w:rPr>
              <w:t>Le</w:t>
            </w:r>
            <w:r w:rsidR="00095F65" w:rsidRPr="00A64175">
              <w:rPr>
                <w:rFonts w:ascii="Arial" w:hAnsi="Arial" w:cs="Arial"/>
                <w:color w:val="000000" w:themeColor="text1"/>
                <w:sz w:val="22"/>
                <w:szCs w:val="22"/>
              </w:rPr>
              <w:t>s intermédiaires de marché transmettent régulièrement à la COSUMAF des comptes rendus d’activité</w:t>
            </w:r>
            <w:r w:rsidR="00B1704F" w:rsidRPr="00A64175">
              <w:rPr>
                <w:rFonts w:ascii="Arial" w:hAnsi="Arial" w:cs="Arial"/>
                <w:color w:val="000000" w:themeColor="text1"/>
                <w:sz w:val="22"/>
                <w:szCs w:val="22"/>
              </w:rPr>
              <w:t xml:space="preserve"> et d’autres informations dont la nature,</w:t>
            </w:r>
            <w:r w:rsidR="00095F65" w:rsidRPr="00A64175">
              <w:rPr>
                <w:rFonts w:ascii="Arial" w:hAnsi="Arial" w:cs="Arial"/>
                <w:color w:val="000000" w:themeColor="text1"/>
                <w:sz w:val="22"/>
                <w:szCs w:val="22"/>
              </w:rPr>
              <w:t xml:space="preserve"> le format, la fréquence et les modalités de t</w:t>
            </w:r>
            <w:r w:rsidR="00B1704F" w:rsidRPr="00A64175">
              <w:rPr>
                <w:rFonts w:ascii="Arial" w:hAnsi="Arial" w:cs="Arial"/>
                <w:color w:val="000000" w:themeColor="text1"/>
                <w:sz w:val="22"/>
                <w:szCs w:val="22"/>
              </w:rPr>
              <w:t>ransmission sont précisés dans une</w:t>
            </w:r>
            <w:r w:rsidR="00984F3F" w:rsidRPr="00A64175">
              <w:rPr>
                <w:rFonts w:ascii="Arial" w:hAnsi="Arial" w:cs="Arial"/>
                <w:color w:val="000000" w:themeColor="text1"/>
                <w:sz w:val="22"/>
                <w:szCs w:val="22"/>
              </w:rPr>
              <w:t xml:space="preserve"> </w:t>
            </w:r>
            <w:r w:rsidR="00B1704F" w:rsidRPr="00A64175">
              <w:rPr>
                <w:rFonts w:ascii="Arial" w:hAnsi="Arial" w:cs="Arial"/>
                <w:color w:val="000000" w:themeColor="text1"/>
                <w:sz w:val="22"/>
                <w:szCs w:val="22"/>
              </w:rPr>
              <w:t xml:space="preserve"> </w:t>
            </w:r>
            <w:r w:rsidR="00095F65" w:rsidRPr="00A64175">
              <w:rPr>
                <w:rFonts w:ascii="Arial" w:hAnsi="Arial" w:cs="Arial"/>
                <w:color w:val="000000" w:themeColor="text1"/>
                <w:sz w:val="22"/>
                <w:szCs w:val="22"/>
              </w:rPr>
              <w:t xml:space="preserve"> instruction.</w:t>
            </w:r>
          </w:p>
          <w:p w14:paraId="7B08348B" w14:textId="0296AD3B" w:rsidR="00244A88" w:rsidRPr="00A64175" w:rsidRDefault="00244A88" w:rsidP="00A64175">
            <w:pPr>
              <w:pStyle w:val="NormalWeb"/>
              <w:shd w:val="clear" w:color="auto" w:fill="FFFFFF"/>
              <w:spacing w:before="0" w:beforeAutospacing="0" w:after="150" w:afterAutospacing="0"/>
              <w:jc w:val="both"/>
              <w:rPr>
                <w:rFonts w:ascii="Arial" w:hAnsi="Arial" w:cs="Arial"/>
                <w:b/>
                <w:sz w:val="22"/>
                <w:szCs w:val="22"/>
              </w:rPr>
            </w:pPr>
          </w:p>
        </w:tc>
      </w:tr>
      <w:tr w:rsidR="00095F65" w:rsidRPr="00A64175" w14:paraId="56B2A342" w14:textId="77777777" w:rsidTr="00EC563C">
        <w:tc>
          <w:tcPr>
            <w:tcW w:w="9214" w:type="dxa"/>
            <w:shd w:val="clear" w:color="auto" w:fill="auto"/>
          </w:tcPr>
          <w:p w14:paraId="6D93B5CE" w14:textId="77777777"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CHAPITRE II – Dispositions spécifiques</w:t>
            </w:r>
          </w:p>
        </w:tc>
      </w:tr>
      <w:tr w:rsidR="00095F65" w:rsidRPr="00A64175" w14:paraId="6069CA22" w14:textId="77777777" w:rsidTr="00EC563C">
        <w:tc>
          <w:tcPr>
            <w:tcW w:w="9214" w:type="dxa"/>
            <w:shd w:val="clear" w:color="auto" w:fill="auto"/>
          </w:tcPr>
          <w:p w14:paraId="1E2E0BE5" w14:textId="77777777" w:rsidR="00095F65" w:rsidRPr="00A64175" w:rsidRDefault="00095F65" w:rsidP="00A64175">
            <w:pPr>
              <w:widowControl w:val="0"/>
              <w:autoSpaceDE w:val="0"/>
              <w:adjustRightInd w:val="0"/>
              <w:jc w:val="both"/>
              <w:rPr>
                <w:rFonts w:ascii="Arial" w:hAnsi="Arial" w:cs="Arial"/>
                <w:b/>
                <w:bCs/>
              </w:rPr>
            </w:pPr>
          </w:p>
          <w:p w14:paraId="678B1FC3" w14:textId="07ACA25C"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Section I : Conse</w:t>
            </w:r>
            <w:r w:rsidR="00D76E8B" w:rsidRPr="00A64175">
              <w:rPr>
                <w:rFonts w:ascii="Arial" w:hAnsi="Arial" w:cs="Arial"/>
                <w:b/>
                <w:bCs/>
              </w:rPr>
              <w:t>il en investissements financiers</w:t>
            </w:r>
          </w:p>
          <w:p w14:paraId="05C884D6" w14:textId="77777777" w:rsidR="00095F65" w:rsidRPr="00A64175" w:rsidRDefault="00095F65" w:rsidP="00A64175">
            <w:pPr>
              <w:widowControl w:val="0"/>
              <w:autoSpaceDE w:val="0"/>
              <w:adjustRightInd w:val="0"/>
              <w:jc w:val="both"/>
              <w:rPr>
                <w:rFonts w:ascii="Arial" w:hAnsi="Arial" w:cs="Arial"/>
                <w:b/>
                <w:bCs/>
              </w:rPr>
            </w:pPr>
          </w:p>
          <w:p w14:paraId="5F4E784B" w14:textId="77777777" w:rsidR="006239AE" w:rsidRPr="00A64175" w:rsidRDefault="006239AE" w:rsidP="00A64175">
            <w:pPr>
              <w:widowControl w:val="0"/>
              <w:autoSpaceDE w:val="0"/>
              <w:adjustRightInd w:val="0"/>
              <w:jc w:val="both"/>
              <w:rPr>
                <w:rFonts w:ascii="Arial" w:hAnsi="Arial" w:cs="Arial"/>
                <w:b/>
                <w:bCs/>
              </w:rPr>
            </w:pPr>
          </w:p>
        </w:tc>
      </w:tr>
      <w:tr w:rsidR="00095F65" w:rsidRPr="00A64175" w14:paraId="46C5F03A" w14:textId="77777777" w:rsidTr="00EC563C">
        <w:tc>
          <w:tcPr>
            <w:tcW w:w="9214" w:type="dxa"/>
            <w:shd w:val="clear" w:color="auto" w:fill="auto"/>
          </w:tcPr>
          <w:p w14:paraId="08C64573" w14:textId="69805ED0" w:rsidR="006239AE" w:rsidRPr="00A64175" w:rsidRDefault="00A92C1B" w:rsidP="00A64175">
            <w:pPr>
              <w:widowControl w:val="0"/>
              <w:tabs>
                <w:tab w:val="left" w:pos="3750"/>
              </w:tabs>
              <w:autoSpaceDE w:val="0"/>
              <w:adjustRightInd w:val="0"/>
              <w:jc w:val="both"/>
              <w:rPr>
                <w:rFonts w:ascii="Arial" w:hAnsi="Arial" w:cs="Arial"/>
                <w:bCs/>
              </w:rPr>
            </w:pPr>
            <w:r w:rsidRPr="00A64175">
              <w:rPr>
                <w:rFonts w:ascii="Arial" w:hAnsi="Arial" w:cs="Arial"/>
                <w:b/>
                <w:bCs/>
              </w:rPr>
              <w:t>Article 2</w:t>
            </w:r>
            <w:r w:rsidR="009B231D">
              <w:rPr>
                <w:rFonts w:ascii="Arial" w:hAnsi="Arial" w:cs="Arial"/>
                <w:b/>
                <w:bCs/>
              </w:rPr>
              <w:t>92</w:t>
            </w:r>
            <w:r w:rsidR="006239AE" w:rsidRPr="00A64175">
              <w:rPr>
                <w:rFonts w:ascii="Arial" w:hAnsi="Arial" w:cs="Arial"/>
                <w:b/>
                <w:bCs/>
              </w:rPr>
              <w:t xml:space="preserve"> – </w:t>
            </w:r>
            <w:r w:rsidR="00D76E8B" w:rsidRPr="00A64175">
              <w:rPr>
                <w:rFonts w:ascii="Arial" w:hAnsi="Arial" w:cs="Arial"/>
                <w:bCs/>
              </w:rPr>
              <w:t>Le</w:t>
            </w:r>
            <w:r w:rsidR="006239AE" w:rsidRPr="00A64175">
              <w:rPr>
                <w:rFonts w:ascii="Arial" w:hAnsi="Arial" w:cs="Arial"/>
                <w:bCs/>
              </w:rPr>
              <w:t xml:space="preserve"> </w:t>
            </w:r>
            <w:r w:rsidR="00D76E8B" w:rsidRPr="00A64175">
              <w:rPr>
                <w:rFonts w:ascii="Arial" w:hAnsi="Arial" w:cs="Arial"/>
                <w:bCs/>
              </w:rPr>
              <w:t xml:space="preserve">conseiller en investissements financiers est une personne morale ayant son siège social sur le territoire d’un Etat membre de la CEMAC et agréée par la COSUMAF pour fournir le service visé à l’article 152 du </w:t>
            </w:r>
            <w:r w:rsidR="00CD3BD8" w:rsidRPr="00A64175">
              <w:rPr>
                <w:rFonts w:ascii="Arial" w:hAnsi="Arial" w:cs="Arial"/>
                <w:bCs/>
              </w:rPr>
              <w:t xml:space="preserve">Règlement </w:t>
            </w:r>
            <w:r w:rsidR="00CD3BD8" w:rsidRPr="00A64175">
              <w:rPr>
                <w:rFonts w:ascii="Arial" w:hAnsi="Arial" w:cs="Arial"/>
                <w:color w:val="000000"/>
              </w:rPr>
              <w:t xml:space="preserve"> n°01/22/CEMAC/UMAC/CM/COSUMAF du 21 juillet 2022 portant organisation et fonctionnement du marché financier de l’Afrique Centrale.</w:t>
            </w:r>
            <w:r w:rsidR="007D7359" w:rsidRPr="00A64175">
              <w:rPr>
                <w:rFonts w:ascii="Arial" w:hAnsi="Arial" w:cs="Arial"/>
                <w:color w:val="000000"/>
              </w:rPr>
              <w:t xml:space="preserve"> </w:t>
            </w:r>
          </w:p>
          <w:p w14:paraId="3962F46A" w14:textId="77777777" w:rsidR="006239AE" w:rsidRPr="00A64175" w:rsidRDefault="006239AE" w:rsidP="00A64175">
            <w:pPr>
              <w:widowControl w:val="0"/>
              <w:tabs>
                <w:tab w:val="left" w:pos="3750"/>
              </w:tabs>
              <w:autoSpaceDE w:val="0"/>
              <w:adjustRightInd w:val="0"/>
              <w:jc w:val="both"/>
              <w:rPr>
                <w:rFonts w:ascii="Arial" w:hAnsi="Arial" w:cs="Arial"/>
                <w:bCs/>
              </w:rPr>
            </w:pPr>
          </w:p>
          <w:p w14:paraId="60CAFDC2" w14:textId="58A9C70B" w:rsidR="007D7359" w:rsidRPr="00A64175" w:rsidRDefault="007D7359" w:rsidP="00A64175">
            <w:pPr>
              <w:widowControl w:val="0"/>
              <w:tabs>
                <w:tab w:val="left" w:pos="3750"/>
              </w:tabs>
              <w:autoSpaceDE w:val="0"/>
              <w:adjustRightInd w:val="0"/>
              <w:jc w:val="both"/>
              <w:rPr>
                <w:rFonts w:ascii="Arial" w:hAnsi="Arial" w:cs="Arial"/>
                <w:bCs/>
              </w:rPr>
            </w:pPr>
            <w:r w:rsidRPr="00A64175">
              <w:rPr>
                <w:rFonts w:ascii="Arial" w:hAnsi="Arial" w:cs="Arial"/>
                <w:bCs/>
              </w:rPr>
              <w:t>Les conseillers en investissements financiers se constituent sous forme de société anonyme, de société par actions simplifiée ou de société à responsabilité limitée,  conformément aux dispositions de l’Acte uniforme OHADA relatif au droit des sociétés commerciales et du groupement d’intérêt économique.</w:t>
            </w:r>
          </w:p>
          <w:p w14:paraId="0708ADA3" w14:textId="77777777" w:rsidR="00514C4E" w:rsidRPr="00A64175" w:rsidRDefault="00514C4E" w:rsidP="00A64175">
            <w:pPr>
              <w:widowControl w:val="0"/>
              <w:tabs>
                <w:tab w:val="left" w:pos="3750"/>
              </w:tabs>
              <w:autoSpaceDE w:val="0"/>
              <w:adjustRightInd w:val="0"/>
              <w:jc w:val="both"/>
              <w:rPr>
                <w:rFonts w:ascii="Arial" w:hAnsi="Arial" w:cs="Arial"/>
                <w:bCs/>
              </w:rPr>
            </w:pPr>
          </w:p>
          <w:p w14:paraId="60C20161" w14:textId="5DF34229" w:rsidR="00224F02" w:rsidRPr="00A64175" w:rsidRDefault="00224F02" w:rsidP="00A64175">
            <w:pPr>
              <w:widowControl w:val="0"/>
              <w:tabs>
                <w:tab w:val="left" w:pos="3750"/>
              </w:tabs>
              <w:autoSpaceDE w:val="0"/>
              <w:adjustRightInd w:val="0"/>
              <w:jc w:val="both"/>
              <w:rPr>
                <w:rFonts w:ascii="Arial" w:hAnsi="Arial" w:cs="Arial"/>
                <w:bCs/>
              </w:rPr>
            </w:pPr>
            <w:r w:rsidRPr="00A64175">
              <w:rPr>
                <w:rFonts w:ascii="Arial" w:hAnsi="Arial" w:cs="Arial"/>
                <w:bCs/>
              </w:rPr>
              <w:t>Le service de conseil en investissements financiers peut également être exercé par les sociétés de bourse, les sociétés de gestion d’organismes de placement collectif et les établissements de crédit dûment agréés</w:t>
            </w:r>
            <w:r w:rsidR="004E0335" w:rsidRPr="00A64175">
              <w:rPr>
                <w:rFonts w:ascii="Arial" w:hAnsi="Arial" w:cs="Arial"/>
                <w:bCs/>
              </w:rPr>
              <w:t xml:space="preserve"> à cet effet</w:t>
            </w:r>
            <w:r w:rsidRPr="00A64175">
              <w:rPr>
                <w:rFonts w:ascii="Arial" w:hAnsi="Arial" w:cs="Arial"/>
                <w:bCs/>
              </w:rPr>
              <w:t xml:space="preserve"> par la COSUMAF.</w:t>
            </w:r>
          </w:p>
          <w:p w14:paraId="1EC61263" w14:textId="77777777" w:rsidR="00923B60" w:rsidRPr="00A64175" w:rsidRDefault="00923B60" w:rsidP="00A64175">
            <w:pPr>
              <w:widowControl w:val="0"/>
              <w:tabs>
                <w:tab w:val="left" w:pos="3750"/>
              </w:tabs>
              <w:autoSpaceDE w:val="0"/>
              <w:adjustRightInd w:val="0"/>
              <w:jc w:val="both"/>
              <w:rPr>
                <w:rFonts w:ascii="Arial" w:hAnsi="Arial" w:cs="Arial"/>
                <w:bCs/>
              </w:rPr>
            </w:pPr>
          </w:p>
          <w:p w14:paraId="313B378E" w14:textId="7779E7A5" w:rsidR="00514C4E" w:rsidRPr="00A64175" w:rsidRDefault="00514C4E" w:rsidP="00A64175">
            <w:pPr>
              <w:widowControl w:val="0"/>
              <w:tabs>
                <w:tab w:val="left" w:pos="3750"/>
              </w:tabs>
              <w:autoSpaceDE w:val="0"/>
              <w:adjustRightInd w:val="0"/>
              <w:jc w:val="both"/>
              <w:rPr>
                <w:rFonts w:ascii="Arial" w:hAnsi="Arial" w:cs="Arial"/>
                <w:bCs/>
              </w:rPr>
            </w:pPr>
            <w:r w:rsidRPr="00A64175">
              <w:rPr>
                <w:rFonts w:ascii="Arial" w:hAnsi="Arial" w:cs="Arial"/>
                <w:bCs/>
              </w:rPr>
              <w:t>Les conditions et la procédure d’agrément des conseillers en investissem</w:t>
            </w:r>
            <w:r w:rsidR="004E0335" w:rsidRPr="00A64175">
              <w:rPr>
                <w:rFonts w:ascii="Arial" w:hAnsi="Arial" w:cs="Arial"/>
                <w:bCs/>
              </w:rPr>
              <w:t>ents financiers sont précisées par instruction</w:t>
            </w:r>
            <w:r w:rsidRPr="00A64175">
              <w:rPr>
                <w:rFonts w:ascii="Arial" w:hAnsi="Arial" w:cs="Arial"/>
                <w:bCs/>
              </w:rPr>
              <w:t>.</w:t>
            </w:r>
          </w:p>
          <w:p w14:paraId="244763B8" w14:textId="77777777" w:rsidR="006239AE" w:rsidRPr="00A64175" w:rsidRDefault="006239AE" w:rsidP="00A64175">
            <w:pPr>
              <w:widowControl w:val="0"/>
              <w:tabs>
                <w:tab w:val="left" w:pos="3750"/>
              </w:tabs>
              <w:autoSpaceDE w:val="0"/>
              <w:adjustRightInd w:val="0"/>
              <w:jc w:val="both"/>
              <w:rPr>
                <w:rFonts w:ascii="Arial" w:hAnsi="Arial" w:cs="Arial"/>
                <w:b/>
                <w:bCs/>
              </w:rPr>
            </w:pPr>
          </w:p>
          <w:p w14:paraId="557C61FA" w14:textId="7CC23C1C" w:rsidR="00095F65" w:rsidRPr="00A64175" w:rsidRDefault="006239AE" w:rsidP="00A64175">
            <w:pPr>
              <w:widowControl w:val="0"/>
              <w:tabs>
                <w:tab w:val="left" w:pos="3750"/>
              </w:tabs>
              <w:autoSpaceDE w:val="0"/>
              <w:adjustRightInd w:val="0"/>
              <w:jc w:val="both"/>
              <w:rPr>
                <w:rFonts w:ascii="Arial" w:hAnsi="Arial" w:cs="Arial"/>
                <w:bCs/>
              </w:rPr>
            </w:pPr>
            <w:r w:rsidRPr="00A64175">
              <w:rPr>
                <w:rFonts w:ascii="Arial" w:hAnsi="Arial" w:cs="Arial"/>
                <w:b/>
                <w:bCs/>
              </w:rPr>
              <w:t xml:space="preserve">Article </w:t>
            </w:r>
            <w:r w:rsidR="00A92C1B" w:rsidRPr="00A64175">
              <w:rPr>
                <w:rFonts w:ascii="Arial" w:hAnsi="Arial" w:cs="Arial"/>
                <w:b/>
                <w:bCs/>
              </w:rPr>
              <w:t>2</w:t>
            </w:r>
            <w:r w:rsidR="009B231D">
              <w:rPr>
                <w:rFonts w:ascii="Arial" w:hAnsi="Arial" w:cs="Arial"/>
                <w:b/>
                <w:bCs/>
              </w:rPr>
              <w:t>93</w:t>
            </w:r>
            <w:r w:rsidR="00095F65" w:rsidRPr="00A64175">
              <w:rPr>
                <w:rFonts w:ascii="Arial" w:hAnsi="Arial" w:cs="Arial"/>
                <w:b/>
                <w:bCs/>
              </w:rPr>
              <w:t xml:space="preserve"> – </w:t>
            </w:r>
            <w:r w:rsidR="00095F65" w:rsidRPr="00A64175">
              <w:rPr>
                <w:rFonts w:ascii="Arial" w:hAnsi="Arial" w:cs="Arial"/>
                <w:bCs/>
              </w:rPr>
              <w:t>Les conseillers en investissements financiers ne peuvent pas re</w:t>
            </w:r>
            <w:r w:rsidR="005C6394" w:rsidRPr="00A64175">
              <w:rPr>
                <w:rFonts w:ascii="Arial" w:hAnsi="Arial" w:cs="Arial"/>
                <w:bCs/>
              </w:rPr>
              <w:t xml:space="preserve">cevoir des dépôts de fonds ou </w:t>
            </w:r>
            <w:r w:rsidR="00095F65" w:rsidRPr="00A64175">
              <w:rPr>
                <w:rFonts w:ascii="Arial" w:hAnsi="Arial" w:cs="Arial"/>
                <w:bCs/>
              </w:rPr>
              <w:t>instruments financiers de leurs clients.</w:t>
            </w:r>
          </w:p>
          <w:p w14:paraId="1FC795AE"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525D8A15" w14:textId="77777777" w:rsidTr="00EC563C">
        <w:tc>
          <w:tcPr>
            <w:tcW w:w="9214" w:type="dxa"/>
            <w:shd w:val="clear" w:color="auto" w:fill="auto"/>
          </w:tcPr>
          <w:p w14:paraId="329DCDDE" w14:textId="4288FA41" w:rsidR="00095F65" w:rsidRPr="00A64175" w:rsidRDefault="00A92C1B" w:rsidP="00A64175">
            <w:pPr>
              <w:widowControl w:val="0"/>
              <w:tabs>
                <w:tab w:val="left" w:pos="3750"/>
              </w:tabs>
              <w:autoSpaceDE w:val="0"/>
              <w:adjustRightInd w:val="0"/>
              <w:jc w:val="both"/>
              <w:rPr>
                <w:rFonts w:ascii="Arial" w:hAnsi="Arial" w:cs="Arial"/>
              </w:rPr>
            </w:pPr>
            <w:r w:rsidRPr="00A64175">
              <w:rPr>
                <w:rFonts w:ascii="Arial" w:hAnsi="Arial" w:cs="Arial"/>
                <w:b/>
                <w:bCs/>
              </w:rPr>
              <w:t>Article 29</w:t>
            </w:r>
            <w:r w:rsidR="009B231D">
              <w:rPr>
                <w:rFonts w:ascii="Arial" w:hAnsi="Arial" w:cs="Arial"/>
                <w:b/>
                <w:bCs/>
              </w:rPr>
              <w:t>4</w:t>
            </w:r>
            <w:r w:rsidR="00095F65" w:rsidRPr="00A64175">
              <w:rPr>
                <w:rFonts w:ascii="Arial" w:hAnsi="Arial" w:cs="Arial"/>
                <w:b/>
                <w:bCs/>
              </w:rPr>
              <w:t xml:space="preserve"> – </w:t>
            </w:r>
            <w:r w:rsidR="00095F65" w:rsidRPr="00A64175">
              <w:rPr>
                <w:rFonts w:ascii="Arial" w:hAnsi="Arial" w:cs="Arial"/>
              </w:rPr>
              <w:t xml:space="preserve">Lorsque le conseil porte sur l’achat d’instruments financiers, le conseiller en investissements financiers définit et met </w:t>
            </w:r>
            <w:r w:rsidR="005C6394" w:rsidRPr="00A64175">
              <w:rPr>
                <w:rFonts w:ascii="Arial" w:hAnsi="Arial" w:cs="Arial"/>
              </w:rPr>
              <w:t xml:space="preserve">en </w:t>
            </w:r>
            <w:r w:rsidR="00095F65" w:rsidRPr="00A64175">
              <w:rPr>
                <w:rFonts w:ascii="Arial" w:hAnsi="Arial" w:cs="Arial"/>
              </w:rPr>
              <w:t xml:space="preserve">œuvre un processus de sélection pour évaluer et comparer un éventail suffisant d'instruments financiers disponibles sur le marché. Le processus de sélection inclut les éléments suivants : </w:t>
            </w:r>
          </w:p>
          <w:p w14:paraId="6AEF8D98" w14:textId="77777777" w:rsidR="00095F65" w:rsidRPr="00A64175" w:rsidRDefault="00095F65" w:rsidP="00A64175">
            <w:pPr>
              <w:widowControl w:val="0"/>
              <w:tabs>
                <w:tab w:val="left" w:pos="3750"/>
              </w:tabs>
              <w:autoSpaceDE w:val="0"/>
              <w:adjustRightInd w:val="0"/>
              <w:jc w:val="both"/>
              <w:rPr>
                <w:rFonts w:ascii="Arial" w:hAnsi="Arial" w:cs="Arial"/>
                <w:kern w:val="1"/>
              </w:rPr>
            </w:pPr>
          </w:p>
          <w:p w14:paraId="0317F928" w14:textId="489777E3" w:rsidR="00095F65" w:rsidRPr="00A64175" w:rsidRDefault="00095F65" w:rsidP="00A64175">
            <w:pPr>
              <w:pStyle w:val="NormalWeb"/>
              <w:numPr>
                <w:ilvl w:val="0"/>
                <w:numId w:val="52"/>
              </w:numPr>
              <w:spacing w:before="0" w:beforeAutospacing="0" w:after="0" w:afterAutospacing="0"/>
              <w:jc w:val="both"/>
              <w:rPr>
                <w:rFonts w:ascii="Arial" w:hAnsi="Arial" w:cs="Arial"/>
                <w:sz w:val="22"/>
                <w:szCs w:val="22"/>
              </w:rPr>
            </w:pPr>
            <w:r w:rsidRPr="00A64175">
              <w:rPr>
                <w:rFonts w:ascii="Arial" w:hAnsi="Arial" w:cs="Arial"/>
                <w:sz w:val="22"/>
                <w:szCs w:val="22"/>
              </w:rPr>
              <w:t>Le nombre et la diversité des instruments financiers pris en considérati</w:t>
            </w:r>
            <w:r w:rsidR="005C6394" w:rsidRPr="00A64175">
              <w:rPr>
                <w:rFonts w:ascii="Arial" w:hAnsi="Arial" w:cs="Arial"/>
                <w:sz w:val="22"/>
                <w:szCs w:val="22"/>
              </w:rPr>
              <w:t>on tiennent compte de la portée du service</w:t>
            </w:r>
            <w:r w:rsidRPr="00A64175">
              <w:rPr>
                <w:rFonts w:ascii="Arial" w:hAnsi="Arial" w:cs="Arial"/>
                <w:sz w:val="22"/>
                <w:szCs w:val="22"/>
              </w:rPr>
              <w:t xml:space="preserve"> de co</w:t>
            </w:r>
            <w:r w:rsidR="005C6394" w:rsidRPr="00A64175">
              <w:rPr>
                <w:rFonts w:ascii="Arial" w:hAnsi="Arial" w:cs="Arial"/>
                <w:sz w:val="22"/>
                <w:szCs w:val="22"/>
              </w:rPr>
              <w:t>nseil en investissement proposé</w:t>
            </w:r>
            <w:r w:rsidRPr="00A64175">
              <w:rPr>
                <w:rFonts w:ascii="Arial" w:hAnsi="Arial" w:cs="Arial"/>
                <w:sz w:val="22"/>
                <w:szCs w:val="22"/>
              </w:rPr>
              <w:t xml:space="preserve"> par le conseiller en investissements financiers ; </w:t>
            </w:r>
          </w:p>
          <w:p w14:paraId="49BE2D9A"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1FE83E06" w14:textId="77777777" w:rsidR="00095F65" w:rsidRPr="00A64175" w:rsidRDefault="00095F65" w:rsidP="00A64175">
            <w:pPr>
              <w:pStyle w:val="NormalWeb"/>
              <w:numPr>
                <w:ilvl w:val="0"/>
                <w:numId w:val="43"/>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Le nombre et la diversité des instruments financiers pris en compte sont dûment représentatifs des instruments financiers disponibles sur le marché́ ; </w:t>
            </w:r>
          </w:p>
          <w:p w14:paraId="2BA024D4"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39B198C8" w14:textId="77777777" w:rsidR="00095F65" w:rsidRPr="00A64175" w:rsidRDefault="00095F65" w:rsidP="00A64175">
            <w:pPr>
              <w:pStyle w:val="NormalWeb"/>
              <w:numPr>
                <w:ilvl w:val="0"/>
                <w:numId w:val="43"/>
              </w:numPr>
              <w:spacing w:before="0" w:beforeAutospacing="0" w:after="0" w:afterAutospacing="0"/>
              <w:jc w:val="both"/>
              <w:rPr>
                <w:rFonts w:ascii="Arial" w:hAnsi="Arial" w:cs="Arial"/>
                <w:sz w:val="22"/>
                <w:szCs w:val="22"/>
              </w:rPr>
            </w:pPr>
            <w:r w:rsidRPr="00A64175">
              <w:rPr>
                <w:rFonts w:ascii="Arial" w:hAnsi="Arial" w:cs="Arial"/>
                <w:sz w:val="22"/>
                <w:szCs w:val="22"/>
              </w:rPr>
              <w:t xml:space="preserve">Une diversité des émetteurs d’instruments financiers ; </w:t>
            </w:r>
          </w:p>
          <w:p w14:paraId="6D3EFA3C"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2412B7E0" w14:textId="0F613D36" w:rsidR="00095F65" w:rsidRPr="00A64175" w:rsidRDefault="00095F65" w:rsidP="00A64175">
            <w:pPr>
              <w:pStyle w:val="NormalWeb"/>
              <w:numPr>
                <w:ilvl w:val="0"/>
                <w:numId w:val="44"/>
              </w:numPr>
              <w:spacing w:before="0" w:beforeAutospacing="0" w:after="0" w:afterAutospacing="0"/>
              <w:ind w:left="714" w:hanging="357"/>
              <w:jc w:val="both"/>
              <w:rPr>
                <w:rFonts w:ascii="Arial" w:hAnsi="Arial" w:cs="Arial"/>
                <w:sz w:val="22"/>
                <w:szCs w:val="22"/>
              </w:rPr>
            </w:pPr>
            <w:r w:rsidRPr="00A64175">
              <w:rPr>
                <w:rFonts w:ascii="Arial" w:hAnsi="Arial" w:cs="Arial"/>
                <w:sz w:val="22"/>
                <w:szCs w:val="22"/>
              </w:rPr>
              <w:t>Les critères de sélection des divers instruments financiers incluent tous les aspects pertinents tels que risques, coûts et complexit</w:t>
            </w:r>
            <w:r w:rsidR="005C6394" w:rsidRPr="00A64175">
              <w:rPr>
                <w:rFonts w:ascii="Arial" w:hAnsi="Arial" w:cs="Arial"/>
                <w:sz w:val="22"/>
                <w:szCs w:val="22"/>
              </w:rPr>
              <w:t>é ainsi que le profil</w:t>
            </w:r>
            <w:r w:rsidRPr="00A64175">
              <w:rPr>
                <w:rFonts w:ascii="Arial" w:hAnsi="Arial" w:cs="Arial"/>
                <w:sz w:val="22"/>
                <w:szCs w:val="22"/>
              </w:rPr>
              <w:t xml:space="preserve"> des clients du conseille</w:t>
            </w:r>
            <w:r w:rsidR="005C6394" w:rsidRPr="00A64175">
              <w:rPr>
                <w:rFonts w:ascii="Arial" w:hAnsi="Arial" w:cs="Arial"/>
                <w:sz w:val="22"/>
                <w:szCs w:val="22"/>
              </w:rPr>
              <w:t>r en investissements financiers</w:t>
            </w:r>
            <w:r w:rsidRPr="00A64175">
              <w:rPr>
                <w:rFonts w:ascii="Arial" w:hAnsi="Arial" w:cs="Arial"/>
                <w:sz w:val="22"/>
                <w:szCs w:val="22"/>
              </w:rPr>
              <w:t xml:space="preserve">. </w:t>
            </w:r>
          </w:p>
          <w:p w14:paraId="7D24CB63" w14:textId="77777777" w:rsidR="00095F65" w:rsidRPr="00A64175" w:rsidRDefault="00095F65" w:rsidP="00A64175">
            <w:pPr>
              <w:pStyle w:val="NormalWeb"/>
              <w:spacing w:before="0" w:beforeAutospacing="0" w:after="0" w:afterAutospacing="0"/>
              <w:jc w:val="both"/>
              <w:rPr>
                <w:rFonts w:ascii="Arial" w:hAnsi="Arial" w:cs="Arial"/>
                <w:sz w:val="22"/>
                <w:szCs w:val="22"/>
              </w:rPr>
            </w:pPr>
          </w:p>
          <w:p w14:paraId="079B8BF4" w14:textId="7A840C41" w:rsidR="00095F65" w:rsidRPr="00A64175" w:rsidRDefault="00095F65" w:rsidP="00A64175">
            <w:pPr>
              <w:pStyle w:val="NormalWeb"/>
              <w:spacing w:before="0" w:beforeAutospacing="0" w:after="0" w:afterAutospacing="0"/>
              <w:jc w:val="both"/>
              <w:rPr>
                <w:rFonts w:ascii="Arial" w:hAnsi="Arial" w:cs="Arial"/>
                <w:sz w:val="22"/>
                <w:szCs w:val="22"/>
              </w:rPr>
            </w:pPr>
            <w:r w:rsidRPr="00A64175">
              <w:rPr>
                <w:rFonts w:ascii="Arial" w:hAnsi="Arial" w:cs="Arial"/>
                <w:sz w:val="22"/>
                <w:szCs w:val="22"/>
              </w:rPr>
              <w:t>Les éventuelles rétrocessions versées par un émetteur d’instruments financiers aux conseillers en investissement</w:t>
            </w:r>
            <w:r w:rsidR="00553437" w:rsidRPr="00A64175">
              <w:rPr>
                <w:rFonts w:ascii="Arial" w:hAnsi="Arial" w:cs="Arial"/>
                <w:sz w:val="22"/>
                <w:szCs w:val="22"/>
              </w:rPr>
              <w:t>s financiers</w:t>
            </w:r>
            <w:r w:rsidRPr="00A64175">
              <w:rPr>
                <w:rFonts w:ascii="Arial" w:hAnsi="Arial" w:cs="Arial"/>
                <w:sz w:val="22"/>
                <w:szCs w:val="22"/>
              </w:rPr>
              <w:t xml:space="preserve"> ne doivent pas impacter les recommandations adressées aux clients.</w:t>
            </w:r>
          </w:p>
          <w:p w14:paraId="7554D432"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02FBA92A" w14:textId="77777777" w:rsidTr="00EC563C">
        <w:tc>
          <w:tcPr>
            <w:tcW w:w="9214" w:type="dxa"/>
            <w:shd w:val="clear" w:color="auto" w:fill="auto"/>
          </w:tcPr>
          <w:p w14:paraId="698734A6" w14:textId="2378D648"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Section II : L</w:t>
            </w:r>
            <w:r w:rsidR="001E23BF" w:rsidRPr="00A64175">
              <w:rPr>
                <w:rFonts w:ascii="Arial" w:hAnsi="Arial" w:cs="Arial"/>
                <w:b/>
                <w:bCs/>
              </w:rPr>
              <w:t>e listing sponsor</w:t>
            </w:r>
          </w:p>
        </w:tc>
      </w:tr>
      <w:tr w:rsidR="00095F65" w:rsidRPr="00A64175" w14:paraId="29DE7F17" w14:textId="77777777" w:rsidTr="00EC563C">
        <w:tc>
          <w:tcPr>
            <w:tcW w:w="9214" w:type="dxa"/>
            <w:shd w:val="clear" w:color="auto" w:fill="auto"/>
          </w:tcPr>
          <w:p w14:paraId="2E811A66" w14:textId="77777777" w:rsidR="00095F65" w:rsidRPr="00C860C4" w:rsidRDefault="00095F65" w:rsidP="00C860C4">
            <w:pPr>
              <w:contextualSpacing/>
              <w:rPr>
                <w:b/>
                <w:bCs/>
              </w:rPr>
            </w:pPr>
          </w:p>
        </w:tc>
      </w:tr>
      <w:tr w:rsidR="00095F65" w:rsidRPr="00A64175" w14:paraId="0CE39836" w14:textId="77777777" w:rsidTr="00EC563C">
        <w:tc>
          <w:tcPr>
            <w:tcW w:w="9214" w:type="dxa"/>
            <w:shd w:val="clear" w:color="auto" w:fill="auto"/>
          </w:tcPr>
          <w:p w14:paraId="57BE6C7F" w14:textId="1BF561AA" w:rsidR="00095F65" w:rsidRPr="00A64175" w:rsidRDefault="00872E5E" w:rsidP="00A64175">
            <w:pPr>
              <w:widowControl w:val="0"/>
              <w:autoSpaceDE w:val="0"/>
              <w:adjustRightInd w:val="0"/>
              <w:jc w:val="both"/>
              <w:rPr>
                <w:rFonts w:ascii="Arial" w:hAnsi="Arial" w:cs="Arial"/>
                <w:b/>
              </w:rPr>
            </w:pPr>
            <w:r w:rsidRPr="00A64175">
              <w:rPr>
                <w:rFonts w:ascii="Arial" w:hAnsi="Arial" w:cs="Arial"/>
                <w:b/>
                <w:bCs/>
              </w:rPr>
              <w:t xml:space="preserve">Article </w:t>
            </w:r>
            <w:r w:rsidR="00A92C1B" w:rsidRPr="00A64175">
              <w:rPr>
                <w:rFonts w:ascii="Arial" w:hAnsi="Arial" w:cs="Arial"/>
                <w:b/>
                <w:bCs/>
              </w:rPr>
              <w:t>29</w:t>
            </w:r>
            <w:r w:rsidR="009B231D">
              <w:rPr>
                <w:rFonts w:ascii="Arial" w:hAnsi="Arial" w:cs="Arial"/>
                <w:b/>
                <w:bCs/>
              </w:rPr>
              <w:t>5</w:t>
            </w:r>
            <w:r w:rsidR="00095F65" w:rsidRPr="00A64175">
              <w:rPr>
                <w:rFonts w:ascii="Arial" w:hAnsi="Arial" w:cs="Arial"/>
                <w:b/>
                <w:bCs/>
              </w:rPr>
              <w:t xml:space="preserve"> -</w:t>
            </w:r>
          </w:p>
          <w:p w14:paraId="3F55277E" w14:textId="043C909C" w:rsidR="00095F65" w:rsidRPr="00A64175" w:rsidRDefault="00095F65" w:rsidP="00A64175">
            <w:pPr>
              <w:pStyle w:val="Paragraphedeliste"/>
              <w:widowControl w:val="0"/>
              <w:numPr>
                <w:ilvl w:val="0"/>
                <w:numId w:val="98"/>
              </w:numPr>
              <w:autoSpaceDE w:val="0"/>
              <w:adjustRightInd w:val="0"/>
              <w:spacing w:after="0" w:line="240" w:lineRule="auto"/>
            </w:pPr>
            <w:r w:rsidRPr="00A64175">
              <w:t>L’activité de Listing Sponsor</w:t>
            </w:r>
            <w:r w:rsidR="00C7053B" w:rsidRPr="00A64175">
              <w:t xml:space="preserve"> visée à l’article 156</w:t>
            </w:r>
            <w:r w:rsidR="00224C99" w:rsidRPr="00A64175">
              <w:rPr>
                <w:bCs/>
              </w:rPr>
              <w:t xml:space="preserve"> du Règlement </w:t>
            </w:r>
            <w:r w:rsidR="00224C99" w:rsidRPr="00A64175">
              <w:rPr>
                <w:color w:val="000000"/>
              </w:rPr>
              <w:t xml:space="preserve"> n°01/22/CEMAC/UMAC/CM/COSUMAF du 21 juillet 2022, </w:t>
            </w:r>
            <w:r w:rsidRPr="00A64175">
              <w:t xml:space="preserve"> consiste à :</w:t>
            </w:r>
          </w:p>
          <w:p w14:paraId="40D8E111" w14:textId="77777777" w:rsidR="00095F65" w:rsidRPr="00A64175" w:rsidRDefault="00095F65" w:rsidP="00A64175">
            <w:pPr>
              <w:pStyle w:val="Paragraphedeliste"/>
              <w:widowControl w:val="0"/>
              <w:numPr>
                <w:ilvl w:val="0"/>
                <w:numId w:val="44"/>
              </w:numPr>
              <w:autoSpaceDE w:val="0"/>
              <w:adjustRightInd w:val="0"/>
              <w:spacing w:before="0" w:beforeAutospacing="0" w:after="0" w:afterAutospacing="0" w:line="240" w:lineRule="auto"/>
            </w:pPr>
            <w:r w:rsidRPr="00A64175">
              <w:t>Évaluer l’aptitude de la société candidate à l’admission à la négociation à la Bourse Régionale ;</w:t>
            </w:r>
          </w:p>
          <w:p w14:paraId="5B3F3047" w14:textId="77777777" w:rsidR="00095F65" w:rsidRPr="00A64175" w:rsidRDefault="00095F65" w:rsidP="00A64175">
            <w:pPr>
              <w:widowControl w:val="0"/>
              <w:autoSpaceDE w:val="0"/>
              <w:adjustRightInd w:val="0"/>
              <w:ind w:left="360"/>
              <w:jc w:val="both"/>
              <w:rPr>
                <w:rFonts w:ascii="Arial" w:hAnsi="Arial" w:cs="Arial"/>
              </w:rPr>
            </w:pPr>
          </w:p>
          <w:p w14:paraId="222BEB3D" w14:textId="77777777" w:rsidR="00095F65" w:rsidRPr="00A64175" w:rsidRDefault="00095F65" w:rsidP="00A64175">
            <w:pPr>
              <w:pStyle w:val="Paragraphedeliste"/>
              <w:widowControl w:val="0"/>
              <w:numPr>
                <w:ilvl w:val="0"/>
                <w:numId w:val="63"/>
              </w:numPr>
              <w:autoSpaceDE w:val="0"/>
              <w:adjustRightInd w:val="0"/>
              <w:spacing w:before="0" w:beforeAutospacing="0" w:after="0" w:afterAutospacing="0" w:line="240" w:lineRule="auto"/>
            </w:pPr>
            <w:r w:rsidRPr="00A64175">
              <w:t>Vérifier la pertinence du projet d’introduction en bourse par rapport au plan de financement et à la stratégie de la société candidate ;</w:t>
            </w:r>
          </w:p>
          <w:p w14:paraId="09EC35AA" w14:textId="77777777" w:rsidR="00095F65" w:rsidRPr="00A64175" w:rsidRDefault="00095F65" w:rsidP="00A64175">
            <w:pPr>
              <w:widowControl w:val="0"/>
              <w:autoSpaceDE w:val="0"/>
              <w:adjustRightInd w:val="0"/>
              <w:ind w:left="360"/>
              <w:jc w:val="both"/>
              <w:rPr>
                <w:rFonts w:ascii="Arial" w:hAnsi="Arial" w:cs="Arial"/>
              </w:rPr>
            </w:pPr>
          </w:p>
          <w:p w14:paraId="45D37E91" w14:textId="77777777" w:rsidR="00095F65" w:rsidRPr="00A64175" w:rsidRDefault="00095F65" w:rsidP="00A64175">
            <w:pPr>
              <w:pStyle w:val="Paragraphedeliste"/>
              <w:widowControl w:val="0"/>
              <w:numPr>
                <w:ilvl w:val="0"/>
                <w:numId w:val="64"/>
              </w:numPr>
              <w:autoSpaceDE w:val="0"/>
              <w:adjustRightInd w:val="0"/>
              <w:spacing w:before="0" w:beforeAutospacing="0" w:after="0" w:afterAutospacing="0" w:line="240" w:lineRule="auto"/>
            </w:pPr>
            <w:r w:rsidRPr="00A64175">
              <w:t>Assister la société candidate dans le processus d’admission à la négociation à la Bourse Régionale ;</w:t>
            </w:r>
          </w:p>
          <w:p w14:paraId="5DAB6946" w14:textId="77777777" w:rsidR="00095F65" w:rsidRPr="00A64175" w:rsidRDefault="00095F65" w:rsidP="00A64175">
            <w:pPr>
              <w:widowControl w:val="0"/>
              <w:autoSpaceDE w:val="0"/>
              <w:adjustRightInd w:val="0"/>
              <w:ind w:left="360"/>
              <w:jc w:val="both"/>
              <w:rPr>
                <w:rFonts w:ascii="Arial" w:hAnsi="Arial" w:cs="Arial"/>
              </w:rPr>
            </w:pPr>
          </w:p>
          <w:p w14:paraId="13F29227" w14:textId="77777777" w:rsidR="00095F65" w:rsidRPr="00A64175" w:rsidRDefault="00095F65" w:rsidP="00A64175">
            <w:pPr>
              <w:pStyle w:val="Paragraphedeliste"/>
              <w:widowControl w:val="0"/>
              <w:numPr>
                <w:ilvl w:val="0"/>
                <w:numId w:val="65"/>
              </w:numPr>
              <w:autoSpaceDE w:val="0"/>
              <w:adjustRightInd w:val="0"/>
              <w:spacing w:before="0" w:beforeAutospacing="0" w:after="0" w:afterAutospacing="0" w:line="240" w:lineRule="auto"/>
            </w:pPr>
            <w:r w:rsidRPr="00A64175">
              <w:t>Contribuer à la rédaction de la documentation nécessaire à l’admission à la négociation à la Bourse Régionale ;</w:t>
            </w:r>
          </w:p>
          <w:p w14:paraId="5BDD8EF9" w14:textId="77777777" w:rsidR="00095F65" w:rsidRPr="00A64175" w:rsidRDefault="00095F65" w:rsidP="00A64175">
            <w:pPr>
              <w:widowControl w:val="0"/>
              <w:autoSpaceDE w:val="0"/>
              <w:adjustRightInd w:val="0"/>
              <w:ind w:left="360"/>
              <w:jc w:val="both"/>
              <w:rPr>
                <w:rFonts w:ascii="Arial" w:hAnsi="Arial" w:cs="Arial"/>
              </w:rPr>
            </w:pPr>
          </w:p>
          <w:p w14:paraId="5DC2D81F" w14:textId="77777777" w:rsidR="00095F65" w:rsidRPr="00A64175" w:rsidRDefault="00095F65" w:rsidP="00A64175">
            <w:pPr>
              <w:pStyle w:val="Paragraphedeliste"/>
              <w:widowControl w:val="0"/>
              <w:numPr>
                <w:ilvl w:val="0"/>
                <w:numId w:val="66"/>
              </w:numPr>
              <w:autoSpaceDE w:val="0"/>
              <w:adjustRightInd w:val="0"/>
              <w:spacing w:before="0" w:beforeAutospacing="0" w:after="0" w:afterAutospacing="0" w:line="240" w:lineRule="auto"/>
            </w:pPr>
            <w:r w:rsidRPr="00A64175">
              <w:t>Conseiller la société candidate sur le choix de ses partenaires et sur les caractéristiques de l’opération permettant d’optimiser sa structure de financement ;</w:t>
            </w:r>
          </w:p>
          <w:p w14:paraId="16EA0C29" w14:textId="77777777" w:rsidR="00095F65" w:rsidRPr="00A64175" w:rsidRDefault="00095F65" w:rsidP="00A64175">
            <w:pPr>
              <w:widowControl w:val="0"/>
              <w:autoSpaceDE w:val="0"/>
              <w:adjustRightInd w:val="0"/>
              <w:ind w:left="360"/>
              <w:jc w:val="both"/>
              <w:rPr>
                <w:rFonts w:ascii="Arial" w:hAnsi="Arial" w:cs="Arial"/>
              </w:rPr>
            </w:pPr>
          </w:p>
          <w:p w14:paraId="2BE12DC7" w14:textId="4CCEEE4B" w:rsidR="00095F65" w:rsidRPr="00A64175" w:rsidRDefault="00095F65" w:rsidP="00A64175">
            <w:pPr>
              <w:pStyle w:val="Paragraphedeliste"/>
              <w:widowControl w:val="0"/>
              <w:numPr>
                <w:ilvl w:val="0"/>
                <w:numId w:val="67"/>
              </w:numPr>
              <w:autoSpaceDE w:val="0"/>
              <w:adjustRightInd w:val="0"/>
              <w:spacing w:before="0" w:beforeAutospacing="0" w:after="0" w:afterAutospacing="0" w:line="240" w:lineRule="auto"/>
            </w:pPr>
            <w:r w:rsidRPr="00A64175">
              <w:t>Fou</w:t>
            </w:r>
            <w:r w:rsidR="00224C99" w:rsidRPr="00A64175">
              <w:t>rnir à la société candidate</w:t>
            </w:r>
            <w:r w:rsidRPr="00A64175">
              <w:t xml:space="preserve"> une information éclairée sur ses obligations légales et réglementaires.</w:t>
            </w:r>
          </w:p>
          <w:p w14:paraId="78A5FD90" w14:textId="77777777" w:rsidR="00095F65" w:rsidRPr="00A64175" w:rsidRDefault="00095F65" w:rsidP="00A64175">
            <w:pPr>
              <w:widowControl w:val="0"/>
              <w:autoSpaceDE w:val="0"/>
              <w:adjustRightInd w:val="0"/>
              <w:ind w:left="360"/>
              <w:jc w:val="both"/>
              <w:rPr>
                <w:rFonts w:ascii="Arial" w:hAnsi="Arial" w:cs="Arial"/>
              </w:rPr>
            </w:pPr>
          </w:p>
          <w:p w14:paraId="12FD6817" w14:textId="5A62B3C1" w:rsidR="00095F65" w:rsidRPr="00A64175" w:rsidRDefault="00EF1A6F" w:rsidP="00A64175">
            <w:pPr>
              <w:pStyle w:val="Paragraphedeliste"/>
              <w:widowControl w:val="0"/>
              <w:numPr>
                <w:ilvl w:val="0"/>
                <w:numId w:val="98"/>
              </w:numPr>
              <w:autoSpaceDE w:val="0"/>
              <w:adjustRightInd w:val="0"/>
              <w:spacing w:before="0" w:beforeAutospacing="0" w:after="0" w:afterAutospacing="0" w:line="240" w:lineRule="auto"/>
              <w:contextualSpacing/>
              <w:rPr>
                <w:bCs/>
              </w:rPr>
            </w:pPr>
            <w:r w:rsidRPr="00A64175">
              <w:rPr>
                <w:bCs/>
              </w:rPr>
              <w:t>L</w:t>
            </w:r>
            <w:r w:rsidR="00095F65" w:rsidRPr="00A64175">
              <w:rPr>
                <w:bCs/>
              </w:rPr>
              <w:t>e Listing Sponsor veille en permanence au respect des engagements de son client en matière de communication financière et lui fournit toute assistance de nature à remédier aux défaillances constatées. Il porte, sans délai, ces défaillances et les diligences entreprises à la connaissance de la COSUMAF et de la Bourse Régionale.</w:t>
            </w:r>
          </w:p>
          <w:p w14:paraId="1E8EE7B1" w14:textId="77777777" w:rsidR="00095F65" w:rsidRPr="00A64175" w:rsidRDefault="00095F65" w:rsidP="00A64175">
            <w:pPr>
              <w:pStyle w:val="Paragraphedeliste"/>
              <w:widowControl w:val="0"/>
              <w:autoSpaceDE w:val="0"/>
              <w:adjustRightInd w:val="0"/>
              <w:contextualSpacing/>
              <w:rPr>
                <w:bCs/>
              </w:rPr>
            </w:pPr>
          </w:p>
          <w:p w14:paraId="6B5B20A7" w14:textId="77777777" w:rsidR="00095F65" w:rsidRPr="00A64175" w:rsidRDefault="00095F65" w:rsidP="00A64175">
            <w:pPr>
              <w:pStyle w:val="Paragraphedeliste"/>
              <w:widowControl w:val="0"/>
              <w:numPr>
                <w:ilvl w:val="0"/>
                <w:numId w:val="98"/>
              </w:numPr>
              <w:autoSpaceDE w:val="0"/>
              <w:adjustRightInd w:val="0"/>
              <w:spacing w:before="0" w:beforeAutospacing="0" w:after="0" w:afterAutospacing="0" w:line="240" w:lineRule="auto"/>
              <w:contextualSpacing/>
              <w:rPr>
                <w:bCs/>
              </w:rPr>
            </w:pPr>
            <w:r w:rsidRPr="00A64175">
              <w:rPr>
                <w:bCs/>
              </w:rPr>
              <w:t>Il tient un registre de ses diligences professionnelles. Il porte sur ce registre, pour chacune des sociétés qu’il assiste, les indications de nature à permettre le contrôle ultérieur des diligences accomplies. Ce registre est conservé pendant au moins dix (10) ans à compter de l’accomplissement des diligences du Listing Sponsor et tenu à la disposition de la COSUMAF.</w:t>
            </w:r>
          </w:p>
          <w:p w14:paraId="22009F14" w14:textId="77777777" w:rsidR="00095F65" w:rsidRPr="00A64175" w:rsidRDefault="00095F65" w:rsidP="00A64175">
            <w:pPr>
              <w:widowControl w:val="0"/>
              <w:autoSpaceDE w:val="0"/>
              <w:adjustRightInd w:val="0"/>
              <w:contextualSpacing/>
              <w:jc w:val="both"/>
              <w:rPr>
                <w:rFonts w:ascii="Arial" w:hAnsi="Arial" w:cs="Arial"/>
                <w:bCs/>
              </w:rPr>
            </w:pPr>
          </w:p>
        </w:tc>
      </w:tr>
      <w:tr w:rsidR="00095F65" w:rsidRPr="00A64175" w14:paraId="28536D49" w14:textId="77777777" w:rsidTr="00EC563C">
        <w:tc>
          <w:tcPr>
            <w:tcW w:w="9214" w:type="dxa"/>
            <w:shd w:val="clear" w:color="auto" w:fill="auto"/>
          </w:tcPr>
          <w:p w14:paraId="12531035" w14:textId="2FB06644" w:rsidR="00095F65" w:rsidRPr="00A64175" w:rsidRDefault="00A92C1B" w:rsidP="00A64175">
            <w:pPr>
              <w:widowControl w:val="0"/>
              <w:autoSpaceDE w:val="0"/>
              <w:adjustRightInd w:val="0"/>
              <w:jc w:val="both"/>
              <w:rPr>
                <w:rFonts w:ascii="Arial" w:hAnsi="Arial" w:cs="Arial"/>
                <w:bCs/>
              </w:rPr>
            </w:pPr>
            <w:r w:rsidRPr="00A64175">
              <w:rPr>
                <w:rFonts w:ascii="Arial" w:hAnsi="Arial" w:cs="Arial"/>
                <w:b/>
                <w:bCs/>
              </w:rPr>
              <w:t>Article 29</w:t>
            </w:r>
            <w:r w:rsidR="009B231D">
              <w:rPr>
                <w:rFonts w:ascii="Arial" w:hAnsi="Arial" w:cs="Arial"/>
                <w:b/>
                <w:bCs/>
              </w:rPr>
              <w:t>6</w:t>
            </w:r>
            <w:r w:rsidR="00095F65" w:rsidRPr="00A64175">
              <w:rPr>
                <w:rFonts w:ascii="Arial" w:hAnsi="Arial" w:cs="Arial"/>
                <w:b/>
                <w:bCs/>
              </w:rPr>
              <w:t xml:space="preserve"> – </w:t>
            </w:r>
            <w:r w:rsidR="00095F65" w:rsidRPr="00A64175">
              <w:rPr>
                <w:rFonts w:ascii="Arial" w:hAnsi="Arial" w:cs="Arial"/>
                <w:bCs/>
              </w:rPr>
              <w:t>Lors de l’admission de titres à la négociation sur le marché réglementé, le Listing Sponsor atteste par écrit auprès de la COSUMAF :</w:t>
            </w:r>
          </w:p>
          <w:p w14:paraId="17A18AC3" w14:textId="77777777" w:rsidR="00095F65" w:rsidRPr="00A64175" w:rsidRDefault="00095F65" w:rsidP="00A64175">
            <w:pPr>
              <w:widowControl w:val="0"/>
              <w:autoSpaceDE w:val="0"/>
              <w:adjustRightInd w:val="0"/>
              <w:jc w:val="both"/>
              <w:rPr>
                <w:rFonts w:ascii="Arial" w:hAnsi="Arial" w:cs="Arial"/>
                <w:bCs/>
              </w:rPr>
            </w:pPr>
          </w:p>
          <w:p w14:paraId="2B551596" w14:textId="77777777" w:rsidR="00095F65" w:rsidRPr="00A64175" w:rsidRDefault="00095F65" w:rsidP="00A64175">
            <w:pPr>
              <w:pStyle w:val="Paragraphedeliste"/>
              <w:widowControl w:val="0"/>
              <w:numPr>
                <w:ilvl w:val="0"/>
                <w:numId w:val="68"/>
              </w:numPr>
              <w:autoSpaceDE w:val="0"/>
              <w:adjustRightInd w:val="0"/>
              <w:spacing w:before="0" w:beforeAutospacing="0" w:after="0" w:afterAutospacing="0" w:line="240" w:lineRule="auto"/>
              <w:rPr>
                <w:bCs/>
              </w:rPr>
            </w:pPr>
            <w:r w:rsidRPr="00A64175">
              <w:rPr>
                <w:bCs/>
              </w:rPr>
              <w:t>Avoir fourni à la société concernée toutes les informations relatives aux obligations légales et réglementaires découlant de l’opération d’introduction en bourse et de sa présence sur le marché réglementé et que celle-ci satisfait aux conditions d’éligibilité ;</w:t>
            </w:r>
          </w:p>
          <w:p w14:paraId="7A29DE8D" w14:textId="77777777" w:rsidR="00095F65" w:rsidRPr="00A64175" w:rsidRDefault="00095F65" w:rsidP="00A64175">
            <w:pPr>
              <w:widowControl w:val="0"/>
              <w:autoSpaceDE w:val="0"/>
              <w:adjustRightInd w:val="0"/>
              <w:ind w:left="360"/>
              <w:jc w:val="both"/>
              <w:rPr>
                <w:rFonts w:ascii="Arial" w:hAnsi="Arial" w:cs="Arial"/>
                <w:bCs/>
              </w:rPr>
            </w:pPr>
          </w:p>
          <w:p w14:paraId="334BB6DE" w14:textId="40736EC5" w:rsidR="00095F65" w:rsidRPr="00A64175" w:rsidRDefault="00095F65" w:rsidP="00A64175">
            <w:pPr>
              <w:pStyle w:val="Paragraphedeliste"/>
              <w:widowControl w:val="0"/>
              <w:numPr>
                <w:ilvl w:val="0"/>
                <w:numId w:val="69"/>
              </w:numPr>
              <w:autoSpaceDE w:val="0"/>
              <w:adjustRightInd w:val="0"/>
              <w:spacing w:before="0" w:beforeAutospacing="0" w:after="0" w:afterAutospacing="0" w:line="240" w:lineRule="auto"/>
              <w:rPr>
                <w:bCs/>
              </w:rPr>
            </w:pPr>
            <w:r w:rsidRPr="00A64175">
              <w:rPr>
                <w:bCs/>
              </w:rPr>
              <w:t>Avoir vérifié et accompli les diligences nécessaires à l’admission à la négo</w:t>
            </w:r>
            <w:r w:rsidR="00502F43" w:rsidRPr="00A64175">
              <w:rPr>
                <w:bCs/>
              </w:rPr>
              <w:t>ciation sur le</w:t>
            </w:r>
            <w:r w:rsidRPr="00A64175">
              <w:rPr>
                <w:bCs/>
              </w:rPr>
              <w:t xml:space="preserve"> marché réglementé ;</w:t>
            </w:r>
          </w:p>
          <w:p w14:paraId="7AB32EFF" w14:textId="77777777" w:rsidR="00095F65" w:rsidRPr="00A64175" w:rsidRDefault="00095F65" w:rsidP="00A64175">
            <w:pPr>
              <w:widowControl w:val="0"/>
              <w:autoSpaceDE w:val="0"/>
              <w:adjustRightInd w:val="0"/>
              <w:jc w:val="both"/>
              <w:rPr>
                <w:rFonts w:ascii="Arial" w:hAnsi="Arial" w:cs="Arial"/>
                <w:bCs/>
              </w:rPr>
            </w:pPr>
          </w:p>
          <w:p w14:paraId="471EF05C" w14:textId="77777777" w:rsidR="00095F65" w:rsidRPr="00A64175" w:rsidRDefault="00095F65" w:rsidP="00A64175">
            <w:pPr>
              <w:pStyle w:val="Paragraphedeliste"/>
              <w:widowControl w:val="0"/>
              <w:numPr>
                <w:ilvl w:val="0"/>
                <w:numId w:val="69"/>
              </w:numPr>
              <w:autoSpaceDE w:val="0"/>
              <w:adjustRightInd w:val="0"/>
              <w:spacing w:before="0" w:beforeAutospacing="0" w:after="0" w:afterAutospacing="0" w:line="240" w:lineRule="auto"/>
              <w:rPr>
                <w:bCs/>
              </w:rPr>
            </w:pPr>
            <w:r w:rsidRPr="00A64175">
              <w:rPr>
                <w:bCs/>
              </w:rPr>
              <w:t>Que la société candidate a mis en place les mesures nécessaires au respect de ses obligations d’informations périodiques et permanentes.</w:t>
            </w:r>
          </w:p>
          <w:p w14:paraId="08F7DFDA" w14:textId="77777777" w:rsidR="00095F65" w:rsidRPr="00A64175" w:rsidRDefault="00095F65" w:rsidP="00A64175">
            <w:pPr>
              <w:widowControl w:val="0"/>
              <w:autoSpaceDE w:val="0"/>
              <w:adjustRightInd w:val="0"/>
              <w:jc w:val="both"/>
              <w:rPr>
                <w:rFonts w:ascii="Arial" w:hAnsi="Arial" w:cs="Arial"/>
                <w:b/>
              </w:rPr>
            </w:pPr>
          </w:p>
        </w:tc>
      </w:tr>
      <w:tr w:rsidR="00095F65" w:rsidRPr="00A64175" w14:paraId="54151363" w14:textId="77777777" w:rsidTr="00EC563C">
        <w:tc>
          <w:tcPr>
            <w:tcW w:w="9214" w:type="dxa"/>
            <w:shd w:val="clear" w:color="auto" w:fill="auto"/>
          </w:tcPr>
          <w:p w14:paraId="2394611D" w14:textId="1D4FF853" w:rsidR="00095F65" w:rsidRPr="00A64175" w:rsidRDefault="00A92C1B" w:rsidP="00A64175">
            <w:pPr>
              <w:widowControl w:val="0"/>
              <w:autoSpaceDE w:val="0"/>
              <w:adjustRightInd w:val="0"/>
              <w:jc w:val="both"/>
              <w:rPr>
                <w:rFonts w:ascii="Arial" w:hAnsi="Arial" w:cs="Arial"/>
                <w:b/>
                <w:bCs/>
              </w:rPr>
            </w:pPr>
            <w:r w:rsidRPr="00A64175">
              <w:rPr>
                <w:rFonts w:ascii="Arial" w:hAnsi="Arial" w:cs="Arial"/>
                <w:b/>
                <w:bCs/>
              </w:rPr>
              <w:t>Article 29</w:t>
            </w:r>
            <w:r w:rsidR="009B231D">
              <w:rPr>
                <w:rFonts w:ascii="Arial" w:hAnsi="Arial" w:cs="Arial"/>
                <w:b/>
                <w:bCs/>
              </w:rPr>
              <w:t>7</w:t>
            </w:r>
            <w:r w:rsidR="00095F65" w:rsidRPr="00A64175">
              <w:rPr>
                <w:rFonts w:ascii="Arial" w:hAnsi="Arial" w:cs="Arial"/>
                <w:b/>
                <w:bCs/>
              </w:rPr>
              <w:t xml:space="preserve"> –</w:t>
            </w:r>
            <w:r w:rsidR="00095F65" w:rsidRPr="00A64175">
              <w:rPr>
                <w:rFonts w:ascii="Arial" w:hAnsi="Arial" w:cs="Arial"/>
                <w:bCs/>
              </w:rPr>
              <w:t xml:space="preserve"> Le Listing Sponsor informe sans délai la COSUMAF de toute poursuite administrative ou judiciaire dont il fait l’objet à l’occasion de l’exercice de son activité.</w:t>
            </w:r>
          </w:p>
          <w:p w14:paraId="0E5E55FA" w14:textId="77777777" w:rsidR="00095F65" w:rsidRPr="00A64175" w:rsidRDefault="00095F65" w:rsidP="00A64175">
            <w:pPr>
              <w:widowControl w:val="0"/>
              <w:autoSpaceDE w:val="0"/>
              <w:adjustRightInd w:val="0"/>
              <w:jc w:val="both"/>
              <w:rPr>
                <w:rFonts w:ascii="Arial" w:hAnsi="Arial" w:cs="Arial"/>
                <w:b/>
                <w:bCs/>
              </w:rPr>
            </w:pPr>
          </w:p>
        </w:tc>
      </w:tr>
      <w:tr w:rsidR="00095F65" w:rsidRPr="00A64175" w14:paraId="3AC38256" w14:textId="77777777" w:rsidTr="00EC563C">
        <w:trPr>
          <w:trHeight w:val="1524"/>
        </w:trPr>
        <w:tc>
          <w:tcPr>
            <w:tcW w:w="9214" w:type="dxa"/>
            <w:shd w:val="clear" w:color="auto" w:fill="auto"/>
          </w:tcPr>
          <w:p w14:paraId="4795A650" w14:textId="1FF655C8" w:rsidR="00095F65" w:rsidRPr="00A64175" w:rsidRDefault="00A92C1B" w:rsidP="00A64175">
            <w:pPr>
              <w:widowControl w:val="0"/>
              <w:autoSpaceDE w:val="0"/>
              <w:adjustRightInd w:val="0"/>
              <w:jc w:val="both"/>
              <w:rPr>
                <w:rFonts w:ascii="Arial" w:hAnsi="Arial" w:cs="Arial"/>
                <w:bCs/>
              </w:rPr>
            </w:pPr>
            <w:r w:rsidRPr="00A64175">
              <w:rPr>
                <w:rFonts w:ascii="Arial" w:hAnsi="Arial" w:cs="Arial"/>
                <w:b/>
                <w:bCs/>
              </w:rPr>
              <w:t>Article 29</w:t>
            </w:r>
            <w:r w:rsidR="009B231D">
              <w:rPr>
                <w:rFonts w:ascii="Arial" w:hAnsi="Arial" w:cs="Arial"/>
                <w:b/>
                <w:bCs/>
              </w:rPr>
              <w:t>8</w:t>
            </w:r>
            <w:r w:rsidR="00095F65" w:rsidRPr="00A64175">
              <w:rPr>
                <w:rFonts w:ascii="Arial" w:hAnsi="Arial" w:cs="Arial"/>
                <w:b/>
                <w:bCs/>
              </w:rPr>
              <w:t xml:space="preserve"> –</w:t>
            </w:r>
            <w:r w:rsidR="00095F65" w:rsidRPr="00A64175">
              <w:rPr>
                <w:rFonts w:ascii="Arial" w:hAnsi="Arial" w:cs="Arial"/>
                <w:bCs/>
              </w:rPr>
              <w:t xml:space="preserve"> Le Listing Sponsor transmet à la COSUMAF</w:t>
            </w:r>
            <w:r w:rsidR="00872E5E" w:rsidRPr="00A64175">
              <w:rPr>
                <w:rFonts w:ascii="Arial" w:hAnsi="Arial" w:cs="Arial"/>
                <w:bCs/>
              </w:rPr>
              <w:t xml:space="preserve">, dans un délai de </w:t>
            </w:r>
            <w:r w:rsidR="00095F65" w:rsidRPr="00A64175">
              <w:rPr>
                <w:rFonts w:ascii="Arial" w:hAnsi="Arial" w:cs="Arial"/>
                <w:bCs/>
              </w:rPr>
              <w:t xml:space="preserve"> trois (3) mois</w:t>
            </w:r>
            <w:r w:rsidR="00872E5E" w:rsidRPr="00A64175">
              <w:rPr>
                <w:rFonts w:ascii="Arial" w:hAnsi="Arial" w:cs="Arial"/>
                <w:bCs/>
              </w:rPr>
              <w:t xml:space="preserve"> après la</w:t>
            </w:r>
            <w:r w:rsidR="00095F65" w:rsidRPr="00A64175">
              <w:rPr>
                <w:rFonts w:ascii="Arial" w:hAnsi="Arial" w:cs="Arial"/>
                <w:bCs/>
              </w:rPr>
              <w:t xml:space="preserve"> clôture</w:t>
            </w:r>
            <w:r w:rsidR="00B12B94" w:rsidRPr="00A64175">
              <w:rPr>
                <w:rFonts w:ascii="Arial" w:hAnsi="Arial" w:cs="Arial"/>
                <w:bCs/>
              </w:rPr>
              <w:t xml:space="preserve"> de chaque exercice,</w:t>
            </w:r>
            <w:r w:rsidR="00872E5E" w:rsidRPr="00A64175">
              <w:rPr>
                <w:rFonts w:ascii="Arial" w:hAnsi="Arial" w:cs="Arial"/>
                <w:bCs/>
              </w:rPr>
              <w:t xml:space="preserve"> l</w:t>
            </w:r>
            <w:r w:rsidR="00095F65" w:rsidRPr="00A64175">
              <w:rPr>
                <w:rFonts w:ascii="Arial" w:hAnsi="Arial" w:cs="Arial"/>
                <w:bCs/>
              </w:rPr>
              <w:t>es informations suivantes :</w:t>
            </w:r>
          </w:p>
          <w:p w14:paraId="531A33BD" w14:textId="77777777" w:rsidR="00095F65" w:rsidRPr="00A64175" w:rsidRDefault="00095F65" w:rsidP="00A64175">
            <w:pPr>
              <w:widowControl w:val="0"/>
              <w:autoSpaceDE w:val="0"/>
              <w:adjustRightInd w:val="0"/>
              <w:jc w:val="both"/>
              <w:rPr>
                <w:rFonts w:ascii="Arial" w:hAnsi="Arial" w:cs="Arial"/>
                <w:bCs/>
              </w:rPr>
            </w:pPr>
          </w:p>
          <w:p w14:paraId="2F3FA9FC" w14:textId="77777777" w:rsidR="00095F65" w:rsidRPr="00A64175" w:rsidRDefault="00095F65" w:rsidP="00A64175">
            <w:pPr>
              <w:pStyle w:val="Paragraphedeliste"/>
              <w:widowControl w:val="0"/>
              <w:numPr>
                <w:ilvl w:val="0"/>
                <w:numId w:val="69"/>
              </w:numPr>
              <w:autoSpaceDE w:val="0"/>
              <w:adjustRightInd w:val="0"/>
              <w:spacing w:before="0" w:beforeAutospacing="0" w:after="0" w:afterAutospacing="0" w:line="240" w:lineRule="auto"/>
              <w:rPr>
                <w:bCs/>
              </w:rPr>
            </w:pPr>
            <w:r w:rsidRPr="00A64175">
              <w:rPr>
                <w:bCs/>
              </w:rPr>
              <w:t>Les conflits d’intérêts réels et potentiels identifiés et les conditions dans lesquelles ils ont été gérés ;</w:t>
            </w:r>
          </w:p>
          <w:p w14:paraId="3868F799" w14:textId="77777777" w:rsidR="00095F65" w:rsidRPr="00A64175" w:rsidRDefault="00095F65" w:rsidP="00A64175">
            <w:pPr>
              <w:widowControl w:val="0"/>
              <w:autoSpaceDE w:val="0"/>
              <w:adjustRightInd w:val="0"/>
              <w:jc w:val="both"/>
              <w:rPr>
                <w:rFonts w:ascii="Arial" w:hAnsi="Arial" w:cs="Arial"/>
                <w:bCs/>
              </w:rPr>
            </w:pPr>
          </w:p>
          <w:p w14:paraId="2DEF7443" w14:textId="77777777" w:rsidR="00095F65" w:rsidRPr="00A64175" w:rsidRDefault="00095F65" w:rsidP="00A64175">
            <w:pPr>
              <w:pStyle w:val="Paragraphedeliste"/>
              <w:widowControl w:val="0"/>
              <w:numPr>
                <w:ilvl w:val="0"/>
                <w:numId w:val="70"/>
              </w:numPr>
              <w:autoSpaceDE w:val="0"/>
              <w:adjustRightInd w:val="0"/>
              <w:spacing w:before="0" w:beforeAutospacing="0" w:after="0" w:afterAutospacing="0" w:line="240" w:lineRule="auto"/>
              <w:rPr>
                <w:bCs/>
              </w:rPr>
            </w:pPr>
            <w:r w:rsidRPr="00A64175">
              <w:rPr>
                <w:bCs/>
              </w:rPr>
              <w:t>Des informations financières relatives au chiffre d’affaires réalisé au titre de son activité de Listing Sponsor et à celui réalisé au titre de ses autres activités.</w:t>
            </w:r>
          </w:p>
          <w:p w14:paraId="36542CE1" w14:textId="77777777" w:rsidR="00B12B94" w:rsidRPr="00A64175" w:rsidRDefault="00B12B94" w:rsidP="00A64175">
            <w:pPr>
              <w:pStyle w:val="Paragraphedeliste"/>
              <w:widowControl w:val="0"/>
              <w:autoSpaceDE w:val="0"/>
              <w:adjustRightInd w:val="0"/>
              <w:spacing w:before="0" w:beforeAutospacing="0" w:after="0" w:afterAutospacing="0" w:line="240" w:lineRule="auto"/>
              <w:rPr>
                <w:bCs/>
              </w:rPr>
            </w:pPr>
          </w:p>
          <w:p w14:paraId="19C03023" w14:textId="5FAC11B0" w:rsidR="00872E5E" w:rsidRPr="00A64175" w:rsidRDefault="00872E5E" w:rsidP="00A64175">
            <w:pPr>
              <w:pStyle w:val="Paragraphedeliste"/>
              <w:widowControl w:val="0"/>
              <w:numPr>
                <w:ilvl w:val="0"/>
                <w:numId w:val="70"/>
              </w:numPr>
              <w:autoSpaceDE w:val="0"/>
              <w:adjustRightInd w:val="0"/>
              <w:spacing w:before="0" w:beforeAutospacing="0" w:after="0" w:afterAutospacing="0" w:line="240" w:lineRule="auto"/>
              <w:rPr>
                <w:bCs/>
              </w:rPr>
            </w:pPr>
            <w:r w:rsidRPr="00A64175">
              <w:rPr>
                <w:bCs/>
              </w:rPr>
              <w:t>Toute autre information jugée utile.</w:t>
            </w:r>
          </w:p>
          <w:p w14:paraId="639726C8" w14:textId="77777777" w:rsidR="00095F65" w:rsidRPr="00A64175" w:rsidRDefault="00095F65" w:rsidP="00A64175">
            <w:pPr>
              <w:widowControl w:val="0"/>
              <w:autoSpaceDE w:val="0"/>
              <w:adjustRightInd w:val="0"/>
              <w:jc w:val="both"/>
              <w:rPr>
                <w:rFonts w:ascii="Arial" w:hAnsi="Arial" w:cs="Arial"/>
                <w:b/>
                <w:bCs/>
              </w:rPr>
            </w:pPr>
          </w:p>
          <w:p w14:paraId="7AE7D386" w14:textId="48459406" w:rsidR="00EF1A6F" w:rsidRPr="00A64175" w:rsidRDefault="00A92C1B" w:rsidP="00A64175">
            <w:pPr>
              <w:jc w:val="both"/>
              <w:rPr>
                <w:rFonts w:ascii="Arial" w:hAnsi="Arial" w:cs="Arial"/>
                <w:b/>
                <w:bCs/>
              </w:rPr>
            </w:pPr>
            <w:r w:rsidRPr="00A64175">
              <w:rPr>
                <w:rFonts w:ascii="Arial" w:hAnsi="Arial" w:cs="Arial"/>
                <w:b/>
                <w:bCs/>
              </w:rPr>
              <w:t>Article 29</w:t>
            </w:r>
            <w:r w:rsidR="009B231D">
              <w:rPr>
                <w:rFonts w:ascii="Arial" w:hAnsi="Arial" w:cs="Arial"/>
                <w:b/>
                <w:bCs/>
              </w:rPr>
              <w:t>9</w:t>
            </w:r>
            <w:r w:rsidR="00EF1A6F" w:rsidRPr="00A64175">
              <w:rPr>
                <w:rFonts w:ascii="Arial" w:hAnsi="Arial" w:cs="Arial"/>
                <w:b/>
                <w:bCs/>
              </w:rPr>
              <w:t xml:space="preserve"> –</w:t>
            </w:r>
          </w:p>
          <w:p w14:paraId="2AAAC33A" w14:textId="77777777" w:rsidR="00EF1A6F" w:rsidRPr="00A64175" w:rsidRDefault="00EF1A6F" w:rsidP="00A64175">
            <w:pPr>
              <w:jc w:val="both"/>
              <w:rPr>
                <w:rFonts w:ascii="Arial" w:hAnsi="Arial" w:cs="Arial"/>
              </w:rPr>
            </w:pPr>
            <w:r w:rsidRPr="00A64175">
              <w:rPr>
                <w:rFonts w:ascii="Arial" w:hAnsi="Arial" w:cs="Arial"/>
                <w:b/>
                <w:bCs/>
              </w:rPr>
              <w:t xml:space="preserve"> </w:t>
            </w:r>
          </w:p>
          <w:p w14:paraId="7410522C" w14:textId="77777777" w:rsidR="00EF1A6F" w:rsidRPr="00A64175" w:rsidRDefault="00EF1A6F" w:rsidP="00A64175">
            <w:pPr>
              <w:pStyle w:val="Paragraphedeliste"/>
              <w:numPr>
                <w:ilvl w:val="0"/>
                <w:numId w:val="110"/>
              </w:numPr>
              <w:spacing w:before="0" w:beforeAutospacing="0" w:after="0" w:afterAutospacing="0" w:line="240" w:lineRule="auto"/>
              <w:contextualSpacing/>
            </w:pPr>
            <w:r w:rsidRPr="00A64175">
              <w:rPr>
                <w:kern w:val="1"/>
              </w:rPr>
              <w:t xml:space="preserve">L’activité de Listing Sponsor relève d’un agrément spécifique délivré par la COSUMAF. </w:t>
            </w:r>
          </w:p>
          <w:p w14:paraId="312D547A" w14:textId="77777777" w:rsidR="00EF1A6F" w:rsidRPr="00A64175" w:rsidRDefault="00EF1A6F" w:rsidP="00A64175">
            <w:pPr>
              <w:pStyle w:val="Paragraphedeliste"/>
              <w:spacing w:before="0" w:beforeAutospacing="0" w:after="0" w:afterAutospacing="0" w:line="240" w:lineRule="auto"/>
              <w:contextualSpacing/>
            </w:pPr>
          </w:p>
          <w:p w14:paraId="330E94C7" w14:textId="77777777" w:rsidR="00EF1A6F" w:rsidRPr="00A64175" w:rsidRDefault="00EF1A6F" w:rsidP="00A64175">
            <w:pPr>
              <w:pStyle w:val="Paragraphedeliste"/>
              <w:numPr>
                <w:ilvl w:val="0"/>
                <w:numId w:val="110"/>
              </w:numPr>
              <w:spacing w:before="0" w:beforeAutospacing="0" w:after="0" w:afterAutospacing="0" w:line="240" w:lineRule="auto"/>
              <w:contextualSpacing/>
            </w:pPr>
            <w:r w:rsidRPr="00A64175">
              <w:rPr>
                <w:kern w:val="1"/>
              </w:rPr>
              <w:t xml:space="preserve">Cette activité peut être exercée par les sociétés de bourse spécialement agréées à cet effet. </w:t>
            </w:r>
          </w:p>
          <w:p w14:paraId="516E6292" w14:textId="77777777" w:rsidR="00EF1A6F" w:rsidRPr="00A64175" w:rsidRDefault="00EF1A6F" w:rsidP="00A64175">
            <w:pPr>
              <w:pStyle w:val="Paragraphedeliste"/>
              <w:contextualSpacing/>
            </w:pPr>
          </w:p>
          <w:p w14:paraId="12C8516F" w14:textId="77777777" w:rsidR="00EF1A6F" w:rsidRPr="00A64175" w:rsidRDefault="00EF1A6F" w:rsidP="00A64175">
            <w:pPr>
              <w:pStyle w:val="Paragraphedeliste"/>
              <w:numPr>
                <w:ilvl w:val="0"/>
                <w:numId w:val="110"/>
              </w:numPr>
              <w:spacing w:before="0" w:beforeAutospacing="0" w:after="0" w:afterAutospacing="0" w:line="240" w:lineRule="auto"/>
              <w:contextualSpacing/>
            </w:pPr>
            <w:r w:rsidRPr="00A64175">
              <w:rPr>
                <w:kern w:val="1"/>
              </w:rPr>
              <w:t>Les cabinets d’audit, d’expertise-comptable, de conseil financier, de conseil juridique et d’avocats peuvent également exercer une activité de listing sponsor.</w:t>
            </w:r>
          </w:p>
          <w:p w14:paraId="29E8D35C" w14:textId="77777777" w:rsidR="00EF1A6F" w:rsidRPr="00A64175" w:rsidRDefault="00EF1A6F" w:rsidP="00A64175">
            <w:pPr>
              <w:pStyle w:val="Paragraphedeliste"/>
              <w:contextualSpacing/>
              <w:rPr>
                <w:bCs/>
              </w:rPr>
            </w:pPr>
          </w:p>
          <w:p w14:paraId="64014790" w14:textId="77777777" w:rsidR="00EF1A6F" w:rsidRPr="00A64175" w:rsidRDefault="00EF1A6F" w:rsidP="00A64175">
            <w:pPr>
              <w:pStyle w:val="Paragraphedeliste"/>
              <w:numPr>
                <w:ilvl w:val="0"/>
                <w:numId w:val="110"/>
              </w:numPr>
              <w:spacing w:before="0" w:beforeAutospacing="0" w:after="0" w:afterAutospacing="0" w:line="240" w:lineRule="auto"/>
              <w:contextualSpacing/>
            </w:pPr>
            <w:r w:rsidRPr="00A64175">
              <w:rPr>
                <w:bCs/>
              </w:rPr>
              <w:t xml:space="preserve">Les personnes ou structures visées au présent article, ne peuvent exercer les activités de listing sponsor lorsqu’elles se retrouvent en situation de conflit d’intérêt. </w:t>
            </w:r>
          </w:p>
          <w:p w14:paraId="38B7B6AD" w14:textId="77777777" w:rsidR="00EF1A6F" w:rsidRPr="00A64175" w:rsidRDefault="00EF1A6F" w:rsidP="00A64175">
            <w:pPr>
              <w:widowControl w:val="0"/>
              <w:autoSpaceDE w:val="0"/>
              <w:adjustRightInd w:val="0"/>
              <w:jc w:val="both"/>
              <w:rPr>
                <w:rFonts w:ascii="Arial" w:hAnsi="Arial" w:cs="Arial"/>
                <w:b/>
                <w:bCs/>
              </w:rPr>
            </w:pPr>
          </w:p>
          <w:p w14:paraId="564BF359" w14:textId="77777777" w:rsidR="00EF1A6F" w:rsidRPr="00A64175" w:rsidRDefault="00EF1A6F" w:rsidP="00A64175">
            <w:pPr>
              <w:widowControl w:val="0"/>
              <w:autoSpaceDE w:val="0"/>
              <w:adjustRightInd w:val="0"/>
              <w:jc w:val="both"/>
              <w:rPr>
                <w:rFonts w:ascii="Arial" w:hAnsi="Arial" w:cs="Arial"/>
                <w:b/>
                <w:bCs/>
              </w:rPr>
            </w:pPr>
          </w:p>
        </w:tc>
      </w:tr>
      <w:tr w:rsidR="00095F65" w:rsidRPr="00A64175" w14:paraId="3D183C21" w14:textId="77777777" w:rsidTr="00EC563C">
        <w:trPr>
          <w:trHeight w:val="376"/>
        </w:trPr>
        <w:tc>
          <w:tcPr>
            <w:tcW w:w="9214" w:type="dxa"/>
            <w:shd w:val="clear" w:color="auto" w:fill="auto"/>
          </w:tcPr>
          <w:p w14:paraId="796BF162" w14:textId="77777777" w:rsidR="00095F65" w:rsidRPr="00A64175" w:rsidRDefault="00095F65" w:rsidP="00A64175">
            <w:pPr>
              <w:widowControl w:val="0"/>
              <w:autoSpaceDE w:val="0"/>
              <w:adjustRightInd w:val="0"/>
              <w:jc w:val="both"/>
              <w:rPr>
                <w:rFonts w:ascii="Arial" w:hAnsi="Arial" w:cs="Arial"/>
                <w:b/>
                <w:bCs/>
              </w:rPr>
            </w:pPr>
            <w:r w:rsidRPr="00A64175">
              <w:rPr>
                <w:rFonts w:ascii="Arial" w:hAnsi="Arial" w:cs="Arial"/>
                <w:b/>
                <w:bCs/>
              </w:rPr>
              <w:t>Section III : Recherche en investissement et Analyse financière</w:t>
            </w:r>
          </w:p>
        </w:tc>
      </w:tr>
      <w:tr w:rsidR="00095F65" w:rsidRPr="00A64175" w14:paraId="5D45E2F6" w14:textId="77777777" w:rsidTr="00EC563C">
        <w:tc>
          <w:tcPr>
            <w:tcW w:w="9214" w:type="dxa"/>
            <w:shd w:val="clear" w:color="auto" w:fill="auto"/>
          </w:tcPr>
          <w:p w14:paraId="24A7E7C1" w14:textId="77777777" w:rsidR="00502F43" w:rsidRPr="00A64175" w:rsidRDefault="00502F43" w:rsidP="00A64175">
            <w:pPr>
              <w:pStyle w:val="NormalWeb"/>
              <w:jc w:val="both"/>
              <w:rPr>
                <w:rFonts w:ascii="Arial" w:hAnsi="Arial" w:cs="Arial"/>
                <w:b/>
                <w:bCs/>
                <w:sz w:val="22"/>
                <w:szCs w:val="22"/>
              </w:rPr>
            </w:pPr>
          </w:p>
          <w:p w14:paraId="65C79DD2" w14:textId="304C9720" w:rsidR="00095F65" w:rsidRPr="00A64175" w:rsidRDefault="00A92C1B" w:rsidP="00A64175">
            <w:pPr>
              <w:pStyle w:val="NormalWeb"/>
              <w:jc w:val="both"/>
              <w:rPr>
                <w:rFonts w:ascii="Arial" w:hAnsi="Arial" w:cs="Arial"/>
                <w:b/>
                <w:bCs/>
                <w:sz w:val="22"/>
                <w:szCs w:val="22"/>
              </w:rPr>
            </w:pPr>
            <w:r w:rsidRPr="00A64175">
              <w:rPr>
                <w:rFonts w:ascii="Arial" w:hAnsi="Arial" w:cs="Arial"/>
                <w:b/>
                <w:bCs/>
                <w:sz w:val="22"/>
                <w:szCs w:val="22"/>
              </w:rPr>
              <w:t xml:space="preserve">Article </w:t>
            </w:r>
            <w:r w:rsidR="009B231D">
              <w:rPr>
                <w:rFonts w:ascii="Arial" w:hAnsi="Arial" w:cs="Arial"/>
                <w:b/>
                <w:bCs/>
                <w:sz w:val="22"/>
                <w:szCs w:val="22"/>
              </w:rPr>
              <w:t>300</w:t>
            </w:r>
            <w:r w:rsidR="00095F65" w:rsidRPr="00A64175">
              <w:rPr>
                <w:rFonts w:ascii="Arial" w:hAnsi="Arial" w:cs="Arial"/>
                <w:b/>
                <w:bCs/>
                <w:sz w:val="22"/>
                <w:szCs w:val="22"/>
              </w:rPr>
              <w:t xml:space="preserve"> </w:t>
            </w:r>
            <w:r w:rsidR="00956E99" w:rsidRPr="00A64175">
              <w:rPr>
                <w:rFonts w:ascii="Arial" w:hAnsi="Arial" w:cs="Arial"/>
                <w:b/>
                <w:bCs/>
                <w:sz w:val="22"/>
                <w:szCs w:val="22"/>
              </w:rPr>
              <w:t>–</w:t>
            </w:r>
            <w:r w:rsidR="00095F65" w:rsidRPr="00A64175">
              <w:rPr>
                <w:rFonts w:ascii="Arial" w:hAnsi="Arial" w:cs="Arial"/>
                <w:b/>
                <w:bCs/>
                <w:sz w:val="22"/>
                <w:szCs w:val="22"/>
              </w:rPr>
              <w:t xml:space="preserve"> </w:t>
            </w:r>
            <w:r w:rsidR="00095F65" w:rsidRPr="00A64175">
              <w:rPr>
                <w:rFonts w:ascii="Arial" w:hAnsi="Arial" w:cs="Arial"/>
                <w:sz w:val="22"/>
                <w:szCs w:val="22"/>
              </w:rPr>
              <w:t>L</w:t>
            </w:r>
            <w:r w:rsidR="00956E99" w:rsidRPr="00A64175">
              <w:rPr>
                <w:rFonts w:ascii="Arial" w:hAnsi="Arial" w:cs="Arial"/>
                <w:sz w:val="22"/>
                <w:szCs w:val="22"/>
              </w:rPr>
              <w:t>a recherche en investissement</w:t>
            </w:r>
            <w:r w:rsidR="000E54F6" w:rsidRPr="00A64175">
              <w:rPr>
                <w:rFonts w:ascii="Arial" w:hAnsi="Arial" w:cs="Arial"/>
                <w:sz w:val="22"/>
                <w:szCs w:val="22"/>
              </w:rPr>
              <w:t xml:space="preserve"> et l’analyse financière</w:t>
            </w:r>
            <w:r w:rsidR="00956E99" w:rsidRPr="00A64175">
              <w:rPr>
                <w:rFonts w:ascii="Arial" w:hAnsi="Arial" w:cs="Arial"/>
                <w:sz w:val="22"/>
                <w:szCs w:val="22"/>
              </w:rPr>
              <w:t xml:space="preserve"> s’entend</w:t>
            </w:r>
            <w:r w:rsidR="00A967D7" w:rsidRPr="00A64175">
              <w:rPr>
                <w:rFonts w:ascii="Arial" w:hAnsi="Arial" w:cs="Arial"/>
                <w:sz w:val="22"/>
                <w:szCs w:val="22"/>
              </w:rPr>
              <w:t>ent</w:t>
            </w:r>
            <w:r w:rsidR="00956E99" w:rsidRPr="00A64175">
              <w:rPr>
                <w:rFonts w:ascii="Arial" w:hAnsi="Arial" w:cs="Arial"/>
                <w:sz w:val="22"/>
                <w:szCs w:val="22"/>
              </w:rPr>
              <w:t xml:space="preserve"> d</w:t>
            </w:r>
            <w:r w:rsidR="00095F65" w:rsidRPr="00A64175">
              <w:rPr>
                <w:rFonts w:ascii="Arial" w:hAnsi="Arial" w:cs="Arial"/>
                <w:sz w:val="22"/>
                <w:szCs w:val="22"/>
              </w:rPr>
              <w:t>es t</w:t>
            </w:r>
            <w:r w:rsidR="00956E99" w:rsidRPr="00A64175">
              <w:rPr>
                <w:rFonts w:ascii="Arial" w:hAnsi="Arial" w:cs="Arial"/>
                <w:sz w:val="22"/>
                <w:szCs w:val="22"/>
              </w:rPr>
              <w:t>ravaux de recherche d'</w:t>
            </w:r>
            <w:r w:rsidR="00095F65" w:rsidRPr="00A64175">
              <w:rPr>
                <w:rFonts w:ascii="Arial" w:hAnsi="Arial" w:cs="Arial"/>
                <w:sz w:val="22"/>
                <w:szCs w:val="22"/>
              </w:rPr>
              <w:t>informations recommandant ou suggérant une stratégie d'investissement, explicitement ou implicitement, concernant un ou plusi</w:t>
            </w:r>
            <w:r w:rsidR="00956E99" w:rsidRPr="00A64175">
              <w:rPr>
                <w:rFonts w:ascii="Arial" w:hAnsi="Arial" w:cs="Arial"/>
                <w:sz w:val="22"/>
                <w:szCs w:val="22"/>
              </w:rPr>
              <w:t>eurs instruments financiers ou d</w:t>
            </w:r>
            <w:r w:rsidR="00095F65" w:rsidRPr="00A64175">
              <w:rPr>
                <w:rFonts w:ascii="Arial" w:hAnsi="Arial" w:cs="Arial"/>
                <w:sz w:val="22"/>
                <w:szCs w:val="22"/>
              </w:rPr>
              <w:t xml:space="preserve">es émetteurs d'instruments financiers, y compris les opinions émises sur le prix ou la valeur présente ou future de ces instruments, destinés aux canaux de distribution ou au public et pour lesquels les conditions suivantes sont remplies : </w:t>
            </w:r>
          </w:p>
          <w:p w14:paraId="54665490" w14:textId="3E864D28" w:rsidR="00A967D7" w:rsidRPr="00A64175" w:rsidRDefault="00095F65" w:rsidP="00A64175">
            <w:pPr>
              <w:pStyle w:val="NormalWeb"/>
              <w:numPr>
                <w:ilvl w:val="0"/>
                <w:numId w:val="105"/>
              </w:numPr>
              <w:jc w:val="both"/>
              <w:rPr>
                <w:rFonts w:ascii="Arial" w:hAnsi="Arial" w:cs="Arial"/>
                <w:sz w:val="22"/>
                <w:szCs w:val="22"/>
              </w:rPr>
            </w:pPr>
            <w:r w:rsidRPr="00A64175">
              <w:rPr>
                <w:rFonts w:ascii="Arial" w:hAnsi="Arial" w:cs="Arial"/>
                <w:sz w:val="22"/>
                <w:szCs w:val="22"/>
              </w:rPr>
              <w:t xml:space="preserve">Les travaux de recherche ou les informations sont désignés ou décrits par l'expression « recherche en investissements » ou par des termes similaires, ou sont autrement présentés comme une explication objective et indépendante du contenu de la recommandation ; </w:t>
            </w:r>
          </w:p>
          <w:p w14:paraId="6E37FC37" w14:textId="77777777" w:rsidR="00A967D7" w:rsidRPr="00A64175" w:rsidRDefault="00A967D7" w:rsidP="00A64175">
            <w:pPr>
              <w:pStyle w:val="NormalWeb"/>
              <w:ind w:left="720"/>
              <w:jc w:val="both"/>
              <w:rPr>
                <w:rFonts w:ascii="Arial" w:hAnsi="Arial" w:cs="Arial"/>
                <w:b/>
                <w:bCs/>
                <w:sz w:val="22"/>
                <w:szCs w:val="22"/>
              </w:rPr>
            </w:pPr>
          </w:p>
          <w:p w14:paraId="27E40495" w14:textId="77777777" w:rsidR="00095F65" w:rsidRPr="00A64175" w:rsidRDefault="00095F65" w:rsidP="00A64175">
            <w:pPr>
              <w:pStyle w:val="NormalWeb"/>
              <w:numPr>
                <w:ilvl w:val="0"/>
                <w:numId w:val="105"/>
              </w:numPr>
              <w:jc w:val="both"/>
              <w:rPr>
                <w:rFonts w:ascii="Arial" w:hAnsi="Arial" w:cs="Arial"/>
                <w:b/>
                <w:bCs/>
                <w:sz w:val="22"/>
                <w:szCs w:val="22"/>
              </w:rPr>
            </w:pPr>
            <w:r w:rsidRPr="00A64175">
              <w:rPr>
                <w:rFonts w:ascii="Arial" w:hAnsi="Arial" w:cs="Arial"/>
                <w:sz w:val="22"/>
                <w:szCs w:val="22"/>
              </w:rPr>
              <w:t xml:space="preserve">La recommandation n’est </w:t>
            </w:r>
            <w:r w:rsidR="00A967D7" w:rsidRPr="00A64175">
              <w:rPr>
                <w:rFonts w:ascii="Arial" w:hAnsi="Arial" w:cs="Arial"/>
                <w:sz w:val="22"/>
                <w:szCs w:val="22"/>
              </w:rPr>
              <w:t xml:space="preserve">pas assimilable au service de conseil </w:t>
            </w:r>
            <w:r w:rsidRPr="00A64175">
              <w:rPr>
                <w:rFonts w:ascii="Arial" w:hAnsi="Arial" w:cs="Arial"/>
                <w:sz w:val="22"/>
                <w:szCs w:val="22"/>
              </w:rPr>
              <w:t xml:space="preserve"> en investissement</w:t>
            </w:r>
            <w:r w:rsidR="00A967D7" w:rsidRPr="00A64175">
              <w:rPr>
                <w:rFonts w:ascii="Arial" w:hAnsi="Arial" w:cs="Arial"/>
                <w:sz w:val="22"/>
                <w:szCs w:val="22"/>
              </w:rPr>
              <w:t>s</w:t>
            </w:r>
            <w:r w:rsidRPr="00A64175">
              <w:rPr>
                <w:rFonts w:ascii="Arial" w:hAnsi="Arial" w:cs="Arial"/>
                <w:sz w:val="22"/>
                <w:szCs w:val="22"/>
              </w:rPr>
              <w:t xml:space="preserve"> financier</w:t>
            </w:r>
            <w:r w:rsidR="00A967D7" w:rsidRPr="00A64175">
              <w:rPr>
                <w:rFonts w:ascii="Arial" w:hAnsi="Arial" w:cs="Arial"/>
                <w:sz w:val="22"/>
                <w:szCs w:val="22"/>
              </w:rPr>
              <w:t>s visé</w:t>
            </w:r>
            <w:r w:rsidRPr="00A64175">
              <w:rPr>
                <w:rFonts w:ascii="Arial" w:hAnsi="Arial" w:cs="Arial"/>
                <w:sz w:val="22"/>
                <w:szCs w:val="22"/>
              </w:rPr>
              <w:t xml:space="preserve"> à</w:t>
            </w:r>
            <w:r w:rsidR="00A92C1B" w:rsidRPr="00A64175">
              <w:rPr>
                <w:rFonts w:ascii="Arial" w:hAnsi="Arial" w:cs="Arial"/>
                <w:sz w:val="22"/>
                <w:szCs w:val="22"/>
              </w:rPr>
              <w:t xml:space="preserve"> l’article 145</w:t>
            </w:r>
            <w:r w:rsidRPr="00A64175">
              <w:rPr>
                <w:rFonts w:ascii="Arial" w:hAnsi="Arial" w:cs="Arial"/>
                <w:sz w:val="22"/>
                <w:szCs w:val="22"/>
              </w:rPr>
              <w:t xml:space="preserve"> du règlement</w:t>
            </w:r>
            <w:r w:rsidR="00A92C1B" w:rsidRPr="00A64175">
              <w:rPr>
                <w:rFonts w:ascii="Arial" w:hAnsi="Arial" w:cs="Arial"/>
                <w:color w:val="000000"/>
                <w:sz w:val="22"/>
                <w:szCs w:val="22"/>
              </w:rPr>
              <w:t xml:space="preserve"> n°01/22/CEMAC/UMAC/CM/COSUMAF du 21 juillet 2022</w:t>
            </w:r>
            <w:r w:rsidRPr="00A64175">
              <w:rPr>
                <w:rFonts w:ascii="Arial" w:hAnsi="Arial" w:cs="Arial"/>
                <w:sz w:val="22"/>
                <w:szCs w:val="22"/>
              </w:rPr>
              <w:t>.</w:t>
            </w:r>
          </w:p>
          <w:p w14:paraId="7BCF5D94" w14:textId="6AB018FC" w:rsidR="00C4362A" w:rsidRPr="00A64175" w:rsidRDefault="00C4362A" w:rsidP="00A64175">
            <w:pPr>
              <w:pStyle w:val="NormalWeb"/>
              <w:jc w:val="both"/>
              <w:rPr>
                <w:rFonts w:ascii="Arial" w:hAnsi="Arial" w:cs="Arial"/>
                <w:b/>
                <w:bCs/>
                <w:sz w:val="22"/>
                <w:szCs w:val="22"/>
              </w:rPr>
            </w:pPr>
          </w:p>
        </w:tc>
      </w:tr>
      <w:tr w:rsidR="00095F65" w:rsidRPr="00A64175" w14:paraId="6DBF7ECF" w14:textId="77777777" w:rsidTr="00EC563C">
        <w:tc>
          <w:tcPr>
            <w:tcW w:w="9214" w:type="dxa"/>
            <w:shd w:val="clear" w:color="auto" w:fill="auto"/>
          </w:tcPr>
          <w:p w14:paraId="5D20DC4B" w14:textId="054E8484" w:rsidR="00095F65" w:rsidRPr="00A64175" w:rsidRDefault="00A92C1B" w:rsidP="00A64175">
            <w:pPr>
              <w:pStyle w:val="NormalWeb"/>
              <w:spacing w:before="0" w:beforeAutospacing="0" w:after="0" w:afterAutospacing="0"/>
              <w:contextualSpacing/>
              <w:jc w:val="both"/>
              <w:rPr>
                <w:rFonts w:ascii="Arial" w:hAnsi="Arial" w:cs="Arial"/>
                <w:b/>
                <w:bCs/>
                <w:sz w:val="22"/>
                <w:szCs w:val="22"/>
              </w:rPr>
            </w:pPr>
            <w:r w:rsidRPr="00A64175">
              <w:rPr>
                <w:rFonts w:ascii="Arial" w:hAnsi="Arial" w:cs="Arial"/>
                <w:b/>
                <w:bCs/>
                <w:sz w:val="22"/>
                <w:szCs w:val="22"/>
              </w:rPr>
              <w:t xml:space="preserve">Article </w:t>
            </w:r>
            <w:r w:rsidR="009B231D">
              <w:rPr>
                <w:rFonts w:ascii="Arial" w:hAnsi="Arial" w:cs="Arial"/>
                <w:b/>
                <w:bCs/>
                <w:sz w:val="22"/>
                <w:szCs w:val="22"/>
              </w:rPr>
              <w:t>301</w:t>
            </w:r>
            <w:r w:rsidR="00095F65" w:rsidRPr="00A64175">
              <w:rPr>
                <w:rFonts w:ascii="Arial" w:hAnsi="Arial" w:cs="Arial"/>
                <w:b/>
                <w:bCs/>
                <w:sz w:val="22"/>
                <w:szCs w:val="22"/>
              </w:rPr>
              <w:t xml:space="preserve"> – </w:t>
            </w:r>
          </w:p>
          <w:p w14:paraId="50B01CC9" w14:textId="77777777" w:rsidR="00095F65" w:rsidRPr="00A64175" w:rsidRDefault="00095F65" w:rsidP="00A64175">
            <w:pPr>
              <w:pStyle w:val="NormalWeb"/>
              <w:spacing w:before="0" w:beforeAutospacing="0" w:after="0" w:afterAutospacing="0"/>
              <w:contextualSpacing/>
              <w:jc w:val="both"/>
              <w:rPr>
                <w:rFonts w:ascii="Arial" w:hAnsi="Arial" w:cs="Arial"/>
                <w:sz w:val="22"/>
                <w:szCs w:val="22"/>
              </w:rPr>
            </w:pPr>
          </w:p>
          <w:p w14:paraId="0F4D284F" w14:textId="63F29B67" w:rsidR="00095F65" w:rsidRPr="00A64175" w:rsidRDefault="00095F65"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 xml:space="preserve">L’intermédiaire de marché qui produit ou organise la production de recherche en investissements qui est destinée ou susceptible d'être ultérieurement diffusée à leurs propres clients ou au public, sous leur propre responsabilité ou celle d'un membre de leur groupe, veillent à l'application des mesures prévues </w:t>
            </w:r>
            <w:r w:rsidR="007B6865" w:rsidRPr="00A64175">
              <w:rPr>
                <w:rFonts w:ascii="Arial" w:hAnsi="Arial" w:cs="Arial"/>
                <w:sz w:val="22"/>
                <w:szCs w:val="22"/>
              </w:rPr>
              <w:t xml:space="preserve">à </w:t>
            </w:r>
            <w:r w:rsidR="007B6865" w:rsidRPr="00244A88">
              <w:rPr>
                <w:rFonts w:ascii="Arial" w:hAnsi="Arial" w:cs="Arial"/>
                <w:sz w:val="22"/>
                <w:szCs w:val="22"/>
              </w:rPr>
              <w:t>l</w:t>
            </w:r>
            <w:r w:rsidR="007B6865" w:rsidRPr="00C21CF0">
              <w:rPr>
                <w:rFonts w:ascii="Arial" w:hAnsi="Arial" w:cs="Arial"/>
                <w:sz w:val="22"/>
                <w:szCs w:val="22"/>
              </w:rPr>
              <w:t xml:space="preserve">’article </w:t>
            </w:r>
            <w:r w:rsidR="006F72C3" w:rsidRPr="00C21CF0">
              <w:rPr>
                <w:rFonts w:ascii="Arial" w:hAnsi="Arial" w:cs="Arial"/>
                <w:sz w:val="22"/>
                <w:szCs w:val="22"/>
              </w:rPr>
              <w:t xml:space="preserve">259 </w:t>
            </w:r>
            <w:r w:rsidR="007B6865" w:rsidRPr="00C21CF0">
              <w:rPr>
                <w:rFonts w:ascii="Arial" w:hAnsi="Arial" w:cs="Arial"/>
                <w:sz w:val="22"/>
                <w:szCs w:val="22"/>
              </w:rPr>
              <w:t xml:space="preserve"> du présent règlement général</w:t>
            </w:r>
            <w:r w:rsidRPr="00C21CF0">
              <w:rPr>
                <w:rFonts w:ascii="Arial" w:hAnsi="Arial" w:cs="Arial"/>
                <w:sz w:val="22"/>
                <w:szCs w:val="22"/>
              </w:rPr>
              <w:t>,</w:t>
            </w:r>
            <w:r w:rsidRPr="00A64175">
              <w:rPr>
                <w:rFonts w:ascii="Arial" w:hAnsi="Arial" w:cs="Arial"/>
                <w:sz w:val="22"/>
                <w:szCs w:val="22"/>
              </w:rPr>
              <w:t xml:space="preserve"> en ce qui concerne les analystes financiers intervenant dans la production de recherche en investissements et les autres personnes concernées dont les responsabilités ou les intérêts professionnels peuvent entrer en conflit avec les personnes destinataires de la recherche en investissements diffusée.</w:t>
            </w:r>
          </w:p>
          <w:p w14:paraId="1E1017A6" w14:textId="77777777" w:rsidR="00095F65" w:rsidRPr="00A64175" w:rsidRDefault="00095F65" w:rsidP="00A64175">
            <w:pPr>
              <w:pStyle w:val="NormalWeb"/>
              <w:spacing w:before="0" w:beforeAutospacing="0" w:after="0" w:afterAutospacing="0"/>
              <w:ind w:left="442"/>
              <w:contextualSpacing/>
              <w:jc w:val="both"/>
              <w:rPr>
                <w:rFonts w:ascii="Arial" w:hAnsi="Arial" w:cs="Arial"/>
                <w:sz w:val="22"/>
                <w:szCs w:val="22"/>
              </w:rPr>
            </w:pPr>
          </w:p>
          <w:p w14:paraId="6A67F094" w14:textId="77777777" w:rsidR="00095F65" w:rsidRPr="00A64175" w:rsidRDefault="00095F65"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Les analystes financiers et toutes les autres personnes concernées intervenant dans la production de recherche en investissements n'exécutent pas de transactions personnelles sur les instruments financiers sur lesquels porte la recherche en investissements, ou sur tout autre instrument financier lié, qui iraient à l'encontre de recommandations en vigueur ;</w:t>
            </w:r>
          </w:p>
          <w:p w14:paraId="30853D3A" w14:textId="77777777" w:rsidR="00095F65" w:rsidRPr="00A64175" w:rsidRDefault="00095F65" w:rsidP="00A64175">
            <w:pPr>
              <w:pStyle w:val="NormalWeb"/>
              <w:spacing w:before="0" w:beforeAutospacing="0" w:after="0" w:afterAutospacing="0"/>
              <w:ind w:left="2340"/>
              <w:contextualSpacing/>
              <w:jc w:val="both"/>
              <w:rPr>
                <w:rFonts w:ascii="Arial" w:hAnsi="Arial" w:cs="Arial"/>
                <w:sz w:val="22"/>
                <w:szCs w:val="22"/>
              </w:rPr>
            </w:pPr>
          </w:p>
          <w:p w14:paraId="028A9D49" w14:textId="77777777" w:rsidR="00095F65" w:rsidRPr="00A64175" w:rsidRDefault="00095F65"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 xml:space="preserve">L’intermédiaire de marché doit mettre en place une séparation physique entre les analystes financiers intervenant dans la production de recherche en investissements et d'autres personnes concernées dont les responsabilités ou les intérêts professionnels peuvent entrer en conflit avec les personnes destinataires de la recherche en investissements diffusée ou, si cela est jugé inapproprié́ eu égard à la taille et à l'organisation de l'entreprise ainsi qu'à la nature, à l'échelle et à la complexité de son activité, d'autres barrières à l'information appropriées sont établies et mises en œuvre; </w:t>
            </w:r>
          </w:p>
          <w:p w14:paraId="1AC0AA60" w14:textId="77777777" w:rsidR="00095F65" w:rsidRPr="00A64175" w:rsidRDefault="00095F65" w:rsidP="00A64175">
            <w:pPr>
              <w:pStyle w:val="NormalWeb"/>
              <w:spacing w:before="0" w:beforeAutospacing="0" w:after="0" w:afterAutospacing="0"/>
              <w:ind w:left="301"/>
              <w:contextualSpacing/>
              <w:jc w:val="both"/>
              <w:rPr>
                <w:rFonts w:ascii="Arial" w:hAnsi="Arial" w:cs="Arial"/>
                <w:sz w:val="22"/>
                <w:szCs w:val="22"/>
              </w:rPr>
            </w:pPr>
          </w:p>
          <w:p w14:paraId="6C54E8D6" w14:textId="77777777" w:rsidR="00095F65" w:rsidRPr="00A64175" w:rsidRDefault="00095F65"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 xml:space="preserve">Les intermédiaires de marché, les analystes financiers et les autres personnes concernées intervenant dans la production de recherche en investissements n'acceptent pas d'incitations en provenance de personnes ayant des intérêts importants dans l'objet de la recherche en investissements ; </w:t>
            </w:r>
          </w:p>
          <w:p w14:paraId="107540EC" w14:textId="77777777" w:rsidR="00095F65" w:rsidRPr="00A64175" w:rsidRDefault="00095F65" w:rsidP="00A64175">
            <w:pPr>
              <w:jc w:val="both"/>
              <w:rPr>
                <w:rFonts w:ascii="Arial" w:hAnsi="Arial" w:cs="Arial"/>
              </w:rPr>
            </w:pPr>
          </w:p>
          <w:p w14:paraId="7D4855DA" w14:textId="4684ABE9" w:rsidR="00095F65" w:rsidRPr="00A64175" w:rsidRDefault="00B83A2A"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Les intermédiaires de marché</w:t>
            </w:r>
            <w:r w:rsidR="00095F65" w:rsidRPr="00A64175">
              <w:rPr>
                <w:rFonts w:ascii="Arial" w:hAnsi="Arial" w:cs="Arial"/>
                <w:sz w:val="22"/>
                <w:szCs w:val="22"/>
              </w:rPr>
              <w:t xml:space="preserve">, les analystes financiers et les autres personnes concernées intervenant dans la production de recherche en investissements évitent de promettre à des émetteurs une couverture favorable dans leur recherche ; </w:t>
            </w:r>
          </w:p>
          <w:p w14:paraId="5B128E45" w14:textId="77777777" w:rsidR="00095F65" w:rsidRPr="00A64175" w:rsidRDefault="00095F65" w:rsidP="00A64175">
            <w:pPr>
              <w:ind w:left="442"/>
              <w:jc w:val="both"/>
              <w:rPr>
                <w:rFonts w:ascii="Arial" w:hAnsi="Arial" w:cs="Arial"/>
              </w:rPr>
            </w:pPr>
          </w:p>
          <w:p w14:paraId="71E8D37E" w14:textId="77777777" w:rsidR="00095F65" w:rsidRPr="00A64175" w:rsidRDefault="00095F65" w:rsidP="00A64175">
            <w:pPr>
              <w:pStyle w:val="NormalWeb"/>
              <w:numPr>
                <w:ilvl w:val="2"/>
                <w:numId w:val="97"/>
              </w:numPr>
              <w:spacing w:before="0" w:beforeAutospacing="0" w:after="0" w:afterAutospacing="0"/>
              <w:ind w:left="442"/>
              <w:contextualSpacing/>
              <w:jc w:val="both"/>
              <w:rPr>
                <w:rFonts w:ascii="Arial" w:hAnsi="Arial" w:cs="Arial"/>
                <w:sz w:val="22"/>
                <w:szCs w:val="22"/>
              </w:rPr>
            </w:pPr>
            <w:r w:rsidRPr="00A64175">
              <w:rPr>
                <w:rFonts w:ascii="Arial" w:hAnsi="Arial" w:cs="Arial"/>
                <w:sz w:val="22"/>
                <w:szCs w:val="22"/>
              </w:rPr>
              <w:t xml:space="preserve">Lorsqu'un projet de recherche en investissements contient une recommandation ou un objectif de prix, ni les émetteurs, ni les personnes concernées autres que les analystes financiers, ni quelque autre personne que ce soit ne doivent être autorisés à examiner préalablement à sa diffusion ce projet dans le but de vérifier l'exactitude des données factuelles contenues dans le travail de recherche ou à toute autre fin qui ne serait pas la vérification du respect des obligations légales de l'entreprise. </w:t>
            </w:r>
          </w:p>
          <w:p w14:paraId="4EF9800D" w14:textId="77777777" w:rsidR="00A967D7" w:rsidRPr="00A64175" w:rsidRDefault="00A967D7" w:rsidP="00A64175">
            <w:pPr>
              <w:pStyle w:val="NormalWeb"/>
              <w:spacing w:before="0" w:beforeAutospacing="0" w:after="0" w:afterAutospacing="0"/>
              <w:contextualSpacing/>
              <w:jc w:val="both"/>
              <w:rPr>
                <w:rFonts w:ascii="Arial" w:hAnsi="Arial" w:cs="Arial"/>
                <w:sz w:val="22"/>
                <w:szCs w:val="22"/>
              </w:rPr>
            </w:pPr>
          </w:p>
          <w:p w14:paraId="039F3B7A" w14:textId="6D40A0DF" w:rsidR="000E54F6" w:rsidRPr="00A64175" w:rsidRDefault="00C4362A" w:rsidP="00A64175">
            <w:pPr>
              <w:widowControl w:val="0"/>
              <w:autoSpaceDE w:val="0"/>
              <w:autoSpaceDN w:val="0"/>
              <w:adjustRightInd w:val="0"/>
              <w:jc w:val="both"/>
              <w:rPr>
                <w:rFonts w:ascii="Arial" w:hAnsi="Arial" w:cs="Arial"/>
                <w:color w:val="000000"/>
              </w:rPr>
            </w:pPr>
            <w:r w:rsidRPr="00A64175">
              <w:rPr>
                <w:rFonts w:ascii="Arial" w:hAnsi="Arial" w:cs="Arial"/>
                <w:b/>
                <w:bCs/>
                <w:color w:val="000000"/>
              </w:rPr>
              <w:t xml:space="preserve">Article </w:t>
            </w:r>
            <w:r w:rsidR="009B231D">
              <w:rPr>
                <w:rFonts w:ascii="Arial" w:hAnsi="Arial" w:cs="Arial"/>
                <w:b/>
                <w:bCs/>
                <w:color w:val="000000"/>
              </w:rPr>
              <w:t>302</w:t>
            </w:r>
            <w:r w:rsidR="000E54F6" w:rsidRPr="00A64175">
              <w:rPr>
                <w:rFonts w:ascii="Arial" w:hAnsi="Arial" w:cs="Arial"/>
                <w:b/>
                <w:bCs/>
                <w:color w:val="000000"/>
              </w:rPr>
              <w:t xml:space="preserve">. – </w:t>
            </w:r>
            <w:r w:rsidR="000E54F6" w:rsidRPr="00A64175">
              <w:rPr>
                <w:rFonts w:ascii="Arial" w:hAnsi="Arial" w:cs="Arial"/>
                <w:color w:val="000000"/>
              </w:rPr>
              <w:t xml:space="preserve">Les analyses financières ou recommandations d’investissement sont des informations recommandant ou suggérant une stratégie d’investissement, explicitement ou implicitement, concernant un ou plusieurs instruments financiers ou les émetteurs, y compris toute opinion émise sur le cours ou la valeur actuel(le) ou futur(e) de ces instruments, destinées aux canaux de distribution ou au public. </w:t>
            </w:r>
          </w:p>
          <w:p w14:paraId="146DAFAF" w14:textId="77777777" w:rsidR="00A967D7" w:rsidRPr="00A64175" w:rsidRDefault="00A967D7" w:rsidP="00A64175">
            <w:pPr>
              <w:widowControl w:val="0"/>
              <w:autoSpaceDE w:val="0"/>
              <w:autoSpaceDN w:val="0"/>
              <w:adjustRightInd w:val="0"/>
              <w:jc w:val="both"/>
              <w:rPr>
                <w:rFonts w:ascii="Arial" w:hAnsi="Arial" w:cs="Arial"/>
                <w:color w:val="000000"/>
              </w:rPr>
            </w:pPr>
          </w:p>
          <w:p w14:paraId="0EB972E4" w14:textId="77777777" w:rsidR="000E54F6" w:rsidRPr="00A64175" w:rsidRDefault="000E54F6" w:rsidP="00A64175">
            <w:pPr>
              <w:widowControl w:val="0"/>
              <w:autoSpaceDE w:val="0"/>
              <w:autoSpaceDN w:val="0"/>
              <w:adjustRightInd w:val="0"/>
              <w:jc w:val="both"/>
              <w:rPr>
                <w:rFonts w:ascii="Arial" w:hAnsi="Arial" w:cs="Arial"/>
                <w:color w:val="000000"/>
              </w:rPr>
            </w:pPr>
          </w:p>
          <w:p w14:paraId="7B7957D0" w14:textId="63687EC6" w:rsidR="000E54F6" w:rsidRPr="00A64175" w:rsidRDefault="00C4362A" w:rsidP="00A64175">
            <w:pPr>
              <w:widowControl w:val="0"/>
              <w:autoSpaceDE w:val="0"/>
              <w:autoSpaceDN w:val="0"/>
              <w:adjustRightInd w:val="0"/>
              <w:jc w:val="both"/>
              <w:rPr>
                <w:rFonts w:ascii="Arial" w:hAnsi="Arial" w:cs="Arial"/>
                <w:color w:val="000000"/>
              </w:rPr>
            </w:pPr>
            <w:r w:rsidRPr="00A64175">
              <w:rPr>
                <w:rFonts w:ascii="Arial" w:hAnsi="Arial" w:cs="Arial"/>
                <w:b/>
                <w:bCs/>
                <w:color w:val="000000"/>
              </w:rPr>
              <w:t xml:space="preserve">Article </w:t>
            </w:r>
            <w:r w:rsidR="009B231D">
              <w:rPr>
                <w:rFonts w:ascii="Arial" w:hAnsi="Arial" w:cs="Arial"/>
                <w:b/>
                <w:bCs/>
                <w:color w:val="000000"/>
              </w:rPr>
              <w:t>303</w:t>
            </w:r>
            <w:r w:rsidR="00A967D7" w:rsidRPr="00A64175">
              <w:rPr>
                <w:rFonts w:ascii="Arial" w:hAnsi="Arial" w:cs="Arial"/>
                <w:b/>
                <w:bCs/>
                <w:color w:val="000000"/>
              </w:rPr>
              <w:t xml:space="preserve">. – </w:t>
            </w:r>
            <w:r w:rsidR="000E54F6" w:rsidRPr="00A64175">
              <w:rPr>
                <w:rFonts w:ascii="Arial" w:hAnsi="Arial" w:cs="Arial"/>
                <w:color w:val="000000"/>
              </w:rPr>
              <w:t>L’activité d’analyse financière visée au présent chapitre est exercée, sous le contrôle de la COSUMAF, par les personnes, structures ou organismes suivants :</w:t>
            </w:r>
          </w:p>
          <w:p w14:paraId="792AAF3C" w14:textId="77777777" w:rsidR="000E54F6" w:rsidRPr="00A64175" w:rsidRDefault="000E54F6" w:rsidP="00A64175">
            <w:pPr>
              <w:widowControl w:val="0"/>
              <w:autoSpaceDE w:val="0"/>
              <w:autoSpaceDN w:val="0"/>
              <w:adjustRightInd w:val="0"/>
              <w:jc w:val="both"/>
              <w:rPr>
                <w:rFonts w:ascii="Arial" w:hAnsi="Arial" w:cs="Arial"/>
                <w:color w:val="000000"/>
              </w:rPr>
            </w:pPr>
          </w:p>
          <w:p w14:paraId="7591878E" w14:textId="77777777" w:rsidR="000E54F6" w:rsidRPr="00A64175" w:rsidRDefault="000E54F6" w:rsidP="00A64175">
            <w:pPr>
              <w:pStyle w:val="Paragraphedeliste"/>
              <w:widowControl w:val="0"/>
              <w:numPr>
                <w:ilvl w:val="0"/>
                <w:numId w:val="86"/>
              </w:numPr>
              <w:autoSpaceDE w:val="0"/>
              <w:adjustRightInd w:val="0"/>
              <w:rPr>
                <w:color w:val="000000"/>
              </w:rPr>
            </w:pPr>
            <w:r w:rsidRPr="00A64175">
              <w:rPr>
                <w:color w:val="000000"/>
              </w:rPr>
              <w:t>les intermédiaires de marché visés à l’article 145 du Règlement n°01/22/CEMAC/UMAC/CM/COSUMAF du 21 juillet 2022 ;</w:t>
            </w:r>
          </w:p>
          <w:p w14:paraId="0C066E3B" w14:textId="3FC525A7" w:rsidR="000E54F6" w:rsidRPr="00C860C4" w:rsidRDefault="000E54F6" w:rsidP="00A64175">
            <w:pPr>
              <w:pStyle w:val="Paragraphedeliste"/>
              <w:widowControl w:val="0"/>
              <w:numPr>
                <w:ilvl w:val="0"/>
                <w:numId w:val="86"/>
              </w:numPr>
              <w:autoSpaceDE w:val="0"/>
              <w:adjustRightInd w:val="0"/>
              <w:rPr>
                <w:color w:val="000000"/>
              </w:rPr>
            </w:pPr>
            <w:r w:rsidRPr="00A64175">
              <w:rPr>
                <w:color w:val="000000"/>
              </w:rPr>
              <w:t>les structures ou organismes constitués sous forme de personnes morales, dont l’objet porte, partiellement ou exclusivement, sur la production d’analyses financières et de recommandations d’investissement, dûment agréés à cet effet par la COSUMAF dans les conditions précisées par instruction.</w:t>
            </w:r>
          </w:p>
        </w:tc>
      </w:tr>
      <w:tr w:rsidR="00095F65" w:rsidRPr="00A64175" w14:paraId="0E803408" w14:textId="77777777" w:rsidTr="00EC563C">
        <w:tc>
          <w:tcPr>
            <w:tcW w:w="9214" w:type="dxa"/>
            <w:shd w:val="clear" w:color="auto" w:fill="auto"/>
          </w:tcPr>
          <w:p w14:paraId="6670BFEF" w14:textId="294D4532" w:rsidR="00095F65" w:rsidRPr="00A64175" w:rsidRDefault="00095F65" w:rsidP="00A64175">
            <w:pPr>
              <w:widowControl w:val="0"/>
              <w:autoSpaceDE w:val="0"/>
              <w:adjustRightInd w:val="0"/>
              <w:jc w:val="both"/>
              <w:rPr>
                <w:rFonts w:ascii="Arial" w:hAnsi="Arial" w:cs="Arial"/>
                <w:b/>
              </w:rPr>
            </w:pPr>
            <w:r w:rsidRPr="00A64175">
              <w:rPr>
                <w:rFonts w:ascii="Arial" w:hAnsi="Arial" w:cs="Arial"/>
                <w:b/>
                <w:bCs/>
              </w:rPr>
              <w:t xml:space="preserve">Section IV : </w:t>
            </w:r>
            <w:r w:rsidR="001E23BF" w:rsidRPr="00A64175">
              <w:rPr>
                <w:rFonts w:ascii="Arial" w:hAnsi="Arial" w:cs="Arial"/>
                <w:b/>
              </w:rPr>
              <w:t>Tenue de compte de titres</w:t>
            </w:r>
            <w:r w:rsidRPr="00A64175">
              <w:rPr>
                <w:rFonts w:ascii="Arial" w:hAnsi="Arial" w:cs="Arial"/>
                <w:b/>
              </w:rPr>
              <w:t xml:space="preserve"> </w:t>
            </w:r>
          </w:p>
        </w:tc>
      </w:tr>
      <w:tr w:rsidR="00095F65" w:rsidRPr="00A64175" w14:paraId="2B4CB508" w14:textId="77777777" w:rsidTr="00EC563C">
        <w:tc>
          <w:tcPr>
            <w:tcW w:w="9214" w:type="dxa"/>
            <w:shd w:val="clear" w:color="auto" w:fill="auto"/>
          </w:tcPr>
          <w:p w14:paraId="6758C236" w14:textId="77777777" w:rsidR="00095F65" w:rsidRPr="00A64175" w:rsidRDefault="00095F65" w:rsidP="00A64175">
            <w:pPr>
              <w:widowControl w:val="0"/>
              <w:autoSpaceDE w:val="0"/>
              <w:adjustRightInd w:val="0"/>
              <w:jc w:val="both"/>
              <w:rPr>
                <w:rFonts w:ascii="Arial" w:hAnsi="Arial" w:cs="Arial"/>
                <w:b/>
              </w:rPr>
            </w:pPr>
          </w:p>
          <w:p w14:paraId="531F915E" w14:textId="3AD46432" w:rsidR="00095F65" w:rsidRPr="00A64175" w:rsidRDefault="00C4362A" w:rsidP="00A64175">
            <w:pPr>
              <w:widowControl w:val="0"/>
              <w:autoSpaceDE w:val="0"/>
              <w:adjustRightInd w:val="0"/>
              <w:jc w:val="both"/>
              <w:rPr>
                <w:rFonts w:ascii="Arial" w:hAnsi="Arial" w:cs="Arial"/>
                <w:color w:val="000000" w:themeColor="text1"/>
              </w:rPr>
            </w:pPr>
            <w:r w:rsidRPr="00A64175">
              <w:rPr>
                <w:rFonts w:ascii="Arial" w:hAnsi="Arial" w:cs="Arial"/>
                <w:b/>
                <w:bCs/>
              </w:rPr>
              <w:t>Article 30</w:t>
            </w:r>
            <w:r w:rsidR="009B231D">
              <w:rPr>
                <w:rFonts w:ascii="Arial" w:hAnsi="Arial" w:cs="Arial"/>
                <w:b/>
                <w:bCs/>
              </w:rPr>
              <w:t>4</w:t>
            </w:r>
            <w:r w:rsidR="00095F65" w:rsidRPr="00A64175">
              <w:rPr>
                <w:rFonts w:ascii="Arial" w:hAnsi="Arial" w:cs="Arial"/>
                <w:b/>
                <w:bCs/>
              </w:rPr>
              <w:t xml:space="preserve"> </w:t>
            </w:r>
            <w:r w:rsidR="00095F65" w:rsidRPr="00A64175">
              <w:rPr>
                <w:rFonts w:ascii="Arial" w:hAnsi="Arial" w:cs="Arial"/>
                <w:b/>
              </w:rPr>
              <w:t xml:space="preserve">– </w:t>
            </w:r>
            <w:r w:rsidR="003369F2" w:rsidRPr="00A64175">
              <w:rPr>
                <w:rFonts w:ascii="Arial" w:hAnsi="Arial" w:cs="Arial"/>
              </w:rPr>
              <w:t>L</w:t>
            </w:r>
            <w:r w:rsidR="00095F65" w:rsidRPr="00A64175">
              <w:rPr>
                <w:rFonts w:ascii="Arial" w:hAnsi="Arial" w:cs="Arial"/>
                <w:color w:val="000000" w:themeColor="text1"/>
              </w:rPr>
              <w:t xml:space="preserve">es valeurs mobilières et autres instruments financiers émis dans le cadre d’un appel public à l’épargne sur le Marché Financier Régional ou d’un placement privé sont dématérialisés et se transmettent par virement de compte à compte. </w:t>
            </w:r>
          </w:p>
          <w:p w14:paraId="7D18B7BC" w14:textId="77777777" w:rsidR="00095F65" w:rsidRPr="00A64175" w:rsidRDefault="00095F65" w:rsidP="00A64175">
            <w:pPr>
              <w:widowControl w:val="0"/>
              <w:autoSpaceDE w:val="0"/>
              <w:adjustRightInd w:val="0"/>
              <w:jc w:val="both"/>
              <w:rPr>
                <w:rFonts w:ascii="Arial" w:hAnsi="Arial" w:cs="Arial"/>
                <w:color w:val="000000" w:themeColor="text1"/>
              </w:rPr>
            </w:pPr>
          </w:p>
          <w:p w14:paraId="384D996A" w14:textId="77777777" w:rsidR="00095F65" w:rsidRPr="00A64175" w:rsidRDefault="00095F65"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Ces titres revêtent la forme "au porteur" et sont admis aux opérations du dépositaire central.</w:t>
            </w:r>
          </w:p>
          <w:p w14:paraId="14034390" w14:textId="77777777" w:rsidR="00095F65" w:rsidRPr="00A64175" w:rsidRDefault="00095F65" w:rsidP="00A64175">
            <w:pPr>
              <w:widowControl w:val="0"/>
              <w:autoSpaceDE w:val="0"/>
              <w:adjustRightInd w:val="0"/>
              <w:jc w:val="both"/>
              <w:rPr>
                <w:rFonts w:ascii="Arial" w:hAnsi="Arial" w:cs="Arial"/>
                <w:color w:val="333333"/>
                <w:shd w:val="clear" w:color="auto" w:fill="FFFFFF"/>
              </w:rPr>
            </w:pPr>
          </w:p>
          <w:p w14:paraId="5C43ACCC" w14:textId="77777777" w:rsidR="00095F65" w:rsidRPr="00A64175" w:rsidRDefault="00095F65"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 xml:space="preserve">Ces titres doivent être inscrits en compte au nom de leur titulaire, dans les livres tenus par un intermédiaire habilité à la tenue de compte conservation. Cette inscription dans les livres de l’intermédiaire de marché atteste de leur propriété. </w:t>
            </w:r>
          </w:p>
          <w:p w14:paraId="717E8A74" w14:textId="77777777" w:rsidR="00095F65" w:rsidRPr="00A64175" w:rsidRDefault="00095F65" w:rsidP="00A64175">
            <w:pPr>
              <w:widowControl w:val="0"/>
              <w:autoSpaceDE w:val="0"/>
              <w:adjustRightInd w:val="0"/>
              <w:jc w:val="both"/>
              <w:rPr>
                <w:rFonts w:ascii="Arial" w:hAnsi="Arial" w:cs="Arial"/>
                <w:b/>
              </w:rPr>
            </w:pPr>
          </w:p>
          <w:p w14:paraId="2B4904DF" w14:textId="77777777" w:rsidR="003369F2" w:rsidRPr="00A64175" w:rsidRDefault="003369F2" w:rsidP="00A64175">
            <w:pPr>
              <w:widowControl w:val="0"/>
              <w:autoSpaceDE w:val="0"/>
              <w:adjustRightInd w:val="0"/>
              <w:jc w:val="both"/>
              <w:rPr>
                <w:rFonts w:ascii="Arial" w:hAnsi="Arial" w:cs="Arial"/>
                <w:b/>
              </w:rPr>
            </w:pPr>
          </w:p>
        </w:tc>
      </w:tr>
      <w:tr w:rsidR="00095F65" w:rsidRPr="00A64175" w14:paraId="22D197E1" w14:textId="77777777" w:rsidTr="00EC563C">
        <w:tc>
          <w:tcPr>
            <w:tcW w:w="9214" w:type="dxa"/>
            <w:shd w:val="clear" w:color="auto" w:fill="auto"/>
          </w:tcPr>
          <w:p w14:paraId="38C9BB77" w14:textId="0114AC15" w:rsidR="00095F65" w:rsidRPr="00A64175" w:rsidRDefault="00C4362A"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Article 30</w:t>
            </w:r>
            <w:r w:rsidR="009B231D">
              <w:rPr>
                <w:rFonts w:ascii="Arial" w:hAnsi="Arial" w:cs="Arial"/>
                <w:b/>
                <w:bCs/>
                <w:sz w:val="22"/>
                <w:szCs w:val="22"/>
              </w:rPr>
              <w:t>5</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p>
          <w:p w14:paraId="2E29899E" w14:textId="24DEC7B9" w:rsidR="00095F65" w:rsidRPr="00A64175" w:rsidRDefault="00095F65" w:rsidP="00A64175">
            <w:pPr>
              <w:pStyle w:val="NormalWeb"/>
              <w:numPr>
                <w:ilvl w:val="0"/>
                <w:numId w:val="100"/>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xml:space="preserve">L'activité de </w:t>
            </w:r>
            <w:r w:rsidR="003369F2" w:rsidRPr="00A64175">
              <w:rPr>
                <w:rFonts w:ascii="Arial" w:hAnsi="Arial" w:cs="Arial"/>
                <w:color w:val="333333"/>
                <w:sz w:val="22"/>
                <w:szCs w:val="22"/>
              </w:rPr>
              <w:t>tenue de compte</w:t>
            </w:r>
            <w:r w:rsidRPr="00A64175">
              <w:rPr>
                <w:rFonts w:ascii="Arial" w:hAnsi="Arial" w:cs="Arial"/>
                <w:color w:val="333333"/>
                <w:sz w:val="22"/>
                <w:szCs w:val="22"/>
              </w:rPr>
              <w:t xml:space="preserve"> consiste :</w:t>
            </w:r>
          </w:p>
          <w:p w14:paraId="0A912D85" w14:textId="77777777" w:rsidR="00095F65" w:rsidRPr="00A64175" w:rsidRDefault="00095F65" w:rsidP="00A64175">
            <w:pPr>
              <w:pStyle w:val="NormalWeb"/>
              <w:numPr>
                <w:ilvl w:val="2"/>
                <w:numId w:val="100"/>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A inscrire dans un compte-titres les titres financiers au nom de leur titulaire, c'est-à-dire à reconnaître au titulaire ses droits sur lesdits titres financiers.</w:t>
            </w:r>
          </w:p>
          <w:p w14:paraId="7E8C06DA" w14:textId="77777777" w:rsidR="00095F65" w:rsidRPr="00A64175" w:rsidRDefault="00095F65" w:rsidP="00A64175">
            <w:pPr>
              <w:pStyle w:val="NormalWeb"/>
              <w:numPr>
                <w:ilvl w:val="2"/>
                <w:numId w:val="100"/>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A conserver les avoirs correspondants ;</w:t>
            </w:r>
          </w:p>
          <w:p w14:paraId="5CEFDA98" w14:textId="77777777" w:rsidR="00095F65" w:rsidRPr="00A64175" w:rsidRDefault="00095F65" w:rsidP="00A64175">
            <w:pPr>
              <w:pStyle w:val="NormalWeb"/>
              <w:numPr>
                <w:ilvl w:val="2"/>
                <w:numId w:val="100"/>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A traiter les événements intervenant dans la vie des titres financiers conservés.</w:t>
            </w:r>
          </w:p>
          <w:p w14:paraId="78A1EDBB" w14:textId="794A4627" w:rsidR="00095F65" w:rsidRPr="00A64175" w:rsidRDefault="00095F65" w:rsidP="00A64175">
            <w:pPr>
              <w:pStyle w:val="Paragraphedeliste"/>
              <w:widowControl w:val="0"/>
              <w:numPr>
                <w:ilvl w:val="0"/>
                <w:numId w:val="100"/>
              </w:numPr>
              <w:autoSpaceDE w:val="0"/>
              <w:adjustRightInd w:val="0"/>
              <w:spacing w:before="0" w:beforeAutospacing="0" w:after="0" w:afterAutospacing="0" w:line="240" w:lineRule="auto"/>
              <w:rPr>
                <w:b/>
              </w:rPr>
            </w:pPr>
            <w:r w:rsidRPr="00A64175">
              <w:rPr>
                <w:color w:val="333333"/>
              </w:rPr>
              <w:t>Pour la conservation des avoirs correspondant aux titres financiers, l'intermédiaire de marc</w:t>
            </w:r>
            <w:r w:rsidR="0067664A" w:rsidRPr="00A64175">
              <w:rPr>
                <w:color w:val="333333"/>
              </w:rPr>
              <w:t>hé teneur de compte</w:t>
            </w:r>
            <w:r w:rsidRPr="00A64175">
              <w:rPr>
                <w:color w:val="333333"/>
              </w:rPr>
              <w:t>, ouvre un ou plusieurs comptes auprès du déposit</w:t>
            </w:r>
            <w:r w:rsidR="005E7B4F" w:rsidRPr="00A64175">
              <w:rPr>
                <w:color w:val="333333"/>
              </w:rPr>
              <w:t xml:space="preserve">aire central et, le cas échéant, </w:t>
            </w:r>
            <w:r w:rsidRPr="00A64175">
              <w:rPr>
                <w:color w:val="333333"/>
              </w:rPr>
              <w:t>ouvre un ou plusieurs comptes auprès d'un aut</w:t>
            </w:r>
            <w:r w:rsidR="0067664A" w:rsidRPr="00A64175">
              <w:rPr>
                <w:color w:val="333333"/>
              </w:rPr>
              <w:t>re teneur de compte</w:t>
            </w:r>
            <w:r w:rsidR="005E7B4F" w:rsidRPr="00A64175">
              <w:rPr>
                <w:color w:val="333333"/>
              </w:rPr>
              <w:t xml:space="preserve"> agréé</w:t>
            </w:r>
            <w:r w:rsidRPr="00A64175">
              <w:rPr>
                <w:color w:val="333333"/>
              </w:rPr>
              <w:t>.</w:t>
            </w:r>
          </w:p>
          <w:p w14:paraId="772A0A14" w14:textId="77777777" w:rsidR="00095F65" w:rsidRPr="00A64175" w:rsidRDefault="00095F65" w:rsidP="00A64175">
            <w:pPr>
              <w:pStyle w:val="Paragraphedeliste"/>
              <w:widowControl w:val="0"/>
              <w:autoSpaceDE w:val="0"/>
              <w:adjustRightInd w:val="0"/>
              <w:rPr>
                <w:b/>
              </w:rPr>
            </w:pPr>
          </w:p>
        </w:tc>
      </w:tr>
      <w:tr w:rsidR="00095F65" w:rsidRPr="00A64175" w14:paraId="1DF7D9F6" w14:textId="77777777" w:rsidTr="00EC563C">
        <w:tc>
          <w:tcPr>
            <w:tcW w:w="9214" w:type="dxa"/>
            <w:shd w:val="clear" w:color="auto" w:fill="auto"/>
          </w:tcPr>
          <w:p w14:paraId="67DC5B6A" w14:textId="111A53E9" w:rsidR="00095F65" w:rsidRPr="00A64175" w:rsidRDefault="00C4362A" w:rsidP="00A64175">
            <w:pPr>
              <w:pStyle w:val="NormalWeb"/>
              <w:shd w:val="clear" w:color="auto" w:fill="FFFFFF"/>
              <w:spacing w:before="0" w:beforeAutospacing="0" w:after="150" w:afterAutospacing="0"/>
              <w:jc w:val="both"/>
              <w:rPr>
                <w:rFonts w:ascii="Arial" w:hAnsi="Arial" w:cs="Arial"/>
                <w:color w:val="333333"/>
                <w:sz w:val="22"/>
                <w:szCs w:val="22"/>
                <w:shd w:val="clear" w:color="auto" w:fill="FFFFFF"/>
              </w:rPr>
            </w:pPr>
            <w:r w:rsidRPr="00A64175">
              <w:rPr>
                <w:rFonts w:ascii="Arial" w:hAnsi="Arial" w:cs="Arial"/>
                <w:b/>
                <w:bCs/>
                <w:sz w:val="22"/>
                <w:szCs w:val="22"/>
              </w:rPr>
              <w:t>Article 30</w:t>
            </w:r>
            <w:r w:rsidR="009B231D">
              <w:rPr>
                <w:rFonts w:ascii="Arial" w:hAnsi="Arial" w:cs="Arial"/>
                <w:b/>
                <w:bCs/>
                <w:sz w:val="22"/>
                <w:szCs w:val="22"/>
              </w:rPr>
              <w:t>6</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095F65" w:rsidRPr="00A64175">
              <w:rPr>
                <w:rFonts w:ascii="Arial" w:hAnsi="Arial" w:cs="Arial"/>
                <w:color w:val="333333"/>
                <w:sz w:val="22"/>
                <w:szCs w:val="22"/>
                <w:shd w:val="clear" w:color="auto" w:fill="FFFFFF"/>
              </w:rPr>
              <w:t>Le teneur de compte-conservateur procède à un enregistrement comptable des opérations dès qu'il en a connaissance.</w:t>
            </w:r>
          </w:p>
          <w:p w14:paraId="5DBC5AE5" w14:textId="7C4E6DEF" w:rsidR="005E7B4F" w:rsidRPr="00A64175" w:rsidRDefault="005E7B4F" w:rsidP="00A64175">
            <w:pPr>
              <w:pStyle w:val="NormalWeb"/>
              <w:shd w:val="clear" w:color="auto" w:fill="FFFFFF"/>
              <w:spacing w:before="0" w:beforeAutospacing="0" w:after="150" w:afterAutospacing="0"/>
              <w:jc w:val="both"/>
              <w:rPr>
                <w:rFonts w:ascii="Arial" w:hAnsi="Arial" w:cs="Arial"/>
                <w:color w:val="000000"/>
                <w:sz w:val="22"/>
                <w:szCs w:val="22"/>
              </w:rPr>
            </w:pPr>
          </w:p>
        </w:tc>
      </w:tr>
      <w:tr w:rsidR="00095F65" w:rsidRPr="00A64175" w14:paraId="3F44E7B4" w14:textId="77777777" w:rsidTr="00EC563C">
        <w:tc>
          <w:tcPr>
            <w:tcW w:w="9214" w:type="dxa"/>
            <w:shd w:val="clear" w:color="auto" w:fill="auto"/>
          </w:tcPr>
          <w:p w14:paraId="487172E1" w14:textId="3A11C08D" w:rsidR="00095F65" w:rsidRPr="00A64175" w:rsidRDefault="00A14B65"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w:t>
            </w:r>
            <w:r w:rsidR="00C4362A" w:rsidRPr="00A64175">
              <w:rPr>
                <w:rFonts w:ascii="Arial" w:hAnsi="Arial" w:cs="Arial"/>
                <w:b/>
                <w:bCs/>
                <w:sz w:val="22"/>
                <w:szCs w:val="22"/>
              </w:rPr>
              <w:t>rticle 30</w:t>
            </w:r>
            <w:r w:rsidR="009B231D">
              <w:rPr>
                <w:rFonts w:ascii="Arial" w:hAnsi="Arial" w:cs="Arial"/>
                <w:b/>
                <w:bCs/>
                <w:sz w:val="22"/>
                <w:szCs w:val="22"/>
              </w:rPr>
              <w:t>7</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095F65" w:rsidRPr="00A64175">
              <w:rPr>
                <w:rFonts w:ascii="Arial" w:hAnsi="Arial" w:cs="Arial"/>
                <w:color w:val="333333"/>
                <w:sz w:val="22"/>
                <w:szCs w:val="22"/>
                <w:shd w:val="clear" w:color="auto" w:fill="FFFFFF"/>
              </w:rPr>
              <w:t xml:space="preserve">Le teneur de compte-conservateur </w:t>
            </w:r>
            <w:r w:rsidR="00095F65" w:rsidRPr="00A64175">
              <w:rPr>
                <w:rFonts w:ascii="Arial" w:hAnsi="Arial" w:cs="Arial"/>
                <w:sz w:val="22"/>
                <w:szCs w:val="22"/>
              </w:rPr>
              <w:t>est soumis aux obligations suivantes :</w:t>
            </w:r>
          </w:p>
          <w:p w14:paraId="43510AA3" w14:textId="77777777" w:rsidR="00095F65" w:rsidRPr="00A64175" w:rsidRDefault="00095F65" w:rsidP="00A64175">
            <w:pPr>
              <w:pStyle w:val="NormalWeb"/>
              <w:numPr>
                <w:ilvl w:val="0"/>
                <w:numId w:val="3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Il apporte tous ses soins à la conservation des titres financiers et veille à ce titre à la stricte comptabilisation de ces derniers et de leurs mouvements dans le respect des procédures en vigueur ; il apporte également tous ses soins pour faciliter l'exercice des droits attachés à ces titres financiers, dans le respect de la réglementation applicable auxdits titres ;</w:t>
            </w:r>
          </w:p>
          <w:p w14:paraId="1711F472" w14:textId="77777777" w:rsidR="00095F65" w:rsidRPr="00A64175" w:rsidRDefault="00095F65" w:rsidP="00A64175">
            <w:pPr>
              <w:pStyle w:val="NormalWeb"/>
              <w:numPr>
                <w:ilvl w:val="0"/>
                <w:numId w:val="3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Il s'assure que les avoirs de ses clients sont distingués de ses avoirs propres dans ses livres ou dans les livres des tiers auprès desquels, il conserve les avoirs correspondants ; </w:t>
            </w:r>
          </w:p>
          <w:p w14:paraId="26DB7C1A" w14:textId="0C05E834" w:rsidR="00095F65" w:rsidRPr="00A64175" w:rsidRDefault="00095F65" w:rsidP="00A64175">
            <w:pPr>
              <w:pStyle w:val="NormalWeb"/>
              <w:numPr>
                <w:ilvl w:val="0"/>
                <w:numId w:val="31"/>
              </w:numPr>
              <w:spacing w:before="0" w:beforeAutospacing="0" w:after="0" w:afterAutospacing="0"/>
              <w:jc w:val="both"/>
              <w:rPr>
                <w:rFonts w:ascii="Arial" w:hAnsi="Arial" w:cs="Arial"/>
                <w:sz w:val="22"/>
                <w:szCs w:val="22"/>
              </w:rPr>
            </w:pPr>
            <w:r w:rsidRPr="00A64175">
              <w:rPr>
                <w:rFonts w:ascii="Arial" w:hAnsi="Arial" w:cs="Arial"/>
                <w:sz w:val="22"/>
                <w:szCs w:val="22"/>
              </w:rPr>
              <w:t>Il tient tous les registres et les comptes nécessaires pour permettre de distinguer à tout moment et immédiatement les instruments financiers détenus par un client déterminé de ceux détenus par d'autres clients et de ses propres instruments financiers ; chaque compte client est totalement ségrég</w:t>
            </w:r>
            <w:r w:rsidR="002E1842" w:rsidRPr="00A64175">
              <w:rPr>
                <w:rFonts w:ascii="Arial" w:hAnsi="Arial" w:cs="Arial"/>
                <w:sz w:val="22"/>
                <w:szCs w:val="22"/>
              </w:rPr>
              <w:t>u</w:t>
            </w:r>
            <w:r w:rsidRPr="00A64175">
              <w:rPr>
                <w:rFonts w:ascii="Arial" w:hAnsi="Arial" w:cs="Arial"/>
                <w:sz w:val="22"/>
                <w:szCs w:val="22"/>
              </w:rPr>
              <w:t>é des comptes des autres clients et du compte propre d</w:t>
            </w:r>
            <w:r w:rsidR="00DD69C6" w:rsidRPr="00A64175">
              <w:rPr>
                <w:rFonts w:ascii="Arial" w:hAnsi="Arial" w:cs="Arial"/>
                <w:sz w:val="22"/>
                <w:szCs w:val="22"/>
              </w:rPr>
              <w:t>e  l</w:t>
            </w:r>
            <w:r w:rsidRPr="00A64175">
              <w:rPr>
                <w:rFonts w:ascii="Arial" w:hAnsi="Arial" w:cs="Arial"/>
                <w:sz w:val="22"/>
                <w:szCs w:val="22"/>
              </w:rPr>
              <w:t xml:space="preserve">’intermédiaire. </w:t>
            </w:r>
          </w:p>
          <w:p w14:paraId="4D34BE3F"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p w14:paraId="7B7357B1" w14:textId="5FFC6EAF" w:rsidR="00095F65" w:rsidRPr="00A64175" w:rsidRDefault="00095F65" w:rsidP="00A64175">
            <w:pPr>
              <w:pStyle w:val="NormalWeb"/>
              <w:numPr>
                <w:ilvl w:val="0"/>
                <w:numId w:val="31"/>
              </w:numPr>
              <w:spacing w:before="0" w:beforeAutospacing="0" w:after="0" w:afterAutospacing="0"/>
              <w:jc w:val="both"/>
              <w:rPr>
                <w:rFonts w:ascii="Arial" w:hAnsi="Arial" w:cs="Arial"/>
                <w:sz w:val="22"/>
                <w:szCs w:val="22"/>
              </w:rPr>
            </w:pPr>
            <w:r w:rsidRPr="00A64175">
              <w:rPr>
                <w:rStyle w:val="apple-converted-space"/>
                <w:rFonts w:ascii="Arial" w:eastAsia="Calibri" w:hAnsi="Arial" w:cs="Arial"/>
                <w:sz w:val="22"/>
                <w:szCs w:val="22"/>
              </w:rPr>
              <w:t> </w:t>
            </w:r>
            <w:r w:rsidRPr="00A64175">
              <w:rPr>
                <w:rFonts w:ascii="Arial" w:hAnsi="Arial" w:cs="Arial"/>
                <w:sz w:val="22"/>
                <w:szCs w:val="22"/>
              </w:rPr>
              <w:t>Il tient ses registres et comptes d'une manière assurant leur exactitude, et en particulier leur correspondance avec les instruments financi</w:t>
            </w:r>
            <w:r w:rsidR="007F42FA" w:rsidRPr="00A64175">
              <w:rPr>
                <w:rFonts w:ascii="Arial" w:hAnsi="Arial" w:cs="Arial"/>
                <w:sz w:val="22"/>
                <w:szCs w:val="22"/>
              </w:rPr>
              <w:t xml:space="preserve">ers détenus par les clients et </w:t>
            </w:r>
            <w:r w:rsidRPr="00A64175">
              <w:rPr>
                <w:rFonts w:ascii="Arial" w:hAnsi="Arial" w:cs="Arial"/>
                <w:sz w:val="22"/>
                <w:szCs w:val="22"/>
              </w:rPr>
              <w:t>permettant de les utiliser comme piste d'audit ;</w:t>
            </w:r>
          </w:p>
          <w:p w14:paraId="12F81538" w14:textId="77777777" w:rsidR="00095F65" w:rsidRPr="00A64175" w:rsidRDefault="00095F65" w:rsidP="00A64175">
            <w:pPr>
              <w:pStyle w:val="NormalWeb"/>
              <w:numPr>
                <w:ilvl w:val="0"/>
                <w:numId w:val="31"/>
              </w:numPr>
              <w:spacing w:before="0" w:beforeAutospacing="0" w:after="0" w:afterAutospacing="0"/>
              <w:jc w:val="both"/>
              <w:rPr>
                <w:rFonts w:ascii="Arial" w:hAnsi="Arial" w:cs="Arial"/>
                <w:sz w:val="22"/>
                <w:szCs w:val="22"/>
              </w:rPr>
            </w:pPr>
            <w:r w:rsidRPr="00A64175">
              <w:rPr>
                <w:rFonts w:ascii="Arial" w:hAnsi="Arial" w:cs="Arial"/>
                <w:sz w:val="22"/>
                <w:szCs w:val="22"/>
              </w:rPr>
              <w:t>Il effectue avec régularité des rapprochements entre ses comptes et registres internes et ceux du dépositaire central ;</w:t>
            </w:r>
          </w:p>
          <w:p w14:paraId="5252B8D2" w14:textId="77777777" w:rsidR="00095F65" w:rsidRPr="00A64175" w:rsidRDefault="00095F65" w:rsidP="00A64175">
            <w:pPr>
              <w:pStyle w:val="NormalWeb"/>
              <w:numPr>
                <w:ilvl w:val="0"/>
                <w:numId w:val="31"/>
              </w:numPr>
              <w:spacing w:before="0" w:beforeAutospacing="0" w:after="0" w:afterAutospacing="0"/>
              <w:jc w:val="both"/>
              <w:rPr>
                <w:rFonts w:ascii="Arial" w:hAnsi="Arial" w:cs="Arial"/>
                <w:sz w:val="22"/>
                <w:szCs w:val="22"/>
              </w:rPr>
            </w:pPr>
            <w:r w:rsidRPr="00A64175">
              <w:rPr>
                <w:rFonts w:ascii="Arial" w:hAnsi="Arial" w:cs="Arial"/>
                <w:sz w:val="22"/>
                <w:szCs w:val="22"/>
              </w:rPr>
              <w:t>Il met en place une organisation appropriée minimisant le risque de perte ou de diminution de la valeur des instruments financiers des clients ou des droits liés à ces instruments financiers, du fait d'abus ou de fraudes sur ces instruments financiers, d'une administration déficiente, d'un enregistrement erroné ou de négligences ;</w:t>
            </w:r>
            <w:r w:rsidRPr="00A64175">
              <w:rPr>
                <w:rFonts w:ascii="Arial" w:hAnsi="Arial" w:cs="Arial"/>
                <w:color w:val="333333"/>
                <w:sz w:val="22"/>
                <w:szCs w:val="22"/>
                <w:shd w:val="clear" w:color="auto" w:fill="FFFFFF"/>
              </w:rPr>
              <w:t xml:space="preserve"> </w:t>
            </w:r>
          </w:p>
          <w:p w14:paraId="4A8921F6" w14:textId="16518217" w:rsidR="00095F65" w:rsidRPr="00A64175" w:rsidRDefault="00095F65" w:rsidP="00A64175">
            <w:pPr>
              <w:pStyle w:val="NormalWeb"/>
              <w:numPr>
                <w:ilvl w:val="0"/>
                <w:numId w:val="31"/>
              </w:numPr>
              <w:spacing w:before="0" w:beforeAutospacing="0" w:after="0" w:afterAutospacing="0"/>
              <w:jc w:val="both"/>
              <w:rPr>
                <w:rFonts w:ascii="Arial" w:hAnsi="Arial" w:cs="Arial"/>
                <w:sz w:val="22"/>
                <w:szCs w:val="22"/>
              </w:rPr>
            </w:pPr>
            <w:r w:rsidRPr="00A64175">
              <w:rPr>
                <w:rFonts w:ascii="Arial" w:hAnsi="Arial" w:cs="Arial"/>
                <w:color w:val="333333"/>
                <w:sz w:val="22"/>
                <w:szCs w:val="22"/>
                <w:shd w:val="clear" w:color="auto" w:fill="FFFFFF"/>
              </w:rPr>
              <w:t xml:space="preserve">Il a l'obligation de restituer les titres financiers qui sont inscrits en compte-titres dans ses livres. Si ces titres n'ont pas d'autre support que scriptural, il les vire </w:t>
            </w:r>
            <w:r w:rsidR="007F42FA" w:rsidRPr="00A64175">
              <w:rPr>
                <w:rFonts w:ascii="Arial" w:hAnsi="Arial" w:cs="Arial"/>
                <w:color w:val="333333"/>
                <w:sz w:val="22"/>
                <w:szCs w:val="22"/>
                <w:shd w:val="clear" w:color="auto" w:fill="FFFFFF"/>
              </w:rPr>
              <w:t>au teneur de compte</w:t>
            </w:r>
            <w:r w:rsidRPr="00A64175">
              <w:rPr>
                <w:rFonts w:ascii="Arial" w:hAnsi="Arial" w:cs="Arial"/>
                <w:color w:val="333333"/>
                <w:sz w:val="22"/>
                <w:szCs w:val="22"/>
                <w:shd w:val="clear" w:color="auto" w:fill="FFFFFF"/>
              </w:rPr>
              <w:t xml:space="preserve"> que le titulaire du compte-titres désigne. Cette restitution est effectuée dans les meilleurs délais, à condition que ledit titulaire ait rempli ses propres obligations.</w:t>
            </w:r>
          </w:p>
          <w:p w14:paraId="09E8B3C3" w14:textId="77777777" w:rsidR="00095F65" w:rsidRPr="00A64175" w:rsidRDefault="00095F65" w:rsidP="00A64175">
            <w:pPr>
              <w:pStyle w:val="NormalWeb"/>
              <w:spacing w:before="0" w:beforeAutospacing="0" w:after="0" w:afterAutospacing="0"/>
              <w:ind w:left="720"/>
              <w:jc w:val="both"/>
              <w:rPr>
                <w:rFonts w:ascii="Arial" w:hAnsi="Arial" w:cs="Arial"/>
                <w:sz w:val="22"/>
                <w:szCs w:val="22"/>
              </w:rPr>
            </w:pPr>
          </w:p>
        </w:tc>
      </w:tr>
      <w:tr w:rsidR="00095F65" w:rsidRPr="00A64175" w14:paraId="4467476B" w14:textId="77777777" w:rsidTr="00EC563C">
        <w:tc>
          <w:tcPr>
            <w:tcW w:w="9214" w:type="dxa"/>
            <w:shd w:val="clear" w:color="auto" w:fill="auto"/>
          </w:tcPr>
          <w:p w14:paraId="75DBB97A" w14:textId="5614BB53" w:rsidR="00095F65" w:rsidRPr="00A64175" w:rsidRDefault="007F42FA" w:rsidP="00A64175">
            <w:pPr>
              <w:pStyle w:val="NormalWeb"/>
              <w:shd w:val="clear" w:color="auto" w:fill="FFFFFF"/>
              <w:spacing w:before="0" w:beforeAutospacing="0" w:after="150" w:afterAutospacing="0"/>
              <w:jc w:val="both"/>
              <w:rPr>
                <w:rFonts w:ascii="Arial" w:hAnsi="Arial" w:cs="Arial"/>
                <w:sz w:val="22"/>
                <w:szCs w:val="22"/>
              </w:rPr>
            </w:pPr>
            <w:r w:rsidRPr="00A64175">
              <w:rPr>
                <w:rFonts w:ascii="Arial" w:hAnsi="Arial" w:cs="Arial"/>
                <w:b/>
                <w:bCs/>
                <w:sz w:val="22"/>
                <w:szCs w:val="22"/>
              </w:rPr>
              <w:t xml:space="preserve">Article </w:t>
            </w:r>
            <w:r w:rsidR="00C4362A" w:rsidRPr="00A64175">
              <w:rPr>
                <w:rFonts w:ascii="Arial" w:hAnsi="Arial" w:cs="Arial"/>
                <w:b/>
                <w:bCs/>
                <w:sz w:val="22"/>
                <w:szCs w:val="22"/>
              </w:rPr>
              <w:t>30</w:t>
            </w:r>
            <w:r w:rsidR="009B231D">
              <w:rPr>
                <w:rFonts w:ascii="Arial" w:hAnsi="Arial" w:cs="Arial"/>
                <w:b/>
                <w:bCs/>
                <w:sz w:val="22"/>
                <w:szCs w:val="22"/>
              </w:rPr>
              <w:t>8</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Pr="00A64175">
              <w:rPr>
                <w:rFonts w:ascii="Arial" w:hAnsi="Arial" w:cs="Arial"/>
                <w:sz w:val="22"/>
                <w:szCs w:val="22"/>
              </w:rPr>
              <w:t>Le teneur de compte</w:t>
            </w:r>
            <w:r w:rsidR="00095F65" w:rsidRPr="00A64175">
              <w:rPr>
                <w:rFonts w:ascii="Arial" w:hAnsi="Arial" w:cs="Arial"/>
                <w:b/>
                <w:sz w:val="22"/>
                <w:szCs w:val="22"/>
              </w:rPr>
              <w:t xml:space="preserve"> </w:t>
            </w:r>
            <w:r w:rsidR="00095F65" w:rsidRPr="00A64175">
              <w:rPr>
                <w:rFonts w:ascii="Arial" w:hAnsi="Arial" w:cs="Arial"/>
                <w:sz w:val="22"/>
                <w:szCs w:val="22"/>
              </w:rPr>
              <w:t>signe une convention</w:t>
            </w:r>
            <w:r w:rsidRPr="00A64175">
              <w:rPr>
                <w:rFonts w:ascii="Arial" w:hAnsi="Arial" w:cs="Arial"/>
                <w:sz w:val="22"/>
                <w:szCs w:val="22"/>
              </w:rPr>
              <w:t xml:space="preserve"> d’ouverture de compte</w:t>
            </w:r>
            <w:r w:rsidR="00095F65" w:rsidRPr="00A64175">
              <w:rPr>
                <w:rFonts w:ascii="Arial" w:hAnsi="Arial" w:cs="Arial"/>
                <w:sz w:val="22"/>
                <w:szCs w:val="22"/>
              </w:rPr>
              <w:t xml:space="preserve"> avec le titulaire du compte ti</w:t>
            </w:r>
            <w:r w:rsidR="00C4362A" w:rsidRPr="00A64175">
              <w:rPr>
                <w:rFonts w:ascii="Arial" w:hAnsi="Arial" w:cs="Arial"/>
                <w:sz w:val="22"/>
                <w:szCs w:val="22"/>
              </w:rPr>
              <w:t>tres, dont le contenu est précisé</w:t>
            </w:r>
            <w:r w:rsidR="00095F65" w:rsidRPr="00A64175">
              <w:rPr>
                <w:rFonts w:ascii="Arial" w:hAnsi="Arial" w:cs="Arial"/>
                <w:sz w:val="22"/>
                <w:szCs w:val="22"/>
              </w:rPr>
              <w:t xml:space="preserve"> dans une instruction de la COSUMAF.</w:t>
            </w:r>
          </w:p>
          <w:p w14:paraId="5179B024" w14:textId="0C05C4AF" w:rsidR="007F42FA" w:rsidRPr="00A64175" w:rsidRDefault="007F42FA" w:rsidP="00A64175">
            <w:pPr>
              <w:pStyle w:val="NormalWeb"/>
              <w:shd w:val="clear" w:color="auto" w:fill="FFFFFF"/>
              <w:spacing w:before="0" w:beforeAutospacing="0" w:after="150" w:afterAutospacing="0"/>
              <w:jc w:val="both"/>
              <w:rPr>
                <w:rFonts w:ascii="Arial" w:hAnsi="Arial" w:cs="Arial"/>
                <w:color w:val="000000"/>
                <w:sz w:val="22"/>
                <w:szCs w:val="22"/>
              </w:rPr>
            </w:pPr>
          </w:p>
        </w:tc>
      </w:tr>
      <w:tr w:rsidR="00095F65" w:rsidRPr="00A64175" w14:paraId="47676D8A" w14:textId="77777777" w:rsidTr="00EC563C">
        <w:tc>
          <w:tcPr>
            <w:tcW w:w="9214" w:type="dxa"/>
            <w:shd w:val="clear" w:color="auto" w:fill="auto"/>
          </w:tcPr>
          <w:p w14:paraId="492BB4C1" w14:textId="1D1E1EFE" w:rsidR="00095F65" w:rsidRPr="00A64175" w:rsidRDefault="00095F65"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w:t>
            </w:r>
            <w:r w:rsidR="007F42FA" w:rsidRPr="00A64175">
              <w:rPr>
                <w:rFonts w:ascii="Arial" w:hAnsi="Arial" w:cs="Arial"/>
                <w:b/>
                <w:bCs/>
                <w:sz w:val="22"/>
                <w:szCs w:val="22"/>
              </w:rPr>
              <w:t xml:space="preserve">cle </w:t>
            </w:r>
            <w:r w:rsidR="00C4362A" w:rsidRPr="00A64175">
              <w:rPr>
                <w:rFonts w:ascii="Arial" w:hAnsi="Arial" w:cs="Arial"/>
                <w:b/>
                <w:bCs/>
                <w:sz w:val="22"/>
                <w:szCs w:val="22"/>
              </w:rPr>
              <w:t>30</w:t>
            </w:r>
            <w:r w:rsidR="009B231D">
              <w:rPr>
                <w:rFonts w:ascii="Arial" w:hAnsi="Arial" w:cs="Arial"/>
                <w:b/>
                <w:bCs/>
                <w:sz w:val="22"/>
                <w:szCs w:val="22"/>
              </w:rPr>
              <w:t>9</w:t>
            </w:r>
            <w:r w:rsidRPr="00A64175">
              <w:rPr>
                <w:rFonts w:ascii="Arial" w:hAnsi="Arial" w:cs="Arial"/>
                <w:b/>
                <w:sz w:val="22"/>
                <w:szCs w:val="22"/>
              </w:rPr>
              <w:t>–</w:t>
            </w:r>
            <w:r w:rsidRPr="00A64175">
              <w:rPr>
                <w:rFonts w:ascii="Arial" w:hAnsi="Arial" w:cs="Arial"/>
                <w:color w:val="000000"/>
                <w:sz w:val="22"/>
                <w:szCs w:val="22"/>
              </w:rPr>
              <w:t xml:space="preserve"> </w:t>
            </w:r>
          </w:p>
          <w:p w14:paraId="2CC224A2" w14:textId="2D8740D3" w:rsidR="00095F65" w:rsidRPr="00A64175" w:rsidRDefault="00994E38" w:rsidP="00A64175">
            <w:pPr>
              <w:pStyle w:val="NormalWeb"/>
              <w:numPr>
                <w:ilvl w:val="0"/>
                <w:numId w:val="108"/>
              </w:numPr>
              <w:shd w:val="clear" w:color="auto" w:fill="FFFFFF"/>
              <w:spacing w:before="0" w:beforeAutospacing="0" w:after="150" w:afterAutospacing="0"/>
              <w:ind w:left="316"/>
              <w:jc w:val="both"/>
              <w:rPr>
                <w:rFonts w:ascii="Arial" w:hAnsi="Arial" w:cs="Arial"/>
                <w:color w:val="333333"/>
                <w:sz w:val="22"/>
                <w:szCs w:val="22"/>
              </w:rPr>
            </w:pPr>
            <w:r w:rsidRPr="00A64175">
              <w:rPr>
                <w:rFonts w:ascii="Arial" w:hAnsi="Arial" w:cs="Arial"/>
                <w:color w:val="333333"/>
                <w:sz w:val="22"/>
                <w:szCs w:val="22"/>
              </w:rPr>
              <w:t>Le teneur de compte</w:t>
            </w:r>
            <w:r w:rsidR="00095F65" w:rsidRPr="00A64175">
              <w:rPr>
                <w:rFonts w:ascii="Arial" w:hAnsi="Arial" w:cs="Arial"/>
                <w:color w:val="333333"/>
                <w:sz w:val="22"/>
                <w:szCs w:val="22"/>
              </w:rPr>
              <w:t xml:space="preserve"> adresse</w:t>
            </w:r>
            <w:r w:rsidRPr="00A64175">
              <w:rPr>
                <w:rFonts w:ascii="Arial" w:hAnsi="Arial" w:cs="Arial"/>
                <w:color w:val="333333"/>
                <w:sz w:val="22"/>
                <w:szCs w:val="22"/>
              </w:rPr>
              <w:t>,</w:t>
            </w:r>
            <w:r w:rsidR="00095F65" w:rsidRPr="00A64175">
              <w:rPr>
                <w:rFonts w:ascii="Arial" w:hAnsi="Arial" w:cs="Arial"/>
                <w:color w:val="333333"/>
                <w:sz w:val="22"/>
                <w:szCs w:val="22"/>
              </w:rPr>
              <w:t xml:space="preserve"> sur un support durable, au moins une fois par trimestre à son client, et à chaque demande de ce dernier, un relevé de ses titres financiers. Le relevé comporte les informations mentionnées </w:t>
            </w:r>
            <w:r w:rsidR="00095F65" w:rsidRPr="00A64175">
              <w:rPr>
                <w:rFonts w:ascii="Arial" w:hAnsi="Arial" w:cs="Arial"/>
                <w:sz w:val="22"/>
                <w:szCs w:val="22"/>
              </w:rPr>
              <w:t>dans une instruction</w:t>
            </w:r>
            <w:r w:rsidR="00095F65" w:rsidRPr="00A64175">
              <w:rPr>
                <w:rFonts w:ascii="Arial" w:hAnsi="Arial" w:cs="Arial"/>
                <w:sz w:val="22"/>
                <w:szCs w:val="22"/>
                <w:highlight w:val="cyan"/>
              </w:rPr>
              <w:t xml:space="preserve"> </w:t>
            </w:r>
            <w:r w:rsidR="00095F65" w:rsidRPr="00A64175">
              <w:rPr>
                <w:rFonts w:ascii="Arial" w:hAnsi="Arial" w:cs="Arial"/>
                <w:sz w:val="22"/>
                <w:szCs w:val="22"/>
              </w:rPr>
              <w:t>de la COSUMAF</w:t>
            </w:r>
          </w:p>
          <w:p w14:paraId="2F04307F" w14:textId="6B9741D1" w:rsidR="00095F65" w:rsidRPr="00A64175" w:rsidRDefault="00994E38" w:rsidP="00A64175">
            <w:pPr>
              <w:pStyle w:val="NormalWeb"/>
              <w:numPr>
                <w:ilvl w:val="0"/>
                <w:numId w:val="108"/>
              </w:numPr>
              <w:shd w:val="clear" w:color="auto" w:fill="FFFFFF"/>
              <w:spacing w:before="0" w:beforeAutospacing="0" w:after="150" w:afterAutospacing="0"/>
              <w:ind w:left="316"/>
              <w:jc w:val="both"/>
              <w:rPr>
                <w:rFonts w:ascii="Arial" w:hAnsi="Arial" w:cs="Arial"/>
                <w:color w:val="333333"/>
                <w:sz w:val="22"/>
                <w:szCs w:val="22"/>
              </w:rPr>
            </w:pPr>
            <w:r w:rsidRPr="00A64175">
              <w:rPr>
                <w:rFonts w:ascii="Arial" w:hAnsi="Arial" w:cs="Arial"/>
                <w:color w:val="333333"/>
                <w:sz w:val="22"/>
                <w:szCs w:val="22"/>
              </w:rPr>
              <w:t>Le teneur de compte</w:t>
            </w:r>
            <w:r w:rsidR="00095F65" w:rsidRPr="00A64175">
              <w:rPr>
                <w:rFonts w:ascii="Arial" w:hAnsi="Arial" w:cs="Arial"/>
                <w:color w:val="333333"/>
                <w:sz w:val="22"/>
                <w:szCs w:val="22"/>
              </w:rPr>
              <w:t xml:space="preserve"> transmet dans les meilleurs délais à chaque titulaire de compte-titres les informations suivantes :</w:t>
            </w:r>
          </w:p>
          <w:p w14:paraId="4EC54337" w14:textId="77777777" w:rsidR="00095F65" w:rsidRPr="00A64175" w:rsidRDefault="00095F65" w:rsidP="00A64175">
            <w:pPr>
              <w:pStyle w:val="NormalWeb"/>
              <w:numPr>
                <w:ilvl w:val="0"/>
                <w:numId w:val="109"/>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Les informations relatives aux opérations sur titres financiers nécessitant une réponse du titulaire, qu'il reçoit individuellement des émetteurs de titres financiers ;</w:t>
            </w:r>
          </w:p>
          <w:p w14:paraId="00B06EF9" w14:textId="77777777" w:rsidR="00095F65" w:rsidRPr="00A64175" w:rsidRDefault="00095F65" w:rsidP="00A64175">
            <w:pPr>
              <w:pStyle w:val="NormalWeb"/>
              <w:numPr>
                <w:ilvl w:val="0"/>
                <w:numId w:val="109"/>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Les informations relatives aux autres opérations sur titres financiers qui entraînent une modification sur les avoirs inscrits sur le compte du client, qu'il reçoit individuellement des émetteurs de titres financiers ;</w:t>
            </w:r>
          </w:p>
          <w:p w14:paraId="0B9DFFB5" w14:textId="01607087" w:rsidR="00095F65" w:rsidRPr="00A64175" w:rsidRDefault="00095F65" w:rsidP="00A64175">
            <w:pPr>
              <w:pStyle w:val="NormalWeb"/>
              <w:numPr>
                <w:ilvl w:val="0"/>
                <w:numId w:val="109"/>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Sous réserve qu'elles aient été identifiées comme telles par l</w:t>
            </w:r>
            <w:r w:rsidR="00482324" w:rsidRPr="00A64175">
              <w:rPr>
                <w:rFonts w:ascii="Arial" w:hAnsi="Arial" w:cs="Arial"/>
                <w:color w:val="333333"/>
                <w:sz w:val="22"/>
                <w:szCs w:val="22"/>
              </w:rPr>
              <w:t>’organism</w:t>
            </w:r>
            <w:r w:rsidRPr="00A64175">
              <w:rPr>
                <w:rFonts w:ascii="Arial" w:hAnsi="Arial" w:cs="Arial"/>
                <w:color w:val="333333"/>
                <w:sz w:val="22"/>
                <w:szCs w:val="22"/>
              </w:rPr>
              <w:t>e</w:t>
            </w:r>
            <w:r w:rsidR="00482324" w:rsidRPr="00A64175">
              <w:rPr>
                <w:rFonts w:ascii="Arial" w:hAnsi="Arial" w:cs="Arial"/>
                <w:color w:val="333333"/>
                <w:sz w:val="22"/>
                <w:szCs w:val="22"/>
              </w:rPr>
              <w:t xml:space="preserve"> de</w:t>
            </w:r>
            <w:r w:rsidRPr="00A64175">
              <w:rPr>
                <w:rFonts w:ascii="Arial" w:hAnsi="Arial" w:cs="Arial"/>
                <w:color w:val="333333"/>
                <w:sz w:val="22"/>
                <w:szCs w:val="22"/>
              </w:rPr>
              <w:t xml:space="preserve"> placement collectif ou la société de gestion qui, le cas échéant, le représente, les informations particulières qui doivent être adressées individuellement aux porteurs d</w:t>
            </w:r>
            <w:r w:rsidR="00482324" w:rsidRPr="00A64175">
              <w:rPr>
                <w:rFonts w:ascii="Arial" w:hAnsi="Arial" w:cs="Arial"/>
                <w:color w:val="333333"/>
                <w:sz w:val="22"/>
                <w:szCs w:val="22"/>
              </w:rPr>
              <w:t xml:space="preserve">e parts ou actionnaires de l’organisme </w:t>
            </w:r>
            <w:r w:rsidR="00772B5D" w:rsidRPr="00A64175">
              <w:rPr>
                <w:rFonts w:ascii="Arial" w:hAnsi="Arial" w:cs="Arial"/>
                <w:color w:val="333333"/>
                <w:sz w:val="22"/>
                <w:szCs w:val="22"/>
              </w:rPr>
              <w:t>de placement</w:t>
            </w:r>
            <w:r w:rsidRPr="00A64175">
              <w:rPr>
                <w:rFonts w:ascii="Arial" w:hAnsi="Arial" w:cs="Arial"/>
                <w:color w:val="333333"/>
                <w:sz w:val="22"/>
                <w:szCs w:val="22"/>
              </w:rPr>
              <w:t xml:space="preserve"> collectif, qu'il reçoit dudit </w:t>
            </w:r>
            <w:r w:rsidR="00482324" w:rsidRPr="00A64175">
              <w:rPr>
                <w:rFonts w:ascii="Arial" w:hAnsi="Arial" w:cs="Arial"/>
                <w:color w:val="333333"/>
                <w:sz w:val="22"/>
                <w:szCs w:val="22"/>
              </w:rPr>
              <w:t xml:space="preserve">organisme de </w:t>
            </w:r>
            <w:r w:rsidRPr="00A64175">
              <w:rPr>
                <w:rFonts w:ascii="Arial" w:hAnsi="Arial" w:cs="Arial"/>
                <w:color w:val="333333"/>
                <w:sz w:val="22"/>
                <w:szCs w:val="22"/>
              </w:rPr>
              <w:t>placement collectif ou de sa société de gestion.</w:t>
            </w:r>
          </w:p>
        </w:tc>
      </w:tr>
      <w:tr w:rsidR="00095F65" w:rsidRPr="00A64175" w14:paraId="66D45983" w14:textId="77777777" w:rsidTr="00EC563C">
        <w:tc>
          <w:tcPr>
            <w:tcW w:w="9214" w:type="dxa"/>
            <w:shd w:val="clear" w:color="auto" w:fill="auto"/>
          </w:tcPr>
          <w:p w14:paraId="65E2219B" w14:textId="6BC9A290" w:rsidR="00095F65" w:rsidRPr="00A64175" w:rsidRDefault="004371B4"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Article 3</w:t>
            </w:r>
            <w:r w:rsidR="009B231D">
              <w:rPr>
                <w:rFonts w:ascii="Arial" w:hAnsi="Arial" w:cs="Arial"/>
                <w:b/>
                <w:bCs/>
                <w:sz w:val="22"/>
                <w:szCs w:val="22"/>
              </w:rPr>
              <w:t>10</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482324" w:rsidRPr="00A64175">
              <w:rPr>
                <w:rFonts w:ascii="Arial" w:hAnsi="Arial" w:cs="Arial"/>
                <w:color w:val="333333"/>
                <w:sz w:val="22"/>
                <w:szCs w:val="22"/>
                <w:shd w:val="clear" w:color="auto" w:fill="FFFFFF"/>
              </w:rPr>
              <w:t>Le teneur de compte</w:t>
            </w:r>
            <w:r w:rsidR="00095F65" w:rsidRPr="00A64175">
              <w:rPr>
                <w:rFonts w:ascii="Arial" w:hAnsi="Arial" w:cs="Arial"/>
                <w:color w:val="333333"/>
                <w:sz w:val="22"/>
                <w:szCs w:val="22"/>
                <w:shd w:val="clear" w:color="auto" w:fill="FFFFFF"/>
              </w:rPr>
              <w:t xml:space="preserve"> transmet aux sociétés émettrices les demandes de documents préparatoires à leur assemblée générale formulées par les actionnaires ou tient ces documents à la disposition de ces derniers, sous réserve que la personne morale émettrice ait rempli ses obligations contractuelles à cet égard envers </w:t>
            </w:r>
            <w:r w:rsidR="00482324" w:rsidRPr="00A64175">
              <w:rPr>
                <w:rFonts w:ascii="Arial" w:hAnsi="Arial" w:cs="Arial"/>
                <w:color w:val="333333"/>
                <w:sz w:val="22"/>
                <w:szCs w:val="22"/>
                <w:shd w:val="clear" w:color="auto" w:fill="FFFFFF"/>
              </w:rPr>
              <w:t>le teneur de compte</w:t>
            </w:r>
            <w:r w:rsidR="00095F65" w:rsidRPr="00A64175">
              <w:rPr>
                <w:rFonts w:ascii="Arial" w:hAnsi="Arial" w:cs="Arial"/>
                <w:color w:val="333333"/>
                <w:sz w:val="22"/>
                <w:szCs w:val="22"/>
                <w:shd w:val="clear" w:color="auto" w:fill="FFFFFF"/>
              </w:rPr>
              <w:t>.</w:t>
            </w:r>
          </w:p>
          <w:p w14:paraId="2F3030FE" w14:textId="77777777" w:rsidR="00095F65" w:rsidRPr="00A64175" w:rsidRDefault="00095F65" w:rsidP="00A64175">
            <w:pPr>
              <w:widowControl w:val="0"/>
              <w:tabs>
                <w:tab w:val="left" w:pos="3750"/>
              </w:tabs>
              <w:autoSpaceDE w:val="0"/>
              <w:adjustRightInd w:val="0"/>
              <w:jc w:val="both"/>
              <w:rPr>
                <w:rFonts w:ascii="Arial" w:hAnsi="Arial" w:cs="Arial"/>
                <w:b/>
              </w:rPr>
            </w:pPr>
          </w:p>
        </w:tc>
      </w:tr>
      <w:tr w:rsidR="00095F65" w:rsidRPr="00A64175" w14:paraId="463E249F" w14:textId="77777777" w:rsidTr="00EC563C">
        <w:tc>
          <w:tcPr>
            <w:tcW w:w="9214" w:type="dxa"/>
            <w:shd w:val="clear" w:color="auto" w:fill="auto"/>
          </w:tcPr>
          <w:p w14:paraId="7B7ADD3D" w14:textId="316E5F02" w:rsidR="00095F65" w:rsidRPr="00A64175" w:rsidRDefault="004371B4"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Article 3</w:t>
            </w:r>
            <w:r w:rsidR="009B231D">
              <w:rPr>
                <w:rFonts w:ascii="Arial" w:hAnsi="Arial" w:cs="Arial"/>
                <w:b/>
                <w:bCs/>
                <w:sz w:val="22"/>
                <w:szCs w:val="22"/>
              </w:rPr>
              <w:t>11</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095F65" w:rsidRPr="00A64175">
              <w:rPr>
                <w:rFonts w:ascii="Arial" w:hAnsi="Arial" w:cs="Arial"/>
                <w:color w:val="333333"/>
                <w:sz w:val="22"/>
                <w:szCs w:val="22"/>
                <w:shd w:val="clear" w:color="auto" w:fill="FFFFFF"/>
              </w:rPr>
              <w:t xml:space="preserve">Un compte-titres ne doit pas être débiteur en date de règlement-livraison des titres financiers cédés et </w:t>
            </w:r>
            <w:r w:rsidR="00482324" w:rsidRPr="00A64175">
              <w:rPr>
                <w:rFonts w:ascii="Arial" w:hAnsi="Arial" w:cs="Arial"/>
                <w:color w:val="333333"/>
                <w:sz w:val="22"/>
                <w:szCs w:val="22"/>
                <w:shd w:val="clear" w:color="auto" w:fill="FFFFFF"/>
              </w:rPr>
              <w:t>le teneur de compte</w:t>
            </w:r>
            <w:r w:rsidR="00095F65" w:rsidRPr="00A64175">
              <w:rPr>
                <w:rFonts w:ascii="Arial" w:hAnsi="Arial" w:cs="Arial"/>
                <w:color w:val="333333"/>
                <w:sz w:val="22"/>
                <w:szCs w:val="22"/>
                <w:shd w:val="clear" w:color="auto" w:fill="FFFFFF"/>
              </w:rPr>
              <w:t xml:space="preserve"> se conforme en toutes circonstances à la règle de non-usage des titres financiers de la clientèle sans son accord exprès.</w:t>
            </w:r>
          </w:p>
          <w:p w14:paraId="33866785" w14:textId="77777777" w:rsidR="00095F65" w:rsidRPr="00A64175" w:rsidRDefault="00095F65" w:rsidP="00A64175">
            <w:pPr>
              <w:jc w:val="both"/>
              <w:rPr>
                <w:rFonts w:ascii="Arial" w:hAnsi="Arial" w:cs="Arial"/>
                <w:b/>
              </w:rPr>
            </w:pPr>
          </w:p>
        </w:tc>
      </w:tr>
      <w:tr w:rsidR="00095F65" w:rsidRPr="00A64175" w14:paraId="3F84E930" w14:textId="77777777" w:rsidTr="00EC563C">
        <w:tc>
          <w:tcPr>
            <w:tcW w:w="9214" w:type="dxa"/>
            <w:shd w:val="clear" w:color="auto" w:fill="auto"/>
          </w:tcPr>
          <w:p w14:paraId="590FB04B" w14:textId="723F95EE" w:rsidR="00095F65" w:rsidRPr="00A64175" w:rsidRDefault="00095F65"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w:t>
            </w:r>
            <w:r w:rsidR="004371B4" w:rsidRPr="00A64175">
              <w:rPr>
                <w:rFonts w:ascii="Arial" w:hAnsi="Arial" w:cs="Arial"/>
                <w:b/>
                <w:bCs/>
                <w:sz w:val="22"/>
                <w:szCs w:val="22"/>
              </w:rPr>
              <w:t>icle 3</w:t>
            </w:r>
            <w:r w:rsidR="009B231D">
              <w:rPr>
                <w:rFonts w:ascii="Arial" w:hAnsi="Arial" w:cs="Arial"/>
                <w:b/>
                <w:bCs/>
                <w:sz w:val="22"/>
                <w:szCs w:val="22"/>
              </w:rPr>
              <w:t>12</w:t>
            </w:r>
            <w:r w:rsidRPr="00A64175">
              <w:rPr>
                <w:rFonts w:ascii="Arial" w:hAnsi="Arial" w:cs="Arial"/>
                <w:b/>
                <w:bCs/>
                <w:sz w:val="22"/>
                <w:szCs w:val="22"/>
              </w:rPr>
              <w:t xml:space="preserve"> </w:t>
            </w:r>
            <w:r w:rsidRPr="00A64175">
              <w:rPr>
                <w:rFonts w:ascii="Arial" w:hAnsi="Arial" w:cs="Arial"/>
                <w:b/>
                <w:sz w:val="22"/>
                <w:szCs w:val="22"/>
              </w:rPr>
              <w:t>–</w:t>
            </w:r>
            <w:r w:rsidRPr="00A64175">
              <w:rPr>
                <w:rFonts w:ascii="Arial" w:hAnsi="Arial" w:cs="Arial"/>
                <w:color w:val="000000"/>
                <w:sz w:val="22"/>
                <w:szCs w:val="22"/>
              </w:rPr>
              <w:t xml:space="preserve"> </w:t>
            </w:r>
            <w:r w:rsidR="00482324" w:rsidRPr="00A64175">
              <w:rPr>
                <w:rFonts w:ascii="Arial" w:hAnsi="Arial" w:cs="Arial"/>
                <w:color w:val="333333"/>
                <w:sz w:val="22"/>
                <w:szCs w:val="22"/>
              </w:rPr>
              <w:t>Le teneur de compte</w:t>
            </w:r>
            <w:r w:rsidRPr="00A64175">
              <w:rPr>
                <w:rFonts w:ascii="Arial" w:hAnsi="Arial" w:cs="Arial"/>
                <w:color w:val="333333"/>
                <w:sz w:val="22"/>
                <w:szCs w:val="22"/>
              </w:rPr>
              <w:t xml:space="preserve"> s'ass</w:t>
            </w:r>
            <w:r w:rsidR="00482324" w:rsidRPr="00A64175">
              <w:rPr>
                <w:rFonts w:ascii="Arial" w:hAnsi="Arial" w:cs="Arial"/>
                <w:color w:val="333333"/>
                <w:sz w:val="22"/>
                <w:szCs w:val="22"/>
              </w:rPr>
              <w:t>ure que, sauf disposition législative</w:t>
            </w:r>
            <w:r w:rsidRPr="00A64175">
              <w:rPr>
                <w:rFonts w:ascii="Arial" w:hAnsi="Arial" w:cs="Arial"/>
                <w:color w:val="333333"/>
                <w:sz w:val="22"/>
                <w:szCs w:val="22"/>
              </w:rPr>
              <w:t xml:space="preserve"> ou réglementaire contraire, tout mouvement de titres financiers affectant le compte-titres d'un client se réalise exclusivement sur instruction de celui-ci, de son représentant ou, en cas de mutation, d'un tiers habilité.</w:t>
            </w:r>
          </w:p>
          <w:p w14:paraId="49EB007E" w14:textId="6EA8FC4C" w:rsidR="00095F65" w:rsidRPr="00A64175" w:rsidRDefault="00095F65" w:rsidP="00A64175">
            <w:pPr>
              <w:shd w:val="clear" w:color="auto" w:fill="FFFFFF"/>
              <w:spacing w:after="150"/>
              <w:jc w:val="both"/>
              <w:rPr>
                <w:rFonts w:ascii="Arial" w:hAnsi="Arial" w:cs="Arial"/>
                <w:color w:val="333333"/>
              </w:rPr>
            </w:pPr>
            <w:r w:rsidRPr="00A64175">
              <w:rPr>
                <w:rFonts w:ascii="Arial" w:hAnsi="Arial" w:cs="Arial"/>
                <w:color w:val="333333"/>
              </w:rPr>
              <w:t>Si le titulaire a confié</w:t>
            </w:r>
            <w:r w:rsidR="00095703" w:rsidRPr="00A64175">
              <w:rPr>
                <w:rFonts w:ascii="Arial" w:hAnsi="Arial" w:cs="Arial"/>
                <w:color w:val="333333"/>
              </w:rPr>
              <w:t xml:space="preserve"> à un professionnel</w:t>
            </w:r>
            <w:r w:rsidRPr="00A64175">
              <w:rPr>
                <w:rFonts w:ascii="Arial" w:hAnsi="Arial" w:cs="Arial"/>
                <w:color w:val="333333"/>
              </w:rPr>
              <w:t xml:space="preserve"> la gestion de son portefeuille dans le cadre d'un mandat, </w:t>
            </w:r>
            <w:r w:rsidR="00095703" w:rsidRPr="00A64175">
              <w:rPr>
                <w:rFonts w:ascii="Arial" w:hAnsi="Arial" w:cs="Arial"/>
                <w:color w:val="333333"/>
              </w:rPr>
              <w:t>le teneur de compte</w:t>
            </w:r>
            <w:r w:rsidRPr="00A64175">
              <w:rPr>
                <w:rFonts w:ascii="Arial" w:hAnsi="Arial" w:cs="Arial"/>
                <w:color w:val="333333"/>
              </w:rPr>
              <w:t xml:space="preserve"> lui fait remplir une attestation signée par le titulaire et le mandata</w:t>
            </w:r>
            <w:r w:rsidR="00095703" w:rsidRPr="00A64175">
              <w:rPr>
                <w:rFonts w:ascii="Arial" w:hAnsi="Arial" w:cs="Arial"/>
                <w:color w:val="333333"/>
              </w:rPr>
              <w:t>ire conforme au modèle défini</w:t>
            </w:r>
            <w:r w:rsidRPr="00A64175">
              <w:rPr>
                <w:rFonts w:ascii="Arial" w:hAnsi="Arial" w:cs="Arial"/>
                <w:color w:val="333333"/>
              </w:rPr>
              <w:t xml:space="preserve"> dans une instruction de la COSUMAF. Le teneur de compte n'est pas tenu d'avoir connaissance des termes du mandat de gestion de portefeuille.</w:t>
            </w:r>
          </w:p>
          <w:p w14:paraId="577EB40B" w14:textId="77777777" w:rsidR="00095F65" w:rsidRPr="00A64175" w:rsidRDefault="00095F65" w:rsidP="00A64175">
            <w:pPr>
              <w:shd w:val="clear" w:color="auto" w:fill="FFFFFF"/>
              <w:spacing w:after="150"/>
              <w:jc w:val="both"/>
              <w:rPr>
                <w:rFonts w:ascii="Arial" w:hAnsi="Arial" w:cs="Arial"/>
                <w:color w:val="333333"/>
              </w:rPr>
            </w:pPr>
            <w:r w:rsidRPr="00A64175">
              <w:rPr>
                <w:rFonts w:ascii="Arial" w:hAnsi="Arial" w:cs="Arial"/>
                <w:color w:val="333333"/>
              </w:rPr>
              <w:t>Toute opération de nature à créer ou à modifier les droits d'un titulaire de compte-titres fait l'objet d'un enregistrement dès que le droit est constaté.</w:t>
            </w:r>
          </w:p>
          <w:p w14:paraId="32CDF4C5" w14:textId="77777777" w:rsidR="00095F65" w:rsidRPr="00A64175" w:rsidRDefault="00095F65" w:rsidP="00A64175">
            <w:pPr>
              <w:shd w:val="clear" w:color="auto" w:fill="FFFFFF"/>
              <w:spacing w:after="150"/>
              <w:jc w:val="both"/>
              <w:rPr>
                <w:rFonts w:ascii="Arial" w:hAnsi="Arial" w:cs="Arial"/>
                <w:color w:val="333333"/>
              </w:rPr>
            </w:pPr>
            <w:r w:rsidRPr="00A64175">
              <w:rPr>
                <w:rFonts w:ascii="Arial" w:hAnsi="Arial" w:cs="Arial"/>
                <w:color w:val="333333"/>
              </w:rPr>
              <w:t>Lorsque l'opération comprend un mouvement d'espèces et de titres financiers ou un mouvement d'espèces, de droits et de titres financiers, ces mouvements sont comptabilisés de façon concomitante.</w:t>
            </w:r>
          </w:p>
          <w:p w14:paraId="2233FD30" w14:textId="77777777" w:rsidR="00095F65" w:rsidRPr="00A64175" w:rsidRDefault="00095F65" w:rsidP="00A64175">
            <w:pPr>
              <w:jc w:val="both"/>
              <w:rPr>
                <w:rFonts w:ascii="Arial" w:hAnsi="Arial" w:cs="Arial"/>
                <w:b/>
              </w:rPr>
            </w:pPr>
          </w:p>
        </w:tc>
      </w:tr>
      <w:tr w:rsidR="00095F65" w:rsidRPr="00A64175" w14:paraId="5B4B5DC8" w14:textId="77777777" w:rsidTr="00EC563C">
        <w:tc>
          <w:tcPr>
            <w:tcW w:w="9214" w:type="dxa"/>
            <w:shd w:val="clear" w:color="auto" w:fill="auto"/>
          </w:tcPr>
          <w:p w14:paraId="68F2AC9A" w14:textId="0C67D33C" w:rsidR="00095F65" w:rsidRPr="00A64175" w:rsidRDefault="004371B4"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Article 3</w:t>
            </w:r>
            <w:r w:rsidR="009B231D">
              <w:rPr>
                <w:rFonts w:ascii="Arial" w:hAnsi="Arial" w:cs="Arial"/>
                <w:b/>
                <w:bCs/>
                <w:sz w:val="22"/>
                <w:szCs w:val="22"/>
              </w:rPr>
              <w:t>13</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6547BF" w:rsidRPr="00A64175">
              <w:rPr>
                <w:rFonts w:ascii="Arial" w:hAnsi="Arial" w:cs="Arial"/>
                <w:color w:val="333333"/>
                <w:sz w:val="22"/>
                <w:szCs w:val="22"/>
              </w:rPr>
              <w:t>Le teneur de compte</w:t>
            </w:r>
            <w:r w:rsidR="00095F65" w:rsidRPr="00A64175">
              <w:rPr>
                <w:rFonts w:ascii="Arial" w:hAnsi="Arial" w:cs="Arial"/>
                <w:color w:val="333333"/>
                <w:sz w:val="22"/>
                <w:szCs w:val="22"/>
              </w:rPr>
              <w:t xml:space="preserve"> établi</w:t>
            </w:r>
            <w:r w:rsidR="005205E1" w:rsidRPr="00A64175">
              <w:rPr>
                <w:rFonts w:ascii="Arial" w:hAnsi="Arial" w:cs="Arial"/>
                <w:color w:val="333333"/>
                <w:sz w:val="22"/>
                <w:szCs w:val="22"/>
              </w:rPr>
              <w:t>t et maintient opérationnelles d</w:t>
            </w:r>
            <w:r w:rsidR="00095F65" w:rsidRPr="00A64175">
              <w:rPr>
                <w:rFonts w:ascii="Arial" w:hAnsi="Arial" w:cs="Arial"/>
                <w:color w:val="333333"/>
                <w:sz w:val="22"/>
                <w:szCs w:val="22"/>
              </w:rPr>
              <w:t>es procédures :</w:t>
            </w:r>
          </w:p>
          <w:p w14:paraId="40D48BCD" w14:textId="77777777" w:rsidR="00095F65" w:rsidRPr="00A64175" w:rsidRDefault="00095F65" w:rsidP="00A64175">
            <w:pPr>
              <w:pStyle w:val="NormalWeb"/>
              <w:numPr>
                <w:ilvl w:val="0"/>
                <w:numId w:val="10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Permettant de faire ressortir toute négociation ou cession de titres financiers susceptible de rendre le solde d'un compte-titres débiteur en date de règlement-livraison ;</w:t>
            </w:r>
          </w:p>
          <w:p w14:paraId="35041AFA" w14:textId="77777777" w:rsidR="00095F65" w:rsidRPr="00A64175" w:rsidRDefault="00095F65" w:rsidP="00A64175">
            <w:pPr>
              <w:pStyle w:val="NormalWeb"/>
              <w:numPr>
                <w:ilvl w:val="0"/>
                <w:numId w:val="10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Prévoyant son intervention auprès des clients afin qu'ils prennent leurs dispositions :</w:t>
            </w:r>
          </w:p>
          <w:p w14:paraId="798BCB0C" w14:textId="1E362F9F" w:rsidR="00095F65" w:rsidRPr="00A64175" w:rsidRDefault="00095F65" w:rsidP="00A64175">
            <w:pPr>
              <w:pStyle w:val="NormalWeb"/>
              <w:numPr>
                <w:ilvl w:val="1"/>
                <w:numId w:val="10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Pour prévenir tout déf</w:t>
            </w:r>
            <w:r w:rsidR="006547BF" w:rsidRPr="00A64175">
              <w:rPr>
                <w:rFonts w:ascii="Arial" w:hAnsi="Arial" w:cs="Arial"/>
                <w:color w:val="333333"/>
                <w:sz w:val="22"/>
                <w:szCs w:val="22"/>
              </w:rPr>
              <w:t xml:space="preserve">aut de règlement-livraison ; </w:t>
            </w:r>
          </w:p>
          <w:p w14:paraId="02F99096" w14:textId="77777777" w:rsidR="00095F65" w:rsidRPr="00A64175" w:rsidRDefault="00095F65" w:rsidP="00A64175">
            <w:pPr>
              <w:pStyle w:val="NormalWeb"/>
              <w:numPr>
                <w:ilvl w:val="1"/>
                <w:numId w:val="10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 cas échéant, pour remédier à un tel défaut qui serait survenu ;</w:t>
            </w:r>
          </w:p>
          <w:p w14:paraId="3B2C7C78" w14:textId="77777777" w:rsidR="00095F65" w:rsidRPr="00A64175" w:rsidRDefault="00095F65" w:rsidP="00A64175">
            <w:pPr>
              <w:pStyle w:val="NormalWeb"/>
              <w:numPr>
                <w:ilvl w:val="0"/>
                <w:numId w:val="101"/>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xml:space="preserve">Mettant en tant que de besoin en œuvre les mesures de rachat nécessaires. </w:t>
            </w:r>
          </w:p>
          <w:p w14:paraId="34AFE75B" w14:textId="7FBF7C36" w:rsidR="00095F65" w:rsidRPr="00A64175" w:rsidRDefault="00095F65" w:rsidP="00A64175">
            <w:pPr>
              <w:pStyle w:val="NormalWeb"/>
              <w:shd w:val="clear" w:color="auto" w:fill="FFFFFF"/>
              <w:spacing w:before="0" w:beforeAutospacing="0" w:after="150" w:afterAutospacing="0"/>
              <w:jc w:val="both"/>
              <w:rPr>
                <w:rFonts w:ascii="Arial" w:hAnsi="Arial" w:cs="Arial"/>
                <w:b/>
                <w:sz w:val="22"/>
                <w:szCs w:val="22"/>
              </w:rPr>
            </w:pPr>
            <w:r w:rsidRPr="00A64175">
              <w:rPr>
                <w:rFonts w:ascii="Arial" w:hAnsi="Arial" w:cs="Arial"/>
                <w:color w:val="333333"/>
                <w:sz w:val="22"/>
                <w:szCs w:val="22"/>
              </w:rPr>
              <w:t xml:space="preserve">Lorsqu'il effectue des opérations pour compte propre qui l'engagent à livrer des titres financiers, en relation ou non avec des opérations réalisées par des clients, le teneur de compte est tenu de s'assurer qu'il pourra procéder à cette livraison à la date de </w:t>
            </w:r>
            <w:r w:rsidR="006547BF" w:rsidRPr="00A64175">
              <w:rPr>
                <w:rFonts w:ascii="Arial" w:hAnsi="Arial" w:cs="Arial"/>
                <w:color w:val="333333"/>
                <w:sz w:val="22"/>
                <w:szCs w:val="22"/>
              </w:rPr>
              <w:t>règlement-livraison prévue et doit</w:t>
            </w:r>
            <w:r w:rsidRPr="00A64175">
              <w:rPr>
                <w:rFonts w:ascii="Arial" w:hAnsi="Arial" w:cs="Arial"/>
                <w:color w:val="333333"/>
                <w:sz w:val="22"/>
                <w:szCs w:val="22"/>
              </w:rPr>
              <w:t xml:space="preserve"> prendre, le cas échéant, toute mesure lui permettant de pouvoir procéder à la livraison desdits titres à ladite date.</w:t>
            </w:r>
          </w:p>
        </w:tc>
      </w:tr>
      <w:tr w:rsidR="00095F65" w:rsidRPr="00A64175" w14:paraId="0B361739" w14:textId="77777777" w:rsidTr="00EC563C">
        <w:tc>
          <w:tcPr>
            <w:tcW w:w="9214" w:type="dxa"/>
            <w:shd w:val="clear" w:color="auto" w:fill="auto"/>
          </w:tcPr>
          <w:p w14:paraId="7559A5AF" w14:textId="061F5D5F" w:rsidR="00095F65" w:rsidRPr="00A64175" w:rsidRDefault="004371B4" w:rsidP="00A64175">
            <w:pPr>
              <w:pStyle w:val="NormalWeb"/>
              <w:shd w:val="clear" w:color="auto" w:fill="FFFFFF"/>
              <w:spacing w:before="0" w:beforeAutospacing="0" w:after="150" w:afterAutospacing="0"/>
              <w:jc w:val="both"/>
              <w:rPr>
                <w:rFonts w:ascii="Arial" w:hAnsi="Arial" w:cs="Arial"/>
                <w:color w:val="000000"/>
                <w:sz w:val="22"/>
                <w:szCs w:val="22"/>
              </w:rPr>
            </w:pPr>
            <w:r w:rsidRPr="00A64175">
              <w:rPr>
                <w:rFonts w:ascii="Arial" w:hAnsi="Arial" w:cs="Arial"/>
                <w:b/>
                <w:bCs/>
                <w:sz w:val="22"/>
                <w:szCs w:val="22"/>
              </w:rPr>
              <w:t>Article 31</w:t>
            </w:r>
            <w:r w:rsidR="009B231D">
              <w:rPr>
                <w:rFonts w:ascii="Arial" w:hAnsi="Arial" w:cs="Arial"/>
                <w:b/>
                <w:bCs/>
                <w:sz w:val="22"/>
                <w:szCs w:val="22"/>
              </w:rPr>
              <w:t>4</w:t>
            </w:r>
            <w:r w:rsidR="00095F65" w:rsidRPr="00A64175">
              <w:rPr>
                <w:rFonts w:ascii="Arial" w:hAnsi="Arial" w:cs="Arial"/>
                <w:b/>
                <w:bCs/>
                <w:sz w:val="22"/>
                <w:szCs w:val="22"/>
              </w:rPr>
              <w:t xml:space="preserve"> </w:t>
            </w:r>
            <w:r w:rsidR="00095F65" w:rsidRPr="00A64175">
              <w:rPr>
                <w:rFonts w:ascii="Arial" w:hAnsi="Arial" w:cs="Arial"/>
                <w:b/>
                <w:sz w:val="22"/>
                <w:szCs w:val="22"/>
              </w:rPr>
              <w:t>–</w:t>
            </w:r>
            <w:r w:rsidR="00095F65" w:rsidRPr="00A64175">
              <w:rPr>
                <w:rFonts w:ascii="Arial" w:hAnsi="Arial" w:cs="Arial"/>
                <w:color w:val="000000"/>
                <w:sz w:val="22"/>
                <w:szCs w:val="22"/>
              </w:rPr>
              <w:t xml:space="preserve"> </w:t>
            </w:r>
            <w:r w:rsidR="00095F65" w:rsidRPr="00A64175">
              <w:rPr>
                <w:rFonts w:ascii="Arial" w:hAnsi="Arial" w:cs="Arial"/>
                <w:color w:val="333333"/>
                <w:sz w:val="22"/>
                <w:szCs w:val="22"/>
                <w:shd w:val="clear" w:color="auto" w:fill="FFFFFF"/>
              </w:rPr>
              <w:t xml:space="preserve">Le teneur de compte </w:t>
            </w:r>
            <w:r w:rsidR="00095F65" w:rsidRPr="00A64175">
              <w:rPr>
                <w:rFonts w:ascii="Arial" w:hAnsi="Arial" w:cs="Arial"/>
                <w:color w:val="333333"/>
                <w:sz w:val="22"/>
                <w:szCs w:val="22"/>
              </w:rPr>
              <w:t xml:space="preserve">décrit son organisation comptable dans un document approprié. Il tient sa comptabilité titres selon les règles de la comptabilité en partie double. La nomenclature des comptes et leurs règles de fonctionnement sont </w:t>
            </w:r>
            <w:r w:rsidR="00463C29" w:rsidRPr="00A64175">
              <w:rPr>
                <w:rFonts w:ascii="Arial" w:hAnsi="Arial" w:cs="Arial"/>
                <w:color w:val="333333"/>
                <w:sz w:val="22"/>
                <w:szCs w:val="22"/>
              </w:rPr>
              <w:t>fixées par</w:t>
            </w:r>
            <w:r w:rsidR="00095F65" w:rsidRPr="00A64175">
              <w:rPr>
                <w:rFonts w:ascii="Arial" w:hAnsi="Arial" w:cs="Arial"/>
                <w:color w:val="333333"/>
                <w:sz w:val="22"/>
                <w:szCs w:val="22"/>
              </w:rPr>
              <w:t xml:space="preserve"> la COSUMAF. Cette nomenclature a notamment pour effet, à des fins de contrôle, de classer dans des catégories distinctes les titres financiers des </w:t>
            </w:r>
            <w:r w:rsidR="00463C29" w:rsidRPr="00A64175">
              <w:rPr>
                <w:rFonts w:ascii="Arial" w:hAnsi="Arial" w:cs="Arial"/>
                <w:color w:val="333333"/>
                <w:sz w:val="22"/>
                <w:szCs w:val="22"/>
              </w:rPr>
              <w:t xml:space="preserve">organismes de </w:t>
            </w:r>
            <w:r w:rsidR="00095F65" w:rsidRPr="00A64175">
              <w:rPr>
                <w:rFonts w:ascii="Arial" w:hAnsi="Arial" w:cs="Arial"/>
                <w:color w:val="333333"/>
                <w:sz w:val="22"/>
                <w:szCs w:val="22"/>
              </w:rPr>
              <w:t>placements collectifs, ceux des autres clients et ceux appartenant au teneur de</w:t>
            </w:r>
            <w:r w:rsidR="00463C29" w:rsidRPr="00A64175">
              <w:rPr>
                <w:rFonts w:ascii="Arial" w:hAnsi="Arial" w:cs="Arial"/>
                <w:color w:val="333333"/>
                <w:sz w:val="22"/>
                <w:szCs w:val="22"/>
              </w:rPr>
              <w:t xml:space="preserve"> compte</w:t>
            </w:r>
            <w:r w:rsidR="00095F65" w:rsidRPr="00A64175">
              <w:rPr>
                <w:rFonts w:ascii="Arial" w:hAnsi="Arial" w:cs="Arial"/>
                <w:color w:val="333333"/>
                <w:sz w:val="22"/>
                <w:szCs w:val="22"/>
              </w:rPr>
              <w:t>.</w:t>
            </w:r>
          </w:p>
        </w:tc>
      </w:tr>
      <w:tr w:rsidR="00095F65" w:rsidRPr="00A64175" w14:paraId="5D2D36EE" w14:textId="77777777" w:rsidTr="00EC563C">
        <w:tc>
          <w:tcPr>
            <w:tcW w:w="9214" w:type="dxa"/>
            <w:shd w:val="clear" w:color="auto" w:fill="auto"/>
          </w:tcPr>
          <w:p w14:paraId="756B9858" w14:textId="77777777" w:rsidR="00095F65" w:rsidRPr="00A64175" w:rsidRDefault="00095F65" w:rsidP="00A64175">
            <w:pPr>
              <w:pStyle w:val="NormalWeb"/>
              <w:spacing w:before="0" w:beforeAutospacing="0" w:after="0" w:afterAutospacing="0"/>
              <w:contextualSpacing/>
              <w:jc w:val="both"/>
              <w:rPr>
                <w:rFonts w:ascii="Arial" w:hAnsi="Arial" w:cs="Arial"/>
                <w:b/>
                <w:sz w:val="22"/>
                <w:szCs w:val="22"/>
              </w:rPr>
            </w:pPr>
            <w:r w:rsidRPr="00A64175">
              <w:rPr>
                <w:rFonts w:ascii="Arial" w:hAnsi="Arial" w:cs="Arial"/>
                <w:b/>
                <w:sz w:val="22"/>
                <w:szCs w:val="22"/>
              </w:rPr>
              <w:t xml:space="preserve">Section V : La compensation </w:t>
            </w:r>
          </w:p>
          <w:p w14:paraId="3BC05943" w14:textId="77777777" w:rsidR="00095F65" w:rsidRPr="00A64175" w:rsidRDefault="00095F65" w:rsidP="00A64175">
            <w:pPr>
              <w:pStyle w:val="NormalWeb"/>
              <w:spacing w:before="0" w:beforeAutospacing="0" w:after="0" w:afterAutospacing="0"/>
              <w:contextualSpacing/>
              <w:jc w:val="both"/>
              <w:rPr>
                <w:rFonts w:ascii="Arial" w:hAnsi="Arial" w:cs="Arial"/>
                <w:b/>
                <w:sz w:val="22"/>
                <w:szCs w:val="22"/>
              </w:rPr>
            </w:pPr>
          </w:p>
        </w:tc>
      </w:tr>
      <w:tr w:rsidR="00095F65" w:rsidRPr="00A64175" w14:paraId="049EFF46" w14:textId="77777777" w:rsidTr="00EC563C">
        <w:trPr>
          <w:trHeight w:val="70"/>
        </w:trPr>
        <w:tc>
          <w:tcPr>
            <w:tcW w:w="9214" w:type="dxa"/>
            <w:shd w:val="clear" w:color="auto" w:fill="auto"/>
          </w:tcPr>
          <w:p w14:paraId="2AA12F44" w14:textId="7C4DBE4E" w:rsidR="00095F65" w:rsidRPr="00A64175" w:rsidRDefault="004371B4" w:rsidP="00A64175">
            <w:pPr>
              <w:pStyle w:val="NormalWeb"/>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b/>
                <w:bCs/>
                <w:color w:val="333333"/>
                <w:sz w:val="22"/>
                <w:szCs w:val="22"/>
              </w:rPr>
              <w:t>Article 31</w:t>
            </w:r>
            <w:r w:rsidR="009B231D">
              <w:rPr>
                <w:rFonts w:ascii="Arial" w:hAnsi="Arial" w:cs="Arial"/>
                <w:b/>
                <w:bCs/>
                <w:color w:val="333333"/>
                <w:sz w:val="22"/>
                <w:szCs w:val="22"/>
              </w:rPr>
              <w:t>5</w:t>
            </w:r>
            <w:r w:rsidR="00095F65" w:rsidRPr="00A64175">
              <w:rPr>
                <w:rFonts w:ascii="Arial" w:hAnsi="Arial" w:cs="Arial"/>
                <w:b/>
                <w:bCs/>
                <w:color w:val="333333"/>
                <w:sz w:val="22"/>
                <w:szCs w:val="22"/>
              </w:rPr>
              <w:t xml:space="preserve"> -</w:t>
            </w:r>
            <w:r w:rsidR="00095F65" w:rsidRPr="00A64175">
              <w:rPr>
                <w:rFonts w:ascii="Arial" w:hAnsi="Arial" w:cs="Arial"/>
                <w:color w:val="333333"/>
                <w:sz w:val="22"/>
                <w:szCs w:val="22"/>
              </w:rPr>
              <w:t xml:space="preserve"> Les sociétés de bourse et les établissements de crédit peuvent devenir des adhérents à la chambre de compensation. </w:t>
            </w:r>
          </w:p>
        </w:tc>
      </w:tr>
      <w:tr w:rsidR="00095F65" w:rsidRPr="00A64175" w14:paraId="1B4ECE4E" w14:textId="77777777" w:rsidTr="00EC563C">
        <w:trPr>
          <w:trHeight w:val="70"/>
        </w:trPr>
        <w:tc>
          <w:tcPr>
            <w:tcW w:w="9214" w:type="dxa"/>
            <w:shd w:val="clear" w:color="auto" w:fill="auto"/>
          </w:tcPr>
          <w:p w14:paraId="62B3E36A" w14:textId="14C367BF" w:rsidR="00095F65" w:rsidRPr="00A64175" w:rsidRDefault="00095F65" w:rsidP="00A64175">
            <w:pPr>
              <w:pStyle w:val="NormalWeb"/>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xml:space="preserve">Les adhérents compensateurs disposent de systèmes et </w:t>
            </w:r>
            <w:r w:rsidR="005C404B" w:rsidRPr="00A64175">
              <w:rPr>
                <w:rFonts w:ascii="Arial" w:hAnsi="Arial" w:cs="Arial"/>
                <w:color w:val="333333"/>
                <w:sz w:val="22"/>
                <w:szCs w:val="22"/>
              </w:rPr>
              <w:t xml:space="preserve">dispositifs de contrôle </w:t>
            </w:r>
            <w:r w:rsidRPr="00A64175">
              <w:rPr>
                <w:rFonts w:ascii="Arial" w:hAnsi="Arial" w:cs="Arial"/>
                <w:color w:val="333333"/>
                <w:sz w:val="22"/>
                <w:szCs w:val="22"/>
              </w:rPr>
              <w:t xml:space="preserve"> efficaces pour garantir que les services de compensation sont fournis uniquement à des personnes appropriées, satisfaisant à des critères clairs, et que des exigences adéquates sont imposées à ces personnes afin</w:t>
            </w:r>
            <w:r w:rsidR="005C404B" w:rsidRPr="00A64175">
              <w:rPr>
                <w:rFonts w:ascii="Arial" w:hAnsi="Arial" w:cs="Arial"/>
                <w:color w:val="333333"/>
                <w:sz w:val="22"/>
                <w:szCs w:val="22"/>
              </w:rPr>
              <w:t xml:space="preserve"> de réduire les risques pour l’intermédiaire </w:t>
            </w:r>
            <w:r w:rsidRPr="00A64175">
              <w:rPr>
                <w:rFonts w:ascii="Arial" w:hAnsi="Arial" w:cs="Arial"/>
                <w:color w:val="333333"/>
                <w:sz w:val="22"/>
                <w:szCs w:val="22"/>
              </w:rPr>
              <w:t>et le marché.</w:t>
            </w:r>
          </w:p>
          <w:p w14:paraId="2A28422F" w14:textId="5AA3C49A" w:rsidR="00095F65" w:rsidRPr="00A64175" w:rsidRDefault="00095F65" w:rsidP="00A64175">
            <w:pPr>
              <w:pStyle w:val="NormalWeb"/>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Les adhérents compensateurs concluent avec chacune des personnes dont ils compensent les opérati</w:t>
            </w:r>
            <w:r w:rsidR="00E63B40" w:rsidRPr="00A64175">
              <w:rPr>
                <w:rFonts w:ascii="Arial" w:hAnsi="Arial" w:cs="Arial"/>
                <w:color w:val="333333"/>
                <w:sz w:val="22"/>
                <w:szCs w:val="22"/>
              </w:rPr>
              <w:t>ons un contrat écrit précisant</w:t>
            </w:r>
            <w:r w:rsidRPr="00A64175">
              <w:rPr>
                <w:rFonts w:ascii="Arial" w:hAnsi="Arial" w:cs="Arial"/>
                <w:color w:val="333333"/>
                <w:sz w:val="22"/>
                <w:szCs w:val="22"/>
              </w:rPr>
              <w:t xml:space="preserve"> les droits et obligations essentiels découlant de la fourniture de ce service.</w:t>
            </w:r>
          </w:p>
          <w:p w14:paraId="657FD565" w14:textId="77777777" w:rsidR="00095F65" w:rsidRPr="00A64175" w:rsidRDefault="00095F65" w:rsidP="00A64175">
            <w:pPr>
              <w:pStyle w:val="NormalWeb"/>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 contrat prévoit notamment :</w:t>
            </w:r>
          </w:p>
          <w:p w14:paraId="742A791A" w14:textId="77777777" w:rsidR="00095F65" w:rsidRPr="00A64175" w:rsidRDefault="00095F65" w:rsidP="00A64175">
            <w:pPr>
              <w:pStyle w:val="NormalWeb"/>
              <w:numPr>
                <w:ilvl w:val="0"/>
                <w:numId w:val="102"/>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Les modalités d'enregistrement des opérations ;</w:t>
            </w:r>
          </w:p>
          <w:p w14:paraId="1C74CC7D" w14:textId="79477CD9" w:rsidR="00095F65" w:rsidRPr="00A64175" w:rsidRDefault="00095F65" w:rsidP="00A64175">
            <w:pPr>
              <w:pStyle w:val="NormalWeb"/>
              <w:numPr>
                <w:ilvl w:val="0"/>
                <w:numId w:val="102"/>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Les dispositions concernant les dépôts de garantie, les marges et, plus généralement, les couvertures, quelle que soit leur dénomination, que les adhérents compensateurs doivent appeler auprès des donneurs d'ordre dont ils tiennent les comptes, ainsi que les actifs ou les garanties qu'ils acceptent en couverture des expositions sur les donneurs d'ordre ;</w:t>
            </w:r>
          </w:p>
          <w:p w14:paraId="47D59C92" w14:textId="722CC284" w:rsidR="00095F65" w:rsidRPr="00A64175" w:rsidRDefault="00095F65" w:rsidP="00A64175">
            <w:pPr>
              <w:pStyle w:val="NormalWeb"/>
              <w:numPr>
                <w:ilvl w:val="0"/>
                <w:numId w:val="102"/>
              </w:numPr>
              <w:shd w:val="clear" w:color="auto" w:fill="FFFFFF"/>
              <w:spacing w:before="0" w:beforeAutospacing="0" w:after="150" w:afterAutospacing="0"/>
              <w:jc w:val="both"/>
              <w:rPr>
                <w:rFonts w:ascii="Arial" w:hAnsi="Arial" w:cs="Arial"/>
                <w:sz w:val="22"/>
                <w:szCs w:val="22"/>
              </w:rPr>
            </w:pPr>
            <w:r w:rsidRPr="00A64175">
              <w:rPr>
                <w:rFonts w:ascii="Arial" w:hAnsi="Arial" w:cs="Arial"/>
                <w:color w:val="333333"/>
                <w:sz w:val="22"/>
                <w:szCs w:val="22"/>
              </w:rPr>
              <w:t>La procédure applicable en cas de défaillance de l'une des parties au contrat afin que, le cas échéant, les adhérents compensateurs puissent procéder à la liquidation d'office, partielle ou totale, des engagements ou</w:t>
            </w:r>
            <w:r w:rsidR="00630480" w:rsidRPr="00A64175">
              <w:rPr>
                <w:rFonts w:ascii="Arial" w:hAnsi="Arial" w:cs="Arial"/>
                <w:color w:val="333333"/>
                <w:sz w:val="22"/>
                <w:szCs w:val="22"/>
              </w:rPr>
              <w:t xml:space="preserve"> positions des donneurs d'ordre</w:t>
            </w:r>
            <w:r w:rsidRPr="00A64175">
              <w:rPr>
                <w:rFonts w:ascii="Arial" w:hAnsi="Arial" w:cs="Arial"/>
                <w:color w:val="333333"/>
                <w:sz w:val="22"/>
                <w:szCs w:val="22"/>
              </w:rPr>
              <w:t xml:space="preserve"> qui n'ont pas respecté leurs obligations relatives aux règlements des opérations de marché ou aux couvertures ou garanties, notamment lorsque celui-ci f</w:t>
            </w:r>
            <w:r w:rsidR="00630480" w:rsidRPr="00A64175">
              <w:rPr>
                <w:rFonts w:ascii="Arial" w:hAnsi="Arial" w:cs="Arial"/>
                <w:color w:val="333333"/>
                <w:sz w:val="22"/>
                <w:szCs w:val="22"/>
              </w:rPr>
              <w:t>ait l'objet d'une procédure</w:t>
            </w:r>
            <w:r w:rsidRPr="00A64175">
              <w:rPr>
                <w:rFonts w:ascii="Arial" w:hAnsi="Arial" w:cs="Arial"/>
                <w:color w:val="333333"/>
                <w:sz w:val="22"/>
                <w:szCs w:val="22"/>
              </w:rPr>
              <w:t xml:space="preserve"> de liquidation judiciaire.</w:t>
            </w:r>
          </w:p>
          <w:p w14:paraId="68E4599D" w14:textId="30754990" w:rsidR="00095F65" w:rsidRPr="00A64175" w:rsidRDefault="00095F65" w:rsidP="00A64175">
            <w:pPr>
              <w:pStyle w:val="NormalWeb"/>
              <w:shd w:val="clear" w:color="auto" w:fill="FFFFFF"/>
              <w:spacing w:before="0" w:beforeAutospacing="0" w:after="150" w:afterAutospacing="0"/>
              <w:jc w:val="both"/>
              <w:rPr>
                <w:rFonts w:ascii="Arial" w:hAnsi="Arial" w:cs="Arial"/>
                <w:sz w:val="22"/>
                <w:szCs w:val="22"/>
              </w:rPr>
            </w:pPr>
            <w:r w:rsidRPr="00A64175">
              <w:rPr>
                <w:rFonts w:ascii="Arial" w:hAnsi="Arial" w:cs="Arial"/>
                <w:color w:val="333333"/>
                <w:sz w:val="22"/>
                <w:szCs w:val="22"/>
              </w:rPr>
              <w:t>La COSUMAF précise dans une instruction</w:t>
            </w:r>
            <w:r w:rsidR="00630480" w:rsidRPr="00A64175">
              <w:rPr>
                <w:rFonts w:ascii="Arial" w:hAnsi="Arial" w:cs="Arial"/>
                <w:color w:val="333333"/>
                <w:sz w:val="22"/>
                <w:szCs w:val="22"/>
              </w:rPr>
              <w:t xml:space="preserve"> le contenu du contrat visé au présent article</w:t>
            </w:r>
            <w:r w:rsidRPr="00A64175">
              <w:rPr>
                <w:rFonts w:ascii="Arial" w:hAnsi="Arial" w:cs="Arial"/>
                <w:color w:val="333333"/>
                <w:sz w:val="22"/>
                <w:szCs w:val="22"/>
              </w:rPr>
              <w:t xml:space="preserve">. </w:t>
            </w:r>
          </w:p>
        </w:tc>
      </w:tr>
    </w:tbl>
    <w:p w14:paraId="394D39E3" w14:textId="77777777" w:rsidR="00095F65" w:rsidRPr="00A64175" w:rsidRDefault="00095F65" w:rsidP="00A64175">
      <w:pPr>
        <w:jc w:val="both"/>
        <w:rPr>
          <w:rFonts w:ascii="Arial" w:hAnsi="Arial" w:cs="Arial"/>
          <w:sz w:val="22"/>
          <w:szCs w:val="22"/>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C439E" w:rsidRPr="00A64175" w14:paraId="4429E275" w14:textId="77777777" w:rsidTr="008C439E">
        <w:tc>
          <w:tcPr>
            <w:tcW w:w="9214" w:type="dxa"/>
            <w:shd w:val="clear" w:color="auto" w:fill="auto"/>
          </w:tcPr>
          <w:p w14:paraId="0E5C0221" w14:textId="37672350" w:rsidR="008C439E" w:rsidRPr="00A64175" w:rsidRDefault="008C439E" w:rsidP="00A64175">
            <w:pPr>
              <w:pStyle w:val="NormalWeb"/>
              <w:spacing w:before="0" w:beforeAutospacing="0" w:after="0" w:afterAutospacing="0"/>
              <w:contextualSpacing/>
              <w:jc w:val="both"/>
              <w:rPr>
                <w:rFonts w:ascii="Arial" w:hAnsi="Arial" w:cs="Arial"/>
                <w:b/>
                <w:sz w:val="22"/>
                <w:szCs w:val="22"/>
              </w:rPr>
            </w:pPr>
            <w:r w:rsidRPr="00A64175">
              <w:rPr>
                <w:rFonts w:ascii="Arial" w:hAnsi="Arial" w:cs="Arial"/>
                <w:b/>
                <w:sz w:val="22"/>
                <w:szCs w:val="22"/>
              </w:rPr>
              <w:t xml:space="preserve">Section VI : Prestataires de services sur actifs numériques </w:t>
            </w:r>
          </w:p>
          <w:p w14:paraId="7F4F7ECF" w14:textId="77777777" w:rsidR="008C439E" w:rsidRPr="00A64175" w:rsidRDefault="008C439E" w:rsidP="00A64175">
            <w:pPr>
              <w:pStyle w:val="NormalWeb"/>
              <w:spacing w:before="0" w:beforeAutospacing="0" w:after="0" w:afterAutospacing="0"/>
              <w:contextualSpacing/>
              <w:jc w:val="both"/>
              <w:rPr>
                <w:rFonts w:ascii="Arial" w:hAnsi="Arial" w:cs="Arial"/>
                <w:b/>
                <w:sz w:val="22"/>
                <w:szCs w:val="22"/>
              </w:rPr>
            </w:pPr>
          </w:p>
          <w:p w14:paraId="3F28C237" w14:textId="21161F64" w:rsidR="00F72AD6" w:rsidRPr="00A64175" w:rsidRDefault="00F72AD6" w:rsidP="00A64175">
            <w:pPr>
              <w:pStyle w:val="NormalWeb"/>
              <w:spacing w:before="0" w:beforeAutospacing="0" w:after="0" w:afterAutospacing="0"/>
              <w:contextualSpacing/>
              <w:jc w:val="both"/>
              <w:rPr>
                <w:rFonts w:ascii="Arial" w:hAnsi="Arial" w:cs="Arial"/>
                <w:b/>
                <w:i/>
                <w:sz w:val="22"/>
                <w:szCs w:val="22"/>
              </w:rPr>
            </w:pPr>
            <w:r w:rsidRPr="00A64175">
              <w:rPr>
                <w:rFonts w:ascii="Arial" w:hAnsi="Arial" w:cs="Arial"/>
                <w:b/>
                <w:i/>
                <w:sz w:val="22"/>
                <w:szCs w:val="22"/>
              </w:rPr>
              <w:t xml:space="preserve">Sous-Section I : Conditions d’agrément </w:t>
            </w:r>
          </w:p>
          <w:p w14:paraId="34CE7BA7" w14:textId="77777777" w:rsidR="00213616" w:rsidRPr="00A64175" w:rsidRDefault="00213616" w:rsidP="00A64175">
            <w:pPr>
              <w:pStyle w:val="NormalWeb"/>
              <w:spacing w:before="0" w:beforeAutospacing="0" w:after="0" w:afterAutospacing="0"/>
              <w:contextualSpacing/>
              <w:jc w:val="both"/>
              <w:rPr>
                <w:rFonts w:ascii="Arial" w:hAnsi="Arial" w:cs="Arial"/>
                <w:sz w:val="22"/>
                <w:szCs w:val="22"/>
              </w:rPr>
            </w:pPr>
          </w:p>
          <w:p w14:paraId="706A88D6" w14:textId="77777777" w:rsidR="00213616" w:rsidRPr="00A64175" w:rsidRDefault="00213616" w:rsidP="00A64175">
            <w:pPr>
              <w:pStyle w:val="NormalWeb"/>
              <w:spacing w:before="0" w:beforeAutospacing="0" w:after="0" w:afterAutospacing="0"/>
              <w:contextualSpacing/>
              <w:jc w:val="both"/>
              <w:rPr>
                <w:rFonts w:ascii="Arial" w:hAnsi="Arial" w:cs="Arial"/>
                <w:sz w:val="22"/>
                <w:szCs w:val="22"/>
              </w:rPr>
            </w:pPr>
          </w:p>
          <w:p w14:paraId="42106B69" w14:textId="4D8AAA66" w:rsidR="00213616" w:rsidRPr="00A64175" w:rsidRDefault="004371B4" w:rsidP="00A64175">
            <w:pPr>
              <w:pStyle w:val="NormalWeb"/>
              <w:spacing w:before="0" w:beforeAutospacing="0" w:after="0" w:afterAutospacing="0"/>
              <w:contextualSpacing/>
              <w:jc w:val="both"/>
              <w:rPr>
                <w:rFonts w:ascii="Arial" w:hAnsi="Arial" w:cs="Arial"/>
                <w:color w:val="000000"/>
                <w:sz w:val="22"/>
                <w:szCs w:val="22"/>
              </w:rPr>
            </w:pPr>
            <w:r w:rsidRPr="00A64175">
              <w:rPr>
                <w:rFonts w:ascii="Arial" w:hAnsi="Arial" w:cs="Arial"/>
                <w:b/>
                <w:bCs/>
                <w:color w:val="333333"/>
                <w:sz w:val="22"/>
                <w:szCs w:val="22"/>
              </w:rPr>
              <w:t>Article 31</w:t>
            </w:r>
            <w:r w:rsidR="009B231D">
              <w:rPr>
                <w:rFonts w:ascii="Arial" w:hAnsi="Arial" w:cs="Arial"/>
                <w:b/>
                <w:bCs/>
                <w:color w:val="333333"/>
                <w:sz w:val="22"/>
                <w:szCs w:val="22"/>
              </w:rPr>
              <w:t>6</w:t>
            </w:r>
            <w:r w:rsidR="00213616" w:rsidRPr="00A64175">
              <w:rPr>
                <w:rFonts w:ascii="Arial" w:hAnsi="Arial" w:cs="Arial"/>
                <w:b/>
                <w:bCs/>
                <w:color w:val="333333"/>
                <w:sz w:val="22"/>
                <w:szCs w:val="22"/>
              </w:rPr>
              <w:t xml:space="preserve"> – </w:t>
            </w:r>
            <w:r w:rsidR="00213616" w:rsidRPr="00A64175">
              <w:rPr>
                <w:rFonts w:ascii="Arial" w:hAnsi="Arial" w:cs="Arial"/>
                <w:bCs/>
                <w:color w:val="333333"/>
                <w:sz w:val="22"/>
                <w:szCs w:val="22"/>
              </w:rPr>
              <w:t xml:space="preserve">Pour pouvoir fournir les services visés à l’article 160 du </w:t>
            </w:r>
            <w:r w:rsidR="00431587" w:rsidRPr="00A64175">
              <w:rPr>
                <w:rFonts w:ascii="Arial" w:hAnsi="Arial" w:cs="Arial"/>
                <w:color w:val="000000"/>
                <w:sz w:val="22"/>
                <w:szCs w:val="22"/>
              </w:rPr>
              <w:t>Règlement n°01/22/CEMAC/UMAC/CM/COSUMAF du 21 juillet 2022, les prestataires de services sur ac</w:t>
            </w:r>
            <w:r w:rsidR="002F725F" w:rsidRPr="00A64175">
              <w:rPr>
                <w:rFonts w:ascii="Arial" w:hAnsi="Arial" w:cs="Arial"/>
                <w:color w:val="000000"/>
                <w:sz w:val="22"/>
                <w:szCs w:val="22"/>
              </w:rPr>
              <w:t>tifs numériques doivent</w:t>
            </w:r>
            <w:r w:rsidR="003061A5" w:rsidRPr="00A64175">
              <w:rPr>
                <w:rFonts w:ascii="Arial" w:hAnsi="Arial" w:cs="Arial"/>
                <w:color w:val="000000"/>
                <w:sz w:val="22"/>
                <w:szCs w:val="22"/>
              </w:rPr>
              <w:t xml:space="preserve"> notamment</w:t>
            </w:r>
            <w:r w:rsidR="002F725F" w:rsidRPr="00A64175">
              <w:rPr>
                <w:rFonts w:ascii="Arial" w:hAnsi="Arial" w:cs="Arial"/>
                <w:color w:val="000000"/>
                <w:sz w:val="22"/>
                <w:szCs w:val="22"/>
              </w:rPr>
              <w:t xml:space="preserve"> disposer :</w:t>
            </w:r>
          </w:p>
          <w:p w14:paraId="61B40714" w14:textId="77777777" w:rsidR="002F725F" w:rsidRPr="00A64175" w:rsidRDefault="002F725F" w:rsidP="00A64175">
            <w:pPr>
              <w:pStyle w:val="NormalWeb"/>
              <w:spacing w:before="0" w:beforeAutospacing="0" w:after="0" w:afterAutospacing="0"/>
              <w:contextualSpacing/>
              <w:jc w:val="both"/>
              <w:rPr>
                <w:rFonts w:ascii="Arial" w:hAnsi="Arial" w:cs="Arial"/>
                <w:color w:val="000000"/>
                <w:sz w:val="22"/>
                <w:szCs w:val="22"/>
              </w:rPr>
            </w:pPr>
          </w:p>
          <w:p w14:paraId="52806C59" w14:textId="5FE4B873" w:rsidR="002F725F" w:rsidRPr="00A64175" w:rsidRDefault="002F725F" w:rsidP="00A64175">
            <w:pPr>
              <w:pStyle w:val="NormalWeb"/>
              <w:numPr>
                <w:ilvl w:val="0"/>
                <w:numId w:val="31"/>
              </w:numPr>
              <w:spacing w:before="0" w:beforeAutospacing="0" w:after="0" w:afterAutospacing="0"/>
              <w:contextualSpacing/>
              <w:jc w:val="both"/>
              <w:rPr>
                <w:rFonts w:ascii="Arial" w:hAnsi="Arial" w:cs="Arial"/>
                <w:color w:val="000000"/>
                <w:sz w:val="22"/>
                <w:szCs w:val="22"/>
              </w:rPr>
            </w:pPr>
            <w:r w:rsidRPr="00A64175">
              <w:rPr>
                <w:rFonts w:ascii="Arial" w:hAnsi="Arial" w:cs="Arial"/>
                <w:color w:val="000000"/>
                <w:sz w:val="22"/>
                <w:szCs w:val="22"/>
              </w:rPr>
              <w:t xml:space="preserve">D’un niveau de fonds propres suffisant eu égard à l’étendue </w:t>
            </w:r>
            <w:r w:rsidR="003061A5" w:rsidRPr="00A64175">
              <w:rPr>
                <w:rFonts w:ascii="Arial" w:hAnsi="Arial" w:cs="Arial"/>
                <w:color w:val="000000"/>
                <w:sz w:val="22"/>
                <w:szCs w:val="22"/>
              </w:rPr>
              <w:t>de</w:t>
            </w:r>
            <w:r w:rsidRPr="00A64175">
              <w:rPr>
                <w:rFonts w:ascii="Arial" w:hAnsi="Arial" w:cs="Arial"/>
                <w:color w:val="000000"/>
                <w:sz w:val="22"/>
                <w:szCs w:val="22"/>
              </w:rPr>
              <w:t>s services</w:t>
            </w:r>
            <w:r w:rsidR="003061A5" w:rsidRPr="00A64175">
              <w:rPr>
                <w:rFonts w:ascii="Arial" w:hAnsi="Arial" w:cs="Arial"/>
                <w:color w:val="000000"/>
                <w:sz w:val="22"/>
                <w:szCs w:val="22"/>
              </w:rPr>
              <w:t xml:space="preserve"> offerts</w:t>
            </w:r>
            <w:r w:rsidRPr="00A64175">
              <w:rPr>
                <w:rFonts w:ascii="Arial" w:hAnsi="Arial" w:cs="Arial"/>
                <w:color w:val="000000"/>
                <w:sz w:val="22"/>
                <w:szCs w:val="22"/>
              </w:rPr>
              <w:t xml:space="preserve"> et au niveau des risques </w:t>
            </w:r>
            <w:r w:rsidR="003061A5" w:rsidRPr="00A64175">
              <w:rPr>
                <w:rFonts w:ascii="Arial" w:hAnsi="Arial" w:cs="Arial"/>
                <w:color w:val="000000"/>
                <w:sz w:val="22"/>
                <w:szCs w:val="22"/>
              </w:rPr>
              <w:t>y</w:t>
            </w:r>
            <w:r w:rsidR="00896D8B" w:rsidRPr="00A64175">
              <w:rPr>
                <w:rFonts w:ascii="Arial" w:hAnsi="Arial" w:cs="Arial"/>
                <w:color w:val="000000"/>
                <w:sz w:val="22"/>
                <w:szCs w:val="22"/>
              </w:rPr>
              <w:t xml:space="preserve"> </w:t>
            </w:r>
            <w:r w:rsidR="003061A5" w:rsidRPr="00A64175">
              <w:rPr>
                <w:rFonts w:ascii="Arial" w:hAnsi="Arial" w:cs="Arial"/>
                <w:color w:val="000000"/>
                <w:sz w:val="22"/>
                <w:szCs w:val="22"/>
              </w:rPr>
              <w:t>afférents ;</w:t>
            </w:r>
          </w:p>
          <w:p w14:paraId="27889A6C" w14:textId="6A5FD14F" w:rsidR="003061A5" w:rsidRPr="00A64175" w:rsidRDefault="003061A5" w:rsidP="00A64175">
            <w:pPr>
              <w:pStyle w:val="NormalWeb"/>
              <w:numPr>
                <w:ilvl w:val="0"/>
                <w:numId w:val="31"/>
              </w:numPr>
              <w:spacing w:before="0" w:beforeAutospacing="0" w:after="0" w:afterAutospacing="0"/>
              <w:contextualSpacing/>
              <w:jc w:val="both"/>
              <w:rPr>
                <w:rFonts w:ascii="Arial" w:hAnsi="Arial" w:cs="Arial"/>
                <w:color w:val="000000"/>
                <w:sz w:val="22"/>
                <w:szCs w:val="22"/>
              </w:rPr>
            </w:pPr>
            <w:r w:rsidRPr="00A64175">
              <w:rPr>
                <w:rFonts w:ascii="Arial" w:hAnsi="Arial" w:cs="Arial"/>
                <w:color w:val="000000"/>
                <w:sz w:val="22"/>
                <w:szCs w:val="22"/>
              </w:rPr>
              <w:t>D’un dispositif de sécurité et de contrôle interne adéquat ;</w:t>
            </w:r>
          </w:p>
          <w:p w14:paraId="78EDA7E0" w14:textId="3D86B1FE" w:rsidR="003061A5" w:rsidRPr="00A64175" w:rsidRDefault="003061A5" w:rsidP="00A64175">
            <w:pPr>
              <w:pStyle w:val="NormalWeb"/>
              <w:numPr>
                <w:ilvl w:val="0"/>
                <w:numId w:val="31"/>
              </w:numPr>
              <w:spacing w:before="0" w:beforeAutospacing="0" w:after="0" w:afterAutospacing="0"/>
              <w:contextualSpacing/>
              <w:jc w:val="both"/>
              <w:rPr>
                <w:rFonts w:ascii="Arial" w:hAnsi="Arial" w:cs="Arial"/>
                <w:color w:val="000000"/>
                <w:sz w:val="22"/>
                <w:szCs w:val="22"/>
              </w:rPr>
            </w:pPr>
            <w:r w:rsidRPr="00A64175">
              <w:rPr>
                <w:rFonts w:ascii="Arial" w:hAnsi="Arial" w:cs="Arial"/>
                <w:color w:val="000000"/>
                <w:sz w:val="22"/>
                <w:szCs w:val="22"/>
              </w:rPr>
              <w:t>D’</w:t>
            </w:r>
            <w:r w:rsidR="00A40062" w:rsidRPr="00A64175">
              <w:rPr>
                <w:rFonts w:ascii="Arial" w:hAnsi="Arial" w:cs="Arial"/>
                <w:color w:val="000000"/>
                <w:sz w:val="22"/>
                <w:szCs w:val="22"/>
              </w:rPr>
              <w:t>un dispositif de lutte contre le</w:t>
            </w:r>
            <w:r w:rsidRPr="00A64175">
              <w:rPr>
                <w:rFonts w:ascii="Arial" w:hAnsi="Arial" w:cs="Arial"/>
                <w:color w:val="000000"/>
                <w:sz w:val="22"/>
                <w:szCs w:val="22"/>
              </w:rPr>
              <w:t xml:space="preserve"> blanchiment de capitaux et le financement du terrorisme ;</w:t>
            </w:r>
          </w:p>
          <w:p w14:paraId="070AC248" w14:textId="306C3A01" w:rsidR="003061A5" w:rsidRPr="00A64175" w:rsidRDefault="003061A5" w:rsidP="00A64175">
            <w:pPr>
              <w:pStyle w:val="NormalWeb"/>
              <w:numPr>
                <w:ilvl w:val="0"/>
                <w:numId w:val="31"/>
              </w:numPr>
              <w:spacing w:before="0" w:beforeAutospacing="0" w:after="0" w:afterAutospacing="0"/>
              <w:contextualSpacing/>
              <w:jc w:val="both"/>
              <w:rPr>
                <w:rFonts w:ascii="Arial" w:hAnsi="Arial" w:cs="Arial"/>
                <w:color w:val="000000"/>
                <w:sz w:val="22"/>
                <w:szCs w:val="22"/>
              </w:rPr>
            </w:pPr>
            <w:r w:rsidRPr="00A64175">
              <w:rPr>
                <w:rFonts w:ascii="Arial" w:hAnsi="Arial" w:cs="Arial"/>
                <w:color w:val="000000"/>
                <w:sz w:val="22"/>
                <w:szCs w:val="22"/>
              </w:rPr>
              <w:t>D’un système informatique offrant toutes les garanties de sécurité et de résilience.</w:t>
            </w:r>
          </w:p>
          <w:p w14:paraId="445CC96C" w14:textId="77777777" w:rsidR="00896D8B" w:rsidRPr="00A64175" w:rsidRDefault="00896D8B" w:rsidP="00A64175">
            <w:pPr>
              <w:pStyle w:val="NormalWeb"/>
              <w:spacing w:before="0" w:beforeAutospacing="0" w:after="0" w:afterAutospacing="0"/>
              <w:contextualSpacing/>
              <w:jc w:val="both"/>
              <w:rPr>
                <w:rFonts w:ascii="Arial" w:hAnsi="Arial" w:cs="Arial"/>
                <w:color w:val="000000"/>
                <w:sz w:val="22"/>
                <w:szCs w:val="22"/>
              </w:rPr>
            </w:pPr>
          </w:p>
          <w:p w14:paraId="36A8109F" w14:textId="77777777" w:rsidR="00896D8B" w:rsidRPr="00A64175" w:rsidRDefault="00896D8B" w:rsidP="00A64175">
            <w:pPr>
              <w:pStyle w:val="NormalWeb"/>
              <w:spacing w:before="0" w:beforeAutospacing="0" w:after="0" w:afterAutospacing="0"/>
              <w:contextualSpacing/>
              <w:jc w:val="both"/>
              <w:rPr>
                <w:rFonts w:ascii="Arial" w:hAnsi="Arial" w:cs="Arial"/>
                <w:color w:val="000000"/>
                <w:sz w:val="22"/>
                <w:szCs w:val="22"/>
              </w:rPr>
            </w:pPr>
          </w:p>
          <w:p w14:paraId="23C96342" w14:textId="5BB7F2D4" w:rsidR="002F725F" w:rsidRPr="00A64175" w:rsidRDefault="004371B4" w:rsidP="00A64175">
            <w:pPr>
              <w:pStyle w:val="NormalWeb"/>
              <w:spacing w:before="0" w:beforeAutospacing="0" w:after="0" w:afterAutospacing="0"/>
              <w:contextualSpacing/>
              <w:jc w:val="both"/>
              <w:rPr>
                <w:rFonts w:ascii="Arial" w:hAnsi="Arial" w:cs="Arial"/>
                <w:sz w:val="22"/>
                <w:szCs w:val="22"/>
              </w:rPr>
            </w:pPr>
            <w:r w:rsidRPr="00A64175">
              <w:rPr>
                <w:rFonts w:ascii="Arial" w:hAnsi="Arial" w:cs="Arial"/>
                <w:b/>
                <w:bCs/>
                <w:color w:val="333333"/>
                <w:sz w:val="22"/>
                <w:szCs w:val="22"/>
              </w:rPr>
              <w:t>Article 31</w:t>
            </w:r>
            <w:r w:rsidR="009B231D">
              <w:rPr>
                <w:rFonts w:ascii="Arial" w:hAnsi="Arial" w:cs="Arial"/>
                <w:b/>
                <w:bCs/>
                <w:color w:val="333333"/>
                <w:sz w:val="22"/>
                <w:szCs w:val="22"/>
              </w:rPr>
              <w:t>7</w:t>
            </w:r>
            <w:r w:rsidR="00896D8B" w:rsidRPr="00A64175">
              <w:rPr>
                <w:rFonts w:ascii="Arial" w:hAnsi="Arial" w:cs="Arial"/>
                <w:b/>
                <w:bCs/>
                <w:color w:val="333333"/>
                <w:sz w:val="22"/>
                <w:szCs w:val="22"/>
              </w:rPr>
              <w:t xml:space="preserve"> – </w:t>
            </w:r>
            <w:r w:rsidR="00896D8B" w:rsidRPr="00A64175">
              <w:rPr>
                <w:rFonts w:ascii="Arial" w:hAnsi="Arial" w:cs="Arial"/>
                <w:bCs/>
                <w:color w:val="333333"/>
                <w:sz w:val="22"/>
                <w:szCs w:val="22"/>
              </w:rPr>
              <w:t>En vue de l’agrément de leur structure, les dirigeants du prestataire doivent justifier qu’ils possèdent l’honorabilité, la compétence et l’expérience nécessaires pour l’exercice de leurs fonctions.</w:t>
            </w:r>
          </w:p>
          <w:p w14:paraId="0AF563C1" w14:textId="77777777" w:rsidR="00213616" w:rsidRPr="00A64175" w:rsidRDefault="00213616" w:rsidP="00A64175">
            <w:pPr>
              <w:pStyle w:val="NormalWeb"/>
              <w:spacing w:before="0" w:beforeAutospacing="0" w:after="0" w:afterAutospacing="0"/>
              <w:contextualSpacing/>
              <w:jc w:val="both"/>
              <w:rPr>
                <w:rFonts w:ascii="Arial" w:hAnsi="Arial" w:cs="Arial"/>
                <w:sz w:val="22"/>
                <w:szCs w:val="22"/>
              </w:rPr>
            </w:pPr>
          </w:p>
          <w:p w14:paraId="030096F8" w14:textId="3AEB9ECF" w:rsidR="00213616" w:rsidRPr="00A64175" w:rsidRDefault="004371B4" w:rsidP="00A64175">
            <w:pPr>
              <w:pStyle w:val="NormalWeb"/>
              <w:spacing w:before="0" w:beforeAutospacing="0" w:after="0" w:afterAutospacing="0"/>
              <w:contextualSpacing/>
              <w:jc w:val="both"/>
              <w:rPr>
                <w:rFonts w:ascii="Arial" w:hAnsi="Arial" w:cs="Arial"/>
                <w:bCs/>
                <w:color w:val="333333"/>
                <w:sz w:val="22"/>
                <w:szCs w:val="22"/>
              </w:rPr>
            </w:pPr>
            <w:r w:rsidRPr="00A64175">
              <w:rPr>
                <w:rFonts w:ascii="Arial" w:hAnsi="Arial" w:cs="Arial"/>
                <w:b/>
                <w:bCs/>
                <w:color w:val="333333"/>
                <w:sz w:val="22"/>
                <w:szCs w:val="22"/>
              </w:rPr>
              <w:t>Article 31</w:t>
            </w:r>
            <w:r w:rsidR="009B231D">
              <w:rPr>
                <w:rFonts w:ascii="Arial" w:hAnsi="Arial" w:cs="Arial"/>
                <w:b/>
                <w:bCs/>
                <w:color w:val="333333"/>
                <w:sz w:val="22"/>
                <w:szCs w:val="22"/>
              </w:rPr>
              <w:t>8</w:t>
            </w:r>
            <w:r w:rsidR="00896D8B" w:rsidRPr="00A64175">
              <w:rPr>
                <w:rFonts w:ascii="Arial" w:hAnsi="Arial" w:cs="Arial"/>
                <w:b/>
                <w:bCs/>
                <w:color w:val="333333"/>
                <w:sz w:val="22"/>
                <w:szCs w:val="22"/>
              </w:rPr>
              <w:t xml:space="preserve"> – </w:t>
            </w:r>
            <w:r w:rsidR="00896D8B" w:rsidRPr="00A64175">
              <w:rPr>
                <w:rFonts w:ascii="Arial" w:hAnsi="Arial" w:cs="Arial"/>
                <w:bCs/>
                <w:color w:val="333333"/>
                <w:sz w:val="22"/>
                <w:szCs w:val="22"/>
              </w:rPr>
              <w:t>En vue de son agrément, le prestataire doit constituer un dossier comprenant des documents et informations relatifs à leur organisation, leur programme d’activité, aux dirigeants et aux personnes assurant le contrôle effectif de la struc</w:t>
            </w:r>
            <w:r w:rsidR="00A40062" w:rsidRPr="00A64175">
              <w:rPr>
                <w:rFonts w:ascii="Arial" w:hAnsi="Arial" w:cs="Arial"/>
                <w:bCs/>
                <w:color w:val="333333"/>
                <w:sz w:val="22"/>
                <w:szCs w:val="22"/>
              </w:rPr>
              <w:t>ture, à la situation financière et</w:t>
            </w:r>
            <w:r w:rsidR="00896D8B" w:rsidRPr="00A64175">
              <w:rPr>
                <w:rFonts w:ascii="Arial" w:hAnsi="Arial" w:cs="Arial"/>
                <w:bCs/>
                <w:color w:val="333333"/>
                <w:sz w:val="22"/>
                <w:szCs w:val="22"/>
              </w:rPr>
              <w:t xml:space="preserve"> aux fonds propres.</w:t>
            </w:r>
          </w:p>
          <w:p w14:paraId="1D133DAF" w14:textId="77777777" w:rsidR="00726532" w:rsidRPr="00A64175" w:rsidRDefault="00726532" w:rsidP="00A64175">
            <w:pPr>
              <w:pStyle w:val="NormalWeb"/>
              <w:spacing w:before="0" w:beforeAutospacing="0" w:after="0" w:afterAutospacing="0"/>
              <w:contextualSpacing/>
              <w:jc w:val="both"/>
              <w:rPr>
                <w:rFonts w:ascii="Arial" w:hAnsi="Arial" w:cs="Arial"/>
                <w:bCs/>
                <w:color w:val="333333"/>
                <w:sz w:val="22"/>
                <w:szCs w:val="22"/>
              </w:rPr>
            </w:pPr>
          </w:p>
          <w:p w14:paraId="06322603" w14:textId="22B890CB" w:rsidR="00726532" w:rsidRPr="00A64175" w:rsidRDefault="00726532" w:rsidP="00A64175">
            <w:pPr>
              <w:pStyle w:val="NormalWeb"/>
              <w:spacing w:before="0" w:beforeAutospacing="0" w:after="0" w:afterAutospacing="0"/>
              <w:contextualSpacing/>
              <w:jc w:val="both"/>
              <w:rPr>
                <w:rFonts w:ascii="Arial" w:hAnsi="Arial" w:cs="Arial"/>
                <w:bCs/>
                <w:color w:val="333333"/>
                <w:sz w:val="22"/>
                <w:szCs w:val="22"/>
              </w:rPr>
            </w:pPr>
            <w:r w:rsidRPr="00A64175">
              <w:rPr>
                <w:rFonts w:ascii="Arial" w:hAnsi="Arial" w:cs="Arial"/>
                <w:bCs/>
                <w:color w:val="333333"/>
                <w:sz w:val="22"/>
                <w:szCs w:val="22"/>
              </w:rPr>
              <w:t>Une instruction de la COSUMAF précise le contenu du dossier visé au présent article et les modalités de son dépôt.</w:t>
            </w:r>
          </w:p>
          <w:p w14:paraId="190D89AB" w14:textId="77777777" w:rsidR="00896D8B" w:rsidRPr="00A64175" w:rsidRDefault="00896D8B" w:rsidP="00A64175">
            <w:pPr>
              <w:pStyle w:val="NormalWeb"/>
              <w:spacing w:before="0" w:beforeAutospacing="0" w:after="0" w:afterAutospacing="0"/>
              <w:contextualSpacing/>
              <w:jc w:val="both"/>
              <w:rPr>
                <w:rFonts w:ascii="Arial" w:hAnsi="Arial" w:cs="Arial"/>
                <w:bCs/>
                <w:color w:val="333333"/>
                <w:sz w:val="22"/>
                <w:szCs w:val="22"/>
              </w:rPr>
            </w:pPr>
          </w:p>
          <w:p w14:paraId="0AC284C4" w14:textId="7C384556" w:rsidR="00896D8B" w:rsidRPr="00A64175" w:rsidRDefault="004371B4" w:rsidP="00A64175">
            <w:pPr>
              <w:pStyle w:val="NormalWeb"/>
              <w:spacing w:before="0" w:beforeAutospacing="0" w:after="0" w:afterAutospacing="0"/>
              <w:contextualSpacing/>
              <w:jc w:val="both"/>
              <w:rPr>
                <w:rFonts w:ascii="Arial" w:hAnsi="Arial" w:cs="Arial"/>
                <w:sz w:val="22"/>
                <w:szCs w:val="22"/>
              </w:rPr>
            </w:pPr>
            <w:r w:rsidRPr="00A64175">
              <w:rPr>
                <w:rFonts w:ascii="Arial" w:hAnsi="Arial" w:cs="Arial"/>
                <w:b/>
                <w:bCs/>
                <w:color w:val="333333"/>
                <w:sz w:val="22"/>
                <w:szCs w:val="22"/>
              </w:rPr>
              <w:t>Article 31</w:t>
            </w:r>
            <w:r w:rsidR="009B231D">
              <w:rPr>
                <w:rFonts w:ascii="Arial" w:hAnsi="Arial" w:cs="Arial"/>
                <w:b/>
                <w:bCs/>
                <w:color w:val="333333"/>
                <w:sz w:val="22"/>
                <w:szCs w:val="22"/>
              </w:rPr>
              <w:t>9</w:t>
            </w:r>
            <w:r w:rsidR="00A40062" w:rsidRPr="00A64175">
              <w:rPr>
                <w:rFonts w:ascii="Arial" w:hAnsi="Arial" w:cs="Arial"/>
                <w:b/>
                <w:bCs/>
                <w:color w:val="333333"/>
                <w:sz w:val="22"/>
                <w:szCs w:val="22"/>
              </w:rPr>
              <w:t xml:space="preserve"> – </w:t>
            </w:r>
            <w:r w:rsidR="00A40062" w:rsidRPr="00A64175">
              <w:rPr>
                <w:rFonts w:ascii="Arial" w:hAnsi="Arial" w:cs="Arial"/>
                <w:bCs/>
                <w:color w:val="333333"/>
                <w:sz w:val="22"/>
                <w:szCs w:val="22"/>
              </w:rPr>
              <w:t>Le dispositif de lutte contre le blanchiment de capitaux et le financement du terrorisme doit être décrit dans le programme d’activité. Les éléments suivants doivent notamment être prévus :</w:t>
            </w:r>
          </w:p>
          <w:p w14:paraId="69BDB71A" w14:textId="77777777" w:rsidR="00896D8B" w:rsidRPr="00A64175" w:rsidRDefault="00896D8B" w:rsidP="00A64175">
            <w:pPr>
              <w:pStyle w:val="NormalWeb"/>
              <w:spacing w:before="0" w:beforeAutospacing="0" w:after="0" w:afterAutospacing="0"/>
              <w:contextualSpacing/>
              <w:jc w:val="both"/>
              <w:rPr>
                <w:rFonts w:ascii="Arial" w:hAnsi="Arial" w:cs="Arial"/>
                <w:sz w:val="22"/>
                <w:szCs w:val="22"/>
              </w:rPr>
            </w:pPr>
          </w:p>
          <w:p w14:paraId="07A5587B" w14:textId="5738E227" w:rsidR="00A40062" w:rsidRPr="00A64175" w:rsidRDefault="00A40062" w:rsidP="00A64175">
            <w:pPr>
              <w:pStyle w:val="NormalWeb"/>
              <w:numPr>
                <w:ilvl w:val="0"/>
                <w:numId w:val="31"/>
              </w:numPr>
              <w:spacing w:before="0" w:beforeAutospacing="0" w:after="0" w:afterAutospacing="0"/>
              <w:contextualSpacing/>
              <w:jc w:val="both"/>
              <w:rPr>
                <w:rFonts w:ascii="Arial" w:hAnsi="Arial" w:cs="Arial"/>
                <w:sz w:val="22"/>
                <w:szCs w:val="22"/>
              </w:rPr>
            </w:pPr>
            <w:r w:rsidRPr="00A64175">
              <w:rPr>
                <w:rFonts w:ascii="Arial" w:hAnsi="Arial" w:cs="Arial"/>
                <w:sz w:val="22"/>
                <w:szCs w:val="22"/>
              </w:rPr>
              <w:t>L’organisation du dispositif ;</w:t>
            </w:r>
          </w:p>
          <w:p w14:paraId="3C48CFC1" w14:textId="53C81C2A" w:rsidR="00A40062" w:rsidRPr="00A64175" w:rsidRDefault="00A40062" w:rsidP="00A64175">
            <w:pPr>
              <w:pStyle w:val="NormalWeb"/>
              <w:numPr>
                <w:ilvl w:val="0"/>
                <w:numId w:val="31"/>
              </w:numPr>
              <w:spacing w:before="0" w:beforeAutospacing="0" w:after="0" w:afterAutospacing="0"/>
              <w:contextualSpacing/>
              <w:jc w:val="both"/>
              <w:rPr>
                <w:rFonts w:ascii="Arial" w:hAnsi="Arial" w:cs="Arial"/>
                <w:sz w:val="22"/>
                <w:szCs w:val="22"/>
              </w:rPr>
            </w:pPr>
            <w:r w:rsidRPr="00A64175">
              <w:rPr>
                <w:rFonts w:ascii="Arial" w:hAnsi="Arial" w:cs="Arial"/>
                <w:sz w:val="22"/>
                <w:szCs w:val="22"/>
              </w:rPr>
              <w:t>La classification des risques ;</w:t>
            </w:r>
          </w:p>
          <w:p w14:paraId="3EED4DCD" w14:textId="6D08E543" w:rsidR="00A40062" w:rsidRPr="00A64175" w:rsidRDefault="00A40062" w:rsidP="00A64175">
            <w:pPr>
              <w:pStyle w:val="NormalWeb"/>
              <w:numPr>
                <w:ilvl w:val="0"/>
                <w:numId w:val="31"/>
              </w:numPr>
              <w:spacing w:before="0" w:beforeAutospacing="0" w:after="0" w:afterAutospacing="0"/>
              <w:contextualSpacing/>
              <w:jc w:val="both"/>
              <w:rPr>
                <w:rFonts w:ascii="Arial" w:hAnsi="Arial" w:cs="Arial"/>
                <w:sz w:val="22"/>
                <w:szCs w:val="22"/>
              </w:rPr>
            </w:pPr>
            <w:r w:rsidRPr="00A64175">
              <w:rPr>
                <w:rFonts w:ascii="Arial" w:hAnsi="Arial" w:cs="Arial"/>
                <w:sz w:val="22"/>
                <w:szCs w:val="22"/>
              </w:rPr>
              <w:t>Les mesures de traitement des opérations suspectes ;</w:t>
            </w:r>
          </w:p>
          <w:p w14:paraId="09503CE5" w14:textId="3C454D06" w:rsidR="00A40062" w:rsidRPr="00A64175" w:rsidRDefault="00A40062" w:rsidP="00A64175">
            <w:pPr>
              <w:pStyle w:val="NormalWeb"/>
              <w:numPr>
                <w:ilvl w:val="0"/>
                <w:numId w:val="31"/>
              </w:numPr>
              <w:spacing w:before="0" w:beforeAutospacing="0" w:after="0" w:afterAutospacing="0"/>
              <w:contextualSpacing/>
              <w:jc w:val="both"/>
              <w:rPr>
                <w:rFonts w:ascii="Arial" w:hAnsi="Arial" w:cs="Arial"/>
                <w:sz w:val="22"/>
                <w:szCs w:val="22"/>
              </w:rPr>
            </w:pPr>
            <w:r w:rsidRPr="00A64175">
              <w:rPr>
                <w:rFonts w:ascii="Arial" w:hAnsi="Arial" w:cs="Arial"/>
                <w:sz w:val="22"/>
                <w:szCs w:val="22"/>
              </w:rPr>
              <w:t>Les dispositions relatives au gel des avoirs.</w:t>
            </w:r>
          </w:p>
          <w:p w14:paraId="2E2653C3" w14:textId="77777777" w:rsidR="00896D8B" w:rsidRPr="00A64175" w:rsidRDefault="00896D8B" w:rsidP="00A64175">
            <w:pPr>
              <w:pStyle w:val="NormalWeb"/>
              <w:spacing w:before="0" w:beforeAutospacing="0" w:after="0" w:afterAutospacing="0"/>
              <w:contextualSpacing/>
              <w:jc w:val="both"/>
              <w:rPr>
                <w:rFonts w:ascii="Arial" w:hAnsi="Arial" w:cs="Arial"/>
                <w:sz w:val="22"/>
                <w:szCs w:val="22"/>
              </w:rPr>
            </w:pPr>
          </w:p>
          <w:p w14:paraId="6EF081C9" w14:textId="77777777" w:rsidR="00726532" w:rsidRPr="00A64175" w:rsidRDefault="00726532" w:rsidP="00A64175">
            <w:pPr>
              <w:pStyle w:val="NormalWeb"/>
              <w:spacing w:before="0" w:beforeAutospacing="0" w:after="0" w:afterAutospacing="0"/>
              <w:contextualSpacing/>
              <w:jc w:val="both"/>
              <w:rPr>
                <w:rFonts w:ascii="Arial" w:hAnsi="Arial" w:cs="Arial"/>
                <w:sz w:val="22"/>
                <w:szCs w:val="22"/>
              </w:rPr>
            </w:pPr>
          </w:p>
          <w:p w14:paraId="1BAFFF26" w14:textId="77777777" w:rsidR="00726532" w:rsidRPr="00A64175" w:rsidRDefault="00726532" w:rsidP="00A64175">
            <w:pPr>
              <w:pStyle w:val="NormalWeb"/>
              <w:spacing w:before="0" w:beforeAutospacing="0" w:after="0" w:afterAutospacing="0"/>
              <w:contextualSpacing/>
              <w:jc w:val="both"/>
              <w:rPr>
                <w:rFonts w:ascii="Arial" w:hAnsi="Arial" w:cs="Arial"/>
                <w:sz w:val="22"/>
                <w:szCs w:val="22"/>
              </w:rPr>
            </w:pPr>
          </w:p>
          <w:p w14:paraId="0F682839" w14:textId="15C8E1CA" w:rsidR="00896D8B" w:rsidRPr="00A64175" w:rsidRDefault="004371B4" w:rsidP="00A64175">
            <w:pPr>
              <w:pStyle w:val="NormalWeb"/>
              <w:spacing w:before="0" w:beforeAutospacing="0" w:after="0" w:afterAutospacing="0"/>
              <w:contextualSpacing/>
              <w:jc w:val="both"/>
              <w:rPr>
                <w:rFonts w:ascii="Arial" w:hAnsi="Arial" w:cs="Arial"/>
                <w:sz w:val="22"/>
                <w:szCs w:val="22"/>
              </w:rPr>
            </w:pPr>
            <w:r w:rsidRPr="00A64175">
              <w:rPr>
                <w:rFonts w:ascii="Arial" w:hAnsi="Arial" w:cs="Arial"/>
                <w:b/>
                <w:bCs/>
                <w:color w:val="333333"/>
                <w:sz w:val="22"/>
                <w:szCs w:val="22"/>
              </w:rPr>
              <w:t>Article 3</w:t>
            </w:r>
            <w:r w:rsidR="009B231D">
              <w:rPr>
                <w:rFonts w:ascii="Arial" w:hAnsi="Arial" w:cs="Arial"/>
                <w:b/>
                <w:bCs/>
                <w:color w:val="333333"/>
                <w:sz w:val="22"/>
                <w:szCs w:val="22"/>
              </w:rPr>
              <w:t>20</w:t>
            </w:r>
            <w:r w:rsidR="00726532" w:rsidRPr="00A64175">
              <w:rPr>
                <w:rFonts w:ascii="Arial" w:hAnsi="Arial" w:cs="Arial"/>
                <w:b/>
                <w:bCs/>
                <w:color w:val="333333"/>
                <w:sz w:val="22"/>
                <w:szCs w:val="22"/>
              </w:rPr>
              <w:t xml:space="preserve"> – </w:t>
            </w:r>
            <w:r w:rsidR="00726532" w:rsidRPr="00A64175">
              <w:rPr>
                <w:rFonts w:ascii="Arial" w:hAnsi="Arial" w:cs="Arial"/>
                <w:bCs/>
                <w:sz w:val="22"/>
                <w:szCs w:val="22"/>
              </w:rPr>
              <w:t>A l’occasion de l’agrément d’un prestataire de services sur actifs numériques, la COSUMAF perçoit une commission dont le montant est fixé dans une instruction.</w:t>
            </w:r>
          </w:p>
          <w:p w14:paraId="29DBD804" w14:textId="77777777" w:rsidR="00896D8B" w:rsidRPr="00A64175" w:rsidRDefault="00896D8B" w:rsidP="00A64175">
            <w:pPr>
              <w:pStyle w:val="NormalWeb"/>
              <w:spacing w:before="0" w:beforeAutospacing="0" w:after="0" w:afterAutospacing="0"/>
              <w:contextualSpacing/>
              <w:jc w:val="both"/>
              <w:rPr>
                <w:rFonts w:ascii="Arial" w:hAnsi="Arial" w:cs="Arial"/>
                <w:sz w:val="22"/>
                <w:szCs w:val="22"/>
              </w:rPr>
            </w:pPr>
          </w:p>
          <w:p w14:paraId="49DC037C" w14:textId="77777777" w:rsidR="00726532" w:rsidRPr="00A64175" w:rsidRDefault="00726532" w:rsidP="00A64175">
            <w:pPr>
              <w:pStyle w:val="NormalWeb"/>
              <w:spacing w:before="0" w:beforeAutospacing="0" w:after="0" w:afterAutospacing="0"/>
              <w:contextualSpacing/>
              <w:jc w:val="both"/>
              <w:rPr>
                <w:rFonts w:ascii="Arial" w:hAnsi="Arial" w:cs="Arial"/>
                <w:sz w:val="22"/>
                <w:szCs w:val="22"/>
              </w:rPr>
            </w:pPr>
          </w:p>
          <w:p w14:paraId="187E8C1C" w14:textId="77777777" w:rsidR="00726532" w:rsidRPr="00A64175" w:rsidRDefault="00726532" w:rsidP="00A64175">
            <w:pPr>
              <w:pStyle w:val="NormalWeb"/>
              <w:spacing w:before="0" w:beforeAutospacing="0" w:after="0" w:afterAutospacing="0"/>
              <w:contextualSpacing/>
              <w:jc w:val="both"/>
              <w:rPr>
                <w:rFonts w:ascii="Arial" w:hAnsi="Arial" w:cs="Arial"/>
                <w:sz w:val="22"/>
                <w:szCs w:val="22"/>
              </w:rPr>
            </w:pPr>
          </w:p>
          <w:p w14:paraId="19AF915F" w14:textId="529837C2" w:rsidR="00F72AD6" w:rsidRPr="00A64175" w:rsidRDefault="00F72AD6" w:rsidP="00A64175">
            <w:pPr>
              <w:pStyle w:val="NormalWeb"/>
              <w:spacing w:before="0" w:beforeAutospacing="0" w:after="0" w:afterAutospacing="0"/>
              <w:contextualSpacing/>
              <w:jc w:val="both"/>
              <w:rPr>
                <w:rFonts w:ascii="Arial" w:hAnsi="Arial" w:cs="Arial"/>
                <w:b/>
                <w:i/>
                <w:sz w:val="22"/>
                <w:szCs w:val="22"/>
              </w:rPr>
            </w:pPr>
            <w:r w:rsidRPr="00A64175">
              <w:rPr>
                <w:rFonts w:ascii="Arial" w:hAnsi="Arial" w:cs="Arial"/>
                <w:b/>
                <w:i/>
                <w:sz w:val="22"/>
                <w:szCs w:val="22"/>
              </w:rPr>
              <w:t xml:space="preserve">Sous-Section II : Procédure d’agrément </w:t>
            </w:r>
          </w:p>
          <w:p w14:paraId="7ACA7650" w14:textId="77777777" w:rsidR="00F72AD6" w:rsidRPr="00A64175" w:rsidRDefault="00F72AD6" w:rsidP="00A64175">
            <w:pPr>
              <w:pStyle w:val="NormalWeb"/>
              <w:spacing w:before="0" w:beforeAutospacing="0" w:after="0" w:afterAutospacing="0"/>
              <w:contextualSpacing/>
              <w:jc w:val="both"/>
              <w:rPr>
                <w:rFonts w:ascii="Arial" w:hAnsi="Arial" w:cs="Arial"/>
                <w:b/>
                <w:sz w:val="22"/>
                <w:szCs w:val="22"/>
              </w:rPr>
            </w:pPr>
          </w:p>
        </w:tc>
      </w:tr>
    </w:tbl>
    <w:p w14:paraId="6FC5ADCD" w14:textId="25AB655A" w:rsidR="00726532" w:rsidRPr="00A64175" w:rsidRDefault="004371B4" w:rsidP="00A64175">
      <w:pPr>
        <w:jc w:val="both"/>
        <w:rPr>
          <w:rFonts w:ascii="Arial" w:hAnsi="Arial" w:cs="Arial"/>
          <w:color w:val="333333"/>
          <w:sz w:val="22"/>
          <w:szCs w:val="22"/>
        </w:rPr>
      </w:pPr>
      <w:r w:rsidRPr="00A64175">
        <w:rPr>
          <w:rFonts w:ascii="Arial" w:hAnsi="Arial" w:cs="Arial"/>
          <w:b/>
          <w:bCs/>
          <w:color w:val="333333"/>
          <w:sz w:val="22"/>
          <w:szCs w:val="22"/>
        </w:rPr>
        <w:t>Article 3</w:t>
      </w:r>
      <w:r w:rsidR="009B231D">
        <w:rPr>
          <w:rFonts w:ascii="Arial" w:hAnsi="Arial" w:cs="Arial"/>
          <w:b/>
          <w:bCs/>
          <w:color w:val="333333"/>
          <w:sz w:val="22"/>
          <w:szCs w:val="22"/>
        </w:rPr>
        <w:t>21</w:t>
      </w:r>
      <w:r w:rsidR="0094463F" w:rsidRPr="00A64175">
        <w:rPr>
          <w:rFonts w:ascii="Arial" w:hAnsi="Arial" w:cs="Arial"/>
          <w:b/>
          <w:bCs/>
          <w:color w:val="333333"/>
          <w:sz w:val="22"/>
          <w:szCs w:val="22"/>
        </w:rPr>
        <w:t xml:space="preserve"> </w:t>
      </w:r>
      <w:r w:rsidR="00726532" w:rsidRPr="00A64175">
        <w:rPr>
          <w:rFonts w:ascii="Arial" w:hAnsi="Arial" w:cs="Arial"/>
          <w:b/>
          <w:bCs/>
          <w:color w:val="333333"/>
          <w:sz w:val="22"/>
          <w:szCs w:val="22"/>
        </w:rPr>
        <w:t>–</w:t>
      </w:r>
      <w:r w:rsidR="0094463F" w:rsidRPr="00A64175">
        <w:rPr>
          <w:rFonts w:ascii="Arial" w:hAnsi="Arial" w:cs="Arial"/>
          <w:color w:val="333333"/>
          <w:sz w:val="22"/>
          <w:szCs w:val="22"/>
        </w:rPr>
        <w:t xml:space="preserve"> </w:t>
      </w:r>
      <w:r w:rsidR="00726532" w:rsidRPr="00A64175">
        <w:rPr>
          <w:rFonts w:ascii="Arial" w:hAnsi="Arial" w:cs="Arial"/>
          <w:color w:val="333333"/>
          <w:sz w:val="22"/>
          <w:szCs w:val="22"/>
        </w:rPr>
        <w:t xml:space="preserve">Toute personne ou structure désirant être agréée en qualité de prestataire de services sur actifs numériques adresse à la COSUMAF une demande écrite accompagnée du dossier visé à </w:t>
      </w:r>
      <w:r w:rsidR="00726532" w:rsidRPr="00244A88">
        <w:rPr>
          <w:rFonts w:ascii="Arial" w:hAnsi="Arial" w:cs="Arial"/>
          <w:color w:val="333333"/>
          <w:sz w:val="22"/>
          <w:szCs w:val="22"/>
        </w:rPr>
        <w:t>l’article</w:t>
      </w:r>
      <w:r w:rsidRPr="00244A88">
        <w:rPr>
          <w:rFonts w:ascii="Arial" w:hAnsi="Arial" w:cs="Arial"/>
          <w:color w:val="333333"/>
          <w:sz w:val="22"/>
          <w:szCs w:val="22"/>
        </w:rPr>
        <w:t xml:space="preserve"> </w:t>
      </w:r>
      <w:r w:rsidR="007D7AFF" w:rsidRPr="00C21CF0">
        <w:rPr>
          <w:rFonts w:ascii="Arial" w:hAnsi="Arial" w:cs="Arial"/>
          <w:color w:val="333333"/>
          <w:sz w:val="22"/>
          <w:szCs w:val="22"/>
        </w:rPr>
        <w:t xml:space="preserve">318 </w:t>
      </w:r>
      <w:r w:rsidR="00726532" w:rsidRPr="00C21CF0">
        <w:rPr>
          <w:rFonts w:ascii="Arial" w:hAnsi="Arial" w:cs="Arial"/>
          <w:color w:val="333333"/>
          <w:sz w:val="22"/>
          <w:szCs w:val="22"/>
        </w:rPr>
        <w:t xml:space="preserve"> </w:t>
      </w:r>
      <w:r w:rsidRPr="00C21CF0">
        <w:rPr>
          <w:rFonts w:ascii="Arial" w:hAnsi="Arial" w:cs="Arial"/>
          <w:color w:val="333333"/>
          <w:sz w:val="22"/>
          <w:szCs w:val="22"/>
        </w:rPr>
        <w:t>d</w:t>
      </w:r>
      <w:r w:rsidR="00726532" w:rsidRPr="00C21CF0">
        <w:rPr>
          <w:rFonts w:ascii="Arial" w:hAnsi="Arial" w:cs="Arial"/>
          <w:color w:val="333333"/>
          <w:sz w:val="22"/>
          <w:szCs w:val="22"/>
        </w:rPr>
        <w:t>u présent règlement général</w:t>
      </w:r>
      <w:r w:rsidR="00726532" w:rsidRPr="00244A88">
        <w:rPr>
          <w:rFonts w:ascii="Arial" w:hAnsi="Arial" w:cs="Arial"/>
          <w:color w:val="333333"/>
          <w:sz w:val="22"/>
          <w:szCs w:val="22"/>
        </w:rPr>
        <w:t>.</w:t>
      </w:r>
    </w:p>
    <w:p w14:paraId="3AEAC6C1" w14:textId="77777777" w:rsidR="00726532" w:rsidRPr="00A64175" w:rsidRDefault="00726532" w:rsidP="00A64175">
      <w:pPr>
        <w:jc w:val="both"/>
        <w:rPr>
          <w:rFonts w:ascii="Arial" w:hAnsi="Arial" w:cs="Arial"/>
          <w:color w:val="333333"/>
          <w:sz w:val="22"/>
          <w:szCs w:val="22"/>
        </w:rPr>
      </w:pPr>
    </w:p>
    <w:p w14:paraId="1814E7E6" w14:textId="3B5BE31F" w:rsidR="00862F22" w:rsidRPr="00A64175" w:rsidRDefault="00862F22" w:rsidP="00A64175">
      <w:pPr>
        <w:jc w:val="both"/>
        <w:rPr>
          <w:rFonts w:ascii="Arial" w:hAnsi="Arial" w:cs="Arial"/>
          <w:color w:val="333333"/>
          <w:sz w:val="22"/>
          <w:szCs w:val="22"/>
        </w:rPr>
      </w:pPr>
      <w:r w:rsidRPr="00A64175">
        <w:rPr>
          <w:rFonts w:ascii="Arial" w:hAnsi="Arial" w:cs="Arial"/>
          <w:b/>
          <w:bCs/>
          <w:color w:val="333333"/>
          <w:sz w:val="22"/>
          <w:szCs w:val="22"/>
        </w:rPr>
        <w:t>A</w:t>
      </w:r>
      <w:r w:rsidR="004371B4" w:rsidRPr="00A64175">
        <w:rPr>
          <w:rFonts w:ascii="Arial" w:hAnsi="Arial" w:cs="Arial"/>
          <w:b/>
          <w:bCs/>
          <w:color w:val="333333"/>
          <w:sz w:val="22"/>
          <w:szCs w:val="22"/>
        </w:rPr>
        <w:t>rticle 3</w:t>
      </w:r>
      <w:r w:rsidR="009B231D">
        <w:rPr>
          <w:rFonts w:ascii="Arial" w:hAnsi="Arial" w:cs="Arial"/>
          <w:b/>
          <w:bCs/>
          <w:color w:val="333333"/>
          <w:sz w:val="22"/>
          <w:szCs w:val="22"/>
        </w:rPr>
        <w:t>22</w:t>
      </w:r>
      <w:r w:rsidRPr="00A64175">
        <w:rPr>
          <w:rFonts w:ascii="Arial" w:hAnsi="Arial" w:cs="Arial"/>
          <w:b/>
          <w:bCs/>
          <w:color w:val="333333"/>
          <w:sz w:val="22"/>
          <w:szCs w:val="22"/>
        </w:rPr>
        <w:t xml:space="preserve"> –</w:t>
      </w:r>
      <w:r w:rsidRPr="00A64175">
        <w:rPr>
          <w:rFonts w:ascii="Arial" w:hAnsi="Arial" w:cs="Arial"/>
          <w:color w:val="333333"/>
          <w:sz w:val="22"/>
          <w:szCs w:val="22"/>
        </w:rPr>
        <w:t xml:space="preserve"> La COSUMAF requiert au préalable l’avis d’un expert indépendant dont la compétence et l’expérience sont reconnues en matière</w:t>
      </w:r>
      <w:r w:rsidR="00EA033B" w:rsidRPr="00A64175">
        <w:rPr>
          <w:rFonts w:ascii="Arial" w:hAnsi="Arial" w:cs="Arial"/>
          <w:color w:val="333333"/>
          <w:sz w:val="22"/>
          <w:szCs w:val="22"/>
        </w:rPr>
        <w:t xml:space="preserve"> d’organisation et d’exécution</w:t>
      </w:r>
      <w:r w:rsidRPr="00A64175">
        <w:rPr>
          <w:rFonts w:ascii="Arial" w:hAnsi="Arial" w:cs="Arial"/>
          <w:color w:val="333333"/>
          <w:sz w:val="22"/>
          <w:szCs w:val="22"/>
        </w:rPr>
        <w:t xml:space="preserve"> d’opérations sur les actifs numériques.</w:t>
      </w:r>
    </w:p>
    <w:p w14:paraId="09763D28" w14:textId="77777777" w:rsidR="00862F22" w:rsidRPr="00A64175" w:rsidRDefault="00862F22" w:rsidP="00A64175">
      <w:pPr>
        <w:jc w:val="both"/>
        <w:rPr>
          <w:rFonts w:ascii="Arial" w:hAnsi="Arial" w:cs="Arial"/>
          <w:color w:val="333333"/>
          <w:sz w:val="22"/>
          <w:szCs w:val="22"/>
        </w:rPr>
      </w:pPr>
    </w:p>
    <w:p w14:paraId="093891AE" w14:textId="77777777" w:rsidR="00862F22" w:rsidRPr="00A64175" w:rsidRDefault="00862F22" w:rsidP="00A64175">
      <w:pPr>
        <w:jc w:val="both"/>
        <w:rPr>
          <w:rFonts w:ascii="Arial" w:hAnsi="Arial" w:cs="Arial"/>
          <w:color w:val="333333"/>
          <w:sz w:val="22"/>
          <w:szCs w:val="22"/>
        </w:rPr>
      </w:pPr>
    </w:p>
    <w:p w14:paraId="2F2811D3" w14:textId="55309594" w:rsidR="00EA033B" w:rsidRPr="00A64175" w:rsidRDefault="004371B4" w:rsidP="00A64175">
      <w:pPr>
        <w:jc w:val="both"/>
        <w:rPr>
          <w:rFonts w:ascii="Arial" w:hAnsi="Arial" w:cs="Arial"/>
          <w:color w:val="333333"/>
          <w:sz w:val="22"/>
          <w:szCs w:val="22"/>
        </w:rPr>
      </w:pPr>
      <w:r w:rsidRPr="00A64175">
        <w:rPr>
          <w:rFonts w:ascii="Arial" w:hAnsi="Arial" w:cs="Arial"/>
          <w:b/>
          <w:bCs/>
          <w:color w:val="333333"/>
          <w:sz w:val="22"/>
          <w:szCs w:val="22"/>
        </w:rPr>
        <w:t>Article 32</w:t>
      </w:r>
      <w:r w:rsidR="009B231D">
        <w:rPr>
          <w:rFonts w:ascii="Arial" w:hAnsi="Arial" w:cs="Arial"/>
          <w:b/>
          <w:bCs/>
          <w:color w:val="333333"/>
          <w:sz w:val="22"/>
          <w:szCs w:val="22"/>
        </w:rPr>
        <w:t>3</w:t>
      </w:r>
      <w:r w:rsidR="00862F22" w:rsidRPr="00A64175">
        <w:rPr>
          <w:rFonts w:ascii="Arial" w:hAnsi="Arial" w:cs="Arial"/>
          <w:b/>
          <w:bCs/>
          <w:color w:val="333333"/>
          <w:sz w:val="22"/>
          <w:szCs w:val="22"/>
        </w:rPr>
        <w:t xml:space="preserve"> –</w:t>
      </w:r>
      <w:r w:rsidR="00862F22" w:rsidRPr="00A64175">
        <w:rPr>
          <w:rFonts w:ascii="Arial" w:hAnsi="Arial" w:cs="Arial"/>
          <w:color w:val="333333"/>
          <w:sz w:val="22"/>
          <w:szCs w:val="22"/>
        </w:rPr>
        <w:t xml:space="preserve"> La COSUMAF instruit la demande dans un délai de soixante</w:t>
      </w:r>
      <w:r w:rsidR="0043437D">
        <w:rPr>
          <w:rFonts w:ascii="Arial" w:hAnsi="Arial" w:cs="Arial"/>
          <w:color w:val="333333"/>
          <w:sz w:val="22"/>
          <w:szCs w:val="22"/>
        </w:rPr>
        <w:t xml:space="preserve"> (60)</w:t>
      </w:r>
      <w:r w:rsidR="00EA033B" w:rsidRPr="00A64175">
        <w:rPr>
          <w:rFonts w:ascii="Arial" w:hAnsi="Arial" w:cs="Arial"/>
          <w:color w:val="333333"/>
          <w:sz w:val="22"/>
          <w:szCs w:val="22"/>
        </w:rPr>
        <w:t xml:space="preserve">   jours à compter de la réception du dossier complet.</w:t>
      </w:r>
      <w:r w:rsidR="00862F22" w:rsidRPr="00A64175">
        <w:rPr>
          <w:rFonts w:ascii="Arial" w:hAnsi="Arial" w:cs="Arial"/>
          <w:color w:val="333333"/>
          <w:sz w:val="22"/>
          <w:szCs w:val="22"/>
        </w:rPr>
        <w:t xml:space="preserve"> </w:t>
      </w:r>
    </w:p>
    <w:p w14:paraId="5BF49D25" w14:textId="77777777" w:rsidR="00EA033B" w:rsidRPr="00A64175" w:rsidRDefault="00EA033B" w:rsidP="00A64175">
      <w:pPr>
        <w:jc w:val="both"/>
        <w:rPr>
          <w:rFonts w:ascii="Arial" w:hAnsi="Arial" w:cs="Arial"/>
          <w:color w:val="333333"/>
          <w:sz w:val="22"/>
          <w:szCs w:val="22"/>
        </w:rPr>
      </w:pPr>
    </w:p>
    <w:p w14:paraId="523D81B0" w14:textId="43E726BB" w:rsidR="00EA033B" w:rsidRPr="00A64175" w:rsidRDefault="00EA033B" w:rsidP="00A64175">
      <w:pPr>
        <w:jc w:val="both"/>
        <w:rPr>
          <w:rFonts w:ascii="Arial" w:hAnsi="Arial" w:cs="Arial"/>
          <w:color w:val="333333"/>
          <w:sz w:val="22"/>
          <w:szCs w:val="22"/>
        </w:rPr>
      </w:pPr>
      <w:r w:rsidRPr="00A64175">
        <w:rPr>
          <w:rFonts w:ascii="Arial" w:hAnsi="Arial" w:cs="Arial"/>
          <w:color w:val="333333"/>
          <w:sz w:val="22"/>
          <w:szCs w:val="22"/>
        </w:rPr>
        <w:t>La décision d’octroi ou de refus d’agrément est notifiée par lettre recommandée et par tout autre moyen précisé par la COSUMAF.</w:t>
      </w:r>
      <w:r w:rsidR="00943CFC">
        <w:rPr>
          <w:rFonts w:ascii="Arial" w:hAnsi="Arial" w:cs="Arial"/>
          <w:color w:val="333333"/>
          <w:sz w:val="22"/>
          <w:szCs w:val="22"/>
        </w:rPr>
        <w:t xml:space="preserve"> Le refus d’agrément est motivé.</w:t>
      </w:r>
    </w:p>
    <w:p w14:paraId="1CA51056" w14:textId="77777777" w:rsidR="00EA033B" w:rsidRDefault="00EA033B" w:rsidP="00A64175">
      <w:pPr>
        <w:jc w:val="both"/>
        <w:rPr>
          <w:rFonts w:ascii="Arial" w:hAnsi="Arial" w:cs="Arial"/>
          <w:color w:val="333333"/>
          <w:sz w:val="22"/>
          <w:szCs w:val="22"/>
        </w:rPr>
      </w:pPr>
    </w:p>
    <w:p w14:paraId="45CED0B2" w14:textId="77777777" w:rsidR="00943CFC" w:rsidRPr="00A64175" w:rsidRDefault="00943CFC" w:rsidP="00A64175">
      <w:pPr>
        <w:jc w:val="both"/>
        <w:rPr>
          <w:rFonts w:ascii="Arial" w:hAnsi="Arial" w:cs="Arial"/>
          <w:color w:val="333333"/>
          <w:sz w:val="22"/>
          <w:szCs w:val="22"/>
        </w:rPr>
      </w:pPr>
    </w:p>
    <w:p w14:paraId="347B30BB" w14:textId="3AC2BB75" w:rsidR="00C860C4" w:rsidRDefault="00C860C4" w:rsidP="00C860C4">
      <w:pPr>
        <w:jc w:val="both"/>
        <w:rPr>
          <w:rFonts w:ascii="Arial" w:hAnsi="Arial" w:cs="Arial"/>
          <w:sz w:val="22"/>
          <w:szCs w:val="22"/>
        </w:rPr>
      </w:pPr>
    </w:p>
    <w:p w14:paraId="78739435" w14:textId="0A9C311D" w:rsidR="004F0F96" w:rsidRPr="00A64175" w:rsidRDefault="005A76D6" w:rsidP="00C860C4">
      <w:pPr>
        <w:tabs>
          <w:tab w:val="left" w:pos="1350"/>
        </w:tabs>
        <w:jc w:val="both"/>
        <w:rPr>
          <w:rFonts w:ascii="Arial" w:hAnsi="Arial" w:cs="Arial"/>
          <w:b/>
          <w:bCs/>
          <w:sz w:val="22"/>
          <w:szCs w:val="22"/>
        </w:rPr>
      </w:pPr>
      <w:r w:rsidRPr="00A64175">
        <w:rPr>
          <w:rFonts w:ascii="Arial" w:hAnsi="Arial" w:cs="Arial"/>
          <w:b/>
          <w:bCs/>
          <w:sz w:val="22"/>
          <w:szCs w:val="22"/>
        </w:rPr>
        <w:t>TITRE V</w:t>
      </w:r>
      <w:r w:rsidR="003F311B" w:rsidRPr="00A64175">
        <w:rPr>
          <w:rFonts w:ascii="Arial" w:hAnsi="Arial" w:cs="Arial"/>
          <w:b/>
          <w:bCs/>
          <w:sz w:val="22"/>
          <w:szCs w:val="22"/>
        </w:rPr>
        <w:t>I</w:t>
      </w:r>
      <w:r w:rsidR="004F0F96" w:rsidRPr="00A64175">
        <w:rPr>
          <w:rFonts w:ascii="Arial" w:hAnsi="Arial" w:cs="Arial"/>
          <w:b/>
          <w:bCs/>
          <w:sz w:val="22"/>
          <w:szCs w:val="22"/>
        </w:rPr>
        <w:t> </w:t>
      </w:r>
      <w:r w:rsidR="00CD5AF1" w:rsidRPr="00A64175">
        <w:rPr>
          <w:rFonts w:ascii="Arial" w:hAnsi="Arial" w:cs="Arial"/>
          <w:b/>
          <w:bCs/>
          <w:sz w:val="22"/>
          <w:szCs w:val="22"/>
        </w:rPr>
        <w:t>–</w:t>
      </w:r>
      <w:r w:rsidR="004F0F96" w:rsidRPr="00A64175">
        <w:rPr>
          <w:rFonts w:ascii="Arial" w:hAnsi="Arial" w:cs="Arial"/>
          <w:b/>
          <w:bCs/>
          <w:sz w:val="22"/>
          <w:szCs w:val="22"/>
        </w:rPr>
        <w:t xml:space="preserve"> ORGANISMES DE PLACEMENT COLLECTIF</w:t>
      </w:r>
    </w:p>
    <w:p w14:paraId="75094667" w14:textId="77777777" w:rsidR="004F0F96" w:rsidRPr="00A64175" w:rsidRDefault="004F0F96" w:rsidP="00A64175">
      <w:pPr>
        <w:widowControl w:val="0"/>
        <w:autoSpaceDE w:val="0"/>
        <w:autoSpaceDN w:val="0"/>
        <w:adjustRightInd w:val="0"/>
        <w:jc w:val="both"/>
        <w:rPr>
          <w:rFonts w:ascii="Arial" w:hAnsi="Arial" w:cs="Arial"/>
          <w:kern w:val="1"/>
          <w:sz w:val="22"/>
          <w:szCs w:val="22"/>
        </w:rPr>
      </w:pPr>
    </w:p>
    <w:p w14:paraId="7FDEE0C4" w14:textId="77777777" w:rsidR="006701AB" w:rsidRPr="00A64175" w:rsidRDefault="006701AB" w:rsidP="00A64175">
      <w:pPr>
        <w:widowControl w:val="0"/>
        <w:autoSpaceDE w:val="0"/>
        <w:autoSpaceDN w:val="0"/>
        <w:adjustRightInd w:val="0"/>
        <w:jc w:val="both"/>
        <w:rPr>
          <w:rFonts w:ascii="Arial" w:hAnsi="Arial" w:cs="Arial"/>
          <w:kern w:val="1"/>
          <w:sz w:val="22"/>
          <w:szCs w:val="22"/>
        </w:rPr>
      </w:pPr>
    </w:p>
    <w:tbl>
      <w:tblPr>
        <w:tblStyle w:val="Grilledutableau"/>
        <w:tblW w:w="10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6"/>
      </w:tblGrid>
      <w:tr w:rsidR="007058CC" w:rsidRPr="00A64175" w14:paraId="25D81C00" w14:textId="77777777" w:rsidTr="000E7336">
        <w:trPr>
          <w:jc w:val="center"/>
        </w:trPr>
        <w:tc>
          <w:tcPr>
            <w:tcW w:w="10316" w:type="dxa"/>
            <w:shd w:val="clear" w:color="auto" w:fill="auto"/>
          </w:tcPr>
          <w:p w14:paraId="526E4099" w14:textId="77777777" w:rsidR="007058CC" w:rsidRPr="00E1543B" w:rsidRDefault="007058CC" w:rsidP="00A64175">
            <w:pPr>
              <w:widowControl w:val="0"/>
              <w:autoSpaceDE w:val="0"/>
              <w:adjustRightInd w:val="0"/>
              <w:contextualSpacing/>
              <w:jc w:val="both"/>
              <w:rPr>
                <w:rFonts w:ascii="Arial" w:hAnsi="Arial" w:cs="Arial"/>
                <w:b/>
              </w:rPr>
            </w:pPr>
          </w:p>
          <w:p w14:paraId="6AB110A3" w14:textId="625D05AA" w:rsidR="007058CC" w:rsidRPr="00E1543B" w:rsidRDefault="00943CFC" w:rsidP="00943CFC">
            <w:pPr>
              <w:widowControl w:val="0"/>
              <w:autoSpaceDE w:val="0"/>
              <w:adjustRightInd w:val="0"/>
              <w:contextualSpacing/>
              <w:jc w:val="both"/>
              <w:rPr>
                <w:rFonts w:ascii="Arial" w:hAnsi="Arial" w:cs="Arial"/>
                <w:b/>
                <w:bCs/>
                <w:kern w:val="1"/>
              </w:rPr>
            </w:pPr>
            <w:r w:rsidRPr="00E1543B">
              <w:rPr>
                <w:rFonts w:ascii="Arial" w:hAnsi="Arial" w:cs="Arial"/>
                <w:b/>
              </w:rPr>
              <w:t xml:space="preserve">SOUS-TITRE </w:t>
            </w:r>
            <w:r w:rsidR="007058CC" w:rsidRPr="00E1543B">
              <w:rPr>
                <w:rFonts w:ascii="Arial" w:hAnsi="Arial" w:cs="Arial"/>
                <w:b/>
              </w:rPr>
              <w:t xml:space="preserve"> I – Dispositions générales</w:t>
            </w:r>
          </w:p>
        </w:tc>
      </w:tr>
      <w:tr w:rsidR="007058CC" w:rsidRPr="00A64175" w14:paraId="679F4C54" w14:textId="77777777" w:rsidTr="000E7336">
        <w:trPr>
          <w:jc w:val="center"/>
        </w:trPr>
        <w:tc>
          <w:tcPr>
            <w:tcW w:w="10316" w:type="dxa"/>
            <w:shd w:val="clear" w:color="auto" w:fill="auto"/>
          </w:tcPr>
          <w:p w14:paraId="6EB6FD38" w14:textId="77777777" w:rsidR="007058CC" w:rsidRPr="00E1543B" w:rsidRDefault="007058CC" w:rsidP="00A64175">
            <w:pPr>
              <w:widowControl w:val="0"/>
              <w:autoSpaceDE w:val="0"/>
              <w:adjustRightInd w:val="0"/>
              <w:contextualSpacing/>
              <w:jc w:val="both"/>
              <w:rPr>
                <w:rFonts w:ascii="Arial" w:hAnsi="Arial" w:cs="Arial"/>
                <w:b/>
              </w:rPr>
            </w:pPr>
          </w:p>
          <w:p w14:paraId="45EE0D73" w14:textId="25AF3768" w:rsidR="007058CC" w:rsidRPr="00E1543B" w:rsidRDefault="00943CFC" w:rsidP="00A64175">
            <w:pPr>
              <w:widowControl w:val="0"/>
              <w:autoSpaceDE w:val="0"/>
              <w:adjustRightInd w:val="0"/>
              <w:contextualSpacing/>
              <w:jc w:val="both"/>
              <w:rPr>
                <w:rFonts w:ascii="Arial" w:hAnsi="Arial" w:cs="Arial"/>
                <w:b/>
              </w:rPr>
            </w:pPr>
            <w:r w:rsidRPr="00E1543B">
              <w:rPr>
                <w:rFonts w:ascii="Arial" w:hAnsi="Arial" w:cs="Arial"/>
                <w:b/>
              </w:rPr>
              <w:t xml:space="preserve">Chapitre </w:t>
            </w:r>
            <w:r w:rsidR="007058CC" w:rsidRPr="00E1543B">
              <w:rPr>
                <w:rFonts w:ascii="Arial" w:hAnsi="Arial" w:cs="Arial"/>
                <w:b/>
              </w:rPr>
              <w:t xml:space="preserve"> I : Agrément</w:t>
            </w:r>
          </w:p>
          <w:p w14:paraId="7D1D49A5" w14:textId="77777777" w:rsidR="00CA30A7" w:rsidRPr="0001427D" w:rsidRDefault="00CA30A7" w:rsidP="00A64175">
            <w:pPr>
              <w:widowControl w:val="0"/>
              <w:autoSpaceDE w:val="0"/>
              <w:adjustRightInd w:val="0"/>
              <w:contextualSpacing/>
              <w:jc w:val="both"/>
              <w:rPr>
                <w:rFonts w:ascii="Arial" w:hAnsi="Arial" w:cs="Arial"/>
                <w:b/>
              </w:rPr>
            </w:pPr>
          </w:p>
        </w:tc>
      </w:tr>
      <w:tr w:rsidR="007058CC" w:rsidRPr="00A64175" w14:paraId="69821E8D" w14:textId="77777777" w:rsidTr="000E7336">
        <w:trPr>
          <w:jc w:val="center"/>
        </w:trPr>
        <w:tc>
          <w:tcPr>
            <w:tcW w:w="10316" w:type="dxa"/>
            <w:shd w:val="clear" w:color="auto" w:fill="auto"/>
          </w:tcPr>
          <w:p w14:paraId="6540296D" w14:textId="77777777" w:rsidR="007058CC" w:rsidRPr="00A64175" w:rsidRDefault="007058CC" w:rsidP="00A64175">
            <w:pPr>
              <w:widowControl w:val="0"/>
              <w:autoSpaceDE w:val="0"/>
              <w:adjustRightInd w:val="0"/>
              <w:contextualSpacing/>
              <w:jc w:val="both"/>
              <w:rPr>
                <w:rFonts w:ascii="Arial" w:hAnsi="Arial" w:cs="Arial"/>
                <w:iCs/>
                <w:kern w:val="1"/>
              </w:rPr>
            </w:pPr>
            <w:r w:rsidRPr="00A64175">
              <w:rPr>
                <w:rFonts w:ascii="Arial" w:hAnsi="Arial" w:cs="Arial"/>
                <w:iCs/>
                <w:kern w:val="1"/>
              </w:rPr>
              <w:t>Sous-section 1 : Conditions d’agrément</w:t>
            </w:r>
          </w:p>
        </w:tc>
      </w:tr>
      <w:tr w:rsidR="007058CC" w:rsidRPr="00A64175" w14:paraId="5B3D6D29" w14:textId="77777777" w:rsidTr="000E7336">
        <w:trPr>
          <w:jc w:val="center"/>
        </w:trPr>
        <w:tc>
          <w:tcPr>
            <w:tcW w:w="10316" w:type="dxa"/>
            <w:shd w:val="clear" w:color="auto" w:fill="auto"/>
          </w:tcPr>
          <w:p w14:paraId="3FDAECE7" w14:textId="77777777" w:rsidR="007058CC" w:rsidRPr="00A64175" w:rsidRDefault="007058CC" w:rsidP="00A64175">
            <w:pPr>
              <w:widowControl w:val="0"/>
              <w:autoSpaceDE w:val="0"/>
              <w:adjustRightInd w:val="0"/>
              <w:contextualSpacing/>
              <w:jc w:val="both"/>
              <w:rPr>
                <w:rFonts w:ascii="Arial" w:hAnsi="Arial" w:cs="Arial"/>
                <w:b/>
                <w:bCs/>
                <w:kern w:val="1"/>
              </w:rPr>
            </w:pPr>
          </w:p>
          <w:p w14:paraId="4CBF200D" w14:textId="15C5B737" w:rsidR="007058CC" w:rsidRPr="00A64175" w:rsidRDefault="007058CC" w:rsidP="00A64175">
            <w:pPr>
              <w:widowControl w:val="0"/>
              <w:autoSpaceDE w:val="0"/>
              <w:adjustRightInd w:val="0"/>
              <w:contextualSpacing/>
              <w:jc w:val="both"/>
              <w:rPr>
                <w:rFonts w:ascii="Arial" w:eastAsia="Times New Roman" w:hAnsi="Arial" w:cs="Arial"/>
                <w:bCs/>
                <w:lang w:eastAsia="fr-FR"/>
              </w:rPr>
            </w:pPr>
            <w:r w:rsidRPr="00A64175">
              <w:rPr>
                <w:rFonts w:ascii="Arial" w:hAnsi="Arial" w:cs="Arial"/>
                <w:b/>
                <w:bCs/>
                <w:kern w:val="1"/>
              </w:rPr>
              <w:t xml:space="preserve">Article </w:t>
            </w:r>
            <w:r w:rsidR="004371B4" w:rsidRPr="00A64175">
              <w:rPr>
                <w:rFonts w:ascii="Arial" w:hAnsi="Arial" w:cs="Arial"/>
                <w:b/>
                <w:bCs/>
                <w:kern w:val="1"/>
              </w:rPr>
              <w:t>32</w:t>
            </w:r>
            <w:r w:rsidR="009B231D">
              <w:rPr>
                <w:rFonts w:ascii="Arial" w:hAnsi="Arial" w:cs="Arial"/>
                <w:b/>
                <w:bCs/>
                <w:kern w:val="1"/>
              </w:rPr>
              <w:t>4</w:t>
            </w:r>
            <w:r w:rsidRPr="00A64175">
              <w:rPr>
                <w:rFonts w:ascii="Arial" w:hAnsi="Arial" w:cs="Arial"/>
                <w:b/>
                <w:bCs/>
                <w:kern w:val="1"/>
              </w:rPr>
              <w:t xml:space="preserve"> –</w:t>
            </w:r>
            <w:r w:rsidRPr="00A64175">
              <w:rPr>
                <w:rFonts w:ascii="Arial" w:hAnsi="Arial" w:cs="Arial"/>
                <w:kern w:val="1"/>
              </w:rPr>
              <w:t xml:space="preserve"> Les procédures </w:t>
            </w:r>
            <w:r w:rsidR="00E648D1" w:rsidRPr="00A64175">
              <w:rPr>
                <w:rFonts w:ascii="Arial" w:hAnsi="Arial" w:cs="Arial"/>
                <w:kern w:val="1"/>
              </w:rPr>
              <w:t xml:space="preserve">et modalités </w:t>
            </w:r>
            <w:r w:rsidRPr="00A64175">
              <w:rPr>
                <w:rFonts w:ascii="Arial" w:hAnsi="Arial" w:cs="Arial"/>
                <w:kern w:val="1"/>
              </w:rPr>
              <w:t>d’agrément applicables aux orga</w:t>
            </w:r>
            <w:r w:rsidR="00E648D1" w:rsidRPr="00A64175">
              <w:rPr>
                <w:rFonts w:ascii="Arial" w:hAnsi="Arial" w:cs="Arial"/>
                <w:kern w:val="1"/>
              </w:rPr>
              <w:t>nismes de placement collectif visés au présent titre</w:t>
            </w:r>
            <w:r w:rsidRPr="00A64175">
              <w:rPr>
                <w:rFonts w:ascii="Arial" w:hAnsi="Arial" w:cs="Arial"/>
                <w:kern w:val="1"/>
              </w:rPr>
              <w:t xml:space="preserve"> sont précisées dans des instructions de la COSUMAF.</w:t>
            </w:r>
          </w:p>
        </w:tc>
      </w:tr>
      <w:tr w:rsidR="007058CC" w:rsidRPr="00A64175" w14:paraId="0E054DA6" w14:textId="77777777" w:rsidTr="000E7336">
        <w:trPr>
          <w:jc w:val="center"/>
        </w:trPr>
        <w:tc>
          <w:tcPr>
            <w:tcW w:w="10316" w:type="dxa"/>
            <w:shd w:val="clear" w:color="auto" w:fill="auto"/>
          </w:tcPr>
          <w:p w14:paraId="5E91A0F3" w14:textId="77777777" w:rsidR="007058CC" w:rsidRPr="00A64175" w:rsidRDefault="007058CC" w:rsidP="00A64175">
            <w:pPr>
              <w:widowControl w:val="0"/>
              <w:autoSpaceDE w:val="0"/>
              <w:adjustRightInd w:val="0"/>
              <w:contextualSpacing/>
              <w:jc w:val="both"/>
              <w:rPr>
                <w:rFonts w:ascii="Arial" w:hAnsi="Arial" w:cs="Arial"/>
                <w:b/>
                <w:bCs/>
                <w:kern w:val="1"/>
              </w:rPr>
            </w:pPr>
          </w:p>
          <w:p w14:paraId="3E011543" w14:textId="77777777" w:rsidR="00E648D1" w:rsidRPr="00A64175" w:rsidRDefault="00E648D1" w:rsidP="00A64175">
            <w:pPr>
              <w:widowControl w:val="0"/>
              <w:autoSpaceDE w:val="0"/>
              <w:adjustRightInd w:val="0"/>
              <w:contextualSpacing/>
              <w:jc w:val="both"/>
              <w:rPr>
                <w:rFonts w:ascii="Arial" w:hAnsi="Arial" w:cs="Arial"/>
                <w:b/>
                <w:bCs/>
                <w:kern w:val="1"/>
              </w:rPr>
            </w:pPr>
          </w:p>
          <w:p w14:paraId="13D86911" w14:textId="5D12864E" w:rsidR="007058CC" w:rsidRPr="00A64175" w:rsidRDefault="007058CC" w:rsidP="00A64175">
            <w:pPr>
              <w:widowControl w:val="0"/>
              <w:autoSpaceDE w:val="0"/>
              <w:adjustRightInd w:val="0"/>
              <w:contextualSpacing/>
              <w:jc w:val="both"/>
              <w:rPr>
                <w:rFonts w:ascii="Arial" w:hAnsi="Arial" w:cs="Arial"/>
                <w:b/>
                <w:bCs/>
                <w:kern w:val="1"/>
              </w:rPr>
            </w:pPr>
            <w:r w:rsidRPr="00A64175">
              <w:rPr>
                <w:rFonts w:ascii="Arial" w:hAnsi="Arial" w:cs="Arial"/>
                <w:b/>
                <w:bCs/>
                <w:kern w:val="1"/>
              </w:rPr>
              <w:t>Ar</w:t>
            </w:r>
            <w:r w:rsidR="00E648D1" w:rsidRPr="00A64175">
              <w:rPr>
                <w:rFonts w:ascii="Arial" w:hAnsi="Arial" w:cs="Arial"/>
                <w:b/>
                <w:bCs/>
                <w:kern w:val="1"/>
              </w:rPr>
              <w:t xml:space="preserve">ticle </w:t>
            </w:r>
            <w:r w:rsidR="004371B4" w:rsidRPr="00A64175">
              <w:rPr>
                <w:rFonts w:ascii="Arial" w:hAnsi="Arial" w:cs="Arial"/>
                <w:b/>
                <w:bCs/>
                <w:kern w:val="1"/>
              </w:rPr>
              <w:t>32</w:t>
            </w:r>
            <w:r w:rsidR="009B231D">
              <w:rPr>
                <w:rFonts w:ascii="Arial" w:hAnsi="Arial" w:cs="Arial"/>
                <w:b/>
                <w:bCs/>
                <w:kern w:val="1"/>
              </w:rPr>
              <w:t>5</w:t>
            </w:r>
            <w:r w:rsidRPr="00A64175">
              <w:rPr>
                <w:rFonts w:ascii="Arial" w:hAnsi="Arial" w:cs="Arial"/>
                <w:b/>
                <w:bCs/>
                <w:kern w:val="1"/>
              </w:rPr>
              <w:t xml:space="preserve"> –</w:t>
            </w:r>
          </w:p>
          <w:p w14:paraId="3018AF12" w14:textId="77777777" w:rsidR="00E648D1" w:rsidRPr="00A64175" w:rsidRDefault="00E648D1" w:rsidP="00A64175">
            <w:pPr>
              <w:widowControl w:val="0"/>
              <w:autoSpaceDE w:val="0"/>
              <w:adjustRightInd w:val="0"/>
              <w:contextualSpacing/>
              <w:jc w:val="both"/>
              <w:rPr>
                <w:rFonts w:ascii="Arial" w:hAnsi="Arial" w:cs="Arial"/>
                <w:kern w:val="1"/>
              </w:rPr>
            </w:pPr>
          </w:p>
          <w:p w14:paraId="70435C08" w14:textId="450B7631" w:rsidR="007058CC" w:rsidRPr="00A64175" w:rsidRDefault="007058CC" w:rsidP="00A64175">
            <w:pPr>
              <w:pStyle w:val="Paragraphedeliste"/>
              <w:widowControl w:val="0"/>
              <w:numPr>
                <w:ilvl w:val="0"/>
                <w:numId w:val="177"/>
              </w:numPr>
              <w:autoSpaceDE w:val="0"/>
              <w:adjustRightInd w:val="0"/>
              <w:spacing w:before="0" w:beforeAutospacing="0" w:after="0" w:afterAutospacing="0" w:line="240" w:lineRule="auto"/>
              <w:ind w:left="450"/>
              <w:contextualSpacing/>
              <w:rPr>
                <w:b/>
                <w:bCs/>
                <w:kern w:val="1"/>
              </w:rPr>
            </w:pPr>
            <w:r w:rsidRPr="00A64175">
              <w:rPr>
                <w:kern w:val="1"/>
              </w:rPr>
              <w:t xml:space="preserve">La COSUMAF délivre son agrément dans un délai maximum de </w:t>
            </w:r>
            <w:r w:rsidR="00EA4BA4">
              <w:rPr>
                <w:kern w:val="1"/>
              </w:rPr>
              <w:t xml:space="preserve">soixante (60) </w:t>
            </w:r>
            <w:r w:rsidRPr="00A64175">
              <w:rPr>
                <w:kern w:val="1"/>
              </w:rPr>
              <w:t xml:space="preserve">jours calendaires à compter de la date de dépôt d’un dossier complet. </w:t>
            </w:r>
            <w:r w:rsidR="00E17D64">
              <w:rPr>
                <w:kern w:val="1"/>
              </w:rPr>
              <w:t xml:space="preserve"> </w:t>
            </w:r>
          </w:p>
          <w:p w14:paraId="6EC819A2" w14:textId="2AB7498F" w:rsidR="00E17D64" w:rsidRDefault="007058CC" w:rsidP="00A64175">
            <w:pPr>
              <w:pStyle w:val="Paragraphedeliste"/>
              <w:widowControl w:val="0"/>
              <w:numPr>
                <w:ilvl w:val="0"/>
                <w:numId w:val="177"/>
              </w:numPr>
              <w:autoSpaceDE w:val="0"/>
              <w:adjustRightInd w:val="0"/>
              <w:spacing w:before="0" w:beforeAutospacing="0" w:after="0" w:afterAutospacing="0" w:line="240" w:lineRule="auto"/>
              <w:ind w:left="450"/>
              <w:contextualSpacing/>
              <w:rPr>
                <w:kern w:val="1"/>
              </w:rPr>
            </w:pPr>
            <w:r w:rsidRPr="00A64175">
              <w:rPr>
                <w:kern w:val="1"/>
              </w:rPr>
              <w:t xml:space="preserve">Les modifications </w:t>
            </w:r>
            <w:r w:rsidR="00E648D1" w:rsidRPr="00A64175">
              <w:rPr>
                <w:kern w:val="1"/>
              </w:rPr>
              <w:t xml:space="preserve">apportées à un agrément initial sont soumises à un nouvel agrément </w:t>
            </w:r>
            <w:r w:rsidR="00E17D64">
              <w:rPr>
                <w:kern w:val="1"/>
              </w:rPr>
              <w:t>lorsqu’elles portent sur des éléments substantiels</w:t>
            </w:r>
            <w:r w:rsidR="0018172D">
              <w:rPr>
                <w:strike/>
                <w:kern w:val="1"/>
              </w:rPr>
              <w:t>.</w:t>
            </w:r>
          </w:p>
          <w:p w14:paraId="632E9B36" w14:textId="3B7E6EC2" w:rsidR="00E648D1" w:rsidRPr="00A64175" w:rsidRDefault="00E17D64" w:rsidP="00A64175">
            <w:pPr>
              <w:pStyle w:val="Paragraphedeliste"/>
              <w:widowControl w:val="0"/>
              <w:numPr>
                <w:ilvl w:val="0"/>
                <w:numId w:val="177"/>
              </w:numPr>
              <w:autoSpaceDE w:val="0"/>
              <w:adjustRightInd w:val="0"/>
              <w:spacing w:before="0" w:beforeAutospacing="0" w:after="0" w:afterAutospacing="0" w:line="240" w:lineRule="auto"/>
              <w:ind w:left="450"/>
              <w:contextualSpacing/>
              <w:rPr>
                <w:kern w:val="1"/>
              </w:rPr>
            </w:pPr>
            <w:r>
              <w:rPr>
                <w:kern w:val="1"/>
              </w:rPr>
              <w:t xml:space="preserve">Une instruction de la COSUMAF précise les </w:t>
            </w:r>
            <w:r w:rsidR="00EA4BA4">
              <w:rPr>
                <w:kern w:val="1"/>
              </w:rPr>
              <w:t>éléments substantiels visés au présent article.</w:t>
            </w:r>
          </w:p>
        </w:tc>
      </w:tr>
      <w:tr w:rsidR="007058CC" w:rsidRPr="00A64175" w14:paraId="178909A6" w14:textId="77777777" w:rsidTr="000E7336">
        <w:trPr>
          <w:jc w:val="center"/>
        </w:trPr>
        <w:tc>
          <w:tcPr>
            <w:tcW w:w="10316" w:type="dxa"/>
            <w:shd w:val="clear" w:color="auto" w:fill="auto"/>
          </w:tcPr>
          <w:p w14:paraId="693E567E" w14:textId="63E52E6E" w:rsidR="007058CC" w:rsidRPr="00A64175" w:rsidRDefault="007058CC" w:rsidP="00A64175">
            <w:pPr>
              <w:widowControl w:val="0"/>
              <w:autoSpaceDE w:val="0"/>
              <w:adjustRightInd w:val="0"/>
              <w:contextualSpacing/>
              <w:jc w:val="both"/>
              <w:rPr>
                <w:rFonts w:ascii="Arial" w:hAnsi="Arial" w:cs="Arial"/>
                <w:b/>
                <w:bCs/>
                <w:kern w:val="1"/>
              </w:rPr>
            </w:pPr>
          </w:p>
        </w:tc>
      </w:tr>
      <w:tr w:rsidR="007058CC" w:rsidRPr="00A64175" w14:paraId="24A7DF71" w14:textId="77777777" w:rsidTr="000E7336">
        <w:trPr>
          <w:jc w:val="center"/>
        </w:trPr>
        <w:tc>
          <w:tcPr>
            <w:tcW w:w="10316" w:type="dxa"/>
            <w:shd w:val="clear" w:color="auto" w:fill="auto"/>
          </w:tcPr>
          <w:p w14:paraId="7F43F207" w14:textId="77777777" w:rsidR="007058CC" w:rsidRPr="00A64175" w:rsidRDefault="007058CC" w:rsidP="00A64175">
            <w:pPr>
              <w:widowControl w:val="0"/>
              <w:autoSpaceDE w:val="0"/>
              <w:adjustRightInd w:val="0"/>
              <w:contextualSpacing/>
              <w:jc w:val="both"/>
              <w:rPr>
                <w:rFonts w:ascii="Arial" w:hAnsi="Arial" w:cs="Arial"/>
                <w:b/>
                <w:bCs/>
              </w:rPr>
            </w:pPr>
          </w:p>
          <w:p w14:paraId="6CA8F6BE" w14:textId="548DCA04" w:rsidR="007058CC" w:rsidRPr="00A64175" w:rsidRDefault="007058CC" w:rsidP="00A64175">
            <w:pPr>
              <w:widowControl w:val="0"/>
              <w:autoSpaceDE w:val="0"/>
              <w:adjustRightInd w:val="0"/>
              <w:contextualSpacing/>
              <w:jc w:val="both"/>
              <w:rPr>
                <w:rFonts w:ascii="Arial" w:hAnsi="Arial" w:cs="Arial"/>
                <w:kern w:val="1"/>
              </w:rPr>
            </w:pPr>
            <w:r w:rsidRPr="00A64175">
              <w:rPr>
                <w:rFonts w:ascii="Arial" w:hAnsi="Arial" w:cs="Arial"/>
                <w:b/>
                <w:bCs/>
              </w:rPr>
              <w:t xml:space="preserve">Article </w:t>
            </w:r>
            <w:r w:rsidR="001C2F51" w:rsidRPr="00A64175">
              <w:rPr>
                <w:rFonts w:ascii="Arial" w:hAnsi="Arial" w:cs="Arial"/>
                <w:b/>
                <w:bCs/>
                <w:kern w:val="1"/>
              </w:rPr>
              <w:t>3</w:t>
            </w:r>
            <w:r w:rsidR="004371B4" w:rsidRPr="00A64175">
              <w:rPr>
                <w:rFonts w:ascii="Arial" w:hAnsi="Arial" w:cs="Arial"/>
                <w:b/>
                <w:bCs/>
                <w:kern w:val="1"/>
              </w:rPr>
              <w:t>2</w:t>
            </w:r>
            <w:r w:rsidR="009B231D">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Tout projet de </w:t>
            </w:r>
            <w:r w:rsidR="00AA3950">
              <w:rPr>
                <w:rFonts w:ascii="Arial" w:hAnsi="Arial" w:cs="Arial"/>
              </w:rPr>
              <w:t xml:space="preserve">transformation, de </w:t>
            </w:r>
            <w:r w:rsidRPr="00A64175">
              <w:rPr>
                <w:rFonts w:ascii="Arial" w:hAnsi="Arial" w:cs="Arial"/>
              </w:rPr>
              <w:t>fusion ou de scission d’un OPC est subordonné au dépôt d’un nouveau dossier de demande d’agrément comprenant des pièces et documents précisés dans une instruction de la COSUMAF.</w:t>
            </w:r>
          </w:p>
          <w:p w14:paraId="290ECF23" w14:textId="77777777" w:rsidR="007058CC" w:rsidRPr="00A64175" w:rsidRDefault="007058CC" w:rsidP="00A64175">
            <w:pPr>
              <w:widowControl w:val="0"/>
              <w:autoSpaceDE w:val="0"/>
              <w:adjustRightInd w:val="0"/>
              <w:contextualSpacing/>
              <w:jc w:val="both"/>
              <w:rPr>
                <w:rFonts w:ascii="Arial" w:hAnsi="Arial" w:cs="Arial"/>
                <w:kern w:val="1"/>
              </w:rPr>
            </w:pPr>
          </w:p>
          <w:p w14:paraId="382D2BC9" w14:textId="572BD3F7" w:rsidR="007058CC" w:rsidRPr="00A64175" w:rsidRDefault="007058CC" w:rsidP="00A64175">
            <w:pPr>
              <w:widowControl w:val="0"/>
              <w:autoSpaceDE w:val="0"/>
              <w:adjustRightInd w:val="0"/>
              <w:contextualSpacing/>
              <w:jc w:val="both"/>
              <w:rPr>
                <w:rFonts w:ascii="Arial" w:hAnsi="Arial" w:cs="Arial"/>
                <w:kern w:val="1"/>
              </w:rPr>
            </w:pPr>
            <w:r w:rsidRPr="00A64175">
              <w:rPr>
                <w:rFonts w:ascii="Arial" w:hAnsi="Arial" w:cs="Arial"/>
              </w:rPr>
              <w:t xml:space="preserve">Cette demande d’agrément est présentée par chacune des </w:t>
            </w:r>
            <w:r w:rsidR="00AA3950">
              <w:rPr>
                <w:rFonts w:ascii="Arial" w:hAnsi="Arial" w:cs="Arial"/>
              </w:rPr>
              <w:t>sociétés d’investissement</w:t>
            </w:r>
            <w:r w:rsidR="00AA3950" w:rsidRPr="00A64175">
              <w:rPr>
                <w:rFonts w:ascii="Arial" w:hAnsi="Arial" w:cs="Arial"/>
              </w:rPr>
              <w:t xml:space="preserve"> </w:t>
            </w:r>
            <w:r w:rsidRPr="00A64175">
              <w:rPr>
                <w:rFonts w:ascii="Arial" w:hAnsi="Arial" w:cs="Arial"/>
              </w:rPr>
              <w:t>concernées ou par la société de gestion.</w:t>
            </w:r>
          </w:p>
          <w:p w14:paraId="37F58F18" w14:textId="77777777" w:rsidR="007058CC" w:rsidRPr="00A64175" w:rsidRDefault="007058CC" w:rsidP="00A64175">
            <w:pPr>
              <w:widowControl w:val="0"/>
              <w:autoSpaceDE w:val="0"/>
              <w:adjustRightInd w:val="0"/>
              <w:contextualSpacing/>
              <w:jc w:val="both"/>
              <w:rPr>
                <w:rFonts w:ascii="Arial" w:hAnsi="Arial" w:cs="Arial"/>
                <w:kern w:val="1"/>
              </w:rPr>
            </w:pPr>
          </w:p>
          <w:p w14:paraId="627F53B9" w14:textId="476FA0D1" w:rsidR="007058CC" w:rsidRPr="00A64175" w:rsidRDefault="007058CC" w:rsidP="00A64175">
            <w:pPr>
              <w:widowControl w:val="0"/>
              <w:autoSpaceDE w:val="0"/>
              <w:adjustRightInd w:val="0"/>
              <w:contextualSpacing/>
              <w:jc w:val="both"/>
              <w:rPr>
                <w:rFonts w:ascii="Arial" w:hAnsi="Arial" w:cs="Arial"/>
              </w:rPr>
            </w:pPr>
            <w:r w:rsidRPr="00A64175">
              <w:rPr>
                <w:rFonts w:ascii="Arial" w:hAnsi="Arial" w:cs="Arial"/>
              </w:rPr>
              <w:t xml:space="preserve">Tout projet </w:t>
            </w:r>
            <w:r w:rsidR="00AA3950" w:rsidRPr="00A64175">
              <w:rPr>
                <w:rFonts w:ascii="Arial" w:hAnsi="Arial" w:cs="Arial"/>
              </w:rPr>
              <w:t xml:space="preserve">de </w:t>
            </w:r>
            <w:r w:rsidR="00AA3950">
              <w:rPr>
                <w:rFonts w:ascii="Arial" w:hAnsi="Arial" w:cs="Arial"/>
              </w:rPr>
              <w:t xml:space="preserve">transformation, </w:t>
            </w:r>
            <w:r w:rsidRPr="00A64175">
              <w:rPr>
                <w:rFonts w:ascii="Arial" w:hAnsi="Arial" w:cs="Arial"/>
              </w:rPr>
              <w:t xml:space="preserve">de fusion ou de scission donne lieu à un dépôt d’actes au registre du commerce et du crédit mobilier du lieu du siège social de la société de gestion ou de chacune des </w:t>
            </w:r>
            <w:r w:rsidR="00AA3950">
              <w:rPr>
                <w:rFonts w:ascii="Arial" w:hAnsi="Arial" w:cs="Arial"/>
              </w:rPr>
              <w:t>sociétés d’investissement</w:t>
            </w:r>
            <w:r w:rsidR="00AA3950" w:rsidRPr="00A64175">
              <w:rPr>
                <w:rFonts w:ascii="Arial" w:hAnsi="Arial" w:cs="Arial"/>
              </w:rPr>
              <w:t xml:space="preserve"> </w:t>
            </w:r>
            <w:r w:rsidRPr="00A64175">
              <w:rPr>
                <w:rFonts w:ascii="Arial" w:hAnsi="Arial" w:cs="Arial"/>
              </w:rPr>
              <w:t xml:space="preserve">concernées. Le projet fait l’objet d’un avis publié dans un journal d’annonces légales et sur le site internet de la société de gestion ou de l’OPC. </w:t>
            </w:r>
          </w:p>
          <w:p w14:paraId="49BBCF66" w14:textId="77777777" w:rsidR="007058CC" w:rsidRPr="00A64175" w:rsidRDefault="007058CC" w:rsidP="00A64175">
            <w:pPr>
              <w:widowControl w:val="0"/>
              <w:autoSpaceDE w:val="0"/>
              <w:adjustRightInd w:val="0"/>
              <w:contextualSpacing/>
              <w:jc w:val="both"/>
              <w:rPr>
                <w:rFonts w:ascii="Arial" w:hAnsi="Arial" w:cs="Arial"/>
                <w:kern w:val="1"/>
              </w:rPr>
            </w:pPr>
          </w:p>
          <w:p w14:paraId="45106B2C" w14:textId="69E35E49" w:rsidR="007058CC" w:rsidRPr="00A64175" w:rsidRDefault="007058CC" w:rsidP="00A64175">
            <w:pPr>
              <w:widowControl w:val="0"/>
              <w:autoSpaceDE w:val="0"/>
              <w:adjustRightInd w:val="0"/>
              <w:contextualSpacing/>
              <w:jc w:val="both"/>
              <w:rPr>
                <w:rFonts w:ascii="Arial" w:hAnsi="Arial" w:cs="Arial"/>
                <w:kern w:val="1"/>
              </w:rPr>
            </w:pPr>
            <w:r w:rsidRPr="00A64175">
              <w:rPr>
                <w:rFonts w:ascii="Arial" w:hAnsi="Arial" w:cs="Arial"/>
              </w:rPr>
              <w:t xml:space="preserve">Le conseil d’administration de chacune des </w:t>
            </w:r>
            <w:r w:rsidR="00AA3950">
              <w:rPr>
                <w:rFonts w:ascii="Arial" w:hAnsi="Arial" w:cs="Arial"/>
              </w:rPr>
              <w:t>sociétés d’investissement</w:t>
            </w:r>
            <w:r w:rsidR="00AA3950" w:rsidRPr="00A64175">
              <w:rPr>
                <w:rFonts w:ascii="Arial" w:hAnsi="Arial" w:cs="Arial"/>
              </w:rPr>
              <w:t xml:space="preserve"> </w:t>
            </w:r>
            <w:r w:rsidRPr="00A64175">
              <w:rPr>
                <w:rFonts w:ascii="Arial" w:hAnsi="Arial" w:cs="Arial"/>
              </w:rPr>
              <w:t xml:space="preserve">ou de la société de gestion concernée communique le projet au commissaire aux comptes de chaque OPC concerné au moins quarante-cinq (45) jours avant les assemblées générales extraordinaires des </w:t>
            </w:r>
            <w:r w:rsidR="00AA3950">
              <w:rPr>
                <w:rFonts w:ascii="Arial" w:hAnsi="Arial" w:cs="Arial"/>
              </w:rPr>
              <w:t>sociétés d’investissement</w:t>
            </w:r>
            <w:r w:rsidR="00AA3950" w:rsidRPr="00A64175">
              <w:rPr>
                <w:rFonts w:ascii="Arial" w:hAnsi="Arial" w:cs="Arial"/>
              </w:rPr>
              <w:t xml:space="preserve"> </w:t>
            </w:r>
            <w:r w:rsidRPr="00A64175">
              <w:rPr>
                <w:rFonts w:ascii="Arial" w:hAnsi="Arial" w:cs="Arial"/>
              </w:rPr>
              <w:t>se prononçant sur l’opération envisagée ou la date prévue pour l’opération lorsqu’il s’agit d’un FCP.</w:t>
            </w:r>
          </w:p>
          <w:p w14:paraId="21EC5F23" w14:textId="77777777" w:rsidR="007058CC" w:rsidRPr="00A64175" w:rsidRDefault="007058CC" w:rsidP="00A64175">
            <w:pPr>
              <w:widowControl w:val="0"/>
              <w:autoSpaceDE w:val="0"/>
              <w:adjustRightInd w:val="0"/>
              <w:contextualSpacing/>
              <w:jc w:val="both"/>
              <w:rPr>
                <w:rFonts w:ascii="Arial" w:hAnsi="Arial" w:cs="Arial"/>
                <w:kern w:val="1"/>
              </w:rPr>
            </w:pPr>
          </w:p>
          <w:p w14:paraId="040A87A0" w14:textId="77777777" w:rsidR="007058CC" w:rsidRPr="00A64175" w:rsidRDefault="007058CC" w:rsidP="00A64175">
            <w:pPr>
              <w:widowControl w:val="0"/>
              <w:autoSpaceDE w:val="0"/>
              <w:adjustRightInd w:val="0"/>
              <w:contextualSpacing/>
              <w:jc w:val="both"/>
              <w:rPr>
                <w:rFonts w:ascii="Arial" w:hAnsi="Arial" w:cs="Arial"/>
                <w:kern w:val="1"/>
              </w:rPr>
            </w:pPr>
            <w:r w:rsidRPr="00A64175">
              <w:rPr>
                <w:rFonts w:ascii="Arial" w:hAnsi="Arial" w:cs="Arial"/>
              </w:rPr>
              <w:t xml:space="preserve">Les rapports des commissaires aux comptes sur les conditions de réalisation de l’opération sont tenus à la disposition des actionnaires ou des porteurs de parts au plus tard quinze (15) jours avant la date des assemblées générales extraordinaires ou, lorsqu’il s’agit d’un FCP, la date prévue pour l’opération. </w:t>
            </w:r>
          </w:p>
          <w:p w14:paraId="2301CAA9" w14:textId="77777777" w:rsidR="007058CC" w:rsidRPr="00A64175" w:rsidRDefault="007058CC" w:rsidP="00A64175">
            <w:pPr>
              <w:widowControl w:val="0"/>
              <w:autoSpaceDE w:val="0"/>
              <w:adjustRightInd w:val="0"/>
              <w:contextualSpacing/>
              <w:jc w:val="both"/>
              <w:rPr>
                <w:rFonts w:ascii="Arial" w:hAnsi="Arial" w:cs="Arial"/>
                <w:kern w:val="1"/>
              </w:rPr>
            </w:pPr>
          </w:p>
          <w:p w14:paraId="16C87E74" w14:textId="52A4FEE5" w:rsidR="007058CC" w:rsidRPr="00A64175" w:rsidRDefault="007058CC" w:rsidP="00A64175">
            <w:pPr>
              <w:widowControl w:val="0"/>
              <w:autoSpaceDE w:val="0"/>
              <w:adjustRightInd w:val="0"/>
              <w:contextualSpacing/>
              <w:jc w:val="both"/>
              <w:rPr>
                <w:rFonts w:ascii="Arial" w:hAnsi="Arial" w:cs="Arial"/>
              </w:rPr>
            </w:pPr>
            <w:r w:rsidRPr="00A64175">
              <w:rPr>
                <w:rFonts w:ascii="Arial" w:hAnsi="Arial" w:cs="Arial"/>
              </w:rPr>
              <w:t xml:space="preserve">Les créanciers des OPC participant à l’opération de fusion et dont la créance est antérieure à la publicité donnée au projet de fusion peuvent former opposition à celui-ci auprès de la COSUMAF dans un délai de trente (30) jours à compter de la publication de l’avis prévu </w:t>
            </w:r>
            <w:r w:rsidR="00B54D67" w:rsidRPr="00A64175">
              <w:rPr>
                <w:rFonts w:ascii="Arial" w:hAnsi="Arial" w:cs="Arial"/>
              </w:rPr>
              <w:t>au troisième  alinéa du présent article</w:t>
            </w:r>
            <w:r w:rsidR="001C2F51" w:rsidRPr="00A64175">
              <w:rPr>
                <w:rFonts w:ascii="Arial" w:hAnsi="Arial" w:cs="Arial"/>
              </w:rPr>
              <w:t xml:space="preserve"> </w:t>
            </w:r>
            <w:r w:rsidRPr="00A64175">
              <w:rPr>
                <w:rFonts w:ascii="Arial" w:hAnsi="Arial" w:cs="Arial"/>
              </w:rPr>
              <w:t xml:space="preserve">pour les </w:t>
            </w:r>
            <w:r w:rsidR="00AA3950">
              <w:rPr>
                <w:rFonts w:ascii="Arial" w:hAnsi="Arial" w:cs="Arial"/>
              </w:rPr>
              <w:t>sociétés d’investissement</w:t>
            </w:r>
            <w:r w:rsidR="00AA3950" w:rsidRPr="00A64175">
              <w:rPr>
                <w:rFonts w:ascii="Arial" w:hAnsi="Arial" w:cs="Arial"/>
              </w:rPr>
              <w:t xml:space="preserve"> </w:t>
            </w:r>
            <w:r w:rsidRPr="00A64175">
              <w:rPr>
                <w:rFonts w:ascii="Arial" w:hAnsi="Arial" w:cs="Arial"/>
              </w:rPr>
              <w:t>et, pour les FCP, au plus tard quinze (15) jours avant la date prévue pour l’opération.</w:t>
            </w:r>
          </w:p>
        </w:tc>
      </w:tr>
      <w:tr w:rsidR="007058CC" w:rsidRPr="00A64175" w14:paraId="7B861495" w14:textId="77777777" w:rsidTr="000E7336">
        <w:trPr>
          <w:jc w:val="center"/>
        </w:trPr>
        <w:tc>
          <w:tcPr>
            <w:tcW w:w="10316" w:type="dxa"/>
            <w:shd w:val="clear" w:color="auto" w:fill="auto"/>
          </w:tcPr>
          <w:p w14:paraId="5733A779" w14:textId="77777777" w:rsidR="007058CC" w:rsidRPr="00A64175" w:rsidRDefault="007058CC" w:rsidP="00A64175">
            <w:pPr>
              <w:widowControl w:val="0"/>
              <w:autoSpaceDE w:val="0"/>
              <w:adjustRightInd w:val="0"/>
              <w:contextualSpacing/>
              <w:jc w:val="both"/>
              <w:rPr>
                <w:rFonts w:ascii="Arial" w:hAnsi="Arial" w:cs="Arial"/>
                <w:b/>
                <w:bCs/>
              </w:rPr>
            </w:pPr>
          </w:p>
          <w:p w14:paraId="73ACBA59" w14:textId="5E8BD7D7" w:rsidR="007058CC" w:rsidRPr="00A64175" w:rsidRDefault="007058CC" w:rsidP="00A64175">
            <w:pPr>
              <w:widowControl w:val="0"/>
              <w:autoSpaceDE w:val="0"/>
              <w:adjustRightInd w:val="0"/>
              <w:contextualSpacing/>
              <w:jc w:val="both"/>
              <w:rPr>
                <w:rFonts w:ascii="Arial" w:hAnsi="Arial" w:cs="Arial"/>
              </w:rPr>
            </w:pPr>
            <w:r w:rsidRPr="00A64175">
              <w:rPr>
                <w:rFonts w:ascii="Arial" w:hAnsi="Arial" w:cs="Arial"/>
                <w:b/>
                <w:bCs/>
              </w:rPr>
              <w:t xml:space="preserve">Article </w:t>
            </w:r>
            <w:r w:rsidR="004371B4" w:rsidRPr="00A64175">
              <w:rPr>
                <w:rFonts w:ascii="Arial" w:hAnsi="Arial" w:cs="Arial"/>
                <w:b/>
                <w:bCs/>
              </w:rPr>
              <w:t>32</w:t>
            </w:r>
            <w:r w:rsidR="009B231D">
              <w:rPr>
                <w:rFonts w:ascii="Arial" w:hAnsi="Arial" w:cs="Arial"/>
                <w:b/>
                <w:bCs/>
                <w:kern w:val="1"/>
              </w:rPr>
              <w:t>7</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La liquidation d’un OPC est soumise à </w:t>
            </w:r>
            <w:r w:rsidR="006D618F">
              <w:rPr>
                <w:rFonts w:ascii="Arial" w:hAnsi="Arial" w:cs="Arial"/>
              </w:rPr>
              <w:t xml:space="preserve">l’autorisation </w:t>
            </w:r>
            <w:r w:rsidR="006D618F" w:rsidRPr="00A64175">
              <w:rPr>
                <w:rFonts w:ascii="Arial" w:hAnsi="Arial" w:cs="Arial"/>
              </w:rPr>
              <w:t xml:space="preserve"> </w:t>
            </w:r>
            <w:r w:rsidRPr="00A64175">
              <w:rPr>
                <w:rFonts w:ascii="Arial" w:hAnsi="Arial" w:cs="Arial"/>
              </w:rPr>
              <w:t>préalable de la COSUMAF dans</w:t>
            </w:r>
            <w:r w:rsidR="001C2F51" w:rsidRPr="00A64175">
              <w:rPr>
                <w:rFonts w:ascii="Arial" w:hAnsi="Arial" w:cs="Arial"/>
              </w:rPr>
              <w:t xml:space="preserve"> les conditions précisées par</w:t>
            </w:r>
            <w:r w:rsidRPr="00A64175">
              <w:rPr>
                <w:rFonts w:ascii="Arial" w:hAnsi="Arial" w:cs="Arial"/>
              </w:rPr>
              <w:t xml:space="preserve"> instruction.</w:t>
            </w:r>
          </w:p>
          <w:p w14:paraId="4475F007" w14:textId="77777777" w:rsidR="007058CC" w:rsidRPr="00A64175" w:rsidRDefault="007058CC" w:rsidP="00A64175">
            <w:pPr>
              <w:jc w:val="both"/>
              <w:rPr>
                <w:rFonts w:ascii="Arial" w:hAnsi="Arial" w:cs="Arial"/>
                <w:b/>
                <w:bCs/>
              </w:rPr>
            </w:pPr>
          </w:p>
        </w:tc>
      </w:tr>
      <w:tr w:rsidR="007058CC" w:rsidRPr="00A64175" w14:paraId="17268C99" w14:textId="77777777" w:rsidTr="000E7336">
        <w:trPr>
          <w:jc w:val="center"/>
        </w:trPr>
        <w:tc>
          <w:tcPr>
            <w:tcW w:w="10316" w:type="dxa"/>
            <w:shd w:val="clear" w:color="auto" w:fill="auto"/>
          </w:tcPr>
          <w:p w14:paraId="4475BD47" w14:textId="35E42B86" w:rsidR="007058CC" w:rsidRPr="00A64175" w:rsidRDefault="001C2F51" w:rsidP="00A64175">
            <w:pPr>
              <w:widowControl w:val="0"/>
              <w:autoSpaceDE w:val="0"/>
              <w:adjustRightInd w:val="0"/>
              <w:contextualSpacing/>
              <w:jc w:val="both"/>
              <w:rPr>
                <w:rFonts w:ascii="Arial" w:hAnsi="Arial" w:cs="Arial"/>
                <w:kern w:val="1"/>
              </w:rPr>
            </w:pPr>
            <w:r w:rsidRPr="00A64175">
              <w:rPr>
                <w:rFonts w:ascii="Arial" w:hAnsi="Arial" w:cs="Arial"/>
                <w:b/>
                <w:bCs/>
                <w:kern w:val="1"/>
              </w:rPr>
              <w:t xml:space="preserve">Article </w:t>
            </w:r>
            <w:r w:rsidR="004371B4" w:rsidRPr="00A64175">
              <w:rPr>
                <w:rFonts w:ascii="Arial" w:hAnsi="Arial" w:cs="Arial"/>
                <w:b/>
                <w:bCs/>
                <w:kern w:val="1"/>
              </w:rPr>
              <w:t>32</w:t>
            </w:r>
            <w:r w:rsidR="009B231D">
              <w:rPr>
                <w:rFonts w:ascii="Arial" w:hAnsi="Arial" w:cs="Arial"/>
                <w:b/>
                <w:bCs/>
                <w:kern w:val="1"/>
              </w:rPr>
              <w:t>8</w:t>
            </w:r>
            <w:r w:rsidR="007058CC" w:rsidRPr="00A64175">
              <w:rPr>
                <w:rFonts w:ascii="Arial" w:hAnsi="Arial" w:cs="Arial"/>
                <w:b/>
                <w:bCs/>
                <w:kern w:val="1"/>
              </w:rPr>
              <w:t xml:space="preserve"> –</w:t>
            </w:r>
            <w:r w:rsidR="007058CC" w:rsidRPr="00A64175">
              <w:rPr>
                <w:rFonts w:ascii="Arial" w:hAnsi="Arial" w:cs="Arial"/>
                <w:kern w:val="1"/>
              </w:rPr>
              <w:t xml:space="preserve"> Le montant des </w:t>
            </w:r>
            <w:r w:rsidR="006D618F">
              <w:rPr>
                <w:rFonts w:ascii="Arial" w:hAnsi="Arial" w:cs="Arial"/>
                <w:kern w:val="1"/>
              </w:rPr>
              <w:t>droits</w:t>
            </w:r>
            <w:r w:rsidR="006D618F" w:rsidRPr="00A64175">
              <w:rPr>
                <w:rFonts w:ascii="Arial" w:hAnsi="Arial" w:cs="Arial"/>
                <w:kern w:val="1"/>
              </w:rPr>
              <w:t xml:space="preserve"> </w:t>
            </w:r>
            <w:r w:rsidR="007058CC" w:rsidRPr="00A64175">
              <w:rPr>
                <w:rFonts w:ascii="Arial" w:hAnsi="Arial" w:cs="Arial"/>
                <w:kern w:val="1"/>
              </w:rPr>
              <w:t>à verser à la COSUMAF est précisé dans une instruction de la COSUMAF.</w:t>
            </w:r>
          </w:p>
          <w:p w14:paraId="61D08260" w14:textId="1B9D515C" w:rsidR="002C5B8A" w:rsidRPr="00A64175" w:rsidRDefault="002C5B8A" w:rsidP="00A64175">
            <w:pPr>
              <w:widowControl w:val="0"/>
              <w:autoSpaceDE w:val="0"/>
              <w:adjustRightInd w:val="0"/>
              <w:contextualSpacing/>
              <w:jc w:val="both"/>
              <w:rPr>
                <w:rFonts w:ascii="Arial" w:hAnsi="Arial" w:cs="Arial"/>
                <w:b/>
                <w:bCs/>
              </w:rPr>
            </w:pPr>
          </w:p>
        </w:tc>
      </w:tr>
      <w:tr w:rsidR="007058CC" w:rsidRPr="00A64175" w14:paraId="1D0D3F05" w14:textId="77777777" w:rsidTr="000E7336">
        <w:trPr>
          <w:jc w:val="center"/>
        </w:trPr>
        <w:tc>
          <w:tcPr>
            <w:tcW w:w="10316" w:type="dxa"/>
            <w:shd w:val="clear" w:color="auto" w:fill="auto"/>
          </w:tcPr>
          <w:p w14:paraId="38868E48" w14:textId="77777777" w:rsidR="007058CC" w:rsidRPr="00A64175" w:rsidRDefault="007058CC" w:rsidP="00A64175">
            <w:pPr>
              <w:jc w:val="both"/>
              <w:rPr>
                <w:rFonts w:ascii="Arial" w:hAnsi="Arial" w:cs="Arial"/>
                <w:b/>
              </w:rPr>
            </w:pPr>
          </w:p>
        </w:tc>
      </w:tr>
      <w:tr w:rsidR="007058CC" w:rsidRPr="00A64175" w14:paraId="05B70FC4" w14:textId="77777777" w:rsidTr="000E7336">
        <w:trPr>
          <w:jc w:val="center"/>
        </w:trPr>
        <w:tc>
          <w:tcPr>
            <w:tcW w:w="10316" w:type="dxa"/>
            <w:shd w:val="clear" w:color="auto" w:fill="auto"/>
          </w:tcPr>
          <w:p w14:paraId="203754A5" w14:textId="4CA72CFD" w:rsidR="007058CC" w:rsidRPr="00A64175" w:rsidRDefault="002C5B8A" w:rsidP="00A64175">
            <w:pPr>
              <w:contextualSpacing/>
              <w:jc w:val="both"/>
              <w:rPr>
                <w:rFonts w:ascii="Arial" w:hAnsi="Arial" w:cs="Arial"/>
                <w:bCs/>
                <w:iCs/>
              </w:rPr>
            </w:pPr>
            <w:r w:rsidRPr="00A64175">
              <w:rPr>
                <w:rFonts w:ascii="Arial" w:hAnsi="Arial" w:cs="Arial"/>
                <w:bCs/>
                <w:iCs/>
              </w:rPr>
              <w:t>Sous -section 2</w:t>
            </w:r>
            <w:r w:rsidR="007058CC" w:rsidRPr="00A64175">
              <w:rPr>
                <w:rFonts w:ascii="Arial" w:hAnsi="Arial" w:cs="Arial"/>
                <w:bCs/>
                <w:iCs/>
              </w:rPr>
              <w:t> : Remboursement et rachats</w:t>
            </w:r>
          </w:p>
        </w:tc>
      </w:tr>
      <w:tr w:rsidR="007058CC" w:rsidRPr="00A64175" w14:paraId="155D3A77" w14:textId="77777777" w:rsidTr="000E7336">
        <w:trPr>
          <w:jc w:val="center"/>
        </w:trPr>
        <w:tc>
          <w:tcPr>
            <w:tcW w:w="10316" w:type="dxa"/>
            <w:shd w:val="clear" w:color="auto" w:fill="auto"/>
          </w:tcPr>
          <w:p w14:paraId="5AE4932A" w14:textId="77777777" w:rsidR="007058CC" w:rsidRPr="00A64175" w:rsidRDefault="007058CC" w:rsidP="00A64175">
            <w:pPr>
              <w:contextualSpacing/>
              <w:jc w:val="both"/>
              <w:rPr>
                <w:rFonts w:ascii="Arial" w:hAnsi="Arial" w:cs="Arial"/>
                <w:b/>
                <w:bCs/>
              </w:rPr>
            </w:pPr>
          </w:p>
          <w:p w14:paraId="0DEE9E9C" w14:textId="0D66740C" w:rsidR="007058CC" w:rsidRPr="00A64175" w:rsidRDefault="007058CC" w:rsidP="00A64175">
            <w:pPr>
              <w:contextualSpacing/>
              <w:jc w:val="both"/>
              <w:rPr>
                <w:rFonts w:ascii="Arial" w:hAnsi="Arial" w:cs="Arial"/>
              </w:rPr>
            </w:pPr>
            <w:r w:rsidRPr="00A64175">
              <w:rPr>
                <w:rFonts w:ascii="Arial" w:hAnsi="Arial" w:cs="Arial"/>
                <w:b/>
                <w:bCs/>
              </w:rPr>
              <w:t xml:space="preserve">Article </w:t>
            </w:r>
            <w:r w:rsidR="004371B4" w:rsidRPr="00A64175">
              <w:rPr>
                <w:rFonts w:ascii="Arial" w:hAnsi="Arial" w:cs="Arial"/>
                <w:b/>
                <w:bCs/>
                <w:kern w:val="1"/>
              </w:rPr>
              <w:t>32</w:t>
            </w:r>
            <w:r w:rsidR="009B231D">
              <w:rPr>
                <w:rFonts w:ascii="Arial" w:hAnsi="Arial" w:cs="Arial"/>
                <w:b/>
                <w:bCs/>
                <w:kern w:val="1"/>
              </w:rPr>
              <w:t>9</w:t>
            </w:r>
            <w:r w:rsidRPr="00A64175">
              <w:rPr>
                <w:rFonts w:ascii="Arial" w:hAnsi="Arial" w:cs="Arial"/>
                <w:b/>
                <w:bCs/>
                <w:kern w:val="1"/>
              </w:rPr>
              <w:t xml:space="preserve"> –</w:t>
            </w:r>
            <w:r w:rsidRPr="00A64175">
              <w:rPr>
                <w:rFonts w:ascii="Arial" w:hAnsi="Arial" w:cs="Arial"/>
                <w:b/>
                <w:bCs/>
              </w:rPr>
              <w:t xml:space="preserve"> </w:t>
            </w:r>
            <w:r w:rsidRPr="00A64175">
              <w:rPr>
                <w:rFonts w:ascii="Arial" w:hAnsi="Arial" w:cs="Arial"/>
              </w:rPr>
              <w:t>Dans des conditions exceptionnelles de marché et sous réserve que ces dispositifs soient prévus dans le règlement du fonds ou les documents constitutifs, une société de gestion ou un OPC peut :</w:t>
            </w:r>
          </w:p>
          <w:p w14:paraId="16476CD0" w14:textId="77777777" w:rsidR="007058CC" w:rsidRPr="00A64175" w:rsidRDefault="007058CC" w:rsidP="00A64175">
            <w:pPr>
              <w:pStyle w:val="Paragraphedeliste"/>
              <w:numPr>
                <w:ilvl w:val="0"/>
                <w:numId w:val="116"/>
              </w:numPr>
              <w:spacing w:after="0" w:afterAutospacing="0" w:line="240" w:lineRule="auto"/>
              <w:contextualSpacing/>
            </w:pPr>
            <w:r w:rsidRPr="00A64175">
              <w:t xml:space="preserve">Imposer des frais de sortie supplémentaires ; </w:t>
            </w:r>
          </w:p>
          <w:p w14:paraId="4D262C7F" w14:textId="77777777" w:rsidR="007058CC" w:rsidRPr="00A64175" w:rsidRDefault="007058CC" w:rsidP="00A64175">
            <w:pPr>
              <w:pStyle w:val="Paragraphedeliste"/>
              <w:numPr>
                <w:ilvl w:val="0"/>
                <w:numId w:val="116"/>
              </w:numPr>
              <w:spacing w:after="0" w:afterAutospacing="0" w:line="240" w:lineRule="auto"/>
              <w:contextualSpacing/>
            </w:pPr>
            <w:r w:rsidRPr="00A64175">
              <w:t xml:space="preserve">Échelonner des remboursements ; </w:t>
            </w:r>
          </w:p>
          <w:p w14:paraId="4C85E22C" w14:textId="5E9B547E" w:rsidR="007058CC" w:rsidRPr="00A64175" w:rsidRDefault="007058CC" w:rsidP="00A64175">
            <w:pPr>
              <w:pStyle w:val="Paragraphedeliste"/>
              <w:numPr>
                <w:ilvl w:val="0"/>
                <w:numId w:val="116"/>
              </w:numPr>
              <w:spacing w:after="0" w:afterAutospacing="0" w:line="240" w:lineRule="auto"/>
              <w:contextualSpacing/>
            </w:pPr>
            <w:r w:rsidRPr="00A64175">
              <w:t>Appliquer un écart entr</w:t>
            </w:r>
            <w:r w:rsidR="00164C6A" w:rsidRPr="00A64175">
              <w:t>e le cours d’achat et le cours de vente</w:t>
            </w:r>
            <w:r w:rsidRPr="00A64175">
              <w:t>.</w:t>
            </w:r>
          </w:p>
          <w:p w14:paraId="47428A40" w14:textId="77777777" w:rsidR="007058CC" w:rsidRPr="00A64175" w:rsidRDefault="007058CC" w:rsidP="00A64175">
            <w:pPr>
              <w:contextualSpacing/>
              <w:jc w:val="both"/>
              <w:rPr>
                <w:rFonts w:ascii="Arial" w:hAnsi="Arial" w:cs="Arial"/>
              </w:rPr>
            </w:pPr>
          </w:p>
          <w:p w14:paraId="5EBE920A" w14:textId="060F917C" w:rsidR="007058CC" w:rsidRPr="00A64175" w:rsidRDefault="007058CC" w:rsidP="00A64175">
            <w:pPr>
              <w:contextualSpacing/>
              <w:jc w:val="both"/>
              <w:rPr>
                <w:rFonts w:ascii="Arial" w:hAnsi="Arial" w:cs="Arial"/>
              </w:rPr>
            </w:pPr>
            <w:r w:rsidRPr="00A64175">
              <w:rPr>
                <w:rFonts w:ascii="Arial" w:hAnsi="Arial" w:cs="Arial"/>
              </w:rPr>
              <w:t>Les modalités à respecter sont précisées dans une</w:t>
            </w:r>
            <w:r w:rsidR="00885B4B" w:rsidRPr="00A64175">
              <w:rPr>
                <w:rFonts w:ascii="Arial" w:hAnsi="Arial" w:cs="Arial"/>
              </w:rPr>
              <w:t xml:space="preserve"> instruction d</w:t>
            </w:r>
            <w:r w:rsidRPr="00A64175">
              <w:rPr>
                <w:rFonts w:ascii="Arial" w:hAnsi="Arial" w:cs="Arial"/>
              </w:rPr>
              <w:t>e la COSUMAF.</w:t>
            </w:r>
          </w:p>
          <w:p w14:paraId="4FF56CD6" w14:textId="77777777" w:rsidR="007058CC" w:rsidRPr="00A64175" w:rsidRDefault="007058CC" w:rsidP="00A64175">
            <w:pPr>
              <w:jc w:val="both"/>
              <w:rPr>
                <w:rFonts w:ascii="Arial" w:hAnsi="Arial" w:cs="Arial"/>
                <w:b/>
              </w:rPr>
            </w:pPr>
          </w:p>
        </w:tc>
      </w:tr>
      <w:tr w:rsidR="007058CC" w:rsidRPr="00A64175" w14:paraId="60ACDE4F" w14:textId="77777777" w:rsidTr="000E7336">
        <w:trPr>
          <w:jc w:val="center"/>
        </w:trPr>
        <w:tc>
          <w:tcPr>
            <w:tcW w:w="10316" w:type="dxa"/>
            <w:shd w:val="clear" w:color="auto" w:fill="auto"/>
          </w:tcPr>
          <w:p w14:paraId="3498B036" w14:textId="33C825EA" w:rsidR="007058CC" w:rsidRPr="00A64175" w:rsidRDefault="007058CC" w:rsidP="00A64175">
            <w:pPr>
              <w:contextualSpacing/>
              <w:jc w:val="both"/>
              <w:rPr>
                <w:rFonts w:ascii="Arial" w:hAnsi="Arial" w:cs="Arial"/>
                <w:bCs/>
                <w:iCs/>
              </w:rPr>
            </w:pPr>
          </w:p>
        </w:tc>
      </w:tr>
      <w:tr w:rsidR="007058CC" w:rsidRPr="00A64175" w14:paraId="66EB1CB8" w14:textId="77777777" w:rsidTr="000E7336">
        <w:trPr>
          <w:jc w:val="center"/>
        </w:trPr>
        <w:tc>
          <w:tcPr>
            <w:tcW w:w="10316" w:type="dxa"/>
            <w:shd w:val="clear" w:color="auto" w:fill="auto"/>
          </w:tcPr>
          <w:p w14:paraId="0E9AE25F" w14:textId="1E4CFB5F" w:rsidR="00243400" w:rsidRPr="00A64175" w:rsidRDefault="00243400" w:rsidP="00A64175">
            <w:pPr>
              <w:contextualSpacing/>
              <w:jc w:val="both"/>
              <w:rPr>
                <w:rFonts w:ascii="Arial" w:hAnsi="Arial" w:cs="Arial"/>
                <w:b/>
                <w:bCs/>
              </w:rPr>
            </w:pPr>
          </w:p>
        </w:tc>
      </w:tr>
      <w:tr w:rsidR="007058CC" w:rsidRPr="00A64175" w14:paraId="4045962F" w14:textId="77777777" w:rsidTr="000E7336">
        <w:trPr>
          <w:jc w:val="center"/>
        </w:trPr>
        <w:tc>
          <w:tcPr>
            <w:tcW w:w="10316" w:type="dxa"/>
            <w:shd w:val="clear" w:color="auto" w:fill="auto"/>
          </w:tcPr>
          <w:p w14:paraId="64B9A040" w14:textId="77777777" w:rsidR="007058CC" w:rsidRPr="00A64175" w:rsidRDefault="007058CC" w:rsidP="00A64175">
            <w:pPr>
              <w:contextualSpacing/>
              <w:jc w:val="both"/>
              <w:rPr>
                <w:rFonts w:ascii="Arial" w:hAnsi="Arial" w:cs="Arial"/>
                <w:b/>
                <w:bCs/>
              </w:rPr>
            </w:pPr>
            <w:r w:rsidRPr="00A64175">
              <w:rPr>
                <w:rFonts w:ascii="Arial" w:hAnsi="Arial" w:cs="Arial"/>
                <w:b/>
                <w:bCs/>
              </w:rPr>
              <w:t xml:space="preserve">Section II : Communications </w:t>
            </w:r>
          </w:p>
        </w:tc>
      </w:tr>
      <w:tr w:rsidR="007058CC" w:rsidRPr="00A64175" w14:paraId="266E9380" w14:textId="77777777" w:rsidTr="000E7336">
        <w:trPr>
          <w:jc w:val="center"/>
        </w:trPr>
        <w:tc>
          <w:tcPr>
            <w:tcW w:w="10316" w:type="dxa"/>
            <w:shd w:val="clear" w:color="auto" w:fill="auto"/>
          </w:tcPr>
          <w:p w14:paraId="53F817C2" w14:textId="77777777" w:rsidR="00243400" w:rsidRPr="00A64175" w:rsidRDefault="00243400" w:rsidP="00A64175">
            <w:pPr>
              <w:contextualSpacing/>
              <w:jc w:val="both"/>
              <w:rPr>
                <w:rFonts w:ascii="Arial" w:hAnsi="Arial" w:cs="Arial"/>
                <w:bCs/>
                <w:iCs/>
              </w:rPr>
            </w:pPr>
          </w:p>
          <w:p w14:paraId="489F683C" w14:textId="053B770B" w:rsidR="007058CC" w:rsidRPr="00A64175" w:rsidRDefault="007058CC" w:rsidP="00A64175">
            <w:pPr>
              <w:contextualSpacing/>
              <w:jc w:val="both"/>
              <w:rPr>
                <w:rFonts w:ascii="Arial" w:hAnsi="Arial" w:cs="Arial"/>
                <w:bCs/>
                <w:iCs/>
              </w:rPr>
            </w:pPr>
            <w:r w:rsidRPr="00A64175">
              <w:rPr>
                <w:rFonts w:ascii="Arial" w:hAnsi="Arial" w:cs="Arial"/>
                <w:bCs/>
                <w:iCs/>
              </w:rPr>
              <w:t>Sous-se</w:t>
            </w:r>
            <w:r w:rsidR="002E6FC9" w:rsidRPr="00A64175">
              <w:rPr>
                <w:rFonts w:ascii="Arial" w:hAnsi="Arial" w:cs="Arial"/>
                <w:bCs/>
                <w:iCs/>
              </w:rPr>
              <w:t>ction 1 – Rapport trimestriel</w:t>
            </w:r>
          </w:p>
        </w:tc>
      </w:tr>
      <w:tr w:rsidR="007058CC" w:rsidRPr="00A64175" w14:paraId="241BF103" w14:textId="77777777" w:rsidTr="000E7336">
        <w:trPr>
          <w:jc w:val="center"/>
        </w:trPr>
        <w:tc>
          <w:tcPr>
            <w:tcW w:w="10316" w:type="dxa"/>
            <w:shd w:val="clear" w:color="auto" w:fill="auto"/>
          </w:tcPr>
          <w:p w14:paraId="7B1D56D6" w14:textId="77777777" w:rsidR="007058CC" w:rsidRPr="00A64175" w:rsidRDefault="007058CC" w:rsidP="00A64175">
            <w:pPr>
              <w:contextualSpacing/>
              <w:jc w:val="both"/>
              <w:rPr>
                <w:rFonts w:ascii="Arial" w:hAnsi="Arial" w:cs="Arial"/>
                <w:b/>
                <w:bCs/>
              </w:rPr>
            </w:pPr>
          </w:p>
          <w:p w14:paraId="2F993891" w14:textId="2E7EA4F6" w:rsidR="007058CC" w:rsidRPr="00A64175" w:rsidRDefault="007058CC" w:rsidP="00A64175">
            <w:pPr>
              <w:contextualSpacing/>
              <w:jc w:val="both"/>
              <w:rPr>
                <w:rFonts w:ascii="Arial" w:hAnsi="Arial" w:cs="Arial"/>
              </w:rPr>
            </w:pPr>
            <w:r w:rsidRPr="00A64175">
              <w:rPr>
                <w:rFonts w:ascii="Arial" w:hAnsi="Arial" w:cs="Arial"/>
                <w:b/>
                <w:bCs/>
              </w:rPr>
              <w:t xml:space="preserve">Article </w:t>
            </w:r>
            <w:r w:rsidR="004371B4" w:rsidRPr="00A64175">
              <w:rPr>
                <w:rFonts w:ascii="Arial" w:hAnsi="Arial" w:cs="Arial"/>
                <w:b/>
                <w:bCs/>
                <w:kern w:val="1"/>
              </w:rPr>
              <w:t>3</w:t>
            </w:r>
            <w:r w:rsidR="009B231D">
              <w:rPr>
                <w:rFonts w:ascii="Arial" w:hAnsi="Arial" w:cs="Arial"/>
                <w:b/>
                <w:bCs/>
                <w:kern w:val="1"/>
              </w:rPr>
              <w:t>30</w:t>
            </w:r>
            <w:r w:rsidR="004371B4" w:rsidRPr="00A64175">
              <w:rPr>
                <w:rFonts w:ascii="Arial" w:hAnsi="Arial" w:cs="Arial"/>
                <w:b/>
                <w:bCs/>
                <w:kern w:val="1"/>
              </w:rPr>
              <w:t xml:space="preserve"> </w:t>
            </w:r>
            <w:r w:rsidRPr="00A64175">
              <w:rPr>
                <w:rFonts w:ascii="Arial" w:hAnsi="Arial" w:cs="Arial"/>
                <w:b/>
                <w:bCs/>
                <w:kern w:val="1"/>
              </w:rPr>
              <w:t>–</w:t>
            </w:r>
            <w:r w:rsidRPr="00A64175">
              <w:rPr>
                <w:rFonts w:ascii="Arial" w:hAnsi="Arial" w:cs="Arial"/>
                <w:b/>
                <w:bCs/>
              </w:rPr>
              <w:t xml:space="preserve"> </w:t>
            </w:r>
            <w:r w:rsidRPr="00A64175">
              <w:rPr>
                <w:rFonts w:ascii="Arial" w:hAnsi="Arial" w:cs="Arial"/>
              </w:rPr>
              <w:t>La société de gestion ou l’OPC transmet à la COSUMAF dans un délai de q</w:t>
            </w:r>
            <w:r w:rsidR="00826E14" w:rsidRPr="00A64175">
              <w:rPr>
                <w:rFonts w:ascii="Arial" w:hAnsi="Arial" w:cs="Arial"/>
              </w:rPr>
              <w:t>uinze (15) jours après la fin de chaque</w:t>
            </w:r>
            <w:r w:rsidRPr="00A64175">
              <w:rPr>
                <w:rFonts w:ascii="Arial" w:hAnsi="Arial" w:cs="Arial"/>
              </w:rPr>
              <w:t xml:space="preserve"> trimestre, un rappo</w:t>
            </w:r>
            <w:r w:rsidR="00826E14" w:rsidRPr="00A64175">
              <w:rPr>
                <w:rFonts w:ascii="Arial" w:hAnsi="Arial" w:cs="Arial"/>
              </w:rPr>
              <w:t>rt trimestriel d’activité. Ce</w:t>
            </w:r>
            <w:r w:rsidRPr="00A64175">
              <w:rPr>
                <w:rFonts w:ascii="Arial" w:hAnsi="Arial" w:cs="Arial"/>
              </w:rPr>
              <w:t xml:space="preserve"> rapport doit comporter les informations précisées dans une instruction. </w:t>
            </w:r>
          </w:p>
        </w:tc>
      </w:tr>
      <w:tr w:rsidR="007058CC" w:rsidRPr="00A64175" w14:paraId="422EC658" w14:textId="77777777" w:rsidTr="000E7336">
        <w:trPr>
          <w:jc w:val="center"/>
        </w:trPr>
        <w:tc>
          <w:tcPr>
            <w:tcW w:w="10316" w:type="dxa"/>
            <w:shd w:val="clear" w:color="auto" w:fill="auto"/>
          </w:tcPr>
          <w:p w14:paraId="5EF9CDDD" w14:textId="77777777" w:rsidR="007058CC" w:rsidRPr="00A64175" w:rsidRDefault="007058CC" w:rsidP="00A64175">
            <w:pPr>
              <w:contextualSpacing/>
              <w:jc w:val="both"/>
              <w:rPr>
                <w:rFonts w:ascii="Arial" w:hAnsi="Arial" w:cs="Arial"/>
                <w:b/>
              </w:rPr>
            </w:pPr>
          </w:p>
          <w:p w14:paraId="305B85F5" w14:textId="3E2EE5BE" w:rsidR="007058CC" w:rsidRPr="00A64175" w:rsidRDefault="007058CC" w:rsidP="00A64175">
            <w:pPr>
              <w:contextualSpacing/>
              <w:jc w:val="both"/>
              <w:rPr>
                <w:rFonts w:ascii="Arial" w:hAnsi="Arial" w:cs="Arial"/>
                <w:bCs/>
                <w:i/>
                <w:iCs/>
              </w:rPr>
            </w:pPr>
            <w:r w:rsidRPr="00A64175">
              <w:rPr>
                <w:rFonts w:ascii="Arial" w:hAnsi="Arial" w:cs="Arial"/>
                <w:bCs/>
                <w:i/>
                <w:iCs/>
              </w:rPr>
              <w:t>Sou</w:t>
            </w:r>
            <w:r w:rsidR="002E6FC9" w:rsidRPr="00A64175">
              <w:rPr>
                <w:rFonts w:ascii="Arial" w:hAnsi="Arial" w:cs="Arial"/>
                <w:bCs/>
                <w:i/>
                <w:iCs/>
              </w:rPr>
              <w:t>s-section 2 – Rapports</w:t>
            </w:r>
            <w:r w:rsidRPr="00A64175">
              <w:rPr>
                <w:rFonts w:ascii="Arial" w:hAnsi="Arial" w:cs="Arial"/>
                <w:bCs/>
                <w:i/>
                <w:iCs/>
              </w:rPr>
              <w:t xml:space="preserve"> </w:t>
            </w:r>
            <w:r w:rsidR="002B1C88" w:rsidRPr="00A64175">
              <w:rPr>
                <w:rFonts w:ascii="Arial" w:hAnsi="Arial" w:cs="Arial"/>
                <w:bCs/>
                <w:i/>
                <w:iCs/>
              </w:rPr>
              <w:t xml:space="preserve">annuel et </w:t>
            </w:r>
            <w:r w:rsidRPr="00A64175">
              <w:rPr>
                <w:rFonts w:ascii="Arial" w:hAnsi="Arial" w:cs="Arial"/>
                <w:bCs/>
                <w:i/>
                <w:iCs/>
              </w:rPr>
              <w:t>semestriel</w:t>
            </w:r>
          </w:p>
        </w:tc>
      </w:tr>
      <w:tr w:rsidR="007058CC" w:rsidRPr="00A64175" w14:paraId="4C296A67" w14:textId="77777777" w:rsidTr="000E7336">
        <w:trPr>
          <w:jc w:val="center"/>
        </w:trPr>
        <w:tc>
          <w:tcPr>
            <w:tcW w:w="10316" w:type="dxa"/>
            <w:shd w:val="clear" w:color="auto" w:fill="auto"/>
          </w:tcPr>
          <w:p w14:paraId="177BFC9B" w14:textId="77777777" w:rsidR="007058CC" w:rsidRPr="00A64175" w:rsidRDefault="007058CC" w:rsidP="00A64175">
            <w:pPr>
              <w:contextualSpacing/>
              <w:jc w:val="both"/>
              <w:rPr>
                <w:rFonts w:ascii="Arial" w:hAnsi="Arial" w:cs="Arial"/>
                <w:b/>
                <w:bCs/>
              </w:rPr>
            </w:pPr>
          </w:p>
          <w:p w14:paraId="28308DD4" w14:textId="77777777" w:rsidR="002B1C88" w:rsidRPr="00A64175" w:rsidRDefault="002B1C88" w:rsidP="00A64175">
            <w:pPr>
              <w:contextualSpacing/>
              <w:jc w:val="both"/>
              <w:rPr>
                <w:rFonts w:ascii="Arial" w:hAnsi="Arial" w:cs="Arial"/>
                <w:b/>
                <w:bCs/>
              </w:rPr>
            </w:pPr>
          </w:p>
          <w:p w14:paraId="32BE41DA" w14:textId="4B8B3879" w:rsidR="002B1C88" w:rsidRDefault="002B1C88" w:rsidP="00A64175">
            <w:pPr>
              <w:contextualSpacing/>
              <w:jc w:val="both"/>
              <w:rPr>
                <w:rFonts w:ascii="Arial" w:hAnsi="Arial" w:cs="Arial"/>
                <w:b/>
                <w:bCs/>
              </w:rPr>
            </w:pPr>
            <w:r w:rsidRPr="00A64175">
              <w:rPr>
                <w:rFonts w:ascii="Arial" w:hAnsi="Arial" w:cs="Arial"/>
                <w:b/>
                <w:bCs/>
              </w:rPr>
              <w:t xml:space="preserve">Article </w:t>
            </w:r>
            <w:r w:rsidR="004371B4" w:rsidRPr="00A64175">
              <w:rPr>
                <w:rFonts w:ascii="Arial" w:hAnsi="Arial" w:cs="Arial"/>
                <w:b/>
                <w:bCs/>
                <w:kern w:val="1"/>
              </w:rPr>
              <w:t>3</w:t>
            </w:r>
            <w:r w:rsidR="009B231D">
              <w:rPr>
                <w:rFonts w:ascii="Arial" w:hAnsi="Arial" w:cs="Arial"/>
                <w:b/>
                <w:bCs/>
                <w:kern w:val="1"/>
              </w:rPr>
              <w:t>31</w:t>
            </w:r>
            <w:r w:rsidR="004371B4" w:rsidRPr="00A64175">
              <w:rPr>
                <w:rFonts w:ascii="Arial" w:hAnsi="Arial" w:cs="Arial"/>
                <w:b/>
                <w:bCs/>
                <w:kern w:val="1"/>
              </w:rPr>
              <w:t xml:space="preserve"> </w:t>
            </w:r>
            <w:r w:rsidRPr="00A64175">
              <w:rPr>
                <w:rFonts w:ascii="Arial" w:hAnsi="Arial" w:cs="Arial"/>
                <w:b/>
                <w:bCs/>
                <w:kern w:val="1"/>
              </w:rPr>
              <w:t>–</w:t>
            </w:r>
            <w:r w:rsidR="003F6CEB" w:rsidRPr="00A64175">
              <w:rPr>
                <w:rFonts w:ascii="Arial" w:hAnsi="Arial" w:cs="Arial"/>
              </w:rPr>
              <w:t xml:space="preserve">La société de gestion ou l’OPC transmet à la COSUMAF dans un délai de </w:t>
            </w:r>
            <w:r w:rsidR="003F6CEB">
              <w:rPr>
                <w:rFonts w:ascii="Arial" w:hAnsi="Arial" w:cs="Arial"/>
              </w:rPr>
              <w:t>trente</w:t>
            </w:r>
            <w:r w:rsidR="003F6CEB" w:rsidRPr="00A64175">
              <w:rPr>
                <w:rFonts w:ascii="Arial" w:hAnsi="Arial" w:cs="Arial"/>
              </w:rPr>
              <w:t xml:space="preserve"> (</w:t>
            </w:r>
            <w:r w:rsidR="003F6CEB">
              <w:rPr>
                <w:rFonts w:ascii="Arial" w:hAnsi="Arial" w:cs="Arial"/>
              </w:rPr>
              <w:t>30</w:t>
            </w:r>
            <w:r w:rsidR="003F6CEB" w:rsidRPr="00A64175">
              <w:rPr>
                <w:rFonts w:ascii="Arial" w:hAnsi="Arial" w:cs="Arial"/>
              </w:rPr>
              <w:t>) jours après la fin de chaque</w:t>
            </w:r>
            <w:r w:rsidR="003F6CEB">
              <w:rPr>
                <w:rFonts w:ascii="Arial" w:hAnsi="Arial" w:cs="Arial"/>
              </w:rPr>
              <w:t xml:space="preserve"> année, </w:t>
            </w:r>
            <w:r w:rsidR="003F6CEB" w:rsidRPr="00A64175">
              <w:rPr>
                <w:rFonts w:ascii="Arial" w:hAnsi="Arial" w:cs="Arial"/>
              </w:rPr>
              <w:t xml:space="preserve">un rapport </w:t>
            </w:r>
            <w:r w:rsidR="003F6CEB">
              <w:rPr>
                <w:rFonts w:ascii="Arial" w:hAnsi="Arial" w:cs="Arial"/>
              </w:rPr>
              <w:t>annuel</w:t>
            </w:r>
            <w:r w:rsidR="003F6CEB" w:rsidRPr="00A64175">
              <w:rPr>
                <w:rFonts w:ascii="Arial" w:hAnsi="Arial" w:cs="Arial"/>
              </w:rPr>
              <w:t xml:space="preserve"> d’activité</w:t>
            </w:r>
            <w:r w:rsidR="003F6CEB">
              <w:rPr>
                <w:rFonts w:ascii="Arial" w:hAnsi="Arial" w:cs="Arial"/>
              </w:rPr>
              <w:t>. Une instruction de la COSUMAF précise le contenu du rapport annuel.</w:t>
            </w:r>
          </w:p>
          <w:p w14:paraId="17F86899" w14:textId="77777777" w:rsidR="003F6CEB" w:rsidRPr="00A64175" w:rsidRDefault="003F6CEB" w:rsidP="00A64175">
            <w:pPr>
              <w:contextualSpacing/>
              <w:jc w:val="both"/>
              <w:rPr>
                <w:rFonts w:ascii="Arial" w:hAnsi="Arial" w:cs="Arial"/>
                <w:b/>
                <w:bCs/>
              </w:rPr>
            </w:pPr>
          </w:p>
          <w:p w14:paraId="33F177D5" w14:textId="37026242" w:rsidR="003F6CEB" w:rsidRDefault="007058CC" w:rsidP="003F6CEB">
            <w:pPr>
              <w:contextualSpacing/>
              <w:jc w:val="both"/>
              <w:rPr>
                <w:rFonts w:ascii="Arial" w:hAnsi="Arial" w:cs="Arial"/>
                <w:b/>
                <w:bCs/>
              </w:rPr>
            </w:pPr>
            <w:r w:rsidRPr="00A64175">
              <w:rPr>
                <w:rFonts w:ascii="Arial" w:hAnsi="Arial" w:cs="Arial"/>
                <w:b/>
                <w:bCs/>
              </w:rPr>
              <w:t xml:space="preserve">Article </w:t>
            </w:r>
            <w:r w:rsidR="004371B4" w:rsidRPr="00A64175">
              <w:rPr>
                <w:rFonts w:ascii="Arial" w:hAnsi="Arial" w:cs="Arial"/>
                <w:b/>
                <w:bCs/>
                <w:kern w:val="1"/>
              </w:rPr>
              <w:t>3</w:t>
            </w:r>
            <w:r w:rsidR="009B231D">
              <w:rPr>
                <w:rFonts w:ascii="Arial" w:hAnsi="Arial" w:cs="Arial"/>
                <w:b/>
                <w:bCs/>
                <w:kern w:val="1"/>
              </w:rPr>
              <w:t>32</w:t>
            </w:r>
            <w:r w:rsidRPr="00A64175">
              <w:rPr>
                <w:rFonts w:ascii="Arial" w:hAnsi="Arial" w:cs="Arial"/>
                <w:b/>
                <w:bCs/>
                <w:kern w:val="1"/>
              </w:rPr>
              <w:t xml:space="preserve"> –</w:t>
            </w:r>
            <w:r w:rsidRPr="00A64175">
              <w:rPr>
                <w:rFonts w:ascii="Arial" w:hAnsi="Arial" w:cs="Arial"/>
                <w:b/>
                <w:bCs/>
              </w:rPr>
              <w:t xml:space="preserve"> </w:t>
            </w:r>
            <w:r w:rsidRPr="00A64175">
              <w:rPr>
                <w:rFonts w:ascii="Arial" w:hAnsi="Arial" w:cs="Arial"/>
              </w:rPr>
              <w:t xml:space="preserve">Le rapport semestriel comporte les informations précisées dans une instruction.  </w:t>
            </w:r>
            <w:r w:rsidR="003F6CEB" w:rsidRPr="00A64175">
              <w:rPr>
                <w:rFonts w:ascii="Arial" w:hAnsi="Arial" w:cs="Arial"/>
              </w:rPr>
              <w:t xml:space="preserve">La société de gestion ou l’OPC transmet à la COSUMAF dans un délai de </w:t>
            </w:r>
            <w:r w:rsidR="003F6CEB">
              <w:rPr>
                <w:rFonts w:ascii="Arial" w:hAnsi="Arial" w:cs="Arial"/>
              </w:rPr>
              <w:t>trente</w:t>
            </w:r>
            <w:r w:rsidR="003F6CEB" w:rsidRPr="00A64175">
              <w:rPr>
                <w:rFonts w:ascii="Arial" w:hAnsi="Arial" w:cs="Arial"/>
              </w:rPr>
              <w:t xml:space="preserve"> (</w:t>
            </w:r>
            <w:r w:rsidR="003F6CEB">
              <w:rPr>
                <w:rFonts w:ascii="Arial" w:hAnsi="Arial" w:cs="Arial"/>
              </w:rPr>
              <w:t>30</w:t>
            </w:r>
            <w:r w:rsidR="003F6CEB" w:rsidRPr="00A64175">
              <w:rPr>
                <w:rFonts w:ascii="Arial" w:hAnsi="Arial" w:cs="Arial"/>
              </w:rPr>
              <w:t>) jours après la fin de chaque</w:t>
            </w:r>
            <w:r w:rsidR="003F6CEB">
              <w:rPr>
                <w:rFonts w:ascii="Arial" w:hAnsi="Arial" w:cs="Arial"/>
              </w:rPr>
              <w:t xml:space="preserve"> semestre, </w:t>
            </w:r>
            <w:r w:rsidR="003F6CEB" w:rsidRPr="00A64175">
              <w:rPr>
                <w:rFonts w:ascii="Arial" w:hAnsi="Arial" w:cs="Arial"/>
              </w:rPr>
              <w:t xml:space="preserve">un rapport </w:t>
            </w:r>
            <w:r w:rsidR="003F6CEB">
              <w:rPr>
                <w:rFonts w:ascii="Arial" w:hAnsi="Arial" w:cs="Arial"/>
              </w:rPr>
              <w:t>se</w:t>
            </w:r>
            <w:r w:rsidR="003F6CEB" w:rsidRPr="00A64175">
              <w:rPr>
                <w:rFonts w:ascii="Arial" w:hAnsi="Arial" w:cs="Arial"/>
              </w:rPr>
              <w:t>mestriel d’activité</w:t>
            </w:r>
            <w:r w:rsidR="003F6CEB">
              <w:rPr>
                <w:rFonts w:ascii="Arial" w:hAnsi="Arial" w:cs="Arial"/>
              </w:rPr>
              <w:t xml:space="preserve">. Une instruction de la COSUMAF précise le contenu </w:t>
            </w:r>
            <w:r w:rsidR="00585D19">
              <w:rPr>
                <w:rFonts w:ascii="Arial" w:hAnsi="Arial" w:cs="Arial"/>
              </w:rPr>
              <w:t>du rapport semestriel</w:t>
            </w:r>
            <w:r w:rsidR="003F6CEB">
              <w:rPr>
                <w:rFonts w:ascii="Arial" w:hAnsi="Arial" w:cs="Arial"/>
              </w:rPr>
              <w:t>.</w:t>
            </w:r>
          </w:p>
          <w:p w14:paraId="0A968999" w14:textId="518EE565" w:rsidR="007058CC" w:rsidRPr="00A64175" w:rsidRDefault="007058CC" w:rsidP="00A64175">
            <w:pPr>
              <w:contextualSpacing/>
              <w:jc w:val="both"/>
              <w:rPr>
                <w:rFonts w:ascii="Arial" w:hAnsi="Arial" w:cs="Arial"/>
                <w:bCs/>
              </w:rPr>
            </w:pPr>
          </w:p>
        </w:tc>
      </w:tr>
      <w:tr w:rsidR="007058CC" w:rsidRPr="00A64175" w14:paraId="3C5F1DBB" w14:textId="77777777" w:rsidTr="000E7336">
        <w:trPr>
          <w:trHeight w:val="250"/>
          <w:jc w:val="center"/>
        </w:trPr>
        <w:tc>
          <w:tcPr>
            <w:tcW w:w="10316" w:type="dxa"/>
            <w:shd w:val="clear" w:color="auto" w:fill="auto"/>
          </w:tcPr>
          <w:p w14:paraId="6BE3D79E" w14:textId="77777777" w:rsidR="007058CC" w:rsidRPr="00A64175" w:rsidRDefault="007058CC" w:rsidP="00A64175">
            <w:pPr>
              <w:jc w:val="both"/>
              <w:rPr>
                <w:rFonts w:ascii="Arial" w:hAnsi="Arial" w:cs="Arial"/>
                <w:b/>
              </w:rPr>
            </w:pPr>
          </w:p>
          <w:p w14:paraId="1ED3BF50" w14:textId="77777777" w:rsidR="007058CC" w:rsidRPr="00A64175" w:rsidRDefault="007058CC" w:rsidP="00A64175">
            <w:pPr>
              <w:jc w:val="both"/>
              <w:rPr>
                <w:rFonts w:ascii="Arial" w:hAnsi="Arial" w:cs="Arial"/>
                <w:bCs/>
                <w:i/>
                <w:iCs/>
              </w:rPr>
            </w:pPr>
            <w:r w:rsidRPr="00A64175">
              <w:rPr>
                <w:rFonts w:ascii="Arial" w:hAnsi="Arial" w:cs="Arial"/>
                <w:bCs/>
                <w:i/>
                <w:iCs/>
              </w:rPr>
              <w:t>Sous-section 3 – Diffusion</w:t>
            </w:r>
          </w:p>
        </w:tc>
      </w:tr>
      <w:tr w:rsidR="007058CC" w:rsidRPr="00A64175" w14:paraId="1E9508E0" w14:textId="77777777" w:rsidTr="000E7336">
        <w:trPr>
          <w:trHeight w:val="651"/>
          <w:jc w:val="center"/>
        </w:trPr>
        <w:tc>
          <w:tcPr>
            <w:tcW w:w="10316" w:type="dxa"/>
            <w:shd w:val="clear" w:color="auto" w:fill="auto"/>
          </w:tcPr>
          <w:p w14:paraId="28045538" w14:textId="77777777" w:rsidR="007058CC" w:rsidRPr="00A64175" w:rsidRDefault="007058CC" w:rsidP="00A64175">
            <w:pPr>
              <w:jc w:val="both"/>
              <w:rPr>
                <w:rFonts w:ascii="Arial" w:hAnsi="Arial" w:cs="Arial"/>
                <w:b/>
              </w:rPr>
            </w:pPr>
          </w:p>
          <w:p w14:paraId="4946075B" w14:textId="718051D2" w:rsidR="007058CC" w:rsidRPr="00A64175" w:rsidRDefault="007058CC" w:rsidP="00A64175">
            <w:pPr>
              <w:jc w:val="both"/>
              <w:rPr>
                <w:rFonts w:ascii="Arial" w:hAnsi="Arial" w:cs="Arial"/>
                <w:b/>
              </w:rPr>
            </w:pPr>
            <w:r w:rsidRPr="00A64175">
              <w:rPr>
                <w:rFonts w:ascii="Arial" w:hAnsi="Arial" w:cs="Arial"/>
                <w:b/>
              </w:rPr>
              <w:t xml:space="preserve">Article </w:t>
            </w:r>
            <w:r w:rsidR="004371B4" w:rsidRPr="00A64175">
              <w:rPr>
                <w:rFonts w:ascii="Arial" w:hAnsi="Arial" w:cs="Arial"/>
                <w:b/>
                <w:bCs/>
                <w:kern w:val="1"/>
              </w:rPr>
              <w:t>33</w:t>
            </w:r>
            <w:r w:rsidR="009B231D">
              <w:rPr>
                <w:rFonts w:ascii="Arial" w:hAnsi="Arial" w:cs="Arial"/>
                <w:b/>
                <w:bCs/>
                <w:kern w:val="1"/>
              </w:rPr>
              <w:t>3</w:t>
            </w:r>
            <w:r w:rsidRPr="00A64175">
              <w:rPr>
                <w:rFonts w:ascii="Arial" w:hAnsi="Arial" w:cs="Arial"/>
                <w:b/>
                <w:bCs/>
                <w:kern w:val="1"/>
              </w:rPr>
              <w:t xml:space="preserve"> –</w:t>
            </w:r>
            <w:r w:rsidRPr="00A64175">
              <w:rPr>
                <w:rFonts w:ascii="Arial" w:hAnsi="Arial" w:cs="Arial"/>
                <w:b/>
                <w:bCs/>
              </w:rPr>
              <w:t xml:space="preserve"> </w:t>
            </w:r>
            <w:r w:rsidRPr="00C860C4">
              <w:rPr>
                <w:rFonts w:ascii="Arial" w:hAnsi="Arial" w:cs="Arial"/>
                <w:bCs/>
              </w:rPr>
              <w:t>Une instruction</w:t>
            </w:r>
            <w:r w:rsidRPr="00A64175">
              <w:rPr>
                <w:rFonts w:ascii="Arial" w:hAnsi="Arial" w:cs="Arial"/>
                <w:bCs/>
              </w:rPr>
              <w:t xml:space="preserve"> </w:t>
            </w:r>
            <w:r w:rsidR="00397A9A" w:rsidRPr="00A64175">
              <w:rPr>
                <w:rFonts w:ascii="Arial" w:hAnsi="Arial" w:cs="Arial"/>
                <w:bCs/>
              </w:rPr>
              <w:t xml:space="preserve">de la COSUMAF </w:t>
            </w:r>
            <w:r w:rsidRPr="00A64175">
              <w:rPr>
                <w:rFonts w:ascii="Arial" w:hAnsi="Arial" w:cs="Arial"/>
                <w:bCs/>
              </w:rPr>
              <w:t>précise les méthodes de diffusion permettant d’assurer une communication appropriée des informations</w:t>
            </w:r>
            <w:r w:rsidR="0039382C" w:rsidRPr="00A64175">
              <w:rPr>
                <w:rFonts w:ascii="Arial" w:hAnsi="Arial" w:cs="Arial"/>
                <w:bCs/>
              </w:rPr>
              <w:t xml:space="preserve"> relatives au prix d’émission, de vente, de rachat ou de remboursement des parts de l’OPC</w:t>
            </w:r>
            <w:r w:rsidRPr="00A64175">
              <w:rPr>
                <w:rFonts w:ascii="Arial" w:hAnsi="Arial" w:cs="Arial"/>
                <w:bCs/>
              </w:rPr>
              <w:t xml:space="preserve">. </w:t>
            </w:r>
          </w:p>
        </w:tc>
      </w:tr>
      <w:tr w:rsidR="007058CC" w:rsidRPr="00A64175" w14:paraId="651F2229" w14:textId="77777777" w:rsidTr="000E7336">
        <w:trPr>
          <w:jc w:val="center"/>
        </w:trPr>
        <w:tc>
          <w:tcPr>
            <w:tcW w:w="10316" w:type="dxa"/>
            <w:shd w:val="clear" w:color="auto" w:fill="auto"/>
          </w:tcPr>
          <w:p w14:paraId="72659545" w14:textId="132BF25C" w:rsidR="007058CC" w:rsidRPr="00A64175" w:rsidRDefault="007058CC" w:rsidP="00A64175">
            <w:pPr>
              <w:contextualSpacing/>
              <w:jc w:val="both"/>
              <w:rPr>
                <w:rFonts w:ascii="Arial" w:hAnsi="Arial" w:cs="Arial"/>
                <w:b/>
                <w:bCs/>
              </w:rPr>
            </w:pPr>
          </w:p>
          <w:p w14:paraId="6AEF8772" w14:textId="77777777" w:rsidR="002E6FC9" w:rsidRPr="00A64175" w:rsidRDefault="002E6FC9" w:rsidP="00A64175">
            <w:pPr>
              <w:contextualSpacing/>
              <w:jc w:val="both"/>
              <w:rPr>
                <w:rFonts w:ascii="Arial" w:hAnsi="Arial" w:cs="Arial"/>
                <w:b/>
                <w:bCs/>
              </w:rPr>
            </w:pPr>
          </w:p>
          <w:p w14:paraId="022C050C" w14:textId="77777777" w:rsidR="002E6FC9" w:rsidRPr="00A64175" w:rsidRDefault="002E6FC9" w:rsidP="00A64175">
            <w:pPr>
              <w:contextualSpacing/>
              <w:jc w:val="both"/>
              <w:rPr>
                <w:rFonts w:ascii="Arial" w:hAnsi="Arial" w:cs="Arial"/>
                <w:b/>
                <w:bCs/>
              </w:rPr>
            </w:pPr>
          </w:p>
          <w:p w14:paraId="08054024" w14:textId="063FB513" w:rsidR="007058CC" w:rsidRPr="00A64175" w:rsidRDefault="007058CC" w:rsidP="00A64175">
            <w:pPr>
              <w:contextualSpacing/>
              <w:jc w:val="both"/>
              <w:rPr>
                <w:rFonts w:ascii="Arial" w:hAnsi="Arial" w:cs="Arial"/>
                <w:b/>
                <w:bCs/>
              </w:rPr>
            </w:pPr>
            <w:r w:rsidRPr="00A64175">
              <w:rPr>
                <w:rFonts w:ascii="Arial" w:hAnsi="Arial" w:cs="Arial"/>
                <w:b/>
                <w:bCs/>
              </w:rPr>
              <w:t>CHAPITRE II : ORGANISME</w:t>
            </w:r>
            <w:r w:rsidR="00AB6AFC">
              <w:rPr>
                <w:rFonts w:ascii="Arial" w:hAnsi="Arial" w:cs="Arial"/>
                <w:b/>
                <w:bCs/>
              </w:rPr>
              <w:t>S</w:t>
            </w:r>
            <w:r w:rsidRPr="00A64175">
              <w:rPr>
                <w:rFonts w:ascii="Arial" w:hAnsi="Arial" w:cs="Arial"/>
                <w:b/>
                <w:bCs/>
              </w:rPr>
              <w:t xml:space="preserve"> DE PLACEMENT COLLECT</w:t>
            </w:r>
            <w:r w:rsidR="00164C6A" w:rsidRPr="00A64175">
              <w:rPr>
                <w:rFonts w:ascii="Arial" w:hAnsi="Arial" w:cs="Arial"/>
                <w:b/>
                <w:bCs/>
              </w:rPr>
              <w:t xml:space="preserve">IF EN VALEURS MOBILIERES </w:t>
            </w:r>
          </w:p>
          <w:p w14:paraId="1C65B984" w14:textId="77777777" w:rsidR="00164C6A" w:rsidRPr="00A64175" w:rsidRDefault="00164C6A" w:rsidP="00A64175">
            <w:pPr>
              <w:contextualSpacing/>
              <w:jc w:val="both"/>
              <w:rPr>
                <w:rFonts w:ascii="Arial" w:hAnsi="Arial" w:cs="Arial"/>
                <w:b/>
                <w:bCs/>
              </w:rPr>
            </w:pPr>
          </w:p>
          <w:p w14:paraId="622625B1" w14:textId="4F1AA407" w:rsidR="0013399C" w:rsidRPr="00A64175" w:rsidRDefault="00B74E35" w:rsidP="00A64175">
            <w:pPr>
              <w:contextualSpacing/>
              <w:jc w:val="both"/>
              <w:rPr>
                <w:rFonts w:ascii="Arial" w:hAnsi="Arial" w:cs="Arial"/>
                <w:b/>
                <w:bCs/>
              </w:rPr>
            </w:pPr>
            <w:r w:rsidRPr="00A64175">
              <w:rPr>
                <w:rFonts w:ascii="Arial" w:hAnsi="Arial" w:cs="Arial"/>
                <w:b/>
                <w:bCs/>
              </w:rPr>
              <w:t>Section I : Dispositions générales</w:t>
            </w:r>
          </w:p>
          <w:p w14:paraId="087257F6" w14:textId="77777777" w:rsidR="0028673A" w:rsidRPr="00A64175" w:rsidRDefault="0028673A" w:rsidP="00A64175">
            <w:pPr>
              <w:contextualSpacing/>
              <w:jc w:val="both"/>
              <w:rPr>
                <w:rFonts w:ascii="Arial" w:hAnsi="Arial" w:cs="Arial"/>
                <w:b/>
                <w:bCs/>
              </w:rPr>
            </w:pPr>
          </w:p>
          <w:p w14:paraId="25A53DFA" w14:textId="77777777" w:rsidR="0028673A" w:rsidRPr="00A64175" w:rsidRDefault="0028673A" w:rsidP="00A64175">
            <w:pPr>
              <w:contextualSpacing/>
              <w:jc w:val="both"/>
              <w:rPr>
                <w:rFonts w:ascii="Arial" w:hAnsi="Arial" w:cs="Arial"/>
                <w:b/>
                <w:bCs/>
              </w:rPr>
            </w:pPr>
          </w:p>
          <w:p w14:paraId="4F476FD8" w14:textId="62CFC8F1" w:rsidR="0028673A" w:rsidRPr="00A64175" w:rsidRDefault="0028673A" w:rsidP="00A64175">
            <w:pPr>
              <w:contextualSpacing/>
              <w:jc w:val="both"/>
              <w:rPr>
                <w:rFonts w:ascii="Arial" w:hAnsi="Arial" w:cs="Arial"/>
                <w:color w:val="000000"/>
              </w:rPr>
            </w:pPr>
            <w:r w:rsidRPr="00A64175">
              <w:rPr>
                <w:rFonts w:ascii="Arial" w:hAnsi="Arial" w:cs="Arial"/>
                <w:b/>
                <w:bCs/>
              </w:rPr>
              <w:t xml:space="preserve">Article </w:t>
            </w:r>
            <w:r w:rsidR="0039382C" w:rsidRPr="00A64175">
              <w:rPr>
                <w:rFonts w:ascii="Arial" w:hAnsi="Arial" w:cs="Arial"/>
                <w:b/>
                <w:bCs/>
                <w:kern w:val="1"/>
              </w:rPr>
              <w:t>33</w:t>
            </w:r>
            <w:r w:rsidR="009B231D">
              <w:rPr>
                <w:rFonts w:ascii="Arial" w:hAnsi="Arial" w:cs="Arial"/>
                <w:b/>
                <w:bCs/>
                <w:kern w:val="1"/>
              </w:rPr>
              <w:t>4</w:t>
            </w:r>
            <w:r w:rsidRPr="00A64175">
              <w:rPr>
                <w:rFonts w:ascii="Arial" w:hAnsi="Arial" w:cs="Arial"/>
                <w:b/>
                <w:bCs/>
                <w:kern w:val="1"/>
              </w:rPr>
              <w:t xml:space="preserve"> –</w:t>
            </w:r>
            <w:r w:rsidRPr="00A64175">
              <w:rPr>
                <w:rFonts w:ascii="Arial" w:hAnsi="Arial" w:cs="Arial"/>
                <w:kern w:val="1"/>
              </w:rPr>
              <w:t xml:space="preserve"> </w:t>
            </w:r>
            <w:r w:rsidRPr="00A64175">
              <w:rPr>
                <w:rFonts w:ascii="Arial" w:eastAsia="Times New Roman" w:hAnsi="Arial" w:cs="Arial"/>
                <w:lang w:eastAsia="fr-FR"/>
              </w:rPr>
              <w:t>Conformément aux dispositions de l’article 187 du</w:t>
            </w:r>
            <w:r w:rsidRPr="00A64175">
              <w:rPr>
                <w:rFonts w:ascii="Arial" w:hAnsi="Arial" w:cs="Arial"/>
              </w:rPr>
              <w:t xml:space="preserve"> Règlement</w:t>
            </w:r>
            <w:r w:rsidRPr="00A64175">
              <w:rPr>
                <w:rFonts w:ascii="Arial" w:hAnsi="Arial" w:cs="Arial"/>
                <w:color w:val="000000"/>
              </w:rPr>
              <w:t xml:space="preserve"> n°01/22/CEMAC/UMAC/CM/COSUMAF du 21 juillet 2022, les OPCVM comprennent les fonds communs de placement (FCP) et les sociétés d’investi</w:t>
            </w:r>
            <w:r w:rsidR="004100F7" w:rsidRPr="00A64175">
              <w:rPr>
                <w:rFonts w:ascii="Arial" w:hAnsi="Arial" w:cs="Arial"/>
                <w:color w:val="000000"/>
              </w:rPr>
              <w:t>ssement à capital variable (SICAV).</w:t>
            </w:r>
          </w:p>
          <w:p w14:paraId="34346BAB" w14:textId="77777777" w:rsidR="004100F7" w:rsidRPr="00A64175" w:rsidRDefault="004100F7" w:rsidP="00A64175">
            <w:pPr>
              <w:contextualSpacing/>
              <w:jc w:val="both"/>
              <w:rPr>
                <w:rFonts w:ascii="Arial" w:hAnsi="Arial" w:cs="Arial"/>
                <w:color w:val="000000"/>
              </w:rPr>
            </w:pPr>
          </w:p>
          <w:p w14:paraId="33A1C308" w14:textId="1B7C0F6F" w:rsidR="004100F7" w:rsidRPr="00A64175" w:rsidRDefault="004100F7" w:rsidP="00A64175">
            <w:pPr>
              <w:contextualSpacing/>
              <w:jc w:val="both"/>
              <w:rPr>
                <w:rFonts w:ascii="Arial" w:hAnsi="Arial" w:cs="Arial"/>
                <w:b/>
                <w:bCs/>
              </w:rPr>
            </w:pPr>
            <w:r w:rsidRPr="00A64175">
              <w:rPr>
                <w:rFonts w:ascii="Arial" w:hAnsi="Arial" w:cs="Arial"/>
                <w:color w:val="000000"/>
              </w:rPr>
              <w:t>Pour l’application des dispositions du présent règlement général, les fonds communs de placement d’entreprise (FCPE) sont soumises aux dispositions générales régissant les FCP, sans préjudice des dispositions liées à leur régime spécifique.</w:t>
            </w:r>
          </w:p>
          <w:p w14:paraId="029A8B03" w14:textId="77777777" w:rsidR="0028673A" w:rsidRPr="00A64175" w:rsidRDefault="0028673A" w:rsidP="00A64175">
            <w:pPr>
              <w:contextualSpacing/>
              <w:jc w:val="both"/>
              <w:rPr>
                <w:rFonts w:ascii="Arial" w:hAnsi="Arial" w:cs="Arial"/>
                <w:b/>
                <w:bCs/>
              </w:rPr>
            </w:pPr>
          </w:p>
          <w:p w14:paraId="7DD3A7E3" w14:textId="77777777" w:rsidR="0028673A" w:rsidRPr="00A64175" w:rsidRDefault="0028673A" w:rsidP="00A64175">
            <w:pPr>
              <w:contextualSpacing/>
              <w:jc w:val="both"/>
              <w:rPr>
                <w:rFonts w:ascii="Arial" w:hAnsi="Arial" w:cs="Arial"/>
                <w:b/>
                <w:bCs/>
              </w:rPr>
            </w:pPr>
          </w:p>
          <w:p w14:paraId="13F41518" w14:textId="585CB5DE" w:rsidR="00C64CED" w:rsidRPr="00A64175" w:rsidRDefault="00BF0308" w:rsidP="00A64175">
            <w:pPr>
              <w:autoSpaceDE w:val="0"/>
              <w:autoSpaceDN w:val="0"/>
              <w:adjustRightInd w:val="0"/>
              <w:jc w:val="both"/>
              <w:rPr>
                <w:rFonts w:ascii="Arial" w:hAnsi="Arial" w:cs="Arial"/>
              </w:rPr>
            </w:pPr>
            <w:r w:rsidRPr="00A64175">
              <w:rPr>
                <w:rFonts w:ascii="Arial" w:hAnsi="Arial" w:cs="Arial"/>
                <w:b/>
                <w:bCs/>
              </w:rPr>
              <w:t xml:space="preserve">Article </w:t>
            </w:r>
            <w:r w:rsidR="0039382C" w:rsidRPr="00A64175">
              <w:rPr>
                <w:rFonts w:ascii="Arial" w:hAnsi="Arial" w:cs="Arial"/>
                <w:b/>
                <w:bCs/>
                <w:kern w:val="1"/>
              </w:rPr>
              <w:t>33</w:t>
            </w:r>
            <w:r w:rsidR="009B231D">
              <w:rPr>
                <w:rFonts w:ascii="Arial" w:hAnsi="Arial" w:cs="Arial"/>
                <w:b/>
                <w:bCs/>
                <w:kern w:val="1"/>
              </w:rPr>
              <w:t>5</w:t>
            </w:r>
            <w:r w:rsidRPr="00A64175">
              <w:rPr>
                <w:rFonts w:ascii="Arial" w:hAnsi="Arial" w:cs="Arial"/>
                <w:b/>
                <w:bCs/>
                <w:kern w:val="1"/>
              </w:rPr>
              <w:t xml:space="preserve"> –</w:t>
            </w:r>
            <w:r w:rsidRPr="00A64175">
              <w:rPr>
                <w:rFonts w:ascii="Arial" w:hAnsi="Arial" w:cs="Arial"/>
                <w:kern w:val="1"/>
              </w:rPr>
              <w:t xml:space="preserve"> </w:t>
            </w:r>
            <w:r w:rsidR="00C64CED" w:rsidRPr="00A64175">
              <w:rPr>
                <w:rFonts w:ascii="Arial" w:hAnsi="Arial" w:cs="Arial"/>
              </w:rPr>
              <w:t>Un OPCVM ne peut être constitué que sous réserve de son agrément préalable par la COSUMAF.</w:t>
            </w:r>
          </w:p>
          <w:p w14:paraId="0830798A" w14:textId="77777777" w:rsidR="0064113D" w:rsidRPr="00A64175" w:rsidRDefault="0064113D" w:rsidP="00A64175">
            <w:pPr>
              <w:autoSpaceDE w:val="0"/>
              <w:autoSpaceDN w:val="0"/>
              <w:adjustRightInd w:val="0"/>
              <w:jc w:val="both"/>
              <w:rPr>
                <w:rFonts w:ascii="Arial" w:hAnsi="Arial" w:cs="Arial"/>
              </w:rPr>
            </w:pPr>
          </w:p>
          <w:p w14:paraId="0B503C6C" w14:textId="19B5ADDE" w:rsidR="00C64CED" w:rsidRPr="00A64175" w:rsidRDefault="00C64CED" w:rsidP="00A64175">
            <w:pPr>
              <w:autoSpaceDE w:val="0"/>
              <w:autoSpaceDN w:val="0"/>
              <w:adjustRightInd w:val="0"/>
              <w:jc w:val="both"/>
              <w:rPr>
                <w:rFonts w:ascii="Arial" w:hAnsi="Arial" w:cs="Arial"/>
              </w:rPr>
            </w:pPr>
            <w:r w:rsidRPr="00A64175">
              <w:rPr>
                <w:rFonts w:ascii="Arial" w:hAnsi="Arial" w:cs="Arial"/>
              </w:rPr>
              <w:t xml:space="preserve">En vue de son agrément, l’OPCVM ou son établissement gestionnaire </w:t>
            </w:r>
            <w:r w:rsidR="00BF0308" w:rsidRPr="00A64175">
              <w:rPr>
                <w:rFonts w:ascii="Arial" w:hAnsi="Arial" w:cs="Arial"/>
              </w:rPr>
              <w:t xml:space="preserve">adresse à la COSUMAF un dossier </w:t>
            </w:r>
            <w:r w:rsidRPr="00A64175">
              <w:rPr>
                <w:rFonts w:ascii="Arial" w:hAnsi="Arial" w:cs="Arial"/>
              </w:rPr>
              <w:t>comprenant ses statuts ou son règlement de gestion et divers documents et</w:t>
            </w:r>
            <w:r w:rsidR="0064113D" w:rsidRPr="00A64175">
              <w:rPr>
                <w:rFonts w:ascii="Arial" w:hAnsi="Arial" w:cs="Arial"/>
              </w:rPr>
              <w:t xml:space="preserve"> informations précisés dans une </w:t>
            </w:r>
            <w:r w:rsidRPr="00A64175">
              <w:rPr>
                <w:rFonts w:ascii="Arial" w:hAnsi="Arial" w:cs="Arial"/>
              </w:rPr>
              <w:t>instruction de la COSUMAF.</w:t>
            </w:r>
          </w:p>
          <w:p w14:paraId="46B3570F" w14:textId="77777777" w:rsidR="0064113D" w:rsidRPr="00A64175" w:rsidRDefault="0064113D" w:rsidP="00A64175">
            <w:pPr>
              <w:autoSpaceDE w:val="0"/>
              <w:autoSpaceDN w:val="0"/>
              <w:adjustRightInd w:val="0"/>
              <w:jc w:val="both"/>
              <w:rPr>
                <w:rFonts w:ascii="Arial" w:hAnsi="Arial" w:cs="Arial"/>
              </w:rPr>
            </w:pPr>
          </w:p>
          <w:p w14:paraId="60D98474" w14:textId="223B8E32" w:rsidR="00C64CED" w:rsidRPr="00A64175" w:rsidRDefault="00C64CED" w:rsidP="00A64175">
            <w:pPr>
              <w:autoSpaceDE w:val="0"/>
              <w:autoSpaceDN w:val="0"/>
              <w:adjustRightInd w:val="0"/>
              <w:jc w:val="both"/>
              <w:rPr>
                <w:rFonts w:ascii="Arial" w:hAnsi="Arial" w:cs="Arial"/>
              </w:rPr>
            </w:pPr>
            <w:r w:rsidRPr="00A64175">
              <w:rPr>
                <w:rFonts w:ascii="Arial" w:hAnsi="Arial" w:cs="Arial"/>
              </w:rPr>
              <w:t xml:space="preserve">L’agrément est délivré par lettre dans un délai de </w:t>
            </w:r>
            <w:r w:rsidR="00352B11">
              <w:rPr>
                <w:rFonts w:ascii="Arial" w:hAnsi="Arial" w:cs="Arial"/>
              </w:rPr>
              <w:t xml:space="preserve">soixante </w:t>
            </w:r>
            <w:r w:rsidRPr="00A64175">
              <w:rPr>
                <w:rFonts w:ascii="Arial" w:hAnsi="Arial" w:cs="Arial"/>
              </w:rPr>
              <w:t>(</w:t>
            </w:r>
            <w:r w:rsidR="00352B11">
              <w:rPr>
                <w:rFonts w:ascii="Arial" w:hAnsi="Arial" w:cs="Arial"/>
              </w:rPr>
              <w:t>6</w:t>
            </w:r>
            <w:r w:rsidRPr="00A64175">
              <w:rPr>
                <w:rFonts w:ascii="Arial" w:hAnsi="Arial" w:cs="Arial"/>
              </w:rPr>
              <w:t>0) jours à</w:t>
            </w:r>
            <w:r w:rsidR="00BF0308" w:rsidRPr="00A64175">
              <w:rPr>
                <w:rFonts w:ascii="Arial" w:hAnsi="Arial" w:cs="Arial"/>
              </w:rPr>
              <w:t xml:space="preserve"> compter de la réception par la </w:t>
            </w:r>
            <w:r w:rsidRPr="00A64175">
              <w:rPr>
                <w:rFonts w:ascii="Arial" w:hAnsi="Arial" w:cs="Arial"/>
              </w:rPr>
              <w:t>COSUMAF du dossier complet visé à l’alinéa précédent.</w:t>
            </w:r>
          </w:p>
          <w:p w14:paraId="13BB439D" w14:textId="77777777" w:rsidR="00C64CED" w:rsidRPr="00A64175" w:rsidRDefault="00C64CED" w:rsidP="00A64175">
            <w:pPr>
              <w:contextualSpacing/>
              <w:jc w:val="both"/>
              <w:rPr>
                <w:rFonts w:ascii="Arial" w:hAnsi="Arial" w:cs="Arial"/>
                <w:b/>
                <w:bCs/>
              </w:rPr>
            </w:pPr>
          </w:p>
          <w:p w14:paraId="69DBD46B" w14:textId="5FD1C99A" w:rsidR="0064113D" w:rsidRPr="00A64175" w:rsidRDefault="009200C3" w:rsidP="00A64175">
            <w:pPr>
              <w:autoSpaceDE w:val="0"/>
              <w:autoSpaceDN w:val="0"/>
              <w:adjustRightInd w:val="0"/>
              <w:jc w:val="both"/>
              <w:rPr>
                <w:rFonts w:ascii="Arial" w:hAnsi="Arial" w:cs="Arial"/>
              </w:rPr>
            </w:pPr>
            <w:r w:rsidRPr="00A64175">
              <w:rPr>
                <w:rFonts w:ascii="Arial" w:hAnsi="Arial" w:cs="Arial"/>
              </w:rPr>
              <w:t>Après agrément délivré par la COSUMAF, la constitution de l’OPCVM résulte, d’une part, de la signature de ses statuts ou de son règlement de gestion par ses premiers actionnaires ou par ses fondateurs et d’autre part, de la libération intégrale des premières actions ou parts. En cas d’empêchement des actionnaires ou fondateurs, ils peuvent se faire représenter à ladite signature par un mandataire justifiant d’un pouvoir spécial.</w:t>
            </w:r>
          </w:p>
          <w:p w14:paraId="3171049C" w14:textId="77777777" w:rsidR="0064113D" w:rsidRPr="00A64175" w:rsidRDefault="0064113D" w:rsidP="00A64175">
            <w:pPr>
              <w:contextualSpacing/>
              <w:jc w:val="both"/>
              <w:rPr>
                <w:rFonts w:ascii="Arial" w:hAnsi="Arial" w:cs="Arial"/>
                <w:b/>
                <w:bCs/>
              </w:rPr>
            </w:pPr>
          </w:p>
          <w:p w14:paraId="4680EFE9" w14:textId="067A9F5C" w:rsidR="009200C3" w:rsidRPr="00A64175" w:rsidRDefault="009200C3" w:rsidP="00A64175">
            <w:pPr>
              <w:autoSpaceDE w:val="0"/>
              <w:autoSpaceDN w:val="0"/>
              <w:adjustRightInd w:val="0"/>
              <w:jc w:val="both"/>
              <w:rPr>
                <w:rFonts w:ascii="Arial" w:hAnsi="Arial" w:cs="Arial"/>
              </w:rPr>
            </w:pPr>
            <w:r w:rsidRPr="00A64175">
              <w:rPr>
                <w:rFonts w:ascii="Arial" w:hAnsi="Arial" w:cs="Arial"/>
              </w:rPr>
              <w:t>La constitution de l’OPCVM doit être effective dans un délai de trente (30) jours à compter de la réception de la décision d’agrément.</w:t>
            </w:r>
          </w:p>
          <w:p w14:paraId="294036D5" w14:textId="77777777" w:rsidR="009200C3" w:rsidRPr="00A64175" w:rsidRDefault="009200C3" w:rsidP="00A64175">
            <w:pPr>
              <w:autoSpaceDE w:val="0"/>
              <w:autoSpaceDN w:val="0"/>
              <w:adjustRightInd w:val="0"/>
              <w:jc w:val="both"/>
              <w:rPr>
                <w:rFonts w:ascii="Arial" w:hAnsi="Arial" w:cs="Arial"/>
              </w:rPr>
            </w:pPr>
          </w:p>
          <w:p w14:paraId="5B809336" w14:textId="77777777" w:rsidR="009200C3" w:rsidRPr="00A64175" w:rsidRDefault="009200C3" w:rsidP="00A64175">
            <w:pPr>
              <w:autoSpaceDE w:val="0"/>
              <w:autoSpaceDN w:val="0"/>
              <w:adjustRightInd w:val="0"/>
              <w:jc w:val="both"/>
              <w:rPr>
                <w:rFonts w:ascii="Arial" w:hAnsi="Arial" w:cs="Arial"/>
              </w:rPr>
            </w:pPr>
            <w:r w:rsidRPr="00A64175">
              <w:rPr>
                <w:rFonts w:ascii="Arial" w:hAnsi="Arial" w:cs="Arial"/>
              </w:rPr>
              <w:t>Le refus d’agrément doit être motivé.</w:t>
            </w:r>
          </w:p>
          <w:p w14:paraId="1F845BE1" w14:textId="77777777" w:rsidR="009200C3" w:rsidRPr="00A64175" w:rsidRDefault="009200C3" w:rsidP="00A64175">
            <w:pPr>
              <w:autoSpaceDE w:val="0"/>
              <w:autoSpaceDN w:val="0"/>
              <w:adjustRightInd w:val="0"/>
              <w:jc w:val="both"/>
              <w:rPr>
                <w:rFonts w:ascii="Arial" w:hAnsi="Arial" w:cs="Arial"/>
              </w:rPr>
            </w:pPr>
          </w:p>
          <w:p w14:paraId="0E300E96" w14:textId="053837D4" w:rsidR="009200C3" w:rsidRPr="00A64175" w:rsidRDefault="009200C3" w:rsidP="00A64175">
            <w:pPr>
              <w:autoSpaceDE w:val="0"/>
              <w:autoSpaceDN w:val="0"/>
              <w:adjustRightInd w:val="0"/>
              <w:jc w:val="both"/>
              <w:rPr>
                <w:rFonts w:ascii="Arial" w:hAnsi="Arial" w:cs="Arial"/>
              </w:rPr>
            </w:pPr>
            <w:r w:rsidRPr="00A64175">
              <w:rPr>
                <w:rFonts w:ascii="Arial" w:hAnsi="Arial" w:cs="Arial"/>
              </w:rPr>
              <w:t>Les conditions et la procédure d’agrément des OPCVM sont précisées dans une instruction de la COSUMAF.</w:t>
            </w:r>
          </w:p>
          <w:p w14:paraId="64AC4AB6" w14:textId="77777777" w:rsidR="009200C3" w:rsidRPr="00A64175" w:rsidRDefault="009200C3" w:rsidP="00A64175">
            <w:pPr>
              <w:contextualSpacing/>
              <w:jc w:val="both"/>
              <w:rPr>
                <w:rFonts w:ascii="Arial" w:hAnsi="Arial" w:cs="Arial"/>
                <w:b/>
                <w:bCs/>
              </w:rPr>
            </w:pPr>
          </w:p>
          <w:p w14:paraId="7EE7C52B" w14:textId="77777777" w:rsidR="006F1F19" w:rsidRPr="00A64175" w:rsidRDefault="006F1F19" w:rsidP="00A64175">
            <w:pPr>
              <w:contextualSpacing/>
              <w:jc w:val="both"/>
              <w:rPr>
                <w:rFonts w:ascii="Arial" w:hAnsi="Arial" w:cs="Arial"/>
                <w:b/>
                <w:bCs/>
              </w:rPr>
            </w:pPr>
          </w:p>
          <w:p w14:paraId="14657458" w14:textId="77B9EA33" w:rsidR="006F1F19" w:rsidRPr="00A64175" w:rsidRDefault="006F1F19" w:rsidP="00A64175">
            <w:pPr>
              <w:autoSpaceDE w:val="0"/>
              <w:autoSpaceDN w:val="0"/>
              <w:adjustRightInd w:val="0"/>
              <w:jc w:val="both"/>
              <w:rPr>
                <w:rFonts w:ascii="Arial" w:hAnsi="Arial" w:cs="Arial"/>
              </w:rPr>
            </w:pPr>
            <w:r w:rsidRPr="00A64175">
              <w:rPr>
                <w:rFonts w:ascii="Arial" w:hAnsi="Arial" w:cs="Arial"/>
                <w:b/>
                <w:bCs/>
              </w:rPr>
              <w:t xml:space="preserve">Article </w:t>
            </w:r>
            <w:r w:rsidR="0039382C" w:rsidRPr="00A64175">
              <w:rPr>
                <w:rFonts w:ascii="Arial" w:hAnsi="Arial" w:cs="Arial"/>
                <w:b/>
                <w:bCs/>
                <w:kern w:val="1"/>
              </w:rPr>
              <w:t>33</w:t>
            </w:r>
            <w:r w:rsidR="009B231D">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Dans un délai de trente (30) jours à compter de la constitution de l’OPCVM, il doit être procédé aux formalités de dépôt et de publicité au Registre du Commerce et du Crédit Mobilier.</w:t>
            </w:r>
          </w:p>
          <w:p w14:paraId="0D961211" w14:textId="77777777" w:rsidR="006F1F19" w:rsidRPr="00A64175" w:rsidRDefault="006F1F19" w:rsidP="00A64175">
            <w:pPr>
              <w:autoSpaceDE w:val="0"/>
              <w:autoSpaceDN w:val="0"/>
              <w:adjustRightInd w:val="0"/>
              <w:jc w:val="both"/>
              <w:rPr>
                <w:rFonts w:ascii="Arial" w:hAnsi="Arial" w:cs="Arial"/>
              </w:rPr>
            </w:pPr>
          </w:p>
          <w:p w14:paraId="05BA5F9A" w14:textId="3854BA15" w:rsidR="006F1F19" w:rsidRPr="00A64175" w:rsidRDefault="006F1F19" w:rsidP="00A64175">
            <w:pPr>
              <w:autoSpaceDE w:val="0"/>
              <w:autoSpaceDN w:val="0"/>
              <w:adjustRightInd w:val="0"/>
              <w:jc w:val="both"/>
              <w:rPr>
                <w:rFonts w:ascii="Arial" w:hAnsi="Arial" w:cs="Arial"/>
              </w:rPr>
            </w:pPr>
            <w:r w:rsidRPr="00A64175">
              <w:rPr>
                <w:rFonts w:ascii="Arial" w:hAnsi="Arial" w:cs="Arial"/>
              </w:rPr>
              <w:t>Dans le même délai de trente (30) jours, l’OPCVM devra, d’une part, adresser à la COSUMAF une copie du certificat de dépôt du capital initial ou des apports initiaux et d’autre part, insérer dans un journal un avis qui doit mentionner :</w:t>
            </w:r>
          </w:p>
          <w:p w14:paraId="2B81298F" w14:textId="77777777" w:rsidR="006F1F19" w:rsidRPr="00A64175" w:rsidRDefault="006F1F19" w:rsidP="00A64175">
            <w:pPr>
              <w:autoSpaceDE w:val="0"/>
              <w:autoSpaceDN w:val="0"/>
              <w:adjustRightInd w:val="0"/>
              <w:jc w:val="both"/>
              <w:rPr>
                <w:rFonts w:ascii="Arial" w:hAnsi="Arial" w:cs="Arial"/>
              </w:rPr>
            </w:pPr>
          </w:p>
          <w:p w14:paraId="59F23F7B"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la dénomination et la durée de l’OPCVM ;</w:t>
            </w:r>
          </w:p>
          <w:p w14:paraId="3D7A35CA"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la dénomination et l’adresse de l’établissement dépositaire et, le cas échéant, du gestionnaire ;</w:t>
            </w:r>
          </w:p>
          <w:p w14:paraId="146E53A3"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le siège social ;</w:t>
            </w:r>
          </w:p>
          <w:p w14:paraId="678B521B"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les identités, qualités et adresses personnelles des administrateurs de la SICAV ou de</w:t>
            </w:r>
          </w:p>
          <w:p w14:paraId="66D9B0FF"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l’établissement gestionnaire ;</w:t>
            </w:r>
          </w:p>
          <w:p w14:paraId="486802A6"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l’identité du premier commissaire aux comptes ;</w:t>
            </w:r>
          </w:p>
          <w:p w14:paraId="593A763E" w14:textId="77777777" w:rsidR="006F1F19" w:rsidRPr="00A64175" w:rsidRDefault="006F1F19" w:rsidP="00A64175">
            <w:pPr>
              <w:autoSpaceDE w:val="0"/>
              <w:autoSpaceDN w:val="0"/>
              <w:adjustRightInd w:val="0"/>
              <w:jc w:val="both"/>
              <w:rPr>
                <w:rFonts w:ascii="Arial" w:hAnsi="Arial" w:cs="Arial"/>
              </w:rPr>
            </w:pPr>
            <w:r w:rsidRPr="00A64175">
              <w:rPr>
                <w:rFonts w:ascii="Arial" w:hAnsi="Arial" w:cs="Arial"/>
              </w:rPr>
              <w:t>- le montant du capital social initial ou des apports initiaux ;</w:t>
            </w:r>
          </w:p>
          <w:p w14:paraId="7CC7A3DC" w14:textId="4D4A6A16" w:rsidR="006F1F19" w:rsidRPr="00A64175" w:rsidRDefault="006F1F19" w:rsidP="00A64175">
            <w:pPr>
              <w:autoSpaceDE w:val="0"/>
              <w:autoSpaceDN w:val="0"/>
              <w:adjustRightInd w:val="0"/>
              <w:jc w:val="both"/>
              <w:rPr>
                <w:rFonts w:ascii="Arial" w:hAnsi="Arial" w:cs="Arial"/>
              </w:rPr>
            </w:pPr>
            <w:r w:rsidRPr="00A64175">
              <w:rPr>
                <w:rFonts w:ascii="Arial" w:hAnsi="Arial" w:cs="Arial"/>
              </w:rPr>
              <w:t>- le montant du capital social ou de l’actif net au-dessous duquel il ne peut être procédé au rachat des actions ou parts ;</w:t>
            </w:r>
          </w:p>
          <w:p w14:paraId="40BB0720" w14:textId="0C9C4D14" w:rsidR="009200C3" w:rsidRPr="00A64175" w:rsidRDefault="006F1F19" w:rsidP="00A64175">
            <w:pPr>
              <w:autoSpaceDE w:val="0"/>
              <w:autoSpaceDN w:val="0"/>
              <w:adjustRightInd w:val="0"/>
              <w:jc w:val="both"/>
              <w:rPr>
                <w:rFonts w:ascii="Arial" w:hAnsi="Arial" w:cs="Arial"/>
              </w:rPr>
            </w:pPr>
            <w:r w:rsidRPr="00A64175">
              <w:rPr>
                <w:rFonts w:ascii="Arial" w:hAnsi="Arial" w:cs="Arial"/>
              </w:rPr>
              <w:t>- le registre du commerce et du crédit mobilier auprès duquel a été effectué le dépôt prévu à l’alinéa premier du présent article.</w:t>
            </w:r>
          </w:p>
          <w:p w14:paraId="121D9FFA" w14:textId="77777777" w:rsidR="00C64CED" w:rsidRPr="00A64175" w:rsidRDefault="00C64CED" w:rsidP="00A64175">
            <w:pPr>
              <w:contextualSpacing/>
              <w:jc w:val="both"/>
              <w:rPr>
                <w:rFonts w:ascii="Arial" w:hAnsi="Arial" w:cs="Arial"/>
                <w:b/>
                <w:bCs/>
              </w:rPr>
            </w:pPr>
          </w:p>
          <w:p w14:paraId="0E72B205" w14:textId="77777777" w:rsidR="00FC0090" w:rsidRPr="00A64175" w:rsidRDefault="00FC0090" w:rsidP="00A64175">
            <w:pPr>
              <w:contextualSpacing/>
              <w:jc w:val="both"/>
              <w:rPr>
                <w:rFonts w:ascii="Arial" w:hAnsi="Arial" w:cs="Arial"/>
                <w:b/>
                <w:bCs/>
              </w:rPr>
            </w:pPr>
          </w:p>
          <w:p w14:paraId="185276A2" w14:textId="325A9D97" w:rsidR="00FC0090" w:rsidRPr="00A64175" w:rsidRDefault="00FC0090" w:rsidP="00A64175">
            <w:pPr>
              <w:autoSpaceDE w:val="0"/>
              <w:autoSpaceDN w:val="0"/>
              <w:adjustRightInd w:val="0"/>
              <w:jc w:val="both"/>
              <w:rPr>
                <w:rFonts w:ascii="Arial" w:hAnsi="Arial" w:cs="Arial"/>
              </w:rPr>
            </w:pPr>
            <w:r w:rsidRPr="00A64175">
              <w:rPr>
                <w:rFonts w:ascii="Arial" w:hAnsi="Arial" w:cs="Arial"/>
                <w:b/>
                <w:bCs/>
              </w:rPr>
              <w:t xml:space="preserve">Article </w:t>
            </w:r>
            <w:r w:rsidR="0039382C" w:rsidRPr="00A64175">
              <w:rPr>
                <w:rFonts w:ascii="Arial" w:hAnsi="Arial" w:cs="Arial"/>
                <w:b/>
                <w:bCs/>
                <w:kern w:val="1"/>
              </w:rPr>
              <w:t>33</w:t>
            </w:r>
            <w:r w:rsidR="009B231D">
              <w:rPr>
                <w:rFonts w:ascii="Arial" w:hAnsi="Arial" w:cs="Arial"/>
                <w:b/>
                <w:bCs/>
                <w:kern w:val="1"/>
              </w:rPr>
              <w:t>7</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COSUMAF peut procéder au retrait de l’agrément délivré à un OPCVM.</w:t>
            </w:r>
          </w:p>
          <w:p w14:paraId="74CDA6BD" w14:textId="77777777" w:rsidR="00FC0090" w:rsidRPr="00A64175" w:rsidRDefault="00FC0090" w:rsidP="00A64175">
            <w:pPr>
              <w:autoSpaceDE w:val="0"/>
              <w:autoSpaceDN w:val="0"/>
              <w:adjustRightInd w:val="0"/>
              <w:jc w:val="both"/>
              <w:rPr>
                <w:rFonts w:ascii="Arial" w:hAnsi="Arial" w:cs="Arial"/>
              </w:rPr>
            </w:pPr>
          </w:p>
          <w:p w14:paraId="77AC29C1" w14:textId="30776973" w:rsidR="00FC0090" w:rsidRPr="00A64175" w:rsidRDefault="00FC0090" w:rsidP="00A64175">
            <w:pPr>
              <w:autoSpaceDE w:val="0"/>
              <w:autoSpaceDN w:val="0"/>
              <w:adjustRightInd w:val="0"/>
              <w:jc w:val="both"/>
              <w:rPr>
                <w:rFonts w:ascii="Arial" w:hAnsi="Arial" w:cs="Arial"/>
              </w:rPr>
            </w:pPr>
            <w:r w:rsidRPr="00A64175">
              <w:rPr>
                <w:rFonts w:ascii="Arial" w:hAnsi="Arial" w:cs="Arial"/>
              </w:rPr>
              <w:t>L’agrément peut être retiré à un OPCVM sur la base d’un rapport circonstancié et motivé, lorsqu’une mise en garde, une mise en demeure, un avertissement ou un blâme sont restés sans effet.</w:t>
            </w:r>
          </w:p>
          <w:p w14:paraId="70151B85" w14:textId="77777777" w:rsidR="00FC0090" w:rsidRPr="00A64175" w:rsidRDefault="00FC0090" w:rsidP="00A64175">
            <w:pPr>
              <w:autoSpaceDE w:val="0"/>
              <w:autoSpaceDN w:val="0"/>
              <w:adjustRightInd w:val="0"/>
              <w:jc w:val="both"/>
              <w:rPr>
                <w:rFonts w:ascii="Arial" w:hAnsi="Arial" w:cs="Arial"/>
              </w:rPr>
            </w:pPr>
          </w:p>
          <w:p w14:paraId="22CACEEC" w14:textId="77777777" w:rsidR="00FC0090" w:rsidRPr="00A64175" w:rsidRDefault="00FC0090" w:rsidP="00A64175">
            <w:pPr>
              <w:autoSpaceDE w:val="0"/>
              <w:autoSpaceDN w:val="0"/>
              <w:adjustRightInd w:val="0"/>
              <w:jc w:val="both"/>
              <w:rPr>
                <w:rFonts w:ascii="Arial" w:hAnsi="Arial" w:cs="Arial"/>
              </w:rPr>
            </w:pPr>
            <w:r w:rsidRPr="00A64175">
              <w:rPr>
                <w:rFonts w:ascii="Arial" w:hAnsi="Arial" w:cs="Arial"/>
              </w:rPr>
              <w:t>La COSUMAF peut également retirer l’agrément à tout OPCVM :</w:t>
            </w:r>
          </w:p>
          <w:p w14:paraId="10829062" w14:textId="77777777" w:rsidR="00FC0090" w:rsidRPr="00A64175" w:rsidRDefault="00FC0090" w:rsidP="00A64175">
            <w:pPr>
              <w:autoSpaceDE w:val="0"/>
              <w:autoSpaceDN w:val="0"/>
              <w:adjustRightInd w:val="0"/>
              <w:jc w:val="both"/>
              <w:rPr>
                <w:rFonts w:ascii="Arial" w:hAnsi="Arial" w:cs="Arial"/>
              </w:rPr>
            </w:pPr>
          </w:p>
          <w:p w14:paraId="5970E64F" w14:textId="77777777" w:rsidR="00FC0090" w:rsidRPr="00A64175" w:rsidRDefault="00FC0090" w:rsidP="00A64175">
            <w:pPr>
              <w:autoSpaceDE w:val="0"/>
              <w:autoSpaceDN w:val="0"/>
              <w:adjustRightInd w:val="0"/>
              <w:jc w:val="both"/>
              <w:rPr>
                <w:rFonts w:ascii="Arial" w:hAnsi="Arial" w:cs="Arial"/>
              </w:rPr>
            </w:pPr>
            <w:r w:rsidRPr="00A64175">
              <w:rPr>
                <w:rFonts w:ascii="Arial" w:hAnsi="Arial" w:cs="Arial"/>
              </w:rPr>
              <w:t>- qui ne remplit plus les conditions sur le fondement desquelles l’agrément lui a été délivré ;</w:t>
            </w:r>
          </w:p>
          <w:p w14:paraId="4E29FD95" w14:textId="413F8559" w:rsidR="00FC0090" w:rsidRPr="00A64175" w:rsidRDefault="00FC0090" w:rsidP="00A64175">
            <w:pPr>
              <w:autoSpaceDE w:val="0"/>
              <w:autoSpaceDN w:val="0"/>
              <w:adjustRightInd w:val="0"/>
              <w:jc w:val="both"/>
              <w:rPr>
                <w:rFonts w:ascii="Arial" w:hAnsi="Arial" w:cs="Arial"/>
              </w:rPr>
            </w:pPr>
            <w:r w:rsidRPr="00A64175">
              <w:rPr>
                <w:rFonts w:ascii="Arial" w:hAnsi="Arial" w:cs="Arial"/>
              </w:rPr>
              <w:t>- qui n’a pas fait usage de son agrément dans un délai de six (6) mois à compter de la date de notification dudit agrément ;</w:t>
            </w:r>
          </w:p>
          <w:p w14:paraId="3BF22D39" w14:textId="77777777" w:rsidR="00FC0090" w:rsidRPr="00A64175" w:rsidRDefault="00FC0090" w:rsidP="00A64175">
            <w:pPr>
              <w:autoSpaceDE w:val="0"/>
              <w:autoSpaceDN w:val="0"/>
              <w:adjustRightInd w:val="0"/>
              <w:jc w:val="both"/>
              <w:rPr>
                <w:rFonts w:ascii="Arial" w:hAnsi="Arial" w:cs="Arial"/>
              </w:rPr>
            </w:pPr>
            <w:r w:rsidRPr="00A64175">
              <w:rPr>
                <w:rFonts w:ascii="Arial" w:hAnsi="Arial" w:cs="Arial"/>
              </w:rPr>
              <w:t>- qui n’exerce plus son activité depuis six (6) mois.</w:t>
            </w:r>
          </w:p>
          <w:p w14:paraId="54BDB35B" w14:textId="3CEB88E4" w:rsidR="00FC0090" w:rsidRPr="00A64175" w:rsidRDefault="00FC0090" w:rsidP="00A64175">
            <w:pPr>
              <w:autoSpaceDE w:val="0"/>
              <w:autoSpaceDN w:val="0"/>
              <w:adjustRightInd w:val="0"/>
              <w:jc w:val="both"/>
              <w:rPr>
                <w:rFonts w:ascii="Arial" w:hAnsi="Arial" w:cs="Arial"/>
              </w:rPr>
            </w:pPr>
          </w:p>
          <w:p w14:paraId="6345A931" w14:textId="2F87DC37" w:rsidR="006F1F19" w:rsidRPr="00A64175" w:rsidRDefault="00FC0090" w:rsidP="00A64175">
            <w:pPr>
              <w:autoSpaceDE w:val="0"/>
              <w:autoSpaceDN w:val="0"/>
              <w:adjustRightInd w:val="0"/>
              <w:jc w:val="both"/>
              <w:rPr>
                <w:rFonts w:ascii="Arial" w:hAnsi="Arial" w:cs="Arial"/>
              </w:rPr>
            </w:pPr>
            <w:r w:rsidRPr="00A64175">
              <w:rPr>
                <w:rFonts w:ascii="Arial" w:hAnsi="Arial" w:cs="Arial"/>
              </w:rPr>
              <w:t>Le retrait d’agrément est notifié dans les mêmes conditions que l’octroi d’agrément et entraîne la radiation de la SICAV ou du fonds commun de placement de la liste visée à l’article 192</w:t>
            </w:r>
            <w:r w:rsidRPr="00A64175">
              <w:rPr>
                <w:rFonts w:ascii="Arial" w:eastAsia="Times New Roman" w:hAnsi="Arial" w:cs="Arial"/>
                <w:lang w:eastAsia="fr-FR"/>
              </w:rPr>
              <w:t xml:space="preserve"> du</w:t>
            </w:r>
            <w:r w:rsidRPr="00A64175">
              <w:rPr>
                <w:rFonts w:ascii="Arial" w:hAnsi="Arial" w:cs="Arial"/>
              </w:rPr>
              <w:t xml:space="preserve"> Règlement</w:t>
            </w:r>
            <w:r w:rsidRPr="00A64175">
              <w:rPr>
                <w:rFonts w:ascii="Arial" w:hAnsi="Arial" w:cs="Arial"/>
                <w:color w:val="000000"/>
              </w:rPr>
              <w:t xml:space="preserve"> n°01/22/CEMAC/UMAC/CM/COSUMAF du 21 juillet 2022</w:t>
            </w:r>
            <w:r w:rsidRPr="00A64175">
              <w:rPr>
                <w:rFonts w:ascii="Arial" w:hAnsi="Arial" w:cs="Arial"/>
              </w:rPr>
              <w:t>.</w:t>
            </w:r>
          </w:p>
          <w:p w14:paraId="0278AE19" w14:textId="77777777" w:rsidR="006F1F19" w:rsidRPr="00A64175" w:rsidRDefault="006F1F19" w:rsidP="00A64175">
            <w:pPr>
              <w:contextualSpacing/>
              <w:jc w:val="both"/>
              <w:rPr>
                <w:rFonts w:ascii="Arial" w:hAnsi="Arial" w:cs="Arial"/>
                <w:b/>
                <w:bCs/>
              </w:rPr>
            </w:pPr>
          </w:p>
          <w:p w14:paraId="56C49C0C" w14:textId="77777777" w:rsidR="00FC0090" w:rsidRPr="00A64175" w:rsidRDefault="00FC0090" w:rsidP="00A64175">
            <w:pPr>
              <w:contextualSpacing/>
              <w:jc w:val="both"/>
              <w:rPr>
                <w:rFonts w:ascii="Arial" w:hAnsi="Arial" w:cs="Arial"/>
                <w:b/>
                <w:bCs/>
              </w:rPr>
            </w:pPr>
          </w:p>
          <w:p w14:paraId="4A6ACB03" w14:textId="595C7575" w:rsidR="009F5C3A" w:rsidRPr="00A64175" w:rsidRDefault="009F5C3A" w:rsidP="00A64175">
            <w:pPr>
              <w:autoSpaceDE w:val="0"/>
              <w:autoSpaceDN w:val="0"/>
              <w:adjustRightInd w:val="0"/>
              <w:jc w:val="both"/>
              <w:rPr>
                <w:rFonts w:ascii="Arial" w:hAnsi="Arial" w:cs="Arial"/>
              </w:rPr>
            </w:pPr>
            <w:r w:rsidRPr="00A64175">
              <w:rPr>
                <w:rFonts w:ascii="Arial" w:hAnsi="Arial" w:cs="Arial"/>
                <w:b/>
                <w:bCs/>
              </w:rPr>
              <w:t xml:space="preserve">Article </w:t>
            </w:r>
            <w:r w:rsidR="0039382C" w:rsidRPr="00A64175">
              <w:rPr>
                <w:rFonts w:ascii="Arial" w:hAnsi="Arial" w:cs="Arial"/>
                <w:b/>
                <w:bCs/>
                <w:kern w:val="1"/>
              </w:rPr>
              <w:t>33</w:t>
            </w:r>
            <w:r w:rsidR="009B231D">
              <w:rPr>
                <w:rFonts w:ascii="Arial" w:hAnsi="Arial" w:cs="Arial"/>
                <w:b/>
                <w:bCs/>
                <w:kern w:val="1"/>
              </w:rPr>
              <w:t>8</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constitution, la transformation, la fusion, et la scission d’un ou plusieurs OPCVM sont soumises à l’agrément de la COSUMAF. La liquidation d’un OPCVM est soumise à l’approbation préalable de la COSUMAF.</w:t>
            </w:r>
          </w:p>
          <w:p w14:paraId="7EB03BDB" w14:textId="77777777" w:rsidR="009F5C3A" w:rsidRPr="00A64175" w:rsidRDefault="009F5C3A" w:rsidP="00A64175">
            <w:pPr>
              <w:autoSpaceDE w:val="0"/>
              <w:autoSpaceDN w:val="0"/>
              <w:adjustRightInd w:val="0"/>
              <w:jc w:val="both"/>
              <w:rPr>
                <w:rFonts w:ascii="Arial" w:hAnsi="Arial" w:cs="Arial"/>
              </w:rPr>
            </w:pPr>
          </w:p>
          <w:p w14:paraId="4FA34E9A" w14:textId="38B9D822" w:rsidR="00FC0090" w:rsidRPr="00A64175" w:rsidRDefault="009F5C3A" w:rsidP="00A64175">
            <w:pPr>
              <w:autoSpaceDE w:val="0"/>
              <w:autoSpaceDN w:val="0"/>
              <w:adjustRightInd w:val="0"/>
              <w:jc w:val="both"/>
              <w:rPr>
                <w:rFonts w:ascii="Arial" w:hAnsi="Arial" w:cs="Arial"/>
              </w:rPr>
            </w:pPr>
            <w:r w:rsidRPr="00A64175">
              <w:rPr>
                <w:rFonts w:ascii="Arial" w:hAnsi="Arial" w:cs="Arial"/>
              </w:rPr>
              <w:t>Le projet des opérations visées au présent article fait l’objet d’un avis publié dans un journal ou sur tout autre support précisé par la COSUMAF.</w:t>
            </w:r>
          </w:p>
          <w:p w14:paraId="6DF64915" w14:textId="77777777" w:rsidR="009F5C3A" w:rsidRPr="00A64175" w:rsidRDefault="009F5C3A" w:rsidP="00A64175">
            <w:pPr>
              <w:contextualSpacing/>
              <w:jc w:val="both"/>
              <w:rPr>
                <w:rFonts w:ascii="Arial" w:hAnsi="Arial" w:cs="Arial"/>
                <w:b/>
                <w:bCs/>
              </w:rPr>
            </w:pPr>
          </w:p>
          <w:p w14:paraId="30A733DD" w14:textId="77777777" w:rsidR="009F5C3A" w:rsidRPr="00A64175" w:rsidRDefault="009F5C3A" w:rsidP="00A64175">
            <w:pPr>
              <w:contextualSpacing/>
              <w:jc w:val="both"/>
              <w:rPr>
                <w:rFonts w:ascii="Arial" w:hAnsi="Arial" w:cs="Arial"/>
                <w:b/>
                <w:bCs/>
              </w:rPr>
            </w:pPr>
          </w:p>
          <w:p w14:paraId="28D2321B" w14:textId="4B12EDE8" w:rsidR="009F5C3A" w:rsidRPr="00A64175" w:rsidRDefault="009F5C3A" w:rsidP="00A64175">
            <w:pPr>
              <w:autoSpaceDE w:val="0"/>
              <w:autoSpaceDN w:val="0"/>
              <w:adjustRightInd w:val="0"/>
              <w:jc w:val="both"/>
              <w:rPr>
                <w:rFonts w:ascii="Arial" w:hAnsi="Arial" w:cs="Arial"/>
              </w:rPr>
            </w:pPr>
            <w:r w:rsidRPr="00A64175">
              <w:rPr>
                <w:rFonts w:ascii="Arial" w:hAnsi="Arial" w:cs="Arial"/>
                <w:b/>
                <w:bCs/>
              </w:rPr>
              <w:t xml:space="preserve">Article </w:t>
            </w:r>
            <w:r w:rsidR="0039382C" w:rsidRPr="00A64175">
              <w:rPr>
                <w:rFonts w:ascii="Arial" w:hAnsi="Arial" w:cs="Arial"/>
                <w:b/>
                <w:bCs/>
              </w:rPr>
              <w:t>33</w:t>
            </w:r>
            <w:r w:rsidR="009B231D">
              <w:rPr>
                <w:rFonts w:ascii="Arial" w:hAnsi="Arial" w:cs="Arial"/>
                <w:b/>
                <w:bCs/>
                <w:kern w:val="1"/>
              </w:rPr>
              <w:t>9</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Tout projet </w:t>
            </w:r>
            <w:r w:rsidR="00BF227E">
              <w:rPr>
                <w:rFonts w:ascii="Arial" w:hAnsi="Arial" w:cs="Arial"/>
              </w:rPr>
              <w:t xml:space="preserve">de transformation, </w:t>
            </w:r>
            <w:r w:rsidRPr="00A64175">
              <w:rPr>
                <w:rFonts w:ascii="Arial" w:hAnsi="Arial" w:cs="Arial"/>
              </w:rPr>
              <w:t>de fusion ou de scission d’un OPCVM est subordonné au dépôt d’un nouveau dossier de demande d’agrément comprenant des pièces et documents précisés dans une instruction de la COSUMAF.</w:t>
            </w:r>
          </w:p>
          <w:p w14:paraId="3D1F6AB3" w14:textId="77777777" w:rsidR="009F5C3A" w:rsidRPr="00A64175" w:rsidRDefault="009F5C3A" w:rsidP="00A64175">
            <w:pPr>
              <w:autoSpaceDE w:val="0"/>
              <w:autoSpaceDN w:val="0"/>
              <w:adjustRightInd w:val="0"/>
              <w:jc w:val="both"/>
              <w:rPr>
                <w:rFonts w:ascii="Arial" w:hAnsi="Arial" w:cs="Arial"/>
              </w:rPr>
            </w:pPr>
          </w:p>
          <w:p w14:paraId="76DF02A9" w14:textId="22F6885F" w:rsidR="009F5C3A" w:rsidRPr="00A64175" w:rsidRDefault="009F5C3A" w:rsidP="00A64175">
            <w:pPr>
              <w:autoSpaceDE w:val="0"/>
              <w:autoSpaceDN w:val="0"/>
              <w:adjustRightInd w:val="0"/>
              <w:jc w:val="both"/>
              <w:rPr>
                <w:rFonts w:ascii="Arial" w:hAnsi="Arial" w:cs="Arial"/>
              </w:rPr>
            </w:pPr>
            <w:r w:rsidRPr="00A64175">
              <w:rPr>
                <w:rFonts w:ascii="Arial" w:hAnsi="Arial" w:cs="Arial"/>
              </w:rPr>
              <w:t>La demande d’agrément est présentée par chacune des SICAV concernées ou par l’établissement gestionnaire.</w:t>
            </w:r>
          </w:p>
          <w:p w14:paraId="794D1829" w14:textId="77777777" w:rsidR="009F5C3A" w:rsidRPr="00A64175" w:rsidRDefault="009F5C3A" w:rsidP="00A64175">
            <w:pPr>
              <w:autoSpaceDE w:val="0"/>
              <w:autoSpaceDN w:val="0"/>
              <w:adjustRightInd w:val="0"/>
              <w:jc w:val="both"/>
              <w:rPr>
                <w:rFonts w:ascii="Arial" w:hAnsi="Arial" w:cs="Arial"/>
              </w:rPr>
            </w:pPr>
          </w:p>
          <w:p w14:paraId="2144C920" w14:textId="7BE6A9BD" w:rsidR="009F5C3A" w:rsidRPr="00A64175" w:rsidRDefault="009F5C3A" w:rsidP="00A64175">
            <w:pPr>
              <w:autoSpaceDE w:val="0"/>
              <w:autoSpaceDN w:val="0"/>
              <w:adjustRightInd w:val="0"/>
              <w:jc w:val="both"/>
              <w:rPr>
                <w:rFonts w:ascii="Arial" w:hAnsi="Arial" w:cs="Arial"/>
              </w:rPr>
            </w:pPr>
            <w:r w:rsidRPr="00A64175">
              <w:rPr>
                <w:rFonts w:ascii="Arial" w:hAnsi="Arial" w:cs="Arial"/>
              </w:rPr>
              <w:t xml:space="preserve">Tout projet </w:t>
            </w:r>
            <w:r w:rsidR="00BF227E">
              <w:rPr>
                <w:rFonts w:ascii="Arial" w:hAnsi="Arial" w:cs="Arial"/>
              </w:rPr>
              <w:t xml:space="preserve">de transformation, </w:t>
            </w:r>
            <w:r w:rsidRPr="00A64175">
              <w:rPr>
                <w:rFonts w:ascii="Arial" w:hAnsi="Arial" w:cs="Arial"/>
              </w:rPr>
              <w:t>de fusion ou de scission donne lieu à un dépôt d’actes au registre du commerce et du crédit mobilier du lieu du siège social de l’établissement gestionnaire ou de chacune des SICAV concernées.</w:t>
            </w:r>
          </w:p>
          <w:p w14:paraId="66DA6506" w14:textId="77777777" w:rsidR="009F5C3A" w:rsidRPr="00A64175" w:rsidRDefault="009F5C3A" w:rsidP="00A64175">
            <w:pPr>
              <w:autoSpaceDE w:val="0"/>
              <w:autoSpaceDN w:val="0"/>
              <w:adjustRightInd w:val="0"/>
              <w:jc w:val="both"/>
              <w:rPr>
                <w:rFonts w:ascii="Arial" w:hAnsi="Arial" w:cs="Arial"/>
              </w:rPr>
            </w:pPr>
          </w:p>
          <w:p w14:paraId="3E5D7BB4" w14:textId="36BEDF32" w:rsidR="009F5C3A" w:rsidRPr="00A64175" w:rsidRDefault="009F5C3A" w:rsidP="00A64175">
            <w:pPr>
              <w:autoSpaceDE w:val="0"/>
              <w:autoSpaceDN w:val="0"/>
              <w:adjustRightInd w:val="0"/>
              <w:jc w:val="both"/>
              <w:rPr>
                <w:rFonts w:ascii="Arial" w:hAnsi="Arial" w:cs="Arial"/>
              </w:rPr>
            </w:pPr>
            <w:r w:rsidRPr="00A64175">
              <w:rPr>
                <w:rFonts w:ascii="Arial" w:hAnsi="Arial" w:cs="Arial"/>
              </w:rPr>
              <w:t>Le conseil d’administration de chacune des SICAV ou de l’établissement gestionnaire concerné communique le projet au commissaire aux comptes de chaque OPCVM concerné au moins 45 jours avant les assemblées générales extraordinaires des SICAV se prononçant sur l’opération envisagée ou la date</w:t>
            </w:r>
            <w:r w:rsidR="00BF227E">
              <w:rPr>
                <w:rFonts w:ascii="Arial" w:hAnsi="Arial" w:cs="Arial"/>
              </w:rPr>
              <w:t xml:space="preserve"> </w:t>
            </w:r>
            <w:r w:rsidRPr="00A64175">
              <w:rPr>
                <w:rFonts w:ascii="Arial" w:hAnsi="Arial" w:cs="Arial"/>
              </w:rPr>
              <w:t>prévue pour l’opération lorsqu’il s’agit d’un fonds commun de placement.</w:t>
            </w:r>
          </w:p>
          <w:p w14:paraId="261F4D7B" w14:textId="77777777" w:rsidR="009F5C3A" w:rsidRPr="00A64175" w:rsidRDefault="009F5C3A" w:rsidP="00A64175">
            <w:pPr>
              <w:autoSpaceDE w:val="0"/>
              <w:autoSpaceDN w:val="0"/>
              <w:adjustRightInd w:val="0"/>
              <w:jc w:val="both"/>
              <w:rPr>
                <w:rFonts w:ascii="Arial" w:hAnsi="Arial" w:cs="Arial"/>
              </w:rPr>
            </w:pPr>
          </w:p>
          <w:p w14:paraId="4F0E4070" w14:textId="7AB3C5D2" w:rsidR="009F5C3A" w:rsidRPr="00A64175" w:rsidRDefault="009F5C3A" w:rsidP="00A64175">
            <w:pPr>
              <w:autoSpaceDE w:val="0"/>
              <w:autoSpaceDN w:val="0"/>
              <w:adjustRightInd w:val="0"/>
              <w:jc w:val="both"/>
              <w:rPr>
                <w:rFonts w:ascii="Arial" w:hAnsi="Arial" w:cs="Arial"/>
              </w:rPr>
            </w:pPr>
            <w:r w:rsidRPr="00A64175">
              <w:rPr>
                <w:rFonts w:ascii="Arial" w:hAnsi="Arial" w:cs="Arial"/>
              </w:rPr>
              <w:t>Les rapports des commissaires aux comptes sur les conditions de réalisation de l’opération sont tenus à la disposition des actionnaires ou des porteurs de parts au plus tard 15 jours avant la date arrêtée par les assemblées générales extraordinaires ou, lorsqu’il s’agit d’un fonds commun de placement, par l’établissement gestionnaire.</w:t>
            </w:r>
          </w:p>
          <w:p w14:paraId="5DB901C6" w14:textId="77777777" w:rsidR="009F5C3A" w:rsidRPr="00A64175" w:rsidRDefault="009F5C3A" w:rsidP="00A64175">
            <w:pPr>
              <w:autoSpaceDE w:val="0"/>
              <w:autoSpaceDN w:val="0"/>
              <w:adjustRightInd w:val="0"/>
              <w:jc w:val="both"/>
              <w:rPr>
                <w:rFonts w:ascii="Arial" w:hAnsi="Arial" w:cs="Arial"/>
              </w:rPr>
            </w:pPr>
          </w:p>
          <w:p w14:paraId="470B4668" w14:textId="5C87DBBB" w:rsidR="00FC0090" w:rsidRPr="00A64175" w:rsidRDefault="009F5C3A" w:rsidP="00A64175">
            <w:pPr>
              <w:autoSpaceDE w:val="0"/>
              <w:autoSpaceDN w:val="0"/>
              <w:adjustRightInd w:val="0"/>
              <w:jc w:val="both"/>
              <w:rPr>
                <w:rFonts w:ascii="Arial" w:hAnsi="Arial" w:cs="Arial"/>
              </w:rPr>
            </w:pPr>
            <w:r w:rsidRPr="00A64175">
              <w:rPr>
                <w:rFonts w:ascii="Arial" w:hAnsi="Arial" w:cs="Arial"/>
              </w:rPr>
              <w:t>Les créanciers des OPCVM participant à l’opération de fusion et dont la créance est antérieure à la publicité donnée au projet de fusion peuvent former opposition à celui-ci auprès de la COSUMAF dans un délai de trente (30) jours à compter de la publication de l’avis prévu au second alinéa de l’article</w:t>
            </w:r>
            <w:r w:rsidR="00ED357A" w:rsidRPr="00A64175">
              <w:rPr>
                <w:rFonts w:ascii="Arial" w:hAnsi="Arial" w:cs="Arial"/>
              </w:rPr>
              <w:t xml:space="preserve"> 333</w:t>
            </w:r>
            <w:r w:rsidRPr="00A64175">
              <w:rPr>
                <w:rFonts w:ascii="Arial" w:hAnsi="Arial" w:cs="Arial"/>
              </w:rPr>
              <w:t xml:space="preserve"> du présent Règlement Général pour les SICAV et, pour les fonds communs de placement, au plus tard quinze (15) jours avant la date prévue pour l’opération.</w:t>
            </w:r>
          </w:p>
          <w:p w14:paraId="3203A7DC" w14:textId="77777777" w:rsidR="009F5C3A" w:rsidRPr="00A64175" w:rsidRDefault="009F5C3A" w:rsidP="00A64175">
            <w:pPr>
              <w:autoSpaceDE w:val="0"/>
              <w:autoSpaceDN w:val="0"/>
              <w:adjustRightInd w:val="0"/>
              <w:jc w:val="both"/>
              <w:rPr>
                <w:rFonts w:ascii="Arial" w:hAnsi="Arial" w:cs="Arial"/>
              </w:rPr>
            </w:pPr>
          </w:p>
          <w:p w14:paraId="514B68E7" w14:textId="77777777" w:rsidR="009F5C3A" w:rsidRPr="00A64175" w:rsidRDefault="009F5C3A" w:rsidP="00A64175">
            <w:pPr>
              <w:autoSpaceDE w:val="0"/>
              <w:autoSpaceDN w:val="0"/>
              <w:adjustRightInd w:val="0"/>
              <w:jc w:val="both"/>
              <w:rPr>
                <w:rFonts w:ascii="Arial" w:hAnsi="Arial" w:cs="Arial"/>
              </w:rPr>
            </w:pPr>
          </w:p>
          <w:p w14:paraId="3A19C578" w14:textId="303DC668" w:rsidR="009F5C3A" w:rsidRPr="00A64175" w:rsidRDefault="00033D55"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40</w:t>
            </w:r>
            <w:r w:rsidRPr="00A64175">
              <w:rPr>
                <w:rFonts w:ascii="Arial" w:hAnsi="Arial" w:cs="Arial"/>
                <w:b/>
                <w:bCs/>
                <w:kern w:val="1"/>
              </w:rPr>
              <w:t xml:space="preserve"> –</w:t>
            </w:r>
            <w:r w:rsidRPr="00A64175">
              <w:rPr>
                <w:rFonts w:ascii="Arial" w:hAnsi="Arial" w:cs="Arial"/>
                <w:kern w:val="1"/>
              </w:rPr>
              <w:t xml:space="preserve"> </w:t>
            </w:r>
            <w:r w:rsidR="009F5C3A" w:rsidRPr="00A64175">
              <w:rPr>
                <w:rFonts w:ascii="Arial" w:hAnsi="Arial" w:cs="Arial"/>
              </w:rPr>
              <w:t>Le règlement d’un fonds commun de placement et les statuts de S</w:t>
            </w:r>
            <w:r w:rsidRPr="00A64175">
              <w:rPr>
                <w:rFonts w:ascii="Arial" w:hAnsi="Arial" w:cs="Arial"/>
              </w:rPr>
              <w:t xml:space="preserve">ICAV précisent les modalités de </w:t>
            </w:r>
            <w:r w:rsidR="009F5C3A" w:rsidRPr="00A64175">
              <w:rPr>
                <w:rFonts w:ascii="Arial" w:hAnsi="Arial" w:cs="Arial"/>
              </w:rPr>
              <w:t>détermination du résultat net de ces organismes. Ce résultat net corr</w:t>
            </w:r>
            <w:r w:rsidRPr="00A64175">
              <w:rPr>
                <w:rFonts w:ascii="Arial" w:hAnsi="Arial" w:cs="Arial"/>
              </w:rPr>
              <w:t xml:space="preserve">espond au montant des intérêts, </w:t>
            </w:r>
            <w:r w:rsidR="009F5C3A" w:rsidRPr="00A64175">
              <w:rPr>
                <w:rFonts w:ascii="Arial" w:hAnsi="Arial" w:cs="Arial"/>
              </w:rPr>
              <w:t>dividendes, jetons de présence et de tous autres produits relatifs aux titr</w:t>
            </w:r>
            <w:r w:rsidRPr="00A64175">
              <w:rPr>
                <w:rFonts w:ascii="Arial" w:hAnsi="Arial" w:cs="Arial"/>
              </w:rPr>
              <w:t xml:space="preserve">es constituant le portefeuille, </w:t>
            </w:r>
            <w:r w:rsidR="009F5C3A" w:rsidRPr="00A64175">
              <w:rPr>
                <w:rFonts w:ascii="Arial" w:hAnsi="Arial" w:cs="Arial"/>
              </w:rPr>
              <w:t>majoré du produit des sommes momentanément disponibles et diminué des f</w:t>
            </w:r>
            <w:r w:rsidRPr="00A64175">
              <w:rPr>
                <w:rFonts w:ascii="Arial" w:hAnsi="Arial" w:cs="Arial"/>
              </w:rPr>
              <w:t xml:space="preserve">rais de gestion et de la charge </w:t>
            </w:r>
            <w:r w:rsidR="009F5C3A" w:rsidRPr="00A64175">
              <w:rPr>
                <w:rFonts w:ascii="Arial" w:hAnsi="Arial" w:cs="Arial"/>
              </w:rPr>
              <w:t>des emprunts.</w:t>
            </w:r>
          </w:p>
          <w:p w14:paraId="2FDF4107" w14:textId="77777777" w:rsidR="00033D55" w:rsidRPr="00A64175" w:rsidRDefault="00033D55" w:rsidP="00A64175">
            <w:pPr>
              <w:autoSpaceDE w:val="0"/>
              <w:autoSpaceDN w:val="0"/>
              <w:adjustRightInd w:val="0"/>
              <w:jc w:val="both"/>
              <w:rPr>
                <w:rFonts w:ascii="Arial" w:hAnsi="Arial" w:cs="Arial"/>
              </w:rPr>
            </w:pPr>
          </w:p>
          <w:p w14:paraId="09B94D8F" w14:textId="6ADCD64D" w:rsidR="009F5C3A" w:rsidRPr="00A64175" w:rsidRDefault="009F5C3A" w:rsidP="00A64175">
            <w:pPr>
              <w:autoSpaceDE w:val="0"/>
              <w:autoSpaceDN w:val="0"/>
              <w:adjustRightInd w:val="0"/>
              <w:jc w:val="both"/>
              <w:rPr>
                <w:rFonts w:ascii="Arial" w:hAnsi="Arial" w:cs="Arial"/>
              </w:rPr>
            </w:pPr>
          </w:p>
          <w:p w14:paraId="6D859953" w14:textId="4CF1578D" w:rsidR="009F5C3A" w:rsidRPr="00A64175" w:rsidRDefault="00033D55"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41</w:t>
            </w:r>
            <w:r w:rsidRPr="00A64175">
              <w:rPr>
                <w:rFonts w:ascii="Arial" w:hAnsi="Arial" w:cs="Arial"/>
                <w:b/>
                <w:bCs/>
                <w:kern w:val="1"/>
              </w:rPr>
              <w:t xml:space="preserve"> –</w:t>
            </w:r>
            <w:r w:rsidRPr="00A64175">
              <w:rPr>
                <w:rFonts w:ascii="Arial" w:hAnsi="Arial" w:cs="Arial"/>
                <w:kern w:val="1"/>
              </w:rPr>
              <w:t xml:space="preserve"> </w:t>
            </w:r>
            <w:r w:rsidR="009F5C3A" w:rsidRPr="00A64175">
              <w:rPr>
                <w:rFonts w:ascii="Arial" w:hAnsi="Arial" w:cs="Arial"/>
              </w:rPr>
              <w:t>La SICAV et le fonds commun de placement doivent, cinq mois a</w:t>
            </w:r>
            <w:r w:rsidRPr="00A64175">
              <w:rPr>
                <w:rFonts w:ascii="Arial" w:hAnsi="Arial" w:cs="Arial"/>
              </w:rPr>
              <w:t xml:space="preserve">u plus tard après la clôture de </w:t>
            </w:r>
            <w:r w:rsidR="009F5C3A" w:rsidRPr="00A64175">
              <w:rPr>
                <w:rFonts w:ascii="Arial" w:hAnsi="Arial" w:cs="Arial"/>
              </w:rPr>
              <w:t>l’exercice, mettre en paiement les sommes distribuables.</w:t>
            </w:r>
          </w:p>
          <w:p w14:paraId="5BAC0060" w14:textId="77777777" w:rsidR="00033D55" w:rsidRPr="00A64175" w:rsidRDefault="00033D55" w:rsidP="00A64175">
            <w:pPr>
              <w:autoSpaceDE w:val="0"/>
              <w:autoSpaceDN w:val="0"/>
              <w:adjustRightInd w:val="0"/>
              <w:jc w:val="both"/>
              <w:rPr>
                <w:rFonts w:ascii="Arial" w:hAnsi="Arial" w:cs="Arial"/>
              </w:rPr>
            </w:pPr>
          </w:p>
          <w:p w14:paraId="7DB049CF" w14:textId="3295B108" w:rsidR="009F5C3A" w:rsidRPr="00A64175" w:rsidRDefault="009F5C3A" w:rsidP="00A64175">
            <w:pPr>
              <w:autoSpaceDE w:val="0"/>
              <w:autoSpaceDN w:val="0"/>
              <w:adjustRightInd w:val="0"/>
              <w:jc w:val="both"/>
              <w:rPr>
                <w:rFonts w:ascii="Arial" w:hAnsi="Arial" w:cs="Arial"/>
              </w:rPr>
            </w:pPr>
            <w:r w:rsidRPr="00A64175">
              <w:rPr>
                <w:rFonts w:ascii="Arial" w:hAnsi="Arial" w:cs="Arial"/>
              </w:rPr>
              <w:t>Les sommes distribuables correspondent au résultat net de l’exercice aug</w:t>
            </w:r>
            <w:r w:rsidR="00033D55" w:rsidRPr="00A64175">
              <w:rPr>
                <w:rFonts w:ascii="Arial" w:hAnsi="Arial" w:cs="Arial"/>
              </w:rPr>
              <w:t xml:space="preserve">menté du report bénéficiaire et </w:t>
            </w:r>
            <w:r w:rsidRPr="00A64175">
              <w:rPr>
                <w:rFonts w:ascii="Arial" w:hAnsi="Arial" w:cs="Arial"/>
              </w:rPr>
              <w:t>diminué des pertes antérieures ainsi que des sommes portées en réserve.</w:t>
            </w:r>
          </w:p>
          <w:p w14:paraId="70974EFF" w14:textId="77777777" w:rsidR="00033D55" w:rsidRPr="00A64175" w:rsidRDefault="00033D55" w:rsidP="00A64175">
            <w:pPr>
              <w:autoSpaceDE w:val="0"/>
              <w:autoSpaceDN w:val="0"/>
              <w:adjustRightInd w:val="0"/>
              <w:jc w:val="both"/>
              <w:rPr>
                <w:rFonts w:ascii="Arial" w:hAnsi="Arial" w:cs="Arial"/>
              </w:rPr>
            </w:pPr>
          </w:p>
          <w:p w14:paraId="6F0C88D3" w14:textId="67D8A7F6" w:rsidR="009F5C3A" w:rsidRPr="00A64175" w:rsidRDefault="009F5C3A" w:rsidP="00A64175">
            <w:pPr>
              <w:autoSpaceDE w:val="0"/>
              <w:autoSpaceDN w:val="0"/>
              <w:adjustRightInd w:val="0"/>
              <w:jc w:val="both"/>
              <w:rPr>
                <w:rFonts w:ascii="Arial" w:hAnsi="Arial" w:cs="Arial"/>
              </w:rPr>
            </w:pPr>
          </w:p>
          <w:p w14:paraId="4BBE8701" w14:textId="61B898E8" w:rsidR="009F5C3A" w:rsidRPr="00A64175" w:rsidRDefault="00033D55"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42</w:t>
            </w:r>
            <w:r w:rsidRPr="00A64175">
              <w:rPr>
                <w:rFonts w:ascii="Arial" w:hAnsi="Arial" w:cs="Arial"/>
                <w:b/>
                <w:bCs/>
                <w:kern w:val="1"/>
              </w:rPr>
              <w:t xml:space="preserve"> –</w:t>
            </w:r>
            <w:r w:rsidRPr="00A64175">
              <w:rPr>
                <w:rFonts w:ascii="Arial" w:hAnsi="Arial" w:cs="Arial"/>
                <w:kern w:val="1"/>
              </w:rPr>
              <w:t xml:space="preserve"> </w:t>
            </w:r>
            <w:r w:rsidR="009F5C3A" w:rsidRPr="00A64175">
              <w:rPr>
                <w:rFonts w:ascii="Arial" w:hAnsi="Arial" w:cs="Arial"/>
              </w:rPr>
              <w:t>Lorsqu’elle vient à constater une infraction aux dispositions du présent r</w:t>
            </w:r>
            <w:r w:rsidRPr="00A64175">
              <w:rPr>
                <w:rFonts w:ascii="Arial" w:hAnsi="Arial" w:cs="Arial"/>
              </w:rPr>
              <w:t xml:space="preserve">èglement général commise par le </w:t>
            </w:r>
            <w:r w:rsidR="009F5C3A" w:rsidRPr="00A64175">
              <w:rPr>
                <w:rFonts w:ascii="Arial" w:hAnsi="Arial" w:cs="Arial"/>
              </w:rPr>
              <w:t>commissaire aux comptes d’un OPCVM ou d’une société de gestion,</w:t>
            </w:r>
            <w:r w:rsidRPr="00A64175">
              <w:rPr>
                <w:rFonts w:ascii="Arial" w:hAnsi="Arial" w:cs="Arial"/>
              </w:rPr>
              <w:t xml:space="preserve"> la COSUMAF peut diligenter une </w:t>
            </w:r>
            <w:r w:rsidR="009F5C3A" w:rsidRPr="00A64175">
              <w:rPr>
                <w:rFonts w:ascii="Arial" w:hAnsi="Arial" w:cs="Arial"/>
              </w:rPr>
              <w:t>enquête et ouvrir une procédure de sanction à l’encontre de la personne défaillante.</w:t>
            </w:r>
          </w:p>
          <w:p w14:paraId="37E88511" w14:textId="77777777" w:rsidR="00033D55" w:rsidRPr="00A64175" w:rsidRDefault="00033D55" w:rsidP="00A64175">
            <w:pPr>
              <w:autoSpaceDE w:val="0"/>
              <w:autoSpaceDN w:val="0"/>
              <w:adjustRightInd w:val="0"/>
              <w:jc w:val="both"/>
              <w:rPr>
                <w:rFonts w:ascii="Arial" w:hAnsi="Arial" w:cs="Arial"/>
              </w:rPr>
            </w:pPr>
          </w:p>
          <w:p w14:paraId="550458C8" w14:textId="674E1D56" w:rsidR="009F5C3A" w:rsidRPr="00A64175" w:rsidRDefault="009F5C3A" w:rsidP="00A64175">
            <w:pPr>
              <w:autoSpaceDE w:val="0"/>
              <w:autoSpaceDN w:val="0"/>
              <w:adjustRightInd w:val="0"/>
              <w:jc w:val="both"/>
              <w:rPr>
                <w:rFonts w:ascii="Arial" w:hAnsi="Arial" w:cs="Arial"/>
              </w:rPr>
            </w:pPr>
            <w:r w:rsidRPr="00A64175">
              <w:rPr>
                <w:rFonts w:ascii="Arial" w:hAnsi="Arial" w:cs="Arial"/>
              </w:rPr>
              <w:t>Elle peut également dénoncer cette infraction à l’autorité disciplinaire compétente.</w:t>
            </w:r>
          </w:p>
          <w:p w14:paraId="22CEDBF5" w14:textId="77777777" w:rsidR="009F5C3A" w:rsidRPr="00A64175" w:rsidRDefault="009F5C3A" w:rsidP="00A64175">
            <w:pPr>
              <w:autoSpaceDE w:val="0"/>
              <w:autoSpaceDN w:val="0"/>
              <w:adjustRightInd w:val="0"/>
              <w:jc w:val="both"/>
              <w:rPr>
                <w:rFonts w:ascii="Arial" w:hAnsi="Arial" w:cs="Arial"/>
              </w:rPr>
            </w:pPr>
          </w:p>
          <w:p w14:paraId="2A4CDC3C" w14:textId="3147CBCD" w:rsidR="00033D55" w:rsidRPr="00A64175" w:rsidRDefault="00033D55" w:rsidP="00A64175">
            <w:pPr>
              <w:autoSpaceDE w:val="0"/>
              <w:autoSpaceDN w:val="0"/>
              <w:adjustRightInd w:val="0"/>
              <w:jc w:val="both"/>
              <w:rPr>
                <w:rFonts w:ascii="Arial" w:hAnsi="Arial" w:cs="Arial"/>
              </w:rPr>
            </w:pPr>
          </w:p>
          <w:p w14:paraId="44F1C1DC" w14:textId="01CEF093" w:rsidR="00033D55" w:rsidRPr="00A64175" w:rsidRDefault="00033D55"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3</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Les créanciers dont le titre résulte de la conservation ou de la gestion des actifs d’un OPCVM n’ont d’action que sur ces actifs.</w:t>
            </w:r>
          </w:p>
          <w:p w14:paraId="71CF1FD2" w14:textId="77777777" w:rsidR="00033D55" w:rsidRPr="00A64175" w:rsidRDefault="00033D55" w:rsidP="00A64175">
            <w:pPr>
              <w:autoSpaceDE w:val="0"/>
              <w:autoSpaceDN w:val="0"/>
              <w:adjustRightInd w:val="0"/>
              <w:jc w:val="both"/>
              <w:rPr>
                <w:rFonts w:ascii="Arial" w:hAnsi="Arial" w:cs="Arial"/>
              </w:rPr>
            </w:pPr>
          </w:p>
          <w:p w14:paraId="6153E0D7" w14:textId="7115C49C" w:rsidR="00033D55" w:rsidRPr="00A64175" w:rsidRDefault="00033D55" w:rsidP="00A64175">
            <w:pPr>
              <w:autoSpaceDE w:val="0"/>
              <w:autoSpaceDN w:val="0"/>
              <w:adjustRightInd w:val="0"/>
              <w:jc w:val="both"/>
              <w:rPr>
                <w:rFonts w:ascii="Arial" w:hAnsi="Arial" w:cs="Arial"/>
              </w:rPr>
            </w:pPr>
            <w:r w:rsidRPr="00A64175">
              <w:rPr>
                <w:rFonts w:ascii="Arial" w:hAnsi="Arial" w:cs="Arial"/>
              </w:rPr>
              <w:t>Les créanciers personnels de l’établissement gestionnaire ou du dépositaire d’OPCVM ne peuvent poursuivre le paiement de leurs créances sur les actifs de l’OPCVM.</w:t>
            </w:r>
          </w:p>
          <w:p w14:paraId="6B2477CD" w14:textId="77777777" w:rsidR="00033D55" w:rsidRPr="00A64175" w:rsidRDefault="00033D55" w:rsidP="00A64175">
            <w:pPr>
              <w:autoSpaceDE w:val="0"/>
              <w:autoSpaceDN w:val="0"/>
              <w:adjustRightInd w:val="0"/>
              <w:jc w:val="both"/>
              <w:rPr>
                <w:rFonts w:ascii="Arial" w:hAnsi="Arial" w:cs="Arial"/>
              </w:rPr>
            </w:pPr>
          </w:p>
          <w:p w14:paraId="69E59250" w14:textId="4524F137" w:rsidR="00033D55" w:rsidRPr="00A64175" w:rsidRDefault="00033D55" w:rsidP="00A64175">
            <w:pPr>
              <w:autoSpaceDE w:val="0"/>
              <w:autoSpaceDN w:val="0"/>
              <w:adjustRightInd w:val="0"/>
              <w:jc w:val="both"/>
              <w:rPr>
                <w:rFonts w:ascii="Arial" w:hAnsi="Arial" w:cs="Arial"/>
              </w:rPr>
            </w:pPr>
          </w:p>
          <w:p w14:paraId="7BEADCEB" w14:textId="7AEFE747" w:rsidR="00033D55" w:rsidRPr="00A64175" w:rsidRDefault="00033D55"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4</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SICAV et son établissement dépositaire ainsi que le gestionnaire et l’établissement dépositaire d’un fonds commun de placement sont responsables individuellement ou solidairement, selon le cas, aussi bien à l’égard des actionnaires ou porteurs de parts qu’à l’égard des tiers :</w:t>
            </w:r>
          </w:p>
          <w:p w14:paraId="443B480C" w14:textId="77777777" w:rsidR="00033D55" w:rsidRPr="00A64175" w:rsidRDefault="00033D55" w:rsidP="00A64175">
            <w:pPr>
              <w:autoSpaceDE w:val="0"/>
              <w:autoSpaceDN w:val="0"/>
              <w:adjustRightInd w:val="0"/>
              <w:jc w:val="both"/>
              <w:rPr>
                <w:rFonts w:ascii="Arial" w:hAnsi="Arial" w:cs="Arial"/>
              </w:rPr>
            </w:pPr>
          </w:p>
          <w:p w14:paraId="7C2A22AC" w14:textId="77777777" w:rsidR="00033D55" w:rsidRPr="00A64175" w:rsidRDefault="00033D55" w:rsidP="00A64175">
            <w:pPr>
              <w:autoSpaceDE w:val="0"/>
              <w:autoSpaceDN w:val="0"/>
              <w:adjustRightInd w:val="0"/>
              <w:jc w:val="both"/>
              <w:rPr>
                <w:rFonts w:ascii="Arial" w:hAnsi="Arial" w:cs="Arial"/>
              </w:rPr>
            </w:pPr>
            <w:r w:rsidRPr="00A64175">
              <w:rPr>
                <w:rFonts w:ascii="Arial" w:hAnsi="Arial" w:cs="Arial"/>
              </w:rPr>
              <w:t>- des infractions à la réglementation applicable aux OPCVM ;</w:t>
            </w:r>
          </w:p>
          <w:p w14:paraId="778111B3" w14:textId="77777777" w:rsidR="00033D55" w:rsidRPr="00A64175" w:rsidRDefault="00033D55" w:rsidP="00A64175">
            <w:pPr>
              <w:autoSpaceDE w:val="0"/>
              <w:autoSpaceDN w:val="0"/>
              <w:adjustRightInd w:val="0"/>
              <w:jc w:val="both"/>
              <w:rPr>
                <w:rFonts w:ascii="Arial" w:hAnsi="Arial" w:cs="Arial"/>
              </w:rPr>
            </w:pPr>
            <w:r w:rsidRPr="00A64175">
              <w:rPr>
                <w:rFonts w:ascii="Arial" w:hAnsi="Arial" w:cs="Arial"/>
              </w:rPr>
              <w:t>- de la violation des statuts ou du règlement de gestion ;</w:t>
            </w:r>
          </w:p>
          <w:p w14:paraId="7DB06726" w14:textId="2D90EB8D" w:rsidR="00033D55" w:rsidRPr="00A64175" w:rsidRDefault="00033D55" w:rsidP="00A64175">
            <w:pPr>
              <w:autoSpaceDE w:val="0"/>
              <w:autoSpaceDN w:val="0"/>
              <w:adjustRightInd w:val="0"/>
              <w:jc w:val="both"/>
              <w:rPr>
                <w:rFonts w:ascii="Arial" w:hAnsi="Arial" w:cs="Arial"/>
              </w:rPr>
            </w:pPr>
            <w:r w:rsidRPr="00A64175">
              <w:rPr>
                <w:rFonts w:ascii="Arial" w:hAnsi="Arial" w:cs="Arial"/>
              </w:rPr>
              <w:t>- de leurs fautes.</w:t>
            </w:r>
          </w:p>
          <w:p w14:paraId="73721463" w14:textId="77777777" w:rsidR="00033D55" w:rsidRPr="00A64175" w:rsidRDefault="00033D55" w:rsidP="00A64175">
            <w:pPr>
              <w:autoSpaceDE w:val="0"/>
              <w:autoSpaceDN w:val="0"/>
              <w:adjustRightInd w:val="0"/>
              <w:jc w:val="both"/>
              <w:rPr>
                <w:rFonts w:ascii="Arial" w:hAnsi="Arial" w:cs="Arial"/>
              </w:rPr>
            </w:pPr>
          </w:p>
          <w:p w14:paraId="7A851645" w14:textId="77777777" w:rsidR="00033D55" w:rsidRPr="00A64175" w:rsidRDefault="00033D55" w:rsidP="00A64175">
            <w:pPr>
              <w:autoSpaceDE w:val="0"/>
              <w:autoSpaceDN w:val="0"/>
              <w:adjustRightInd w:val="0"/>
              <w:jc w:val="both"/>
              <w:rPr>
                <w:rFonts w:ascii="Arial" w:hAnsi="Arial" w:cs="Arial"/>
              </w:rPr>
            </w:pPr>
          </w:p>
          <w:p w14:paraId="11BE2147" w14:textId="6088919E" w:rsidR="00D76ADD" w:rsidRPr="00A64175" w:rsidRDefault="00D76ADD"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5</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Les OPCVM ou leur établissement gestionnaire doivent communique</w:t>
            </w:r>
            <w:r w:rsidR="00B07EEA" w:rsidRPr="00A64175">
              <w:rPr>
                <w:rFonts w:ascii="Arial" w:hAnsi="Arial" w:cs="Arial"/>
              </w:rPr>
              <w:t xml:space="preserve">r à la COSUMAF les informations </w:t>
            </w:r>
            <w:r w:rsidRPr="00A64175">
              <w:rPr>
                <w:rFonts w:ascii="Arial" w:hAnsi="Arial" w:cs="Arial"/>
              </w:rPr>
              <w:t>nécessaires à l’établissement des statistiques monétaires de la CEMAC.</w:t>
            </w:r>
          </w:p>
          <w:p w14:paraId="460F50D2" w14:textId="77777777" w:rsidR="00D76ADD" w:rsidRPr="00A64175" w:rsidRDefault="00D76ADD" w:rsidP="00A64175">
            <w:pPr>
              <w:contextualSpacing/>
              <w:jc w:val="both"/>
              <w:rPr>
                <w:rFonts w:ascii="Arial" w:hAnsi="Arial" w:cs="Arial"/>
                <w:b/>
                <w:bCs/>
              </w:rPr>
            </w:pPr>
          </w:p>
          <w:p w14:paraId="549C72B0" w14:textId="77777777" w:rsidR="00D76ADD" w:rsidRPr="00A64175" w:rsidRDefault="00D76ADD" w:rsidP="00A64175">
            <w:pPr>
              <w:contextualSpacing/>
              <w:jc w:val="both"/>
              <w:rPr>
                <w:rFonts w:ascii="Arial" w:hAnsi="Arial" w:cs="Arial"/>
                <w:b/>
                <w:bCs/>
              </w:rPr>
            </w:pPr>
          </w:p>
          <w:p w14:paraId="08D105DD" w14:textId="0A5CF3CE" w:rsidR="00B74E35" w:rsidRPr="00A64175" w:rsidRDefault="00B74E35" w:rsidP="00A64175">
            <w:pPr>
              <w:contextualSpacing/>
              <w:jc w:val="both"/>
              <w:rPr>
                <w:rFonts w:ascii="Arial" w:hAnsi="Arial" w:cs="Arial"/>
                <w:b/>
                <w:bCs/>
              </w:rPr>
            </w:pPr>
            <w:r w:rsidRPr="00A64175">
              <w:rPr>
                <w:rFonts w:ascii="Arial" w:hAnsi="Arial" w:cs="Arial"/>
                <w:b/>
                <w:bCs/>
              </w:rPr>
              <w:t xml:space="preserve">Section II : Dispositions relatives aux </w:t>
            </w:r>
            <w:r w:rsidR="0028673A" w:rsidRPr="00A64175">
              <w:rPr>
                <w:rFonts w:ascii="Arial" w:hAnsi="Arial" w:cs="Arial"/>
                <w:b/>
                <w:bCs/>
              </w:rPr>
              <w:t>sociétés d’investissement à capital variable</w:t>
            </w:r>
          </w:p>
          <w:p w14:paraId="55DAB185" w14:textId="77777777" w:rsidR="00B74E35" w:rsidRPr="00A64175" w:rsidRDefault="00B74E35" w:rsidP="00A64175">
            <w:pPr>
              <w:contextualSpacing/>
              <w:jc w:val="both"/>
              <w:rPr>
                <w:rFonts w:ascii="Arial" w:hAnsi="Arial" w:cs="Arial"/>
                <w:b/>
                <w:bCs/>
              </w:rPr>
            </w:pPr>
          </w:p>
          <w:p w14:paraId="5D6257DB" w14:textId="77777777" w:rsidR="00B07EEA" w:rsidRPr="00A64175" w:rsidRDefault="00B07EEA" w:rsidP="00A64175">
            <w:pPr>
              <w:contextualSpacing/>
              <w:jc w:val="both"/>
              <w:rPr>
                <w:rFonts w:ascii="Arial" w:hAnsi="Arial" w:cs="Arial"/>
                <w:b/>
                <w:bCs/>
              </w:rPr>
            </w:pPr>
          </w:p>
          <w:p w14:paraId="24C2B370" w14:textId="724750DB" w:rsidR="00C47876" w:rsidRPr="00A64175" w:rsidRDefault="00703FC6"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00C47876" w:rsidRPr="00A64175">
              <w:rPr>
                <w:rFonts w:ascii="Arial" w:hAnsi="Arial" w:cs="Arial"/>
              </w:rPr>
              <w:t>La SICAV est une société anonyme qui a pour objet la gestion d’un portefeuille de valeurs mobilières.</w:t>
            </w:r>
          </w:p>
          <w:p w14:paraId="1A4423FD" w14:textId="77777777" w:rsidR="00C47876" w:rsidRPr="00A64175" w:rsidRDefault="00C47876" w:rsidP="00A64175">
            <w:pPr>
              <w:autoSpaceDE w:val="0"/>
              <w:autoSpaceDN w:val="0"/>
              <w:adjustRightInd w:val="0"/>
              <w:jc w:val="both"/>
              <w:rPr>
                <w:rFonts w:ascii="Arial" w:hAnsi="Arial" w:cs="Arial"/>
              </w:rPr>
            </w:pPr>
          </w:p>
          <w:p w14:paraId="00C5EAF0" w14:textId="7E338A0E" w:rsidR="00C47876" w:rsidRPr="00A64175" w:rsidRDefault="00C47876" w:rsidP="00A64175">
            <w:pPr>
              <w:autoSpaceDE w:val="0"/>
              <w:autoSpaceDN w:val="0"/>
              <w:adjustRightInd w:val="0"/>
              <w:jc w:val="both"/>
              <w:rPr>
                <w:rFonts w:ascii="Arial" w:hAnsi="Arial" w:cs="Arial"/>
              </w:rPr>
            </w:pPr>
            <w:r w:rsidRPr="00A64175">
              <w:rPr>
                <w:rFonts w:ascii="Arial" w:hAnsi="Arial" w:cs="Arial"/>
              </w:rPr>
              <w:t>La SICAV émet des actions qui, sous réserve d’autorisation de la COSUMAF, peuvent être admises aux négociations à la Bourse des Valeurs Mobilières de l’Afrique Centrale.</w:t>
            </w:r>
          </w:p>
          <w:p w14:paraId="03A11A39" w14:textId="77777777" w:rsidR="00C47876" w:rsidRPr="00A64175" w:rsidRDefault="00C47876" w:rsidP="00A64175">
            <w:pPr>
              <w:autoSpaceDE w:val="0"/>
              <w:autoSpaceDN w:val="0"/>
              <w:adjustRightInd w:val="0"/>
              <w:jc w:val="both"/>
              <w:rPr>
                <w:rFonts w:ascii="Arial" w:hAnsi="Arial" w:cs="Arial"/>
              </w:rPr>
            </w:pPr>
          </w:p>
          <w:p w14:paraId="0D7A056D" w14:textId="55CB7C89" w:rsidR="00C47876" w:rsidRPr="00A64175" w:rsidRDefault="00C47876" w:rsidP="00A64175">
            <w:pPr>
              <w:autoSpaceDE w:val="0"/>
              <w:autoSpaceDN w:val="0"/>
              <w:adjustRightInd w:val="0"/>
              <w:jc w:val="both"/>
              <w:rPr>
                <w:rFonts w:ascii="Arial" w:hAnsi="Arial" w:cs="Arial"/>
              </w:rPr>
            </w:pPr>
            <w:r w:rsidRPr="00A64175">
              <w:rPr>
                <w:rFonts w:ascii="Arial" w:hAnsi="Arial" w:cs="Arial"/>
              </w:rPr>
              <w:t xml:space="preserve">Les actions de SICAV sont émises et rachetées à tout moment </w:t>
            </w:r>
            <w:r w:rsidR="00703FC6" w:rsidRPr="00A64175">
              <w:rPr>
                <w:rFonts w:ascii="Arial" w:hAnsi="Arial" w:cs="Arial"/>
              </w:rPr>
              <w:t xml:space="preserve">par la société à la demande des </w:t>
            </w:r>
            <w:r w:rsidRPr="00A64175">
              <w:rPr>
                <w:rFonts w:ascii="Arial" w:hAnsi="Arial" w:cs="Arial"/>
              </w:rPr>
              <w:t>actionnaires. Ces émissions et rachat se font à la valeur liquidative de</w:t>
            </w:r>
            <w:r w:rsidR="00703FC6" w:rsidRPr="00A64175">
              <w:rPr>
                <w:rFonts w:ascii="Arial" w:hAnsi="Arial" w:cs="Arial"/>
              </w:rPr>
              <w:t xml:space="preserve">s actions, majorée ou diminuée, </w:t>
            </w:r>
            <w:r w:rsidRPr="00A64175">
              <w:rPr>
                <w:rFonts w:ascii="Arial" w:hAnsi="Arial" w:cs="Arial"/>
              </w:rPr>
              <w:t>selon le cas, des frais et commissions.</w:t>
            </w:r>
          </w:p>
          <w:p w14:paraId="7DB0D324" w14:textId="77777777" w:rsidR="00C47876" w:rsidRPr="00A64175" w:rsidRDefault="00C47876" w:rsidP="00A64175">
            <w:pPr>
              <w:autoSpaceDE w:val="0"/>
              <w:autoSpaceDN w:val="0"/>
              <w:adjustRightInd w:val="0"/>
              <w:jc w:val="both"/>
              <w:rPr>
                <w:rFonts w:ascii="Arial" w:hAnsi="Arial" w:cs="Arial"/>
              </w:rPr>
            </w:pPr>
          </w:p>
          <w:p w14:paraId="2A653195" w14:textId="1F164863" w:rsidR="00C47876" w:rsidRPr="00A64175" w:rsidRDefault="00C47876" w:rsidP="00A64175">
            <w:pPr>
              <w:autoSpaceDE w:val="0"/>
              <w:autoSpaceDN w:val="0"/>
              <w:adjustRightInd w:val="0"/>
              <w:jc w:val="both"/>
              <w:rPr>
                <w:rFonts w:ascii="Arial" w:hAnsi="Arial" w:cs="Arial"/>
              </w:rPr>
            </w:pPr>
            <w:r w:rsidRPr="00A64175">
              <w:rPr>
                <w:rFonts w:ascii="Arial" w:hAnsi="Arial" w:cs="Arial"/>
              </w:rPr>
              <w:t>La valeur liquidative s’entend de la valeur obtenue en divisant l’actif n</w:t>
            </w:r>
            <w:r w:rsidR="00703FC6" w:rsidRPr="00A64175">
              <w:rPr>
                <w:rFonts w:ascii="Arial" w:hAnsi="Arial" w:cs="Arial"/>
              </w:rPr>
              <w:t xml:space="preserve">et de la SICAV par le nombre </w:t>
            </w:r>
            <w:r w:rsidRPr="00A64175">
              <w:rPr>
                <w:rFonts w:ascii="Arial" w:hAnsi="Arial" w:cs="Arial"/>
              </w:rPr>
              <w:t>d’actions en circulation.</w:t>
            </w:r>
          </w:p>
          <w:p w14:paraId="62089108" w14:textId="77777777" w:rsidR="00C47876" w:rsidRPr="00A64175" w:rsidRDefault="00C47876" w:rsidP="00A64175">
            <w:pPr>
              <w:autoSpaceDE w:val="0"/>
              <w:autoSpaceDN w:val="0"/>
              <w:adjustRightInd w:val="0"/>
              <w:jc w:val="both"/>
              <w:rPr>
                <w:rFonts w:ascii="Arial" w:hAnsi="Arial" w:cs="Arial"/>
              </w:rPr>
            </w:pPr>
          </w:p>
          <w:p w14:paraId="072BF581" w14:textId="42251247" w:rsidR="00C47876" w:rsidRPr="00A64175" w:rsidRDefault="00C47876" w:rsidP="00A64175">
            <w:pPr>
              <w:autoSpaceDE w:val="0"/>
              <w:autoSpaceDN w:val="0"/>
              <w:adjustRightInd w:val="0"/>
              <w:jc w:val="both"/>
              <w:rPr>
                <w:rFonts w:ascii="Arial" w:hAnsi="Arial" w:cs="Arial"/>
              </w:rPr>
            </w:pPr>
          </w:p>
          <w:p w14:paraId="3C75F735" w14:textId="34F5E86E" w:rsidR="00C47876" w:rsidRPr="00A64175" w:rsidRDefault="00703FC6"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7</w:t>
            </w:r>
            <w:r w:rsidRPr="00A64175">
              <w:rPr>
                <w:rFonts w:ascii="Arial" w:hAnsi="Arial" w:cs="Arial"/>
                <w:b/>
                <w:bCs/>
                <w:kern w:val="1"/>
              </w:rPr>
              <w:t xml:space="preserve"> –</w:t>
            </w:r>
            <w:r w:rsidRPr="00A64175">
              <w:rPr>
                <w:rFonts w:ascii="Arial" w:hAnsi="Arial" w:cs="Arial"/>
                <w:kern w:val="1"/>
              </w:rPr>
              <w:t xml:space="preserve"> </w:t>
            </w:r>
            <w:r w:rsidR="00C47876" w:rsidRPr="00A64175">
              <w:rPr>
                <w:rFonts w:ascii="Arial" w:hAnsi="Arial" w:cs="Arial"/>
              </w:rPr>
              <w:t>Le montant minimum du capital social initial des SICAV est fixé dans une instruction de la COSUMAF.</w:t>
            </w:r>
          </w:p>
          <w:p w14:paraId="34E3C958" w14:textId="77777777" w:rsidR="00703FC6" w:rsidRPr="00A64175" w:rsidRDefault="00703FC6" w:rsidP="00A64175">
            <w:pPr>
              <w:autoSpaceDE w:val="0"/>
              <w:autoSpaceDN w:val="0"/>
              <w:adjustRightInd w:val="0"/>
              <w:jc w:val="both"/>
              <w:rPr>
                <w:rFonts w:ascii="Arial" w:hAnsi="Arial" w:cs="Arial"/>
              </w:rPr>
            </w:pPr>
          </w:p>
          <w:p w14:paraId="5FC003A4" w14:textId="697AEB7D" w:rsidR="00C47876" w:rsidRPr="00A64175" w:rsidRDefault="00C47876" w:rsidP="00A64175">
            <w:pPr>
              <w:autoSpaceDE w:val="0"/>
              <w:autoSpaceDN w:val="0"/>
              <w:adjustRightInd w:val="0"/>
              <w:jc w:val="both"/>
              <w:rPr>
                <w:rFonts w:ascii="Arial" w:hAnsi="Arial" w:cs="Arial"/>
              </w:rPr>
            </w:pPr>
            <w:r w:rsidRPr="00A64175">
              <w:rPr>
                <w:rFonts w:ascii="Arial" w:hAnsi="Arial" w:cs="Arial"/>
              </w:rPr>
              <w:t>Il doit être procédé à la dissolution de la société lorsque son capital demeure, pendan</w:t>
            </w:r>
            <w:r w:rsidR="00703FC6" w:rsidRPr="00A64175">
              <w:rPr>
                <w:rFonts w:ascii="Arial" w:hAnsi="Arial" w:cs="Arial"/>
              </w:rPr>
              <w:t xml:space="preserve">t quatre vingt dix </w:t>
            </w:r>
            <w:r w:rsidRPr="00A64175">
              <w:rPr>
                <w:rFonts w:ascii="Arial" w:hAnsi="Arial" w:cs="Arial"/>
              </w:rPr>
              <w:t>jours, inférieur à la moitié du montant minimum prévu à l’alinéa premier ci-dessus.</w:t>
            </w:r>
          </w:p>
          <w:p w14:paraId="2BA901BD" w14:textId="77777777" w:rsidR="00703FC6" w:rsidRPr="00A64175" w:rsidRDefault="00703FC6" w:rsidP="00A64175">
            <w:pPr>
              <w:autoSpaceDE w:val="0"/>
              <w:autoSpaceDN w:val="0"/>
              <w:adjustRightInd w:val="0"/>
              <w:jc w:val="both"/>
              <w:rPr>
                <w:rFonts w:ascii="Arial" w:hAnsi="Arial" w:cs="Arial"/>
              </w:rPr>
            </w:pPr>
          </w:p>
          <w:p w14:paraId="04F53F31" w14:textId="259DFE4D" w:rsidR="00C47876" w:rsidRPr="00A64175" w:rsidRDefault="00C47876" w:rsidP="00A64175">
            <w:pPr>
              <w:autoSpaceDE w:val="0"/>
              <w:autoSpaceDN w:val="0"/>
              <w:adjustRightInd w:val="0"/>
              <w:jc w:val="both"/>
              <w:rPr>
                <w:rFonts w:ascii="Arial" w:hAnsi="Arial" w:cs="Arial"/>
              </w:rPr>
            </w:pPr>
            <w:r w:rsidRPr="00A64175">
              <w:rPr>
                <w:rFonts w:ascii="Arial" w:hAnsi="Arial" w:cs="Arial"/>
              </w:rPr>
              <w:t xml:space="preserve">Il doit être sans délai procédé à la dissolution de la SICAV lorsque son </w:t>
            </w:r>
            <w:r w:rsidR="00703FC6" w:rsidRPr="00A64175">
              <w:rPr>
                <w:rFonts w:ascii="Arial" w:hAnsi="Arial" w:cs="Arial"/>
              </w:rPr>
              <w:t xml:space="preserve">capital, après avoir atteint un </w:t>
            </w:r>
            <w:r w:rsidRPr="00A64175">
              <w:rPr>
                <w:rFonts w:ascii="Arial" w:hAnsi="Arial" w:cs="Arial"/>
              </w:rPr>
              <w:t>niveau inférieur à la moitié du montant minimum prévu à l’alinéa pr</w:t>
            </w:r>
            <w:r w:rsidR="00703FC6" w:rsidRPr="00A64175">
              <w:rPr>
                <w:rFonts w:ascii="Arial" w:hAnsi="Arial" w:cs="Arial"/>
              </w:rPr>
              <w:t xml:space="preserve">emier ci-dessus, se déprécie et </w:t>
            </w:r>
            <w:r w:rsidRPr="00A64175">
              <w:rPr>
                <w:rFonts w:ascii="Arial" w:hAnsi="Arial" w:cs="Arial"/>
              </w:rPr>
              <w:t>s’établit à un niveau de 25% du montant minimum exigé.</w:t>
            </w:r>
          </w:p>
          <w:p w14:paraId="39318CD1" w14:textId="77777777" w:rsidR="00703FC6" w:rsidRPr="00A64175" w:rsidRDefault="00703FC6" w:rsidP="00A64175">
            <w:pPr>
              <w:autoSpaceDE w:val="0"/>
              <w:autoSpaceDN w:val="0"/>
              <w:adjustRightInd w:val="0"/>
              <w:jc w:val="both"/>
              <w:rPr>
                <w:rFonts w:ascii="Arial" w:hAnsi="Arial" w:cs="Arial"/>
              </w:rPr>
            </w:pPr>
          </w:p>
          <w:p w14:paraId="622F5326" w14:textId="58E29C00" w:rsidR="00C47876" w:rsidRPr="00A64175" w:rsidRDefault="00C47876" w:rsidP="00A64175">
            <w:pPr>
              <w:autoSpaceDE w:val="0"/>
              <w:autoSpaceDN w:val="0"/>
              <w:adjustRightInd w:val="0"/>
              <w:jc w:val="both"/>
              <w:rPr>
                <w:rFonts w:ascii="Arial" w:hAnsi="Arial" w:cs="Arial"/>
              </w:rPr>
            </w:pPr>
            <w:r w:rsidRPr="00A64175">
              <w:rPr>
                <w:rFonts w:ascii="Arial" w:hAnsi="Arial" w:cs="Arial"/>
              </w:rPr>
              <w:t>En toutes circonstances, le montant du capital social correspond à la val</w:t>
            </w:r>
            <w:r w:rsidR="00703FC6" w:rsidRPr="00A64175">
              <w:rPr>
                <w:rFonts w:ascii="Arial" w:hAnsi="Arial" w:cs="Arial"/>
              </w:rPr>
              <w:t xml:space="preserve">eur de l’actif net, diminué des </w:t>
            </w:r>
            <w:r w:rsidRPr="00A64175">
              <w:rPr>
                <w:rFonts w:ascii="Arial" w:hAnsi="Arial" w:cs="Arial"/>
              </w:rPr>
              <w:t xml:space="preserve">sommes distribuables définies à l’article </w:t>
            </w:r>
            <w:r w:rsidR="00170580" w:rsidRPr="00C21CF0">
              <w:rPr>
                <w:rFonts w:ascii="Arial" w:hAnsi="Arial" w:cs="Arial"/>
              </w:rPr>
              <w:t xml:space="preserve">262 </w:t>
            </w:r>
            <w:r w:rsidRPr="00C21CF0">
              <w:rPr>
                <w:rFonts w:ascii="Arial" w:hAnsi="Arial" w:cs="Arial"/>
              </w:rPr>
              <w:t xml:space="preserve"> du présent Règlement Général.</w:t>
            </w:r>
          </w:p>
          <w:p w14:paraId="6A0D0DC8" w14:textId="77777777" w:rsidR="00703FC6" w:rsidRPr="00A64175" w:rsidRDefault="00703FC6" w:rsidP="00A64175">
            <w:pPr>
              <w:autoSpaceDE w:val="0"/>
              <w:autoSpaceDN w:val="0"/>
              <w:adjustRightInd w:val="0"/>
              <w:jc w:val="both"/>
              <w:rPr>
                <w:rFonts w:ascii="Arial" w:hAnsi="Arial" w:cs="Arial"/>
              </w:rPr>
            </w:pPr>
          </w:p>
          <w:p w14:paraId="20D15FA7" w14:textId="0F4A9C53" w:rsidR="00B07EEA" w:rsidRPr="00A64175" w:rsidRDefault="00C47876" w:rsidP="00A64175">
            <w:pPr>
              <w:autoSpaceDE w:val="0"/>
              <w:autoSpaceDN w:val="0"/>
              <w:adjustRightInd w:val="0"/>
              <w:jc w:val="both"/>
              <w:rPr>
                <w:rFonts w:ascii="Arial" w:hAnsi="Arial" w:cs="Arial"/>
              </w:rPr>
            </w:pPr>
            <w:r w:rsidRPr="00A64175">
              <w:rPr>
                <w:rFonts w:ascii="Arial" w:hAnsi="Arial" w:cs="Arial"/>
              </w:rPr>
              <w:t>Toute SICAV sollicitant son agrément doit, par écrit, s’engager à</w:t>
            </w:r>
            <w:r w:rsidR="00703FC6" w:rsidRPr="00A64175">
              <w:rPr>
                <w:rFonts w:ascii="Arial" w:hAnsi="Arial" w:cs="Arial"/>
              </w:rPr>
              <w:t xml:space="preserve"> maintenir son capital dans les </w:t>
            </w:r>
            <w:r w:rsidRPr="00A64175">
              <w:rPr>
                <w:rFonts w:ascii="Arial" w:hAnsi="Arial" w:cs="Arial"/>
              </w:rPr>
              <w:t>proportions définies au précédent alinéa.</w:t>
            </w:r>
          </w:p>
          <w:p w14:paraId="1B4F3D25" w14:textId="77777777" w:rsidR="00B07EEA" w:rsidRPr="00A64175" w:rsidRDefault="00B07EEA" w:rsidP="00A64175">
            <w:pPr>
              <w:contextualSpacing/>
              <w:jc w:val="both"/>
              <w:rPr>
                <w:rFonts w:ascii="Arial" w:hAnsi="Arial" w:cs="Arial"/>
                <w:b/>
                <w:bCs/>
              </w:rPr>
            </w:pPr>
          </w:p>
          <w:p w14:paraId="49E9861D" w14:textId="77777777" w:rsidR="00B07EEA" w:rsidRPr="00A64175" w:rsidRDefault="00B07EEA" w:rsidP="00A64175">
            <w:pPr>
              <w:contextualSpacing/>
              <w:jc w:val="both"/>
              <w:rPr>
                <w:rFonts w:ascii="Arial" w:hAnsi="Arial" w:cs="Arial"/>
                <w:b/>
                <w:bCs/>
              </w:rPr>
            </w:pPr>
          </w:p>
          <w:p w14:paraId="619CD62E" w14:textId="549BDE74" w:rsidR="00703FC6" w:rsidRPr="00A64175" w:rsidRDefault="00703FC6"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34</w:t>
            </w:r>
            <w:r w:rsidR="009B231D">
              <w:rPr>
                <w:rFonts w:ascii="Arial" w:hAnsi="Arial" w:cs="Arial"/>
                <w:b/>
                <w:bCs/>
                <w:kern w:val="1"/>
              </w:rPr>
              <w:t>8</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Toute émission et tout rachat d’actions d’une SICAV doivent être suspendus lorsque le capital de cette société atteint la moitié du montant minimum initial visé à l’alinéa premier de l’article </w:t>
            </w:r>
            <w:r w:rsidR="00580B4F" w:rsidRPr="00C21CF0">
              <w:rPr>
                <w:rFonts w:ascii="Arial" w:hAnsi="Arial" w:cs="Arial"/>
              </w:rPr>
              <w:t xml:space="preserve">272 </w:t>
            </w:r>
            <w:r w:rsidRPr="00C21CF0">
              <w:rPr>
                <w:rFonts w:ascii="Arial" w:hAnsi="Arial" w:cs="Arial"/>
              </w:rPr>
              <w:t xml:space="preserve"> du présent Règlement Général.</w:t>
            </w:r>
          </w:p>
          <w:p w14:paraId="7ECE91B0" w14:textId="00426A52" w:rsidR="00703FC6" w:rsidRPr="00A64175" w:rsidRDefault="00703FC6" w:rsidP="00A64175">
            <w:pPr>
              <w:autoSpaceDE w:val="0"/>
              <w:autoSpaceDN w:val="0"/>
              <w:adjustRightInd w:val="0"/>
              <w:jc w:val="both"/>
              <w:rPr>
                <w:rFonts w:ascii="Arial" w:hAnsi="Arial" w:cs="Arial"/>
              </w:rPr>
            </w:pPr>
            <w:r w:rsidRPr="00A64175">
              <w:rPr>
                <w:rFonts w:ascii="Arial" w:hAnsi="Arial" w:cs="Arial"/>
              </w:rPr>
              <w:t>Dans un délai de deux mois à compter de la date de la suspension des émissions et des rachats d’actions, une assemblée générale doit être réunie pour statuer sur la dissolution ou sur une éventuelle augmentation de capital de la SICAV. Les actionnaires peuvent, à cette occasion, décider d’écarter la dissolution et opter pour une fusion avec un autre OPCVM, ou une scission avec apport de patrimoine au profit d’autres OPCVM. Toute autre modalité de fusion ou de scission est interdite.</w:t>
            </w:r>
          </w:p>
          <w:p w14:paraId="0EF5869C" w14:textId="77777777" w:rsidR="00703FC6" w:rsidRPr="00A64175" w:rsidRDefault="00703FC6" w:rsidP="00A64175">
            <w:pPr>
              <w:autoSpaceDE w:val="0"/>
              <w:autoSpaceDN w:val="0"/>
              <w:adjustRightInd w:val="0"/>
              <w:jc w:val="both"/>
              <w:rPr>
                <w:rFonts w:ascii="Arial" w:hAnsi="Arial" w:cs="Arial"/>
              </w:rPr>
            </w:pPr>
          </w:p>
          <w:p w14:paraId="0F89BF17" w14:textId="46CFBB05" w:rsidR="00703FC6" w:rsidRPr="00A64175" w:rsidRDefault="00703FC6" w:rsidP="00A64175">
            <w:pPr>
              <w:autoSpaceDE w:val="0"/>
              <w:autoSpaceDN w:val="0"/>
              <w:adjustRightInd w:val="0"/>
              <w:jc w:val="both"/>
              <w:rPr>
                <w:rFonts w:ascii="Arial" w:hAnsi="Arial" w:cs="Arial"/>
              </w:rPr>
            </w:pPr>
            <w:r w:rsidRPr="00A64175">
              <w:rPr>
                <w:rFonts w:ascii="Arial" w:hAnsi="Arial" w:cs="Arial"/>
              </w:rPr>
              <w:t>La décision de l’assemblée générale prise en application des dispositions de l’alinéa précédent est sans délai portée à la connaissance des souscripteurs.</w:t>
            </w:r>
          </w:p>
          <w:p w14:paraId="2A468BE1" w14:textId="77777777" w:rsidR="00703FC6" w:rsidRPr="00A64175" w:rsidRDefault="00703FC6" w:rsidP="00A64175">
            <w:pPr>
              <w:autoSpaceDE w:val="0"/>
              <w:autoSpaceDN w:val="0"/>
              <w:adjustRightInd w:val="0"/>
              <w:jc w:val="both"/>
              <w:rPr>
                <w:rFonts w:ascii="Arial" w:hAnsi="Arial" w:cs="Arial"/>
              </w:rPr>
            </w:pPr>
          </w:p>
          <w:p w14:paraId="3ACF0F45" w14:textId="17E06D35" w:rsidR="00703FC6" w:rsidRPr="00A64175" w:rsidRDefault="00703FC6" w:rsidP="00A64175">
            <w:pPr>
              <w:autoSpaceDE w:val="0"/>
              <w:autoSpaceDN w:val="0"/>
              <w:adjustRightInd w:val="0"/>
              <w:jc w:val="both"/>
              <w:rPr>
                <w:rFonts w:ascii="Arial" w:hAnsi="Arial" w:cs="Arial"/>
              </w:rPr>
            </w:pPr>
            <w:r w:rsidRPr="00A64175">
              <w:rPr>
                <w:rFonts w:ascii="Arial" w:hAnsi="Arial" w:cs="Arial"/>
              </w:rPr>
              <w:t xml:space="preserve">Les opérations de fusion ou de scission visées au présent article doivent être réalisées dans le respect des conditions fixées aux </w:t>
            </w:r>
            <w:r w:rsidRPr="00C21CF0">
              <w:rPr>
                <w:rFonts w:ascii="Arial" w:hAnsi="Arial" w:cs="Arial"/>
              </w:rPr>
              <w:t xml:space="preserve">articles </w:t>
            </w:r>
            <w:r w:rsidR="00580B4F" w:rsidRPr="00C21CF0">
              <w:rPr>
                <w:rFonts w:ascii="Arial" w:hAnsi="Arial" w:cs="Arial"/>
              </w:rPr>
              <w:t xml:space="preserve">256 </w:t>
            </w:r>
            <w:r w:rsidRPr="00C21CF0">
              <w:rPr>
                <w:rFonts w:ascii="Arial" w:hAnsi="Arial" w:cs="Arial"/>
              </w:rPr>
              <w:t xml:space="preserve"> et </w:t>
            </w:r>
            <w:r w:rsidR="00580B4F" w:rsidRPr="00C21CF0">
              <w:rPr>
                <w:rFonts w:ascii="Arial" w:hAnsi="Arial" w:cs="Arial"/>
              </w:rPr>
              <w:t xml:space="preserve">257 </w:t>
            </w:r>
            <w:r w:rsidRPr="00C21CF0">
              <w:rPr>
                <w:rFonts w:ascii="Arial" w:hAnsi="Arial" w:cs="Arial"/>
              </w:rPr>
              <w:t xml:space="preserve"> du présent Règlement Général.</w:t>
            </w:r>
          </w:p>
          <w:p w14:paraId="34898FC0" w14:textId="4AE9A4B8" w:rsidR="00703FC6" w:rsidRPr="00A64175" w:rsidRDefault="00703FC6" w:rsidP="00A64175">
            <w:pPr>
              <w:autoSpaceDE w:val="0"/>
              <w:autoSpaceDN w:val="0"/>
              <w:adjustRightInd w:val="0"/>
              <w:jc w:val="both"/>
              <w:rPr>
                <w:rFonts w:ascii="Arial" w:hAnsi="Arial" w:cs="Arial"/>
              </w:rPr>
            </w:pPr>
          </w:p>
          <w:p w14:paraId="26034172" w14:textId="6D8746E1" w:rsidR="00703FC6" w:rsidRPr="00A64175" w:rsidRDefault="00703FC6" w:rsidP="00A64175">
            <w:pPr>
              <w:autoSpaceDE w:val="0"/>
              <w:autoSpaceDN w:val="0"/>
              <w:adjustRightInd w:val="0"/>
              <w:jc w:val="both"/>
              <w:rPr>
                <w:rFonts w:ascii="Arial" w:hAnsi="Arial" w:cs="Arial"/>
              </w:rPr>
            </w:pPr>
            <w:r w:rsidRPr="00A64175">
              <w:rPr>
                <w:rFonts w:ascii="Arial" w:hAnsi="Arial" w:cs="Arial"/>
              </w:rPr>
              <w:t>Aucune commission ne peut être prélevée sur les actionnaires à l’occasion des opérations de fusion ou scission visées au présent article, sous peine de sanction.</w:t>
            </w:r>
          </w:p>
          <w:p w14:paraId="79B71DC5" w14:textId="77777777" w:rsidR="00703FC6" w:rsidRPr="00A64175" w:rsidRDefault="00703FC6" w:rsidP="00A64175">
            <w:pPr>
              <w:autoSpaceDE w:val="0"/>
              <w:autoSpaceDN w:val="0"/>
              <w:adjustRightInd w:val="0"/>
              <w:jc w:val="both"/>
              <w:rPr>
                <w:rFonts w:ascii="Arial" w:hAnsi="Arial" w:cs="Arial"/>
              </w:rPr>
            </w:pPr>
          </w:p>
          <w:p w14:paraId="233B1772" w14:textId="6E900747" w:rsidR="00703FC6" w:rsidRPr="00A64175" w:rsidRDefault="00703FC6" w:rsidP="00A64175">
            <w:pPr>
              <w:autoSpaceDE w:val="0"/>
              <w:autoSpaceDN w:val="0"/>
              <w:adjustRightInd w:val="0"/>
              <w:jc w:val="both"/>
              <w:rPr>
                <w:rFonts w:ascii="Arial" w:hAnsi="Arial" w:cs="Arial"/>
              </w:rPr>
            </w:pPr>
            <w:r w:rsidRPr="00A64175">
              <w:rPr>
                <w:rFonts w:ascii="Arial" w:hAnsi="Arial" w:cs="Arial"/>
              </w:rPr>
              <w:t>A défaut de réunion de l’assemblée générale, tout intéressé peut saisir la COSUMAF à l’effet de voir prononcé le retrait d’agrément de la SICAV, sans préjudice de toute action susceptible d’être intentée devant les tribunaux en dissolution de la SICAV.</w:t>
            </w:r>
          </w:p>
          <w:p w14:paraId="2CFF283D" w14:textId="77777777" w:rsidR="00703FC6" w:rsidRPr="00A64175" w:rsidRDefault="00703FC6" w:rsidP="00A64175">
            <w:pPr>
              <w:contextualSpacing/>
              <w:jc w:val="both"/>
              <w:rPr>
                <w:rFonts w:ascii="Arial" w:hAnsi="Arial" w:cs="Arial"/>
                <w:b/>
                <w:bCs/>
              </w:rPr>
            </w:pPr>
          </w:p>
          <w:p w14:paraId="53B76C00" w14:textId="77777777" w:rsidR="00703FC6" w:rsidRPr="00A64175" w:rsidRDefault="00703FC6" w:rsidP="00A64175">
            <w:pPr>
              <w:contextualSpacing/>
              <w:jc w:val="both"/>
              <w:rPr>
                <w:rFonts w:ascii="Arial" w:hAnsi="Arial" w:cs="Arial"/>
                <w:b/>
                <w:bCs/>
              </w:rPr>
            </w:pPr>
          </w:p>
          <w:p w14:paraId="50C5A2BE" w14:textId="7E8011B3" w:rsidR="00703FC6" w:rsidRPr="00A64175" w:rsidRDefault="00703FC6" w:rsidP="00A64175">
            <w:pPr>
              <w:autoSpaceDE w:val="0"/>
              <w:autoSpaceDN w:val="0"/>
              <w:adjustRightInd w:val="0"/>
              <w:jc w:val="both"/>
              <w:rPr>
                <w:rFonts w:ascii="Arial" w:hAnsi="Arial" w:cs="Arial"/>
              </w:rPr>
            </w:pPr>
          </w:p>
          <w:p w14:paraId="28A11828" w14:textId="17CA521D" w:rsidR="00703FC6" w:rsidRPr="00A64175" w:rsidRDefault="00C614C7"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rPr>
              <w:t>34</w:t>
            </w:r>
            <w:r w:rsidR="009B231D">
              <w:rPr>
                <w:rFonts w:ascii="Arial" w:hAnsi="Arial" w:cs="Arial"/>
                <w:b/>
                <w:bCs/>
                <w:kern w:val="1"/>
              </w:rPr>
              <w:t>9</w:t>
            </w:r>
            <w:r w:rsidRPr="00A64175">
              <w:rPr>
                <w:rFonts w:ascii="Arial" w:hAnsi="Arial" w:cs="Arial"/>
                <w:b/>
                <w:bCs/>
                <w:kern w:val="1"/>
              </w:rPr>
              <w:t xml:space="preserve"> –</w:t>
            </w:r>
            <w:r w:rsidRPr="00A64175">
              <w:rPr>
                <w:rFonts w:ascii="Arial" w:hAnsi="Arial" w:cs="Arial"/>
                <w:kern w:val="1"/>
              </w:rPr>
              <w:t xml:space="preserve"> </w:t>
            </w:r>
            <w:r w:rsidR="00703FC6" w:rsidRPr="00A64175">
              <w:rPr>
                <w:rFonts w:ascii="Arial" w:hAnsi="Arial" w:cs="Arial"/>
              </w:rPr>
              <w:t>Les décisions de suspension des émissions ou des rachats sont, sans délai, portées à la connaissance de la COSUMAF par les dirigeants de la SICAV ou par la société de gestion, avec indication des motifs y afférents.</w:t>
            </w:r>
          </w:p>
          <w:p w14:paraId="73CC7D4A" w14:textId="77777777" w:rsidR="00703FC6" w:rsidRPr="00A64175" w:rsidRDefault="00703FC6" w:rsidP="00A64175">
            <w:pPr>
              <w:autoSpaceDE w:val="0"/>
              <w:autoSpaceDN w:val="0"/>
              <w:adjustRightInd w:val="0"/>
              <w:jc w:val="both"/>
              <w:rPr>
                <w:rFonts w:ascii="Arial" w:hAnsi="Arial" w:cs="Arial"/>
              </w:rPr>
            </w:pPr>
          </w:p>
          <w:p w14:paraId="4728788B" w14:textId="1233F42B" w:rsidR="00703FC6" w:rsidRPr="00A64175" w:rsidRDefault="00703FC6" w:rsidP="00A64175">
            <w:pPr>
              <w:autoSpaceDE w:val="0"/>
              <w:autoSpaceDN w:val="0"/>
              <w:adjustRightInd w:val="0"/>
              <w:jc w:val="both"/>
              <w:rPr>
                <w:rFonts w:ascii="Arial" w:hAnsi="Arial" w:cs="Arial"/>
              </w:rPr>
            </w:pPr>
          </w:p>
          <w:p w14:paraId="3DAD813C" w14:textId="47BCDD6E" w:rsidR="00703FC6" w:rsidRPr="00A64175" w:rsidRDefault="00C614C7"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50</w:t>
            </w:r>
            <w:r w:rsidRPr="00A64175">
              <w:rPr>
                <w:rFonts w:ascii="Arial" w:hAnsi="Arial" w:cs="Arial"/>
                <w:b/>
                <w:bCs/>
                <w:kern w:val="1"/>
              </w:rPr>
              <w:t xml:space="preserve"> –</w:t>
            </w:r>
            <w:r w:rsidRPr="00A64175">
              <w:rPr>
                <w:rFonts w:ascii="Arial" w:hAnsi="Arial" w:cs="Arial"/>
                <w:kern w:val="1"/>
              </w:rPr>
              <w:t xml:space="preserve"> </w:t>
            </w:r>
            <w:r w:rsidR="00703FC6" w:rsidRPr="00A64175">
              <w:rPr>
                <w:rFonts w:ascii="Arial" w:hAnsi="Arial" w:cs="Arial"/>
              </w:rPr>
              <w:t>Les actions de SICAV sont intégralement libérées au moment de la constitution de la société. Elles sont obligatoirement nominatives.</w:t>
            </w:r>
          </w:p>
          <w:p w14:paraId="69F6906F" w14:textId="77777777" w:rsidR="00703FC6" w:rsidRPr="00A64175" w:rsidRDefault="00703FC6" w:rsidP="00A64175">
            <w:pPr>
              <w:autoSpaceDE w:val="0"/>
              <w:autoSpaceDN w:val="0"/>
              <w:adjustRightInd w:val="0"/>
              <w:jc w:val="both"/>
              <w:rPr>
                <w:rFonts w:ascii="Arial" w:hAnsi="Arial" w:cs="Arial"/>
              </w:rPr>
            </w:pPr>
          </w:p>
          <w:p w14:paraId="4443A50D" w14:textId="6E2ADE13" w:rsidR="00703FC6" w:rsidRPr="00A64175" w:rsidRDefault="00703FC6" w:rsidP="00A64175">
            <w:pPr>
              <w:autoSpaceDE w:val="0"/>
              <w:autoSpaceDN w:val="0"/>
              <w:adjustRightInd w:val="0"/>
              <w:jc w:val="both"/>
              <w:rPr>
                <w:rFonts w:ascii="Arial" w:hAnsi="Arial" w:cs="Arial"/>
              </w:rPr>
            </w:pPr>
          </w:p>
          <w:p w14:paraId="46C0AE99" w14:textId="338795F6" w:rsidR="00703FC6" w:rsidRPr="00A64175" w:rsidRDefault="00C614C7"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51</w:t>
            </w:r>
            <w:r w:rsidRPr="00A64175">
              <w:rPr>
                <w:rFonts w:ascii="Arial" w:hAnsi="Arial" w:cs="Arial"/>
                <w:b/>
                <w:bCs/>
                <w:kern w:val="1"/>
              </w:rPr>
              <w:t xml:space="preserve"> –</w:t>
            </w:r>
            <w:r w:rsidRPr="00A64175">
              <w:rPr>
                <w:rFonts w:ascii="Arial" w:hAnsi="Arial" w:cs="Arial"/>
                <w:kern w:val="1"/>
              </w:rPr>
              <w:t xml:space="preserve"> </w:t>
            </w:r>
            <w:r w:rsidR="00703FC6" w:rsidRPr="00A64175">
              <w:rPr>
                <w:rFonts w:ascii="Arial" w:hAnsi="Arial" w:cs="Arial"/>
              </w:rPr>
              <w:t>Les actions de SICAV sont émises sans droit préférentiel de souscription. Elles deviennent négociables après la constitution définitive de la société.</w:t>
            </w:r>
          </w:p>
          <w:p w14:paraId="330FDA67" w14:textId="77777777" w:rsidR="00703FC6" w:rsidRPr="00A64175" w:rsidRDefault="00703FC6" w:rsidP="00A64175">
            <w:pPr>
              <w:autoSpaceDE w:val="0"/>
              <w:autoSpaceDN w:val="0"/>
              <w:adjustRightInd w:val="0"/>
              <w:jc w:val="both"/>
              <w:rPr>
                <w:rFonts w:ascii="Arial" w:hAnsi="Arial" w:cs="Arial"/>
              </w:rPr>
            </w:pPr>
          </w:p>
          <w:p w14:paraId="68F6F0AE" w14:textId="7D96718A" w:rsidR="00703FC6" w:rsidRPr="00A64175" w:rsidRDefault="00703FC6" w:rsidP="00A64175">
            <w:pPr>
              <w:autoSpaceDE w:val="0"/>
              <w:autoSpaceDN w:val="0"/>
              <w:adjustRightInd w:val="0"/>
              <w:jc w:val="both"/>
              <w:rPr>
                <w:rFonts w:ascii="Arial" w:hAnsi="Arial" w:cs="Arial"/>
              </w:rPr>
            </w:pPr>
          </w:p>
          <w:p w14:paraId="18534C3E" w14:textId="7390BF67" w:rsidR="00703FC6" w:rsidRPr="00A64175" w:rsidRDefault="00C614C7"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9B231D">
              <w:rPr>
                <w:rFonts w:ascii="Arial" w:hAnsi="Arial" w:cs="Arial"/>
                <w:b/>
                <w:bCs/>
                <w:kern w:val="1"/>
              </w:rPr>
              <w:t>52</w:t>
            </w:r>
            <w:r w:rsidRPr="00A64175">
              <w:rPr>
                <w:rFonts w:ascii="Arial" w:hAnsi="Arial" w:cs="Arial"/>
                <w:b/>
                <w:bCs/>
                <w:kern w:val="1"/>
              </w:rPr>
              <w:t xml:space="preserve"> –</w:t>
            </w:r>
            <w:r w:rsidRPr="00A64175">
              <w:rPr>
                <w:rFonts w:ascii="Arial" w:hAnsi="Arial" w:cs="Arial"/>
                <w:kern w:val="1"/>
              </w:rPr>
              <w:t xml:space="preserve"> </w:t>
            </w:r>
            <w:r w:rsidR="00703FC6" w:rsidRPr="00A64175">
              <w:rPr>
                <w:rFonts w:ascii="Arial" w:hAnsi="Arial" w:cs="Arial"/>
              </w:rPr>
              <w:t>Les statuts de SICAV doivent préciser que le capital est susceptible d’augmentation résultant de l’émission d’actions nouvelles et de réduction consécutive au rachat par la société d’actions reprises aux détenteurs qui en font la demande.</w:t>
            </w:r>
          </w:p>
          <w:p w14:paraId="44710521" w14:textId="77777777" w:rsidR="00703FC6" w:rsidRPr="00A64175" w:rsidRDefault="00703FC6" w:rsidP="00A64175">
            <w:pPr>
              <w:autoSpaceDE w:val="0"/>
              <w:autoSpaceDN w:val="0"/>
              <w:adjustRightInd w:val="0"/>
              <w:jc w:val="both"/>
              <w:rPr>
                <w:rFonts w:ascii="Arial" w:hAnsi="Arial" w:cs="Arial"/>
              </w:rPr>
            </w:pPr>
          </w:p>
          <w:p w14:paraId="3EB70C8C" w14:textId="130BC5BC" w:rsidR="00703FC6" w:rsidRPr="00A64175" w:rsidRDefault="00C614C7"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9B231D">
              <w:rPr>
                <w:rFonts w:ascii="Arial" w:hAnsi="Arial" w:cs="Arial"/>
                <w:b/>
                <w:bCs/>
                <w:kern w:val="1"/>
              </w:rPr>
              <w:t>3</w:t>
            </w:r>
            <w:r w:rsidRPr="00A64175">
              <w:rPr>
                <w:rFonts w:ascii="Arial" w:hAnsi="Arial" w:cs="Arial"/>
                <w:b/>
                <w:bCs/>
                <w:kern w:val="1"/>
              </w:rPr>
              <w:t xml:space="preserve"> –</w:t>
            </w:r>
            <w:r w:rsidRPr="00A64175">
              <w:rPr>
                <w:rFonts w:ascii="Arial" w:hAnsi="Arial" w:cs="Arial"/>
                <w:kern w:val="1"/>
              </w:rPr>
              <w:t xml:space="preserve"> </w:t>
            </w:r>
            <w:r w:rsidR="00703FC6" w:rsidRPr="00A64175">
              <w:rPr>
                <w:rFonts w:ascii="Arial" w:hAnsi="Arial" w:cs="Arial"/>
              </w:rPr>
              <w:t>La variation du capital prévue à l’alinéa précédent ne donne pas lieu à convocation de l’assemblée générale des actionnaires. Elle peut s’effectuer sans qu’il soit nécessaire de procéder à une modification des statuts et à la publicité prescrite par l’Acte uniforme OHADA relatif au droit des sociétés commerciales et du groupement d’intérêt économique.</w:t>
            </w:r>
          </w:p>
          <w:p w14:paraId="267417D8" w14:textId="77777777" w:rsidR="00703FC6" w:rsidRPr="00A64175" w:rsidRDefault="00703FC6" w:rsidP="00A64175">
            <w:pPr>
              <w:contextualSpacing/>
              <w:jc w:val="both"/>
              <w:rPr>
                <w:rFonts w:ascii="Arial" w:hAnsi="Arial" w:cs="Arial"/>
                <w:b/>
                <w:bCs/>
              </w:rPr>
            </w:pPr>
          </w:p>
          <w:p w14:paraId="4EC3866B" w14:textId="77777777" w:rsidR="00703FC6" w:rsidRPr="00A64175" w:rsidRDefault="00703FC6" w:rsidP="00A64175">
            <w:pPr>
              <w:contextualSpacing/>
              <w:jc w:val="both"/>
              <w:rPr>
                <w:rFonts w:ascii="Arial" w:hAnsi="Arial" w:cs="Arial"/>
                <w:b/>
                <w:bCs/>
              </w:rPr>
            </w:pPr>
          </w:p>
          <w:p w14:paraId="384FCFCF" w14:textId="45AD85C1" w:rsidR="00C614C7"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9B231D">
              <w:rPr>
                <w:rFonts w:ascii="Arial" w:hAnsi="Arial" w:cs="Arial"/>
                <w:b/>
                <w:bCs/>
                <w:kern w:val="1"/>
              </w:rPr>
              <w:t>4</w:t>
            </w:r>
            <w:r w:rsidRPr="00A64175">
              <w:rPr>
                <w:rFonts w:ascii="Arial" w:hAnsi="Arial" w:cs="Arial"/>
                <w:b/>
                <w:bCs/>
                <w:kern w:val="1"/>
              </w:rPr>
              <w:t xml:space="preserve"> –</w:t>
            </w:r>
            <w:r w:rsidRPr="00A64175">
              <w:rPr>
                <w:rFonts w:ascii="Arial" w:hAnsi="Arial" w:cs="Arial"/>
                <w:kern w:val="1"/>
              </w:rPr>
              <w:t xml:space="preserve"> </w:t>
            </w:r>
            <w:r w:rsidR="00C614C7" w:rsidRPr="00A64175">
              <w:rPr>
                <w:rFonts w:ascii="Arial" w:hAnsi="Arial" w:cs="Arial"/>
              </w:rPr>
              <w:t>La cessation des fonctions du dépositaire ou de l’établissement gestionnaire d’une SICAV doit, sans délai, donner lieu à son remplacement. La cessation des fonctions intervient après un préavis de deux (2) mois, courant à compter de la notification de la décision de cessation des fonctions.</w:t>
            </w:r>
          </w:p>
          <w:p w14:paraId="393F1386" w14:textId="77777777" w:rsidR="00C614C7" w:rsidRPr="00A64175" w:rsidRDefault="00C614C7" w:rsidP="00A64175">
            <w:pPr>
              <w:autoSpaceDE w:val="0"/>
              <w:autoSpaceDN w:val="0"/>
              <w:adjustRightInd w:val="0"/>
              <w:jc w:val="both"/>
              <w:rPr>
                <w:rFonts w:ascii="Arial" w:hAnsi="Arial" w:cs="Arial"/>
              </w:rPr>
            </w:pPr>
          </w:p>
          <w:p w14:paraId="68E40E24" w14:textId="77777777" w:rsidR="00C614C7" w:rsidRPr="00A64175" w:rsidRDefault="00C614C7" w:rsidP="00A64175">
            <w:pPr>
              <w:autoSpaceDE w:val="0"/>
              <w:autoSpaceDN w:val="0"/>
              <w:adjustRightInd w:val="0"/>
              <w:jc w:val="both"/>
              <w:rPr>
                <w:rFonts w:ascii="Arial" w:hAnsi="Arial" w:cs="Arial"/>
              </w:rPr>
            </w:pPr>
            <w:r w:rsidRPr="00A64175">
              <w:rPr>
                <w:rFonts w:ascii="Arial" w:hAnsi="Arial" w:cs="Arial"/>
              </w:rPr>
              <w:t>A défaut de désignation d’un remplaçant au terme du préavis, la SICAV est dissoute de plein droit.</w:t>
            </w:r>
          </w:p>
          <w:p w14:paraId="43DCD0E0" w14:textId="77777777" w:rsidR="00C614C7" w:rsidRPr="00A64175" w:rsidRDefault="00C614C7" w:rsidP="00A64175">
            <w:pPr>
              <w:autoSpaceDE w:val="0"/>
              <w:autoSpaceDN w:val="0"/>
              <w:adjustRightInd w:val="0"/>
              <w:jc w:val="both"/>
              <w:rPr>
                <w:rFonts w:ascii="Arial" w:hAnsi="Arial" w:cs="Arial"/>
              </w:rPr>
            </w:pPr>
          </w:p>
          <w:p w14:paraId="0FFF6208" w14:textId="5BB8E757" w:rsidR="00C614C7" w:rsidRPr="00A64175" w:rsidRDefault="00C614C7" w:rsidP="00A64175">
            <w:pPr>
              <w:autoSpaceDE w:val="0"/>
              <w:autoSpaceDN w:val="0"/>
              <w:adjustRightInd w:val="0"/>
              <w:jc w:val="both"/>
              <w:rPr>
                <w:rFonts w:ascii="Arial" w:hAnsi="Arial" w:cs="Arial"/>
              </w:rPr>
            </w:pPr>
          </w:p>
          <w:p w14:paraId="3B771B41" w14:textId="2CF10964" w:rsidR="00C614C7"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9B231D">
              <w:rPr>
                <w:rFonts w:ascii="Arial" w:hAnsi="Arial" w:cs="Arial"/>
                <w:b/>
                <w:bCs/>
                <w:kern w:val="1"/>
              </w:rPr>
              <w:t>5</w:t>
            </w:r>
            <w:r w:rsidRPr="00A64175">
              <w:rPr>
                <w:rFonts w:ascii="Arial" w:hAnsi="Arial" w:cs="Arial"/>
                <w:b/>
                <w:bCs/>
                <w:kern w:val="1"/>
              </w:rPr>
              <w:t xml:space="preserve"> –</w:t>
            </w:r>
            <w:r w:rsidRPr="00A64175">
              <w:rPr>
                <w:rFonts w:ascii="Arial" w:hAnsi="Arial" w:cs="Arial"/>
                <w:kern w:val="1"/>
              </w:rPr>
              <w:t xml:space="preserve"> </w:t>
            </w:r>
            <w:r w:rsidR="00C614C7" w:rsidRPr="00A64175">
              <w:rPr>
                <w:rFonts w:ascii="Arial" w:hAnsi="Arial" w:cs="Arial"/>
              </w:rPr>
              <w:t>Les conditions de liquidation ainsi que les modalités de répartition des a</w:t>
            </w:r>
            <w:r w:rsidRPr="00A64175">
              <w:rPr>
                <w:rFonts w:ascii="Arial" w:hAnsi="Arial" w:cs="Arial"/>
              </w:rPr>
              <w:t xml:space="preserve">ctifs sont déterminées dans les </w:t>
            </w:r>
            <w:r w:rsidR="00C614C7" w:rsidRPr="00A64175">
              <w:rPr>
                <w:rFonts w:ascii="Arial" w:hAnsi="Arial" w:cs="Arial"/>
              </w:rPr>
              <w:t>statuts de la SICAV.</w:t>
            </w:r>
          </w:p>
          <w:p w14:paraId="635D4FAC" w14:textId="0DDB8BBD" w:rsidR="00C614C7" w:rsidRPr="00A64175" w:rsidRDefault="00C614C7" w:rsidP="00A64175">
            <w:pPr>
              <w:autoSpaceDE w:val="0"/>
              <w:autoSpaceDN w:val="0"/>
              <w:adjustRightInd w:val="0"/>
              <w:jc w:val="both"/>
              <w:rPr>
                <w:rFonts w:ascii="Arial" w:hAnsi="Arial" w:cs="Arial"/>
              </w:rPr>
            </w:pPr>
          </w:p>
          <w:p w14:paraId="0FBBE332" w14:textId="31FE1767" w:rsidR="00C614C7" w:rsidRPr="00A64175" w:rsidRDefault="00C614C7" w:rsidP="00A64175">
            <w:pPr>
              <w:autoSpaceDE w:val="0"/>
              <w:autoSpaceDN w:val="0"/>
              <w:adjustRightInd w:val="0"/>
              <w:jc w:val="both"/>
              <w:rPr>
                <w:rFonts w:ascii="Arial" w:hAnsi="Arial" w:cs="Arial"/>
              </w:rPr>
            </w:pPr>
            <w:r w:rsidRPr="00A64175">
              <w:rPr>
                <w:rFonts w:ascii="Arial" w:hAnsi="Arial" w:cs="Arial"/>
              </w:rPr>
              <w:t>Sans préjudice des dispositions de la législation sur les sociétés com</w:t>
            </w:r>
            <w:r w:rsidR="0042599F" w:rsidRPr="00A64175">
              <w:rPr>
                <w:rFonts w:ascii="Arial" w:hAnsi="Arial" w:cs="Arial"/>
              </w:rPr>
              <w:t xml:space="preserve">merciales, la liquidation d’une </w:t>
            </w:r>
            <w:r w:rsidRPr="00A64175">
              <w:rPr>
                <w:rFonts w:ascii="Arial" w:hAnsi="Arial" w:cs="Arial"/>
              </w:rPr>
              <w:t>SICAV peut résulter :</w:t>
            </w:r>
          </w:p>
          <w:p w14:paraId="7BD4A2C1" w14:textId="77777777" w:rsidR="0042599F" w:rsidRPr="00A64175" w:rsidRDefault="0042599F" w:rsidP="00A64175">
            <w:pPr>
              <w:autoSpaceDE w:val="0"/>
              <w:autoSpaceDN w:val="0"/>
              <w:adjustRightInd w:val="0"/>
              <w:jc w:val="both"/>
              <w:rPr>
                <w:rFonts w:ascii="Arial" w:hAnsi="Arial" w:cs="Arial"/>
              </w:rPr>
            </w:pPr>
          </w:p>
          <w:p w14:paraId="5D4DDF3A" w14:textId="52B42142" w:rsidR="00C614C7" w:rsidRPr="00A64175" w:rsidRDefault="00C614C7" w:rsidP="00A64175">
            <w:pPr>
              <w:autoSpaceDE w:val="0"/>
              <w:autoSpaceDN w:val="0"/>
              <w:adjustRightInd w:val="0"/>
              <w:jc w:val="both"/>
              <w:rPr>
                <w:rFonts w:ascii="Arial" w:hAnsi="Arial" w:cs="Arial"/>
              </w:rPr>
            </w:pPr>
            <w:r w:rsidRPr="00A64175">
              <w:rPr>
                <w:rFonts w:ascii="Arial" w:hAnsi="Arial" w:cs="Arial"/>
              </w:rPr>
              <w:t>- d’une décision de dissolution anticipé</w:t>
            </w:r>
            <w:r w:rsidR="00ED357A" w:rsidRPr="00A64175">
              <w:rPr>
                <w:rFonts w:ascii="Arial" w:hAnsi="Arial" w:cs="Arial"/>
              </w:rPr>
              <w:t>e décidée en assemblée générale ;</w:t>
            </w:r>
          </w:p>
          <w:p w14:paraId="0F798AD7" w14:textId="77777777" w:rsidR="00C614C7" w:rsidRPr="00A64175" w:rsidRDefault="00C614C7" w:rsidP="00A64175">
            <w:pPr>
              <w:autoSpaceDE w:val="0"/>
              <w:autoSpaceDN w:val="0"/>
              <w:adjustRightInd w:val="0"/>
              <w:jc w:val="both"/>
              <w:rPr>
                <w:rFonts w:ascii="Arial" w:hAnsi="Arial" w:cs="Arial"/>
              </w:rPr>
            </w:pPr>
            <w:r w:rsidRPr="00A64175">
              <w:rPr>
                <w:rFonts w:ascii="Arial" w:hAnsi="Arial" w:cs="Arial"/>
              </w:rPr>
              <w:t>- d’un retrait d’agrément ;</w:t>
            </w:r>
          </w:p>
          <w:p w14:paraId="44D01A9E" w14:textId="77777777" w:rsidR="00C614C7" w:rsidRPr="00A64175" w:rsidRDefault="00C614C7" w:rsidP="00A64175">
            <w:pPr>
              <w:autoSpaceDE w:val="0"/>
              <w:autoSpaceDN w:val="0"/>
              <w:adjustRightInd w:val="0"/>
              <w:jc w:val="both"/>
              <w:rPr>
                <w:rFonts w:ascii="Arial" w:hAnsi="Arial" w:cs="Arial"/>
              </w:rPr>
            </w:pPr>
            <w:r w:rsidRPr="00A64175">
              <w:rPr>
                <w:rFonts w:ascii="Arial" w:hAnsi="Arial" w:cs="Arial"/>
              </w:rPr>
              <w:t>- de la cessation des fonctions de l’établissement gestionnaire ou du dépositaire, si son</w:t>
            </w:r>
          </w:p>
          <w:p w14:paraId="7E9A084B" w14:textId="77777777" w:rsidR="00C614C7" w:rsidRPr="00A64175" w:rsidRDefault="00C614C7" w:rsidP="00A64175">
            <w:pPr>
              <w:autoSpaceDE w:val="0"/>
              <w:autoSpaceDN w:val="0"/>
              <w:adjustRightInd w:val="0"/>
              <w:jc w:val="both"/>
              <w:rPr>
                <w:rFonts w:ascii="Arial" w:hAnsi="Arial" w:cs="Arial"/>
              </w:rPr>
            </w:pPr>
            <w:r w:rsidRPr="00A64175">
              <w:rPr>
                <w:rFonts w:ascii="Arial" w:hAnsi="Arial" w:cs="Arial"/>
              </w:rPr>
              <w:t>remplacement n’a pas été décidé ;</w:t>
            </w:r>
          </w:p>
          <w:p w14:paraId="0F693AD1" w14:textId="763D30D6" w:rsidR="00703FC6" w:rsidRPr="00A64175" w:rsidRDefault="00C614C7" w:rsidP="00A64175">
            <w:pPr>
              <w:contextualSpacing/>
              <w:jc w:val="both"/>
              <w:rPr>
                <w:rFonts w:ascii="Arial" w:hAnsi="Arial" w:cs="Arial"/>
                <w:b/>
                <w:bCs/>
              </w:rPr>
            </w:pPr>
            <w:r w:rsidRPr="00A64175">
              <w:rPr>
                <w:rFonts w:ascii="Arial" w:hAnsi="Arial" w:cs="Arial"/>
              </w:rPr>
              <w:t>- des autres cas prévus dans les statuts.</w:t>
            </w:r>
          </w:p>
          <w:p w14:paraId="1ECADFED" w14:textId="77777777" w:rsidR="00B07EEA" w:rsidRPr="00A64175" w:rsidRDefault="00B07EEA" w:rsidP="00A64175">
            <w:pPr>
              <w:contextualSpacing/>
              <w:jc w:val="both"/>
              <w:rPr>
                <w:rFonts w:ascii="Arial" w:hAnsi="Arial" w:cs="Arial"/>
                <w:b/>
                <w:bCs/>
              </w:rPr>
            </w:pPr>
          </w:p>
          <w:p w14:paraId="66F95E56" w14:textId="77777777" w:rsidR="0042599F" w:rsidRPr="00A64175" w:rsidRDefault="0042599F" w:rsidP="00A64175">
            <w:pPr>
              <w:contextualSpacing/>
              <w:jc w:val="both"/>
              <w:rPr>
                <w:rFonts w:ascii="Arial" w:hAnsi="Arial" w:cs="Arial"/>
                <w:b/>
                <w:bCs/>
              </w:rPr>
            </w:pPr>
          </w:p>
          <w:p w14:paraId="41D92B09" w14:textId="6C04D3F5" w:rsidR="00B74E35" w:rsidRPr="00A64175" w:rsidRDefault="00B74E35" w:rsidP="00A64175">
            <w:pPr>
              <w:contextualSpacing/>
              <w:jc w:val="both"/>
              <w:rPr>
                <w:rFonts w:ascii="Arial" w:hAnsi="Arial" w:cs="Arial"/>
                <w:b/>
                <w:bCs/>
              </w:rPr>
            </w:pPr>
            <w:r w:rsidRPr="00A64175">
              <w:rPr>
                <w:rFonts w:ascii="Arial" w:hAnsi="Arial" w:cs="Arial"/>
                <w:b/>
                <w:bCs/>
              </w:rPr>
              <w:t>Section III</w:t>
            </w:r>
            <w:r w:rsidR="0028673A" w:rsidRPr="00A64175">
              <w:rPr>
                <w:rFonts w:ascii="Arial" w:hAnsi="Arial" w:cs="Arial"/>
                <w:b/>
                <w:bCs/>
              </w:rPr>
              <w:t> : Dispositions relatives aux fonds communs de placement</w:t>
            </w:r>
          </w:p>
          <w:p w14:paraId="4354CB71" w14:textId="77777777" w:rsidR="00B74E35" w:rsidRPr="00A64175" w:rsidRDefault="00B74E35" w:rsidP="00A64175">
            <w:pPr>
              <w:contextualSpacing/>
              <w:jc w:val="both"/>
              <w:rPr>
                <w:rFonts w:ascii="Arial" w:hAnsi="Arial" w:cs="Arial"/>
                <w:b/>
                <w:bCs/>
              </w:rPr>
            </w:pPr>
          </w:p>
          <w:p w14:paraId="2774CC3D" w14:textId="77777777" w:rsidR="0042599F" w:rsidRPr="00A64175" w:rsidRDefault="0042599F" w:rsidP="00A64175">
            <w:pPr>
              <w:contextualSpacing/>
              <w:jc w:val="both"/>
              <w:rPr>
                <w:rFonts w:ascii="Arial" w:hAnsi="Arial" w:cs="Arial"/>
                <w:b/>
                <w:bCs/>
              </w:rPr>
            </w:pPr>
          </w:p>
          <w:p w14:paraId="4DFFE952" w14:textId="360217B9"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757151">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 fonds commun de placement est une copropriété de valeurs mobilières, qui émet des parts et qui est dépourvue de la personnalité morale.</w:t>
            </w:r>
          </w:p>
          <w:p w14:paraId="0CBA370E" w14:textId="77777777" w:rsidR="0042599F" w:rsidRPr="00A64175" w:rsidRDefault="0042599F" w:rsidP="00A64175">
            <w:pPr>
              <w:autoSpaceDE w:val="0"/>
              <w:autoSpaceDN w:val="0"/>
              <w:adjustRightInd w:val="0"/>
              <w:jc w:val="both"/>
              <w:rPr>
                <w:rFonts w:ascii="Arial" w:hAnsi="Arial" w:cs="Arial"/>
              </w:rPr>
            </w:pPr>
          </w:p>
          <w:p w14:paraId="34B8DFA6" w14:textId="2475A6E7" w:rsidR="0042599F" w:rsidRPr="00A64175" w:rsidRDefault="0042599F" w:rsidP="00A64175">
            <w:pPr>
              <w:autoSpaceDE w:val="0"/>
              <w:autoSpaceDN w:val="0"/>
              <w:adjustRightInd w:val="0"/>
              <w:jc w:val="both"/>
              <w:rPr>
                <w:rFonts w:ascii="Arial" w:hAnsi="Arial" w:cs="Arial"/>
              </w:rPr>
            </w:pPr>
            <w:r w:rsidRPr="00A64175">
              <w:rPr>
                <w:rFonts w:ascii="Arial" w:hAnsi="Arial" w:cs="Arial"/>
              </w:rPr>
              <w:t>Les règles relatives à l’indivision ainsi que celles régissant les sociétés en participation ne s’appliquent pas au fonds commun de placement.</w:t>
            </w:r>
          </w:p>
          <w:p w14:paraId="5090BDBD" w14:textId="77777777" w:rsidR="0042599F" w:rsidRPr="00A64175" w:rsidRDefault="0042599F" w:rsidP="00A64175">
            <w:pPr>
              <w:autoSpaceDE w:val="0"/>
              <w:autoSpaceDN w:val="0"/>
              <w:adjustRightInd w:val="0"/>
              <w:jc w:val="both"/>
              <w:rPr>
                <w:rFonts w:ascii="Arial" w:hAnsi="Arial" w:cs="Arial"/>
              </w:rPr>
            </w:pPr>
          </w:p>
          <w:p w14:paraId="79E9C1AC" w14:textId="0954D83F"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757151">
              <w:rPr>
                <w:rFonts w:ascii="Arial" w:hAnsi="Arial" w:cs="Arial"/>
                <w:b/>
                <w:bCs/>
                <w:kern w:val="1"/>
              </w:rPr>
              <w:t>7</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Les parts du fonds commun de placement sont émises et rachetées </w:t>
            </w:r>
            <w:r w:rsidR="006E2721" w:rsidRPr="00A64175">
              <w:rPr>
                <w:rFonts w:ascii="Arial" w:hAnsi="Arial" w:cs="Arial"/>
              </w:rPr>
              <w:t xml:space="preserve">à tout moment, à la demande des </w:t>
            </w:r>
            <w:r w:rsidRPr="00A64175">
              <w:rPr>
                <w:rFonts w:ascii="Arial" w:hAnsi="Arial" w:cs="Arial"/>
              </w:rPr>
              <w:t>porteurs et à la valeur liquidative majorée ou diminuée, selon le cas, des frais et commissions.</w:t>
            </w:r>
          </w:p>
          <w:p w14:paraId="45B70D95" w14:textId="77777777" w:rsidR="006E2721" w:rsidRPr="00A64175" w:rsidRDefault="006E2721" w:rsidP="00A64175">
            <w:pPr>
              <w:autoSpaceDE w:val="0"/>
              <w:autoSpaceDN w:val="0"/>
              <w:adjustRightInd w:val="0"/>
              <w:jc w:val="both"/>
              <w:rPr>
                <w:rFonts w:ascii="Arial" w:hAnsi="Arial" w:cs="Arial"/>
              </w:rPr>
            </w:pPr>
          </w:p>
          <w:p w14:paraId="02032701" w14:textId="669C5851" w:rsidR="0042599F" w:rsidRPr="00A64175" w:rsidRDefault="0042599F" w:rsidP="00A64175">
            <w:pPr>
              <w:autoSpaceDE w:val="0"/>
              <w:autoSpaceDN w:val="0"/>
              <w:adjustRightInd w:val="0"/>
              <w:jc w:val="both"/>
              <w:rPr>
                <w:rFonts w:ascii="Arial" w:hAnsi="Arial" w:cs="Arial"/>
              </w:rPr>
            </w:pPr>
            <w:r w:rsidRPr="00A64175">
              <w:rPr>
                <w:rFonts w:ascii="Arial" w:hAnsi="Arial" w:cs="Arial"/>
              </w:rPr>
              <w:t>Les parts du fonds sont obligatoirement nominatives. Elles peuvent être, so</w:t>
            </w:r>
            <w:r w:rsidR="006E2721" w:rsidRPr="00A64175">
              <w:rPr>
                <w:rFonts w:ascii="Arial" w:hAnsi="Arial" w:cs="Arial"/>
              </w:rPr>
              <w:t xml:space="preserve">us réserve d’autorisation de la </w:t>
            </w:r>
            <w:r w:rsidRPr="00A64175">
              <w:rPr>
                <w:rFonts w:ascii="Arial" w:hAnsi="Arial" w:cs="Arial"/>
              </w:rPr>
              <w:t>COSUMAF, admises aux négociations à la Bourse des Valeurs Mobilières de l’Afrique Centrale.</w:t>
            </w:r>
          </w:p>
          <w:p w14:paraId="5BCBE2FC" w14:textId="77777777" w:rsidR="0042599F" w:rsidRPr="00A64175" w:rsidRDefault="0042599F" w:rsidP="00A64175">
            <w:pPr>
              <w:autoSpaceDE w:val="0"/>
              <w:autoSpaceDN w:val="0"/>
              <w:adjustRightInd w:val="0"/>
              <w:jc w:val="both"/>
              <w:rPr>
                <w:rFonts w:ascii="Arial" w:hAnsi="Arial" w:cs="Arial"/>
              </w:rPr>
            </w:pPr>
          </w:p>
          <w:p w14:paraId="59A88E63" w14:textId="16F899AB"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35</w:t>
            </w:r>
            <w:r w:rsidR="00757151">
              <w:rPr>
                <w:rFonts w:ascii="Arial" w:hAnsi="Arial" w:cs="Arial"/>
                <w:b/>
                <w:bCs/>
                <w:kern w:val="1"/>
              </w:rPr>
              <w:t>8</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société de gestion et le dépositaire établissent le règlement de gestion du fonds.</w:t>
            </w:r>
          </w:p>
          <w:p w14:paraId="37CFC9E5" w14:textId="77777777" w:rsidR="0042599F" w:rsidRPr="00A64175" w:rsidRDefault="0042599F" w:rsidP="00A64175">
            <w:pPr>
              <w:autoSpaceDE w:val="0"/>
              <w:autoSpaceDN w:val="0"/>
              <w:adjustRightInd w:val="0"/>
              <w:jc w:val="both"/>
              <w:rPr>
                <w:rFonts w:ascii="Arial" w:hAnsi="Arial" w:cs="Arial"/>
              </w:rPr>
            </w:pPr>
          </w:p>
          <w:p w14:paraId="46CBF908" w14:textId="5A2BF21D"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rPr>
              <w:t>35</w:t>
            </w:r>
            <w:r w:rsidR="00757151">
              <w:rPr>
                <w:rFonts w:ascii="Arial" w:hAnsi="Arial" w:cs="Arial"/>
                <w:b/>
                <w:bCs/>
                <w:kern w:val="1"/>
              </w:rPr>
              <w:t>9</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 fonds commun de placement est représenté à l’égard des tiers par la</w:t>
            </w:r>
            <w:r w:rsidR="006E2721" w:rsidRPr="00A64175">
              <w:rPr>
                <w:rFonts w:ascii="Arial" w:hAnsi="Arial" w:cs="Arial"/>
              </w:rPr>
              <w:t xml:space="preserve"> société chargée de sa gestion. </w:t>
            </w:r>
            <w:r w:rsidRPr="00A64175">
              <w:rPr>
                <w:rFonts w:ascii="Arial" w:hAnsi="Arial" w:cs="Arial"/>
              </w:rPr>
              <w:t>Cette société doit avoir son siège social sur le territoire d’un Etat membre</w:t>
            </w:r>
            <w:r w:rsidR="006E2721" w:rsidRPr="00A64175">
              <w:rPr>
                <w:rFonts w:ascii="Arial" w:hAnsi="Arial" w:cs="Arial"/>
              </w:rPr>
              <w:t xml:space="preserve"> de la CEMAC. Elle peut agir en </w:t>
            </w:r>
            <w:r w:rsidRPr="00A64175">
              <w:rPr>
                <w:rFonts w:ascii="Arial" w:hAnsi="Arial" w:cs="Arial"/>
              </w:rPr>
              <w:t>justice pour faire valoir les droits et intérêts des porteurs de parts.</w:t>
            </w:r>
          </w:p>
          <w:p w14:paraId="1A1D7C94" w14:textId="77777777" w:rsidR="0042599F" w:rsidRPr="00A64175" w:rsidRDefault="0042599F" w:rsidP="00A64175">
            <w:pPr>
              <w:contextualSpacing/>
              <w:jc w:val="both"/>
              <w:rPr>
                <w:rFonts w:ascii="Arial" w:hAnsi="Arial" w:cs="Arial"/>
                <w:b/>
                <w:bCs/>
              </w:rPr>
            </w:pPr>
          </w:p>
          <w:p w14:paraId="494E673B" w14:textId="62F416D4"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757151">
              <w:rPr>
                <w:rFonts w:ascii="Arial" w:hAnsi="Arial" w:cs="Arial"/>
                <w:b/>
                <w:bCs/>
                <w:kern w:val="1"/>
              </w:rPr>
              <w:t>60</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 montant minimum de l’actif exigé pour la constitution d’un fonds co</w:t>
            </w:r>
            <w:r w:rsidR="006E2721" w:rsidRPr="00A64175">
              <w:rPr>
                <w:rFonts w:ascii="Arial" w:hAnsi="Arial" w:cs="Arial"/>
              </w:rPr>
              <w:t xml:space="preserve">mmun de placement est fixé dans </w:t>
            </w:r>
            <w:r w:rsidRPr="00A64175">
              <w:rPr>
                <w:rFonts w:ascii="Arial" w:hAnsi="Arial" w:cs="Arial"/>
              </w:rPr>
              <w:t>une instruction de la COSUMAF.</w:t>
            </w:r>
          </w:p>
          <w:p w14:paraId="30996FC3" w14:textId="77777777" w:rsidR="006E2721" w:rsidRPr="00A64175" w:rsidRDefault="006E2721" w:rsidP="00A64175">
            <w:pPr>
              <w:autoSpaceDE w:val="0"/>
              <w:autoSpaceDN w:val="0"/>
              <w:adjustRightInd w:val="0"/>
              <w:jc w:val="both"/>
              <w:rPr>
                <w:rFonts w:ascii="Arial" w:hAnsi="Arial" w:cs="Arial"/>
              </w:rPr>
            </w:pPr>
          </w:p>
          <w:p w14:paraId="7587A7B3" w14:textId="506B8905" w:rsidR="0042599F" w:rsidRPr="00A64175" w:rsidRDefault="0042599F" w:rsidP="00A64175">
            <w:pPr>
              <w:autoSpaceDE w:val="0"/>
              <w:autoSpaceDN w:val="0"/>
              <w:adjustRightInd w:val="0"/>
              <w:jc w:val="both"/>
              <w:rPr>
                <w:rFonts w:ascii="Arial" w:hAnsi="Arial" w:cs="Arial"/>
              </w:rPr>
            </w:pPr>
            <w:r w:rsidRPr="00A64175">
              <w:rPr>
                <w:rFonts w:ascii="Arial" w:hAnsi="Arial" w:cs="Arial"/>
              </w:rPr>
              <w:t xml:space="preserve">Il doit être procédé à la dissolution du fonds lorsque son actif net demeure, pendant </w:t>
            </w:r>
            <w:r w:rsidR="00D4724F">
              <w:rPr>
                <w:rFonts w:ascii="Arial" w:hAnsi="Arial" w:cs="Arial"/>
              </w:rPr>
              <w:t xml:space="preserve"> </w:t>
            </w:r>
            <w:r w:rsidR="00477BAB" w:rsidRPr="00A64175">
              <w:rPr>
                <w:rFonts w:ascii="Arial" w:hAnsi="Arial" w:cs="Arial"/>
              </w:rPr>
              <w:t>quatre</w:t>
            </w:r>
            <w:r w:rsidR="00D4724F">
              <w:rPr>
                <w:rFonts w:ascii="Arial" w:hAnsi="Arial" w:cs="Arial"/>
              </w:rPr>
              <w:t xml:space="preserve"> –</w:t>
            </w:r>
            <w:r w:rsidR="00D4724F" w:rsidRPr="00A64175">
              <w:rPr>
                <w:rFonts w:ascii="Arial" w:hAnsi="Arial" w:cs="Arial"/>
              </w:rPr>
              <w:t>vingt</w:t>
            </w:r>
            <w:r w:rsidR="00D4724F">
              <w:rPr>
                <w:rFonts w:ascii="Arial" w:hAnsi="Arial" w:cs="Arial"/>
              </w:rPr>
              <w:t xml:space="preserve"> </w:t>
            </w:r>
            <w:r w:rsidR="00D4724F" w:rsidRPr="00A64175">
              <w:rPr>
                <w:rFonts w:ascii="Arial" w:hAnsi="Arial" w:cs="Arial"/>
              </w:rPr>
              <w:t>-</w:t>
            </w:r>
            <w:r w:rsidR="00D4724F">
              <w:rPr>
                <w:rFonts w:ascii="Arial" w:hAnsi="Arial" w:cs="Arial"/>
              </w:rPr>
              <w:t xml:space="preserve"> </w:t>
            </w:r>
            <w:r w:rsidR="00D4724F" w:rsidRPr="00A64175">
              <w:rPr>
                <w:rFonts w:ascii="Arial" w:hAnsi="Arial" w:cs="Arial"/>
              </w:rPr>
              <w:t>dix</w:t>
            </w:r>
            <w:r w:rsidRPr="00A64175">
              <w:rPr>
                <w:rFonts w:ascii="Arial" w:hAnsi="Arial" w:cs="Arial"/>
              </w:rPr>
              <w:t xml:space="preserve"> jours,</w:t>
            </w:r>
            <w:r w:rsidR="006E2721" w:rsidRPr="00A64175">
              <w:rPr>
                <w:rFonts w:ascii="Arial" w:hAnsi="Arial" w:cs="Arial"/>
              </w:rPr>
              <w:t xml:space="preserve"> </w:t>
            </w:r>
            <w:r w:rsidRPr="00A64175">
              <w:rPr>
                <w:rFonts w:ascii="Arial" w:hAnsi="Arial" w:cs="Arial"/>
              </w:rPr>
              <w:t>inférieur à la moitié du montant minimum prévu à l’alinéa premier ci-dessus.</w:t>
            </w:r>
          </w:p>
          <w:p w14:paraId="7039796E" w14:textId="0DE728D8" w:rsidR="0042599F" w:rsidRPr="00A64175" w:rsidRDefault="0042599F" w:rsidP="00A64175">
            <w:pPr>
              <w:autoSpaceDE w:val="0"/>
              <w:autoSpaceDN w:val="0"/>
              <w:adjustRightInd w:val="0"/>
              <w:jc w:val="both"/>
              <w:rPr>
                <w:rFonts w:ascii="Arial" w:hAnsi="Arial" w:cs="Arial"/>
              </w:rPr>
            </w:pPr>
          </w:p>
          <w:p w14:paraId="5BC10789" w14:textId="04B8D1FD" w:rsidR="0042599F" w:rsidRPr="00A64175" w:rsidRDefault="0042599F" w:rsidP="00A64175">
            <w:pPr>
              <w:autoSpaceDE w:val="0"/>
              <w:autoSpaceDN w:val="0"/>
              <w:adjustRightInd w:val="0"/>
              <w:jc w:val="both"/>
              <w:rPr>
                <w:rFonts w:ascii="Arial" w:hAnsi="Arial" w:cs="Arial"/>
              </w:rPr>
            </w:pPr>
            <w:r w:rsidRPr="00A64175">
              <w:rPr>
                <w:rFonts w:ascii="Arial" w:hAnsi="Arial" w:cs="Arial"/>
              </w:rPr>
              <w:t>Il doit être sans délai procédé à la dissolution du fonds lorsque son actif net</w:t>
            </w:r>
            <w:r w:rsidR="006E2721" w:rsidRPr="00A64175">
              <w:rPr>
                <w:rFonts w:ascii="Arial" w:hAnsi="Arial" w:cs="Arial"/>
              </w:rPr>
              <w:t xml:space="preserve">, après avoir atteint un niveau </w:t>
            </w:r>
            <w:r w:rsidRPr="00A64175">
              <w:rPr>
                <w:rFonts w:ascii="Arial" w:hAnsi="Arial" w:cs="Arial"/>
              </w:rPr>
              <w:t>inférieur à la moitié du montant minimum prévu à l’alinéa premier ci-dessus</w:t>
            </w:r>
            <w:r w:rsidR="006E2721" w:rsidRPr="00A64175">
              <w:rPr>
                <w:rFonts w:ascii="Arial" w:hAnsi="Arial" w:cs="Arial"/>
              </w:rPr>
              <w:t xml:space="preserve">, se déprécie et s’établit à un </w:t>
            </w:r>
            <w:r w:rsidRPr="00A64175">
              <w:rPr>
                <w:rFonts w:ascii="Arial" w:hAnsi="Arial" w:cs="Arial"/>
              </w:rPr>
              <w:t>niveau de 25% du montant minimum exigé.</w:t>
            </w:r>
          </w:p>
          <w:p w14:paraId="415C7ACD" w14:textId="77777777" w:rsidR="006E2721" w:rsidRPr="00A64175" w:rsidRDefault="006E2721" w:rsidP="00A64175">
            <w:pPr>
              <w:autoSpaceDE w:val="0"/>
              <w:autoSpaceDN w:val="0"/>
              <w:adjustRightInd w:val="0"/>
              <w:jc w:val="both"/>
              <w:rPr>
                <w:rFonts w:ascii="Arial" w:hAnsi="Arial" w:cs="Arial"/>
              </w:rPr>
            </w:pPr>
          </w:p>
          <w:p w14:paraId="7A7E5C65" w14:textId="06E2BBA9" w:rsidR="0042599F" w:rsidRPr="00A64175" w:rsidRDefault="0042599F" w:rsidP="00A64175">
            <w:pPr>
              <w:autoSpaceDE w:val="0"/>
              <w:autoSpaceDN w:val="0"/>
              <w:adjustRightInd w:val="0"/>
              <w:jc w:val="both"/>
              <w:rPr>
                <w:rFonts w:ascii="Arial" w:hAnsi="Arial" w:cs="Arial"/>
              </w:rPr>
            </w:pPr>
            <w:r w:rsidRPr="00A64175">
              <w:rPr>
                <w:rFonts w:ascii="Arial" w:hAnsi="Arial" w:cs="Arial"/>
              </w:rPr>
              <w:t>Lorsqu’un agrément est sollicité au profit d’un fonds commun de placeme</w:t>
            </w:r>
            <w:r w:rsidR="006E2721" w:rsidRPr="00A64175">
              <w:rPr>
                <w:rFonts w:ascii="Arial" w:hAnsi="Arial" w:cs="Arial"/>
              </w:rPr>
              <w:t xml:space="preserve">nt, la société de gestion doit, </w:t>
            </w:r>
            <w:r w:rsidRPr="00A64175">
              <w:rPr>
                <w:rFonts w:ascii="Arial" w:hAnsi="Arial" w:cs="Arial"/>
              </w:rPr>
              <w:t>par écrit, s’engager à maintenir, en toutes circonstances, l’actif net d</w:t>
            </w:r>
            <w:r w:rsidR="006E2721" w:rsidRPr="00A64175">
              <w:rPr>
                <w:rFonts w:ascii="Arial" w:hAnsi="Arial" w:cs="Arial"/>
              </w:rPr>
              <w:t xml:space="preserve">ans les proportions définies au </w:t>
            </w:r>
            <w:r w:rsidRPr="00A64175">
              <w:rPr>
                <w:rFonts w:ascii="Arial" w:hAnsi="Arial" w:cs="Arial"/>
              </w:rPr>
              <w:t>présent article.</w:t>
            </w:r>
          </w:p>
          <w:p w14:paraId="398122B2" w14:textId="77777777" w:rsidR="0042599F" w:rsidRPr="00A64175" w:rsidRDefault="0042599F" w:rsidP="00A64175">
            <w:pPr>
              <w:autoSpaceDE w:val="0"/>
              <w:autoSpaceDN w:val="0"/>
              <w:adjustRightInd w:val="0"/>
              <w:jc w:val="both"/>
              <w:rPr>
                <w:rFonts w:ascii="Arial" w:hAnsi="Arial" w:cs="Arial"/>
              </w:rPr>
            </w:pPr>
          </w:p>
          <w:p w14:paraId="7840F6FB" w14:textId="6855D626"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757151">
              <w:rPr>
                <w:rFonts w:ascii="Arial" w:hAnsi="Arial" w:cs="Arial"/>
                <w:b/>
                <w:bCs/>
                <w:kern w:val="1"/>
              </w:rPr>
              <w:t>61</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Les émissions et les rachats de parts sont suspendus lorsque l’actif ne</w:t>
            </w:r>
            <w:r w:rsidR="006E2721" w:rsidRPr="00A64175">
              <w:rPr>
                <w:rFonts w:ascii="Arial" w:hAnsi="Arial" w:cs="Arial"/>
              </w:rPr>
              <w:t xml:space="preserve">t du fonds atteint la moitié du </w:t>
            </w:r>
            <w:r w:rsidRPr="00A64175">
              <w:rPr>
                <w:rFonts w:ascii="Arial" w:hAnsi="Arial" w:cs="Arial"/>
              </w:rPr>
              <w:t xml:space="preserve">montant minimum visé à l’alinéa premier </w:t>
            </w:r>
            <w:r w:rsidRPr="00E138F8">
              <w:rPr>
                <w:rFonts w:ascii="Arial" w:hAnsi="Arial" w:cs="Arial"/>
              </w:rPr>
              <w:t xml:space="preserve">de </w:t>
            </w:r>
            <w:r w:rsidRPr="00C21CF0">
              <w:rPr>
                <w:rFonts w:ascii="Arial" w:hAnsi="Arial" w:cs="Arial"/>
              </w:rPr>
              <w:t xml:space="preserve">l’article </w:t>
            </w:r>
            <w:r w:rsidR="00E138F8" w:rsidRPr="00C21CF0">
              <w:rPr>
                <w:rFonts w:ascii="Arial" w:hAnsi="Arial" w:cs="Arial"/>
              </w:rPr>
              <w:t xml:space="preserve">360 </w:t>
            </w:r>
            <w:r w:rsidR="00580B4F" w:rsidRPr="00C21CF0">
              <w:rPr>
                <w:rFonts w:ascii="Arial" w:hAnsi="Arial" w:cs="Arial"/>
              </w:rPr>
              <w:t xml:space="preserve"> </w:t>
            </w:r>
            <w:r w:rsidRPr="00C21CF0">
              <w:rPr>
                <w:rFonts w:ascii="Arial" w:hAnsi="Arial" w:cs="Arial"/>
              </w:rPr>
              <w:t>du présent Règlement Général.</w:t>
            </w:r>
          </w:p>
          <w:p w14:paraId="6F4FE461" w14:textId="77777777" w:rsidR="0042599F" w:rsidRPr="00A64175" w:rsidRDefault="0042599F" w:rsidP="00A64175">
            <w:pPr>
              <w:contextualSpacing/>
              <w:jc w:val="both"/>
              <w:rPr>
                <w:rFonts w:ascii="Arial" w:hAnsi="Arial" w:cs="Arial"/>
                <w:b/>
                <w:bCs/>
              </w:rPr>
            </w:pPr>
          </w:p>
          <w:p w14:paraId="267BE05C" w14:textId="6A2D9A78"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757151">
              <w:rPr>
                <w:rFonts w:ascii="Arial" w:hAnsi="Arial" w:cs="Arial"/>
                <w:b/>
                <w:bCs/>
                <w:kern w:val="1"/>
              </w:rPr>
              <w:t>62</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 xml:space="preserve">Les décisions de suspension des émissions ou des rachats sont, sans délai, </w:t>
            </w:r>
            <w:r w:rsidR="006E2721" w:rsidRPr="00A64175">
              <w:rPr>
                <w:rFonts w:ascii="Arial" w:hAnsi="Arial" w:cs="Arial"/>
              </w:rPr>
              <w:t xml:space="preserve">portées à la connaissance de la </w:t>
            </w:r>
            <w:r w:rsidRPr="00A64175">
              <w:rPr>
                <w:rFonts w:ascii="Arial" w:hAnsi="Arial" w:cs="Arial"/>
              </w:rPr>
              <w:t>COSUMAF par l’établissement gestionnaire, avec indication des motifs y afférents.</w:t>
            </w:r>
          </w:p>
          <w:p w14:paraId="2A1CCB9A" w14:textId="77777777" w:rsidR="0042599F" w:rsidRPr="00A64175" w:rsidRDefault="0042599F" w:rsidP="00A64175">
            <w:pPr>
              <w:autoSpaceDE w:val="0"/>
              <w:autoSpaceDN w:val="0"/>
              <w:adjustRightInd w:val="0"/>
              <w:jc w:val="both"/>
              <w:rPr>
                <w:rFonts w:ascii="Arial" w:hAnsi="Arial" w:cs="Arial"/>
              </w:rPr>
            </w:pPr>
          </w:p>
          <w:p w14:paraId="261ED57F" w14:textId="728BD7EA"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36</w:t>
            </w:r>
            <w:r w:rsidR="00757151">
              <w:rPr>
                <w:rFonts w:ascii="Arial" w:hAnsi="Arial" w:cs="Arial"/>
                <w:b/>
                <w:bCs/>
                <w:kern w:val="1"/>
              </w:rPr>
              <w:t>3</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cessation des fonctions de la société de gestion ou du dépositaire</w:t>
            </w:r>
            <w:r w:rsidR="006E2721" w:rsidRPr="00A64175">
              <w:rPr>
                <w:rFonts w:ascii="Arial" w:hAnsi="Arial" w:cs="Arial"/>
              </w:rPr>
              <w:t xml:space="preserve"> d’un fonds commun de placement </w:t>
            </w:r>
            <w:r w:rsidRPr="00A64175">
              <w:rPr>
                <w:rFonts w:ascii="Arial" w:hAnsi="Arial" w:cs="Arial"/>
              </w:rPr>
              <w:t>doit, sans délai, donner lieu à son remplacement. La cessation des fonctions</w:t>
            </w:r>
            <w:r w:rsidR="006E2721" w:rsidRPr="00A64175">
              <w:rPr>
                <w:rFonts w:ascii="Arial" w:hAnsi="Arial" w:cs="Arial"/>
              </w:rPr>
              <w:t xml:space="preserve"> intervient après un préavis de </w:t>
            </w:r>
            <w:r w:rsidRPr="00A64175">
              <w:rPr>
                <w:rFonts w:ascii="Arial" w:hAnsi="Arial" w:cs="Arial"/>
              </w:rPr>
              <w:t>deux (2) mois, courant à compter de la notification de la décision de cessation des fonctions.</w:t>
            </w:r>
          </w:p>
          <w:p w14:paraId="150BFC86" w14:textId="77777777" w:rsidR="006E2721" w:rsidRPr="00A64175" w:rsidRDefault="006E2721" w:rsidP="00A64175">
            <w:pPr>
              <w:autoSpaceDE w:val="0"/>
              <w:autoSpaceDN w:val="0"/>
              <w:adjustRightInd w:val="0"/>
              <w:jc w:val="both"/>
              <w:rPr>
                <w:rFonts w:ascii="Arial" w:hAnsi="Arial" w:cs="Arial"/>
              </w:rPr>
            </w:pPr>
          </w:p>
          <w:p w14:paraId="07F124B5" w14:textId="77777777" w:rsidR="0042599F" w:rsidRPr="00A64175" w:rsidRDefault="0042599F" w:rsidP="00A64175">
            <w:pPr>
              <w:autoSpaceDE w:val="0"/>
              <w:autoSpaceDN w:val="0"/>
              <w:adjustRightInd w:val="0"/>
              <w:jc w:val="both"/>
              <w:rPr>
                <w:rFonts w:ascii="Arial" w:hAnsi="Arial" w:cs="Arial"/>
              </w:rPr>
            </w:pPr>
            <w:r w:rsidRPr="00A64175">
              <w:rPr>
                <w:rFonts w:ascii="Arial" w:hAnsi="Arial" w:cs="Arial"/>
              </w:rPr>
              <w:t>A défaut de désignation d’un remplaçant au terme du préavis, le fonds est dissout de plein droit.</w:t>
            </w:r>
          </w:p>
          <w:p w14:paraId="2DBB8A9E" w14:textId="77777777" w:rsidR="0042599F" w:rsidRPr="00A64175" w:rsidRDefault="0042599F" w:rsidP="00A64175">
            <w:pPr>
              <w:autoSpaceDE w:val="0"/>
              <w:autoSpaceDN w:val="0"/>
              <w:adjustRightInd w:val="0"/>
              <w:jc w:val="both"/>
              <w:rPr>
                <w:rFonts w:ascii="Arial" w:hAnsi="Arial" w:cs="Arial"/>
              </w:rPr>
            </w:pPr>
          </w:p>
          <w:p w14:paraId="041B9957" w14:textId="79E7228B"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36</w:t>
            </w:r>
            <w:r w:rsidR="00757151">
              <w:rPr>
                <w:rFonts w:ascii="Arial" w:hAnsi="Arial" w:cs="Arial"/>
                <w:b/>
                <w:bCs/>
                <w:kern w:val="1"/>
              </w:rPr>
              <w:t>4</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liquidation d’un fonds résulte :</w:t>
            </w:r>
          </w:p>
          <w:p w14:paraId="07E350F0" w14:textId="77777777" w:rsidR="006E2721" w:rsidRPr="00A64175" w:rsidRDefault="006E2721" w:rsidP="00A64175">
            <w:pPr>
              <w:autoSpaceDE w:val="0"/>
              <w:autoSpaceDN w:val="0"/>
              <w:adjustRightInd w:val="0"/>
              <w:jc w:val="both"/>
              <w:rPr>
                <w:rFonts w:ascii="Arial" w:hAnsi="Arial" w:cs="Arial"/>
              </w:rPr>
            </w:pPr>
          </w:p>
          <w:p w14:paraId="31D64891" w14:textId="77777777" w:rsidR="0042599F" w:rsidRPr="00A64175" w:rsidRDefault="0042599F" w:rsidP="00A64175">
            <w:pPr>
              <w:autoSpaceDE w:val="0"/>
              <w:autoSpaceDN w:val="0"/>
              <w:adjustRightInd w:val="0"/>
              <w:jc w:val="both"/>
              <w:rPr>
                <w:rFonts w:ascii="Arial" w:hAnsi="Arial" w:cs="Arial"/>
              </w:rPr>
            </w:pPr>
            <w:r w:rsidRPr="00A64175">
              <w:rPr>
                <w:rFonts w:ascii="Arial" w:hAnsi="Arial" w:cs="Arial"/>
              </w:rPr>
              <w:t>- d’un retrait d’agrément ;</w:t>
            </w:r>
          </w:p>
          <w:p w14:paraId="2370F840" w14:textId="4683A7AA" w:rsidR="0042599F" w:rsidRPr="00A64175" w:rsidRDefault="0042599F" w:rsidP="00A64175">
            <w:pPr>
              <w:autoSpaceDE w:val="0"/>
              <w:autoSpaceDN w:val="0"/>
              <w:adjustRightInd w:val="0"/>
              <w:jc w:val="both"/>
              <w:rPr>
                <w:rFonts w:ascii="Arial" w:hAnsi="Arial" w:cs="Arial"/>
              </w:rPr>
            </w:pPr>
            <w:r w:rsidRPr="00A64175">
              <w:rPr>
                <w:rFonts w:ascii="Arial" w:hAnsi="Arial" w:cs="Arial"/>
              </w:rPr>
              <w:t>- de la cessation des fonctions de la société de gestion ou de l’ét</w:t>
            </w:r>
            <w:r w:rsidR="006E2721" w:rsidRPr="00A64175">
              <w:rPr>
                <w:rFonts w:ascii="Arial" w:hAnsi="Arial" w:cs="Arial"/>
              </w:rPr>
              <w:t xml:space="preserve">ablissement dépositaire, si son </w:t>
            </w:r>
            <w:r w:rsidRPr="00A64175">
              <w:rPr>
                <w:rFonts w:ascii="Arial" w:hAnsi="Arial" w:cs="Arial"/>
              </w:rPr>
              <w:t>remplacement n’a pas été décidé ;</w:t>
            </w:r>
          </w:p>
          <w:p w14:paraId="3FF07442" w14:textId="77777777" w:rsidR="0042599F" w:rsidRPr="00A64175" w:rsidRDefault="0042599F" w:rsidP="00A64175">
            <w:pPr>
              <w:autoSpaceDE w:val="0"/>
              <w:autoSpaceDN w:val="0"/>
              <w:adjustRightInd w:val="0"/>
              <w:jc w:val="both"/>
              <w:rPr>
                <w:rFonts w:ascii="Arial" w:hAnsi="Arial" w:cs="Arial"/>
              </w:rPr>
            </w:pPr>
            <w:r w:rsidRPr="00A64175">
              <w:rPr>
                <w:rFonts w:ascii="Arial" w:hAnsi="Arial" w:cs="Arial"/>
              </w:rPr>
              <w:t>- des autres cas prévus dans le règlement du fonds.</w:t>
            </w:r>
          </w:p>
          <w:p w14:paraId="0EC1A7AB" w14:textId="77777777" w:rsidR="0042599F" w:rsidRPr="00A64175" w:rsidRDefault="0042599F" w:rsidP="00A64175">
            <w:pPr>
              <w:autoSpaceDE w:val="0"/>
              <w:autoSpaceDN w:val="0"/>
              <w:adjustRightInd w:val="0"/>
              <w:jc w:val="both"/>
              <w:rPr>
                <w:rFonts w:ascii="Arial" w:hAnsi="Arial" w:cs="Arial"/>
              </w:rPr>
            </w:pPr>
          </w:p>
          <w:p w14:paraId="3E929AE5" w14:textId="3325161F" w:rsidR="0042599F" w:rsidRPr="00A64175" w:rsidRDefault="0042599F"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36</w:t>
            </w:r>
            <w:r w:rsidR="00757151">
              <w:rPr>
                <w:rFonts w:ascii="Arial" w:hAnsi="Arial" w:cs="Arial"/>
                <w:b/>
                <w:bCs/>
                <w:kern w:val="1"/>
              </w:rPr>
              <w:t>5</w:t>
            </w:r>
            <w:r w:rsidRPr="00A64175">
              <w:rPr>
                <w:rFonts w:ascii="Arial" w:hAnsi="Arial" w:cs="Arial"/>
                <w:b/>
                <w:bCs/>
                <w:kern w:val="1"/>
              </w:rPr>
              <w:t xml:space="preserve"> –</w:t>
            </w:r>
            <w:r w:rsidRPr="00A64175">
              <w:rPr>
                <w:rFonts w:ascii="Arial" w:hAnsi="Arial" w:cs="Arial"/>
                <w:kern w:val="1"/>
              </w:rPr>
              <w:t xml:space="preserve"> </w:t>
            </w:r>
            <w:r w:rsidRPr="00A64175">
              <w:rPr>
                <w:rFonts w:ascii="Arial" w:hAnsi="Arial" w:cs="Arial"/>
              </w:rPr>
              <w:t>La société de gestion peut, en accord avec le dépositaire, faire apport d</w:t>
            </w:r>
            <w:r w:rsidR="006E2721" w:rsidRPr="00A64175">
              <w:rPr>
                <w:rFonts w:ascii="Arial" w:hAnsi="Arial" w:cs="Arial"/>
              </w:rPr>
              <w:t xml:space="preserve">es actifs compris dans un fonds </w:t>
            </w:r>
            <w:r w:rsidRPr="00A64175">
              <w:rPr>
                <w:rFonts w:ascii="Arial" w:hAnsi="Arial" w:cs="Arial"/>
              </w:rPr>
              <w:t>même en liquidation, à un autre fonds commun de placement dont</w:t>
            </w:r>
            <w:r w:rsidR="006E2721" w:rsidRPr="00A64175">
              <w:rPr>
                <w:rFonts w:ascii="Arial" w:hAnsi="Arial" w:cs="Arial"/>
              </w:rPr>
              <w:t xml:space="preserve"> elle assure la gestion. Aucune </w:t>
            </w:r>
            <w:r w:rsidRPr="00A64175">
              <w:rPr>
                <w:rFonts w:ascii="Arial" w:hAnsi="Arial" w:cs="Arial"/>
              </w:rPr>
              <w:t>commission ne peut, à cette occasion, être prélevée sur les souscripteurs.</w:t>
            </w:r>
          </w:p>
          <w:p w14:paraId="3649FD8C" w14:textId="77777777" w:rsidR="0042599F" w:rsidRPr="00A64175" w:rsidRDefault="0042599F" w:rsidP="00A64175">
            <w:pPr>
              <w:autoSpaceDE w:val="0"/>
              <w:autoSpaceDN w:val="0"/>
              <w:adjustRightInd w:val="0"/>
              <w:jc w:val="both"/>
              <w:rPr>
                <w:rFonts w:ascii="Arial" w:hAnsi="Arial" w:cs="Arial"/>
              </w:rPr>
            </w:pPr>
          </w:p>
          <w:p w14:paraId="0E98C9E8" w14:textId="30CE8532" w:rsidR="0042599F" w:rsidRPr="00A64175" w:rsidRDefault="006E2721"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36</w:t>
            </w:r>
            <w:r w:rsidR="00757151">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0042599F" w:rsidRPr="00A64175">
              <w:rPr>
                <w:rFonts w:ascii="Arial" w:hAnsi="Arial" w:cs="Arial"/>
              </w:rPr>
              <w:t>Les conditions de liquidation ainsi que les modalités de répartition des</w:t>
            </w:r>
            <w:r w:rsidRPr="00A64175">
              <w:rPr>
                <w:rFonts w:ascii="Arial" w:hAnsi="Arial" w:cs="Arial"/>
              </w:rPr>
              <w:t xml:space="preserve"> actifs sont déterminées par le règlement de gestion du fonds.</w:t>
            </w:r>
          </w:p>
          <w:p w14:paraId="16868A2C" w14:textId="77777777" w:rsidR="0042599F" w:rsidRPr="00A64175" w:rsidRDefault="0042599F" w:rsidP="00A64175">
            <w:pPr>
              <w:contextualSpacing/>
              <w:jc w:val="both"/>
              <w:rPr>
                <w:rFonts w:ascii="Arial" w:hAnsi="Arial" w:cs="Arial"/>
                <w:b/>
                <w:bCs/>
              </w:rPr>
            </w:pPr>
          </w:p>
          <w:p w14:paraId="09DDAE6A" w14:textId="651FC426" w:rsidR="0042599F" w:rsidRPr="00A64175" w:rsidRDefault="0042599F" w:rsidP="00A64175">
            <w:pPr>
              <w:autoSpaceDE w:val="0"/>
              <w:autoSpaceDN w:val="0"/>
              <w:adjustRightInd w:val="0"/>
              <w:jc w:val="both"/>
              <w:rPr>
                <w:rFonts w:ascii="Arial" w:hAnsi="Arial" w:cs="Arial"/>
              </w:rPr>
            </w:pPr>
          </w:p>
          <w:p w14:paraId="630157B2" w14:textId="7DD89226" w:rsidR="0042599F" w:rsidRPr="00A64175" w:rsidRDefault="006E2721" w:rsidP="00A64175">
            <w:pPr>
              <w:contextualSpacing/>
              <w:jc w:val="both"/>
              <w:rPr>
                <w:rFonts w:ascii="Arial" w:hAnsi="Arial" w:cs="Arial"/>
                <w:b/>
                <w:bCs/>
              </w:rPr>
            </w:pPr>
            <w:r w:rsidRPr="00A64175">
              <w:rPr>
                <w:rFonts w:ascii="Arial" w:hAnsi="Arial" w:cs="Arial"/>
                <w:b/>
                <w:bCs/>
              </w:rPr>
              <w:t xml:space="preserve">Article </w:t>
            </w:r>
            <w:r w:rsidR="00ED357A" w:rsidRPr="00A64175">
              <w:rPr>
                <w:rFonts w:ascii="Arial" w:hAnsi="Arial" w:cs="Arial"/>
                <w:b/>
                <w:bCs/>
                <w:kern w:val="1"/>
              </w:rPr>
              <w:t>36</w:t>
            </w:r>
            <w:r w:rsidR="00757151">
              <w:rPr>
                <w:rFonts w:ascii="Arial" w:hAnsi="Arial" w:cs="Arial"/>
                <w:b/>
                <w:bCs/>
                <w:kern w:val="1"/>
              </w:rPr>
              <w:t>7</w:t>
            </w:r>
            <w:r w:rsidRPr="00A64175">
              <w:rPr>
                <w:rFonts w:ascii="Arial" w:hAnsi="Arial" w:cs="Arial"/>
                <w:b/>
                <w:bCs/>
                <w:kern w:val="1"/>
              </w:rPr>
              <w:t xml:space="preserve"> –</w:t>
            </w:r>
            <w:r w:rsidRPr="00A64175">
              <w:rPr>
                <w:rFonts w:ascii="Arial" w:hAnsi="Arial" w:cs="Arial"/>
                <w:kern w:val="1"/>
              </w:rPr>
              <w:t xml:space="preserve"> </w:t>
            </w:r>
            <w:r w:rsidR="0042599F" w:rsidRPr="00A64175">
              <w:rPr>
                <w:rFonts w:ascii="Arial" w:hAnsi="Arial" w:cs="Arial"/>
              </w:rPr>
              <w:t>Les porteurs de parts ou leurs ayants droit ne peuvent provoquer le partage du fonds.</w:t>
            </w:r>
          </w:p>
          <w:p w14:paraId="458E3476" w14:textId="77777777" w:rsidR="0042599F" w:rsidRPr="00A64175" w:rsidRDefault="0042599F" w:rsidP="00A64175">
            <w:pPr>
              <w:contextualSpacing/>
              <w:jc w:val="both"/>
              <w:rPr>
                <w:rFonts w:ascii="Arial" w:hAnsi="Arial" w:cs="Arial"/>
                <w:b/>
                <w:bCs/>
              </w:rPr>
            </w:pPr>
          </w:p>
          <w:p w14:paraId="3283EAAA" w14:textId="77777777" w:rsidR="00E21892" w:rsidRPr="00A64175" w:rsidRDefault="00E21892" w:rsidP="00A64175">
            <w:pPr>
              <w:contextualSpacing/>
              <w:jc w:val="both"/>
              <w:rPr>
                <w:rFonts w:ascii="Arial" w:hAnsi="Arial" w:cs="Arial"/>
                <w:b/>
                <w:bCs/>
              </w:rPr>
            </w:pPr>
          </w:p>
          <w:p w14:paraId="09CE5467" w14:textId="77777777" w:rsidR="00E21892" w:rsidRPr="00A64175" w:rsidRDefault="00E21892" w:rsidP="00A64175">
            <w:pPr>
              <w:contextualSpacing/>
              <w:jc w:val="both"/>
              <w:rPr>
                <w:rFonts w:ascii="Arial" w:hAnsi="Arial" w:cs="Arial"/>
                <w:b/>
                <w:bCs/>
              </w:rPr>
            </w:pPr>
          </w:p>
          <w:p w14:paraId="4C137630" w14:textId="18E0F060" w:rsidR="00B74E35" w:rsidRPr="00A64175" w:rsidRDefault="00B74E35" w:rsidP="00A64175">
            <w:pPr>
              <w:contextualSpacing/>
              <w:jc w:val="both"/>
              <w:rPr>
                <w:rFonts w:ascii="Arial" w:hAnsi="Arial" w:cs="Arial"/>
                <w:b/>
                <w:bCs/>
              </w:rPr>
            </w:pPr>
            <w:r w:rsidRPr="00A64175">
              <w:rPr>
                <w:rFonts w:ascii="Arial" w:hAnsi="Arial" w:cs="Arial"/>
                <w:b/>
                <w:bCs/>
              </w:rPr>
              <w:t>Section IV</w:t>
            </w:r>
            <w:r w:rsidR="0028673A" w:rsidRPr="00A64175">
              <w:rPr>
                <w:rFonts w:ascii="Arial" w:hAnsi="Arial" w:cs="Arial"/>
                <w:b/>
                <w:bCs/>
              </w:rPr>
              <w:t> : Dispositions relatives aux fonds communs de placement d’entreprise</w:t>
            </w:r>
          </w:p>
          <w:p w14:paraId="21A9DA85" w14:textId="0EF73738" w:rsidR="00B74E35" w:rsidRPr="00A64175" w:rsidRDefault="00B74E35" w:rsidP="00A64175">
            <w:pPr>
              <w:contextualSpacing/>
              <w:jc w:val="both"/>
              <w:rPr>
                <w:rFonts w:ascii="Arial" w:hAnsi="Arial" w:cs="Arial"/>
                <w:b/>
                <w:bCs/>
              </w:rPr>
            </w:pPr>
          </w:p>
          <w:p w14:paraId="05CC08CD" w14:textId="77777777" w:rsidR="00E21892" w:rsidRPr="00A64175" w:rsidRDefault="00E21892" w:rsidP="00A64175">
            <w:pPr>
              <w:contextualSpacing/>
              <w:jc w:val="both"/>
              <w:rPr>
                <w:rFonts w:ascii="Arial" w:hAnsi="Arial" w:cs="Arial"/>
                <w:b/>
                <w:bCs/>
              </w:rPr>
            </w:pPr>
          </w:p>
          <w:tbl>
            <w:tblPr>
              <w:tblStyle w:val="Grilledutableau"/>
              <w:tblW w:w="99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E21892" w:rsidRPr="00A64175" w14:paraId="13CB49B5" w14:textId="77777777" w:rsidTr="00E21892">
              <w:tc>
                <w:tcPr>
                  <w:tcW w:w="9992" w:type="dxa"/>
                  <w:shd w:val="clear" w:color="auto" w:fill="auto"/>
                </w:tcPr>
                <w:p w14:paraId="3E6A6C58" w14:textId="77777777" w:rsidR="00E21892" w:rsidRPr="00A64175" w:rsidRDefault="00E21892" w:rsidP="00A64175">
                  <w:pPr>
                    <w:contextualSpacing/>
                    <w:jc w:val="both"/>
                    <w:rPr>
                      <w:rFonts w:ascii="Arial" w:hAnsi="Arial" w:cs="Arial"/>
                      <w:b/>
                      <w:bCs/>
                    </w:rPr>
                  </w:pPr>
                  <w:r w:rsidRPr="00A64175">
                    <w:rPr>
                      <w:rFonts w:ascii="Arial" w:hAnsi="Arial" w:cs="Arial"/>
                      <w:b/>
                      <w:bCs/>
                    </w:rPr>
                    <w:t>Sous-section 1 – Principes Généraux</w:t>
                  </w:r>
                </w:p>
              </w:tc>
            </w:tr>
            <w:tr w:rsidR="00E21892" w:rsidRPr="00A64175" w14:paraId="6DBCAB87" w14:textId="77777777" w:rsidTr="00E21892">
              <w:tc>
                <w:tcPr>
                  <w:tcW w:w="9992" w:type="dxa"/>
                  <w:shd w:val="clear" w:color="auto" w:fill="auto"/>
                </w:tcPr>
                <w:p w14:paraId="78D76125" w14:textId="77777777" w:rsidR="00E21892" w:rsidRPr="00A64175" w:rsidRDefault="00E21892" w:rsidP="00A64175">
                  <w:pPr>
                    <w:contextualSpacing/>
                    <w:jc w:val="both"/>
                    <w:rPr>
                      <w:rFonts w:ascii="Arial" w:hAnsi="Arial" w:cs="Arial"/>
                      <w:b/>
                      <w:bCs/>
                    </w:rPr>
                  </w:pPr>
                </w:p>
                <w:p w14:paraId="79B6B1B6" w14:textId="786BA47A" w:rsidR="00E21892" w:rsidRPr="00A64175" w:rsidRDefault="00ED357A" w:rsidP="00A64175">
                  <w:pPr>
                    <w:contextualSpacing/>
                    <w:jc w:val="both"/>
                    <w:rPr>
                      <w:rFonts w:ascii="Arial" w:hAnsi="Arial" w:cs="Arial"/>
                      <w:b/>
                      <w:bCs/>
                    </w:rPr>
                  </w:pPr>
                  <w:r w:rsidRPr="00A64175">
                    <w:rPr>
                      <w:rFonts w:ascii="Arial" w:hAnsi="Arial" w:cs="Arial"/>
                      <w:b/>
                      <w:bCs/>
                    </w:rPr>
                    <w:t>Article 36</w:t>
                  </w:r>
                  <w:r w:rsidR="00757151">
                    <w:rPr>
                      <w:rFonts w:ascii="Arial" w:hAnsi="Arial" w:cs="Arial"/>
                      <w:b/>
                      <w:bCs/>
                    </w:rPr>
                    <w:t>8</w:t>
                  </w:r>
                  <w:r w:rsidR="00506658" w:rsidRPr="00A64175">
                    <w:rPr>
                      <w:rFonts w:ascii="Arial" w:hAnsi="Arial" w:cs="Arial"/>
                      <w:b/>
                      <w:bCs/>
                    </w:rPr>
                    <w:t xml:space="preserve"> </w:t>
                  </w:r>
                  <w:r w:rsidRPr="00A64175">
                    <w:rPr>
                      <w:rFonts w:ascii="Arial" w:hAnsi="Arial" w:cs="Arial"/>
                      <w:b/>
                      <w:bCs/>
                    </w:rPr>
                    <w:t>–</w:t>
                  </w:r>
                </w:p>
                <w:p w14:paraId="4EA8F8B3" w14:textId="77777777" w:rsidR="00ED357A" w:rsidRPr="00A64175" w:rsidRDefault="00ED357A" w:rsidP="00A64175">
                  <w:pPr>
                    <w:contextualSpacing/>
                    <w:jc w:val="both"/>
                    <w:rPr>
                      <w:rFonts w:ascii="Arial" w:hAnsi="Arial" w:cs="Arial"/>
                      <w:b/>
                      <w:bCs/>
                    </w:rPr>
                  </w:pPr>
                </w:p>
                <w:p w14:paraId="70CC9B42" w14:textId="08675F52" w:rsidR="00E21892" w:rsidRPr="00A64175" w:rsidRDefault="00E21892" w:rsidP="00A64175">
                  <w:pPr>
                    <w:pStyle w:val="Paragraphedeliste"/>
                    <w:numPr>
                      <w:ilvl w:val="2"/>
                      <w:numId w:val="115"/>
                    </w:numPr>
                    <w:spacing w:before="0" w:beforeAutospacing="0" w:after="0" w:afterAutospacing="0" w:line="240" w:lineRule="auto"/>
                    <w:ind w:left="526"/>
                    <w:contextualSpacing/>
                    <w:rPr>
                      <w:b/>
                      <w:bCs/>
                    </w:rPr>
                  </w:pPr>
                  <w:r w:rsidRPr="00A64175">
                    <w:rPr>
                      <w:bCs/>
                    </w:rPr>
                    <w:t>Le fonds commun de placement d’e</w:t>
                  </w:r>
                  <w:r w:rsidR="002E2678" w:rsidRPr="00A64175">
                    <w:rPr>
                      <w:bCs/>
                    </w:rPr>
                    <w:t>ntreprises (FCPE) est un organisme</w:t>
                  </w:r>
                  <w:r w:rsidRPr="00A64175">
                    <w:rPr>
                      <w:bCs/>
                    </w:rPr>
                    <w:t xml:space="preserve"> constitué en vue de gérer les sommes investies dans</w:t>
                  </w:r>
                  <w:r w:rsidR="002E2678" w:rsidRPr="00A64175">
                    <w:rPr>
                      <w:bCs/>
                    </w:rPr>
                    <w:t xml:space="preserve"> le cadre</w:t>
                  </w:r>
                  <w:r w:rsidRPr="00A64175">
                    <w:rPr>
                      <w:bCs/>
                    </w:rPr>
                    <w:t xml:space="preserve"> </w:t>
                  </w:r>
                  <w:r w:rsidR="002E2678" w:rsidRPr="00A64175">
                    <w:rPr>
                      <w:bCs/>
                    </w:rPr>
                    <w:t>d’</w:t>
                  </w:r>
                  <w:r w:rsidRPr="00A64175">
                    <w:rPr>
                      <w:bCs/>
                    </w:rPr>
                    <w:t>un plan d’épargne salariale mis en place en application des dispositions de la législation du travail</w:t>
                  </w:r>
                  <w:r w:rsidR="00331F82" w:rsidRPr="00A64175">
                    <w:rPr>
                      <w:bCs/>
                    </w:rPr>
                    <w:t>.</w:t>
                  </w:r>
                </w:p>
                <w:p w14:paraId="746D34D3" w14:textId="77777777" w:rsidR="00E21892" w:rsidRPr="00A64175" w:rsidRDefault="00E21892" w:rsidP="00A64175">
                  <w:pPr>
                    <w:pStyle w:val="Paragraphedeliste"/>
                    <w:numPr>
                      <w:ilvl w:val="2"/>
                      <w:numId w:val="115"/>
                    </w:numPr>
                    <w:spacing w:before="0" w:beforeAutospacing="0" w:after="0" w:afterAutospacing="0" w:line="240" w:lineRule="auto"/>
                    <w:ind w:left="526"/>
                    <w:contextualSpacing/>
                    <w:rPr>
                      <w:b/>
                      <w:bCs/>
                    </w:rPr>
                  </w:pPr>
                  <w:r w:rsidRPr="00A64175">
                    <w:t xml:space="preserve">Les FCPE sont </w:t>
                  </w:r>
                  <w:r w:rsidRPr="00A64175">
                    <w:rPr>
                      <w:bCs/>
                    </w:rPr>
                    <w:t>les supports de placement des plans d’épargne salariale mis en place dans une entreprise. Les parts du FCPE sont détenues par les salariés et anciens salariés d’une entreprise ou de plusieurs entreprises.</w:t>
                  </w:r>
                </w:p>
                <w:p w14:paraId="1C907A9D" w14:textId="77777777" w:rsidR="00E21892" w:rsidRPr="00A64175" w:rsidRDefault="00E21892" w:rsidP="00A64175">
                  <w:pPr>
                    <w:pStyle w:val="Paragraphedeliste"/>
                    <w:numPr>
                      <w:ilvl w:val="2"/>
                      <w:numId w:val="115"/>
                    </w:numPr>
                    <w:spacing w:before="0" w:beforeAutospacing="0" w:after="0" w:afterAutospacing="0" w:line="240" w:lineRule="auto"/>
                    <w:ind w:left="526"/>
                    <w:contextualSpacing/>
                  </w:pPr>
                  <w:r w:rsidRPr="00A64175">
                    <w:t>Les FCPE sont dédiés ou multi entreprises. Le FCPE dédié est un fonds accessible aux salariés d’une même entreprise ou d’un même groupe. Le FCPE multi entreprises est un fonds accessible aux salariés de plusieurs entreprises distinctes.</w:t>
                  </w:r>
                </w:p>
              </w:tc>
            </w:tr>
            <w:tr w:rsidR="00E21892" w:rsidRPr="00A64175" w14:paraId="7697AB13" w14:textId="77777777" w:rsidTr="00E21892">
              <w:tc>
                <w:tcPr>
                  <w:tcW w:w="9992" w:type="dxa"/>
                  <w:shd w:val="clear" w:color="auto" w:fill="auto"/>
                </w:tcPr>
                <w:p w14:paraId="7A0D59B8" w14:textId="77777777" w:rsidR="00E21892" w:rsidRPr="00A64175" w:rsidRDefault="00E21892" w:rsidP="00A64175">
                  <w:pPr>
                    <w:contextualSpacing/>
                    <w:jc w:val="both"/>
                    <w:rPr>
                      <w:rFonts w:ascii="Arial" w:hAnsi="Arial" w:cs="Arial"/>
                      <w:b/>
                      <w:bCs/>
                    </w:rPr>
                  </w:pPr>
                </w:p>
                <w:p w14:paraId="6D37D576" w14:textId="5491D315" w:rsidR="00E21892" w:rsidRPr="00A64175" w:rsidRDefault="00506658" w:rsidP="00A64175">
                  <w:pPr>
                    <w:contextualSpacing/>
                    <w:jc w:val="both"/>
                    <w:rPr>
                      <w:rFonts w:ascii="Arial" w:hAnsi="Arial" w:cs="Arial"/>
                      <w:b/>
                      <w:bCs/>
                    </w:rPr>
                  </w:pPr>
                  <w:r w:rsidRPr="00A64175">
                    <w:rPr>
                      <w:rFonts w:ascii="Arial" w:hAnsi="Arial" w:cs="Arial"/>
                      <w:b/>
                      <w:bCs/>
                    </w:rPr>
                    <w:t xml:space="preserve">Article </w:t>
                  </w:r>
                  <w:r w:rsidR="00ED357A" w:rsidRPr="00A64175">
                    <w:rPr>
                      <w:rFonts w:ascii="Arial" w:hAnsi="Arial" w:cs="Arial"/>
                      <w:b/>
                      <w:bCs/>
                    </w:rPr>
                    <w:t>36</w:t>
                  </w:r>
                  <w:r w:rsidR="00757151">
                    <w:rPr>
                      <w:rFonts w:ascii="Arial" w:hAnsi="Arial" w:cs="Arial"/>
                      <w:b/>
                      <w:bCs/>
                    </w:rPr>
                    <w:t>9</w:t>
                  </w:r>
                  <w:r w:rsidRPr="00A64175">
                    <w:rPr>
                      <w:rFonts w:ascii="Arial" w:hAnsi="Arial" w:cs="Arial"/>
                      <w:b/>
                      <w:bCs/>
                    </w:rPr>
                    <w:t xml:space="preserve"> -</w:t>
                  </w:r>
                </w:p>
                <w:p w14:paraId="54930460" w14:textId="77777777" w:rsidR="00506658" w:rsidRPr="00A64175" w:rsidRDefault="00506658" w:rsidP="00A64175">
                  <w:pPr>
                    <w:contextualSpacing/>
                    <w:jc w:val="both"/>
                    <w:rPr>
                      <w:rFonts w:ascii="Arial" w:hAnsi="Arial" w:cs="Arial"/>
                      <w:b/>
                      <w:bCs/>
                    </w:rPr>
                  </w:pPr>
                </w:p>
                <w:p w14:paraId="1205062F" w14:textId="795BA2B8" w:rsidR="00E21892" w:rsidRPr="00A64175" w:rsidRDefault="00E21892" w:rsidP="00A64175">
                  <w:pPr>
                    <w:pStyle w:val="Paragraphedeliste"/>
                    <w:numPr>
                      <w:ilvl w:val="0"/>
                      <w:numId w:val="178"/>
                    </w:numPr>
                    <w:spacing w:before="0" w:beforeAutospacing="0" w:after="0" w:afterAutospacing="0" w:line="240" w:lineRule="auto"/>
                    <w:contextualSpacing/>
                  </w:pPr>
                  <w:r w:rsidRPr="00A64175">
                    <w:t>Les FCPE sont des OPC commercialisés auprè</w:t>
                  </w:r>
                  <w:r w:rsidR="00331F82" w:rsidRPr="00A64175">
                    <w:t>s d’investisseurs non-qualifiés. Il</w:t>
                  </w:r>
                  <w:r w:rsidRPr="00A64175">
                    <w:t>s</w:t>
                  </w:r>
                  <w:r w:rsidR="00331F82" w:rsidRPr="00A64175">
                    <w:t xml:space="preserve"> </w:t>
                  </w:r>
                  <w:r w:rsidRPr="00A64175">
                    <w:t xml:space="preserve"> </w:t>
                  </w:r>
                  <w:r w:rsidR="00331F82" w:rsidRPr="00A64175">
                    <w:t>doivent être agréés par la COSUMAF avant toute commercialisation sur le territoire d’un Etat membre de la CEMAC</w:t>
                  </w:r>
                  <w:r w:rsidR="00EE5F91" w:rsidRPr="00A64175">
                    <w:t xml:space="preserve">, conformément aux dispositions de </w:t>
                  </w:r>
                  <w:r w:rsidR="00EE5F91" w:rsidRPr="00C21CF0">
                    <w:t xml:space="preserve">l’article </w:t>
                  </w:r>
                  <w:r w:rsidR="00C24017" w:rsidRPr="00C21CF0">
                    <w:t xml:space="preserve">335 </w:t>
                  </w:r>
                  <w:r w:rsidR="00EE5F91" w:rsidRPr="00C21CF0">
                    <w:t xml:space="preserve"> du présent règlement général</w:t>
                  </w:r>
                  <w:r w:rsidRPr="00163E61">
                    <w:t>.</w:t>
                  </w:r>
                </w:p>
                <w:p w14:paraId="65CAE55B" w14:textId="77777777" w:rsidR="00E21892" w:rsidRPr="00A64175" w:rsidRDefault="00E21892" w:rsidP="00A64175">
                  <w:pPr>
                    <w:pStyle w:val="Paragraphedeliste"/>
                    <w:numPr>
                      <w:ilvl w:val="0"/>
                      <w:numId w:val="178"/>
                    </w:numPr>
                    <w:spacing w:before="0" w:beforeAutospacing="0" w:after="0" w:afterAutospacing="0" w:line="240" w:lineRule="auto"/>
                    <w:contextualSpacing/>
                  </w:pPr>
                  <w:r w:rsidRPr="00A64175">
                    <w:t>La souscription des parts de FCPE doit intervenir dans un délai de douze (12) mois maximum à compter de la date d’agrément. La société de gestion agissant pour le compte du FCPE peut demander à la COSUMAF une dérogation.</w:t>
                  </w:r>
                </w:p>
                <w:p w14:paraId="33CDBB50" w14:textId="77777777" w:rsidR="00E21892" w:rsidRPr="00A64175" w:rsidRDefault="00E21892" w:rsidP="00A64175">
                  <w:pPr>
                    <w:contextualSpacing/>
                    <w:jc w:val="both"/>
                    <w:rPr>
                      <w:rFonts w:ascii="Arial" w:hAnsi="Arial" w:cs="Arial"/>
                    </w:rPr>
                  </w:pPr>
                </w:p>
              </w:tc>
            </w:tr>
            <w:tr w:rsidR="00E21892" w:rsidRPr="00A64175" w14:paraId="0E6D6886" w14:textId="77777777" w:rsidTr="00E21892">
              <w:tc>
                <w:tcPr>
                  <w:tcW w:w="9992" w:type="dxa"/>
                  <w:shd w:val="clear" w:color="auto" w:fill="auto"/>
                </w:tcPr>
                <w:p w14:paraId="338AEEE4" w14:textId="4B7E61BB" w:rsidR="00E21892" w:rsidRPr="00A64175" w:rsidRDefault="00ED357A" w:rsidP="00A64175">
                  <w:pPr>
                    <w:contextualSpacing/>
                    <w:jc w:val="both"/>
                    <w:rPr>
                      <w:rFonts w:ascii="Arial" w:hAnsi="Arial" w:cs="Arial"/>
                    </w:rPr>
                  </w:pPr>
                  <w:r w:rsidRPr="00A64175">
                    <w:rPr>
                      <w:rFonts w:ascii="Arial" w:hAnsi="Arial" w:cs="Arial"/>
                      <w:b/>
                      <w:bCs/>
                    </w:rPr>
                    <w:t>Article 3</w:t>
                  </w:r>
                  <w:r w:rsidR="00757151">
                    <w:rPr>
                      <w:rFonts w:ascii="Arial" w:hAnsi="Arial" w:cs="Arial"/>
                      <w:b/>
                      <w:bCs/>
                    </w:rPr>
                    <w:t>70</w:t>
                  </w:r>
                  <w:r w:rsidR="00E21892" w:rsidRPr="00A64175">
                    <w:rPr>
                      <w:rFonts w:ascii="Arial" w:hAnsi="Arial" w:cs="Arial"/>
                      <w:b/>
                      <w:bCs/>
                    </w:rPr>
                    <w:t xml:space="preserve"> - </w:t>
                  </w:r>
                  <w:r w:rsidR="00E21892" w:rsidRPr="00A64175">
                    <w:rPr>
                      <w:rFonts w:ascii="Arial" w:hAnsi="Arial" w:cs="Arial"/>
                    </w:rPr>
                    <w:t>Seules les sociétés de gestion</w:t>
                  </w:r>
                  <w:r w:rsidR="00EE5F91" w:rsidRPr="00A64175">
                    <w:rPr>
                      <w:rFonts w:ascii="Arial" w:hAnsi="Arial" w:cs="Arial"/>
                    </w:rPr>
                    <w:t xml:space="preserve"> d’OPCVM</w:t>
                  </w:r>
                  <w:r w:rsidR="00E21892" w:rsidRPr="00A64175">
                    <w:rPr>
                      <w:rFonts w:ascii="Arial" w:hAnsi="Arial" w:cs="Arial"/>
                    </w:rPr>
                    <w:t xml:space="preserve"> dont le programme d’activité prévoit la gestion des FCPE, peuvent gérer des FCPE.</w:t>
                  </w:r>
                </w:p>
                <w:p w14:paraId="73FB6562" w14:textId="77777777" w:rsidR="00E21892" w:rsidRPr="00A64175" w:rsidRDefault="00E21892" w:rsidP="00A64175">
                  <w:pPr>
                    <w:contextualSpacing/>
                    <w:jc w:val="both"/>
                    <w:rPr>
                      <w:rFonts w:ascii="Arial" w:hAnsi="Arial" w:cs="Arial"/>
                      <w:b/>
                      <w:bCs/>
                    </w:rPr>
                  </w:pPr>
                </w:p>
              </w:tc>
            </w:tr>
            <w:tr w:rsidR="00E21892" w:rsidRPr="00A64175" w14:paraId="0839FF19" w14:textId="77777777" w:rsidTr="00E21892">
              <w:tc>
                <w:tcPr>
                  <w:tcW w:w="9992" w:type="dxa"/>
                  <w:shd w:val="clear" w:color="auto" w:fill="auto"/>
                </w:tcPr>
                <w:p w14:paraId="164FA357" w14:textId="4A782A8F" w:rsidR="00E21892" w:rsidRPr="00A64175" w:rsidRDefault="00ED357A" w:rsidP="00A64175">
                  <w:pPr>
                    <w:contextualSpacing/>
                    <w:jc w:val="both"/>
                    <w:rPr>
                      <w:rFonts w:ascii="Arial" w:hAnsi="Arial" w:cs="Arial"/>
                      <w:b/>
                      <w:bCs/>
                    </w:rPr>
                  </w:pPr>
                  <w:r w:rsidRPr="00A64175">
                    <w:rPr>
                      <w:rFonts w:ascii="Arial" w:hAnsi="Arial" w:cs="Arial"/>
                      <w:b/>
                      <w:bCs/>
                    </w:rPr>
                    <w:t>Article 3</w:t>
                  </w:r>
                  <w:r w:rsidR="00757151">
                    <w:rPr>
                      <w:rFonts w:ascii="Arial" w:hAnsi="Arial" w:cs="Arial"/>
                      <w:b/>
                      <w:bCs/>
                    </w:rPr>
                    <w:t>71</w:t>
                  </w:r>
                  <w:r w:rsidR="00E21892" w:rsidRPr="00A64175">
                    <w:rPr>
                      <w:rFonts w:ascii="Arial" w:hAnsi="Arial" w:cs="Arial"/>
                      <w:b/>
                      <w:bCs/>
                    </w:rPr>
                    <w:t xml:space="preserve"> - </w:t>
                  </w:r>
                  <w:r w:rsidR="00E21892" w:rsidRPr="00A64175">
                    <w:rPr>
                      <w:rFonts w:ascii="Arial" w:hAnsi="Arial" w:cs="Arial"/>
                    </w:rPr>
                    <w:t>La société de gestion doit veiller à ce que les versements annuels effectués par les salaries ou anciens salariés, porteurs de parts ne dépassent pas le quart de la rémunération annuelle brute de ces derniers.</w:t>
                  </w:r>
                </w:p>
              </w:tc>
            </w:tr>
            <w:tr w:rsidR="00E21892" w:rsidRPr="00A64175" w14:paraId="542075D1" w14:textId="77777777" w:rsidTr="00E21892">
              <w:tc>
                <w:tcPr>
                  <w:tcW w:w="9992" w:type="dxa"/>
                  <w:shd w:val="clear" w:color="auto" w:fill="auto"/>
                </w:tcPr>
                <w:p w14:paraId="33FC284A" w14:textId="77777777" w:rsidR="00E21892" w:rsidRPr="00A64175" w:rsidRDefault="00E21892" w:rsidP="00A64175">
                  <w:pPr>
                    <w:contextualSpacing/>
                    <w:jc w:val="both"/>
                    <w:rPr>
                      <w:rFonts w:ascii="Arial" w:hAnsi="Arial" w:cs="Arial"/>
                      <w:b/>
                      <w:bCs/>
                    </w:rPr>
                  </w:pPr>
                </w:p>
                <w:p w14:paraId="221C6E20" w14:textId="77777777" w:rsidR="00506658" w:rsidRPr="00A64175" w:rsidRDefault="00506658" w:rsidP="00A64175">
                  <w:pPr>
                    <w:contextualSpacing/>
                    <w:jc w:val="both"/>
                    <w:rPr>
                      <w:rFonts w:ascii="Arial" w:hAnsi="Arial" w:cs="Arial"/>
                      <w:b/>
                      <w:bCs/>
                    </w:rPr>
                  </w:pPr>
                </w:p>
                <w:p w14:paraId="07109478" w14:textId="77777777" w:rsidR="00E21892" w:rsidRPr="00A64175" w:rsidRDefault="00E21892" w:rsidP="00A64175">
                  <w:pPr>
                    <w:contextualSpacing/>
                    <w:jc w:val="both"/>
                    <w:rPr>
                      <w:rFonts w:ascii="Arial" w:hAnsi="Arial" w:cs="Arial"/>
                      <w:b/>
                      <w:iCs/>
                    </w:rPr>
                  </w:pPr>
                  <w:r w:rsidRPr="00A64175">
                    <w:rPr>
                      <w:rFonts w:ascii="Arial" w:hAnsi="Arial" w:cs="Arial"/>
                      <w:b/>
                      <w:iCs/>
                    </w:rPr>
                    <w:t>Sous-Section 2 – Règles de fonctionnement</w:t>
                  </w:r>
                </w:p>
                <w:p w14:paraId="6BA2804A" w14:textId="77777777" w:rsidR="00506658" w:rsidRPr="00A64175" w:rsidRDefault="00506658" w:rsidP="00A64175">
                  <w:pPr>
                    <w:contextualSpacing/>
                    <w:jc w:val="both"/>
                    <w:rPr>
                      <w:rFonts w:ascii="Arial" w:hAnsi="Arial" w:cs="Arial"/>
                      <w:b/>
                      <w:iCs/>
                    </w:rPr>
                  </w:pPr>
                </w:p>
              </w:tc>
            </w:tr>
            <w:tr w:rsidR="00E21892" w:rsidRPr="00A64175" w14:paraId="30CB3DA6" w14:textId="77777777" w:rsidTr="00E21892">
              <w:tc>
                <w:tcPr>
                  <w:tcW w:w="9992" w:type="dxa"/>
                  <w:shd w:val="clear" w:color="auto" w:fill="auto"/>
                </w:tcPr>
                <w:p w14:paraId="7C54B228" w14:textId="7F0591CD" w:rsidR="00E21892" w:rsidRPr="00A64175" w:rsidRDefault="00ED357A" w:rsidP="00A64175">
                  <w:pPr>
                    <w:contextualSpacing/>
                    <w:jc w:val="both"/>
                    <w:rPr>
                      <w:rFonts w:ascii="Arial" w:hAnsi="Arial" w:cs="Arial"/>
                      <w:b/>
                      <w:bCs/>
                    </w:rPr>
                  </w:pPr>
                  <w:r w:rsidRPr="00A64175">
                    <w:rPr>
                      <w:rFonts w:ascii="Arial" w:hAnsi="Arial" w:cs="Arial"/>
                      <w:b/>
                      <w:bCs/>
                    </w:rPr>
                    <w:t>Article 3</w:t>
                  </w:r>
                  <w:r w:rsidR="00757151">
                    <w:rPr>
                      <w:rFonts w:ascii="Arial" w:hAnsi="Arial" w:cs="Arial"/>
                      <w:b/>
                      <w:bCs/>
                    </w:rPr>
                    <w:t>72</w:t>
                  </w:r>
                  <w:r w:rsidR="00E21892" w:rsidRPr="00A64175">
                    <w:rPr>
                      <w:rFonts w:ascii="Arial" w:hAnsi="Arial" w:cs="Arial"/>
                      <w:b/>
                      <w:bCs/>
                    </w:rPr>
                    <w:t xml:space="preserve"> - </w:t>
                  </w:r>
                </w:p>
                <w:p w14:paraId="5843A390" w14:textId="77777777" w:rsidR="00E21892" w:rsidRPr="00A64175" w:rsidRDefault="00E21892" w:rsidP="00A64175">
                  <w:pPr>
                    <w:contextualSpacing/>
                    <w:jc w:val="both"/>
                    <w:rPr>
                      <w:rFonts w:ascii="Arial" w:hAnsi="Arial" w:cs="Arial"/>
                      <w:b/>
                      <w:bCs/>
                    </w:rPr>
                  </w:pPr>
                </w:p>
                <w:p w14:paraId="35E6AF0B" w14:textId="77777777" w:rsidR="00E21892" w:rsidRPr="00A64175" w:rsidRDefault="00E21892" w:rsidP="00A64175">
                  <w:pPr>
                    <w:pStyle w:val="Paragraphedeliste"/>
                    <w:numPr>
                      <w:ilvl w:val="0"/>
                      <w:numId w:val="179"/>
                    </w:numPr>
                    <w:spacing w:before="0" w:beforeAutospacing="0" w:after="0" w:afterAutospacing="0" w:line="240" w:lineRule="auto"/>
                    <w:contextualSpacing/>
                  </w:pPr>
                  <w:r w:rsidRPr="00A64175">
                    <w:t xml:space="preserve">Les FCPE disposent d’un conseil de surveillance. Le règlement du fonds précise sa composition et les modalités de désignation des membres. </w:t>
                  </w:r>
                </w:p>
                <w:p w14:paraId="6DD609C4" w14:textId="77777777" w:rsidR="00E21892" w:rsidRPr="00A64175" w:rsidRDefault="00E21892" w:rsidP="00A64175">
                  <w:pPr>
                    <w:pStyle w:val="Paragraphedeliste"/>
                    <w:contextualSpacing/>
                    <w:rPr>
                      <w:b/>
                      <w:bCs/>
                    </w:rPr>
                  </w:pPr>
                </w:p>
                <w:p w14:paraId="47419D10" w14:textId="77777777" w:rsidR="00E21892" w:rsidRPr="00A64175" w:rsidRDefault="00E21892" w:rsidP="00A64175">
                  <w:pPr>
                    <w:pStyle w:val="Paragraphedeliste"/>
                    <w:numPr>
                      <w:ilvl w:val="0"/>
                      <w:numId w:val="179"/>
                    </w:numPr>
                    <w:spacing w:before="0" w:beforeAutospacing="0" w:after="0" w:afterAutospacing="0" w:line="240" w:lineRule="auto"/>
                    <w:contextualSpacing/>
                  </w:pPr>
                  <w:r w:rsidRPr="00A64175">
                    <w:t>Le conseil de surveillance est composé d’une part, de salariés, choisis parmi les salariés porteurs de parts, et, d’autre part, pour moitié au plus, de représentants de l’entreprise ou du groupe et, le cas échéant, des autres entreprises, dans le cas de FCPE multi entreprises. La désignation des salariés est effectuée soit par élection, soit par choix opéré par le ou les comités d’entreprise ou par les organisations syndicales représentatives.</w:t>
                  </w:r>
                </w:p>
                <w:p w14:paraId="3B334834" w14:textId="77777777" w:rsidR="00E21892" w:rsidRPr="00A64175" w:rsidRDefault="00E21892" w:rsidP="00A64175">
                  <w:pPr>
                    <w:contextualSpacing/>
                    <w:jc w:val="both"/>
                    <w:rPr>
                      <w:rFonts w:ascii="Arial" w:hAnsi="Arial" w:cs="Arial"/>
                    </w:rPr>
                  </w:pPr>
                </w:p>
                <w:p w14:paraId="3965C11E" w14:textId="77777777" w:rsidR="00E21892" w:rsidRPr="00A64175" w:rsidRDefault="00E21892" w:rsidP="00A64175">
                  <w:pPr>
                    <w:pStyle w:val="Paragraphedeliste"/>
                    <w:numPr>
                      <w:ilvl w:val="0"/>
                      <w:numId w:val="179"/>
                    </w:numPr>
                    <w:spacing w:before="0" w:beforeAutospacing="0" w:after="0" w:afterAutospacing="0" w:line="240" w:lineRule="auto"/>
                    <w:contextualSpacing/>
                  </w:pPr>
                  <w:r w:rsidRPr="00A64175">
                    <w:t>Lorsque plusieurs FCPE sont proposés dans un même plan d’épargne d’entreprise, ils peuvent disposer d’un conseil de surveillance commun. Le conseil de surveillance commun à plusieurs FCPE doit être composé de salariés représentant les porteurs de parts. Ces salariés doivent être eux-mêmes porteurs de parts d’au moins un des FCPE.</w:t>
                  </w:r>
                </w:p>
                <w:p w14:paraId="0FAE67A7" w14:textId="77777777" w:rsidR="00E21892" w:rsidRPr="00A64175" w:rsidRDefault="00E21892" w:rsidP="00A64175">
                  <w:pPr>
                    <w:contextualSpacing/>
                    <w:jc w:val="both"/>
                    <w:rPr>
                      <w:rFonts w:ascii="Arial" w:hAnsi="Arial" w:cs="Arial"/>
                      <w:b/>
                      <w:bCs/>
                    </w:rPr>
                  </w:pPr>
                </w:p>
              </w:tc>
            </w:tr>
            <w:tr w:rsidR="00E21892" w:rsidRPr="00A64175" w14:paraId="4723DB67" w14:textId="77777777" w:rsidTr="00E21892">
              <w:tc>
                <w:tcPr>
                  <w:tcW w:w="9992" w:type="dxa"/>
                  <w:shd w:val="clear" w:color="auto" w:fill="auto"/>
                </w:tcPr>
                <w:p w14:paraId="0008C3D4" w14:textId="13B76E38" w:rsidR="00E21892" w:rsidRPr="00A64175" w:rsidRDefault="00ED357A" w:rsidP="00A64175">
                  <w:pPr>
                    <w:contextualSpacing/>
                    <w:jc w:val="both"/>
                    <w:rPr>
                      <w:rFonts w:ascii="Arial" w:hAnsi="Arial" w:cs="Arial"/>
                      <w:b/>
                      <w:bCs/>
                    </w:rPr>
                  </w:pPr>
                  <w:r w:rsidRPr="00A64175">
                    <w:rPr>
                      <w:rFonts w:ascii="Arial" w:hAnsi="Arial" w:cs="Arial"/>
                      <w:b/>
                      <w:bCs/>
                    </w:rPr>
                    <w:t>Article 37</w:t>
                  </w:r>
                  <w:r w:rsidR="00757151">
                    <w:rPr>
                      <w:rFonts w:ascii="Arial" w:hAnsi="Arial" w:cs="Arial"/>
                      <w:b/>
                      <w:bCs/>
                    </w:rPr>
                    <w:t>3</w:t>
                  </w:r>
                  <w:r w:rsidR="00E21892" w:rsidRPr="00A64175">
                    <w:rPr>
                      <w:rFonts w:ascii="Arial" w:hAnsi="Arial" w:cs="Arial"/>
                      <w:b/>
                      <w:bCs/>
                    </w:rPr>
                    <w:t xml:space="preserve"> -</w:t>
                  </w:r>
                </w:p>
                <w:p w14:paraId="6B4D4A2B" w14:textId="77777777" w:rsidR="00E21892" w:rsidRPr="00A64175" w:rsidRDefault="00E21892" w:rsidP="00A64175">
                  <w:pPr>
                    <w:contextualSpacing/>
                    <w:jc w:val="both"/>
                    <w:rPr>
                      <w:rFonts w:ascii="Arial" w:hAnsi="Arial" w:cs="Arial"/>
                      <w:b/>
                      <w:bCs/>
                    </w:rPr>
                  </w:pPr>
                </w:p>
                <w:p w14:paraId="0F234FA2" w14:textId="77777777" w:rsidR="00E21892" w:rsidRPr="00A64175" w:rsidRDefault="00E21892" w:rsidP="00A64175">
                  <w:pPr>
                    <w:pStyle w:val="Paragraphedeliste"/>
                    <w:numPr>
                      <w:ilvl w:val="0"/>
                      <w:numId w:val="180"/>
                    </w:numPr>
                    <w:spacing w:before="0" w:beforeAutospacing="0" w:after="0" w:afterAutospacing="0" w:line="240" w:lineRule="auto"/>
                  </w:pPr>
                  <w:r w:rsidRPr="00A64175">
                    <w:t>Le conseil de surveillance est chargé notamment du contrôle de la gestion financière, administrative et comptable. Il peut entendre la société de gestion, le dépositaire et le commissaire aux comptes du fonds qui sont tenus de déférer à sa convocation. Il décide des fusions, scissions ou liquidations. Sans préjudice des compétences de la société de gestion, le conseil de surveillance peut agir en justice pour défendre les droits des porteurs de parts du FCPE.</w:t>
                  </w:r>
                </w:p>
                <w:p w14:paraId="58B2AC47" w14:textId="77777777" w:rsidR="00E21892" w:rsidRPr="00A64175" w:rsidRDefault="00E21892" w:rsidP="00A64175">
                  <w:pPr>
                    <w:pStyle w:val="Paragraphedeliste"/>
                    <w:numPr>
                      <w:ilvl w:val="0"/>
                      <w:numId w:val="180"/>
                    </w:numPr>
                    <w:spacing w:before="0" w:beforeAutospacing="0" w:after="0" w:afterAutospacing="0" w:line="240" w:lineRule="auto"/>
                  </w:pPr>
                  <w:r w:rsidRPr="00A64175">
                    <w:t>Le règlement du fonds précise quelles sont les modifications du règlement qui ne peuvent être décidées sans l’accord du conseil de surveillance.</w:t>
                  </w:r>
                </w:p>
                <w:p w14:paraId="598802FF" w14:textId="77777777" w:rsidR="00E21892" w:rsidRPr="00A64175" w:rsidRDefault="00E21892" w:rsidP="00A64175">
                  <w:pPr>
                    <w:pStyle w:val="Paragraphedeliste"/>
                    <w:numPr>
                      <w:ilvl w:val="0"/>
                      <w:numId w:val="180"/>
                    </w:numPr>
                    <w:spacing w:before="0" w:beforeAutospacing="0" w:after="0" w:afterAutospacing="0" w:line="240" w:lineRule="auto"/>
                  </w:pPr>
                  <w:r w:rsidRPr="00A64175">
                    <w:t>Une instruction de la COSUMAF fixe le règlement type des FCPE.</w:t>
                  </w:r>
                </w:p>
                <w:p w14:paraId="51E7DD5B" w14:textId="77777777" w:rsidR="00E21892" w:rsidRPr="00A64175" w:rsidRDefault="00E21892" w:rsidP="00A64175">
                  <w:pPr>
                    <w:pStyle w:val="Paragraphedeliste"/>
                    <w:numPr>
                      <w:ilvl w:val="0"/>
                      <w:numId w:val="180"/>
                    </w:numPr>
                    <w:spacing w:before="0" w:beforeAutospacing="0" w:after="0" w:afterAutospacing="0" w:line="240" w:lineRule="auto"/>
                  </w:pPr>
                  <w:r w:rsidRPr="00A64175">
                    <w:t>Le président du conseil de surveillance est choisi parmi les représentants des porteurs de parts. Une voix prépondérante peut lui être accordée.</w:t>
                  </w:r>
                </w:p>
              </w:tc>
            </w:tr>
            <w:tr w:rsidR="00E21892" w:rsidRPr="00A64175" w14:paraId="439BB349" w14:textId="77777777" w:rsidTr="00E21892">
              <w:tc>
                <w:tcPr>
                  <w:tcW w:w="9992" w:type="dxa"/>
                  <w:shd w:val="clear" w:color="auto" w:fill="auto"/>
                </w:tcPr>
                <w:p w14:paraId="45A4D51C" w14:textId="77777777" w:rsidR="00E21892" w:rsidRPr="00A64175" w:rsidRDefault="00E21892" w:rsidP="00A64175">
                  <w:pPr>
                    <w:contextualSpacing/>
                    <w:jc w:val="both"/>
                    <w:rPr>
                      <w:rFonts w:ascii="Arial" w:hAnsi="Arial" w:cs="Arial"/>
                      <w:i/>
                      <w:iCs/>
                    </w:rPr>
                  </w:pPr>
                </w:p>
                <w:p w14:paraId="5F907314" w14:textId="77777777" w:rsidR="00E21892" w:rsidRPr="00A64175" w:rsidRDefault="00E21892" w:rsidP="00A64175">
                  <w:pPr>
                    <w:contextualSpacing/>
                    <w:jc w:val="both"/>
                    <w:rPr>
                      <w:rFonts w:ascii="Arial" w:hAnsi="Arial" w:cs="Arial"/>
                      <w:i/>
                      <w:iCs/>
                    </w:rPr>
                  </w:pPr>
                  <w:r w:rsidRPr="00A64175">
                    <w:rPr>
                      <w:rFonts w:ascii="Arial" w:hAnsi="Arial" w:cs="Arial"/>
                      <w:i/>
                      <w:iCs/>
                    </w:rPr>
                    <w:t>Sous-section 3– Règles d’investissement</w:t>
                  </w:r>
                </w:p>
              </w:tc>
            </w:tr>
            <w:tr w:rsidR="00E21892" w:rsidRPr="00A64175" w14:paraId="0A30998D" w14:textId="77777777" w:rsidTr="00E21892">
              <w:tc>
                <w:tcPr>
                  <w:tcW w:w="9992" w:type="dxa"/>
                  <w:shd w:val="clear" w:color="auto" w:fill="auto"/>
                </w:tcPr>
                <w:p w14:paraId="4739DC5F" w14:textId="77777777" w:rsidR="00E21892" w:rsidRPr="00A64175" w:rsidRDefault="00E21892" w:rsidP="00A64175">
                  <w:pPr>
                    <w:contextualSpacing/>
                    <w:jc w:val="both"/>
                    <w:rPr>
                      <w:rFonts w:ascii="Arial" w:hAnsi="Arial" w:cs="Arial"/>
                      <w:b/>
                      <w:bCs/>
                    </w:rPr>
                  </w:pPr>
                </w:p>
                <w:p w14:paraId="11C81516" w14:textId="7F0C20D9" w:rsidR="00E21892" w:rsidRPr="00A64175" w:rsidRDefault="00506658" w:rsidP="00A64175">
                  <w:pPr>
                    <w:contextualSpacing/>
                    <w:jc w:val="both"/>
                    <w:rPr>
                      <w:rFonts w:ascii="Arial" w:hAnsi="Arial" w:cs="Arial"/>
                      <w:b/>
                      <w:bCs/>
                    </w:rPr>
                  </w:pPr>
                  <w:r w:rsidRPr="00A64175">
                    <w:rPr>
                      <w:rFonts w:ascii="Arial" w:hAnsi="Arial" w:cs="Arial"/>
                      <w:b/>
                      <w:bCs/>
                    </w:rPr>
                    <w:t xml:space="preserve">Article </w:t>
                  </w:r>
                  <w:r w:rsidR="00ED357A" w:rsidRPr="00A64175">
                    <w:rPr>
                      <w:rFonts w:ascii="Arial" w:hAnsi="Arial" w:cs="Arial"/>
                      <w:b/>
                      <w:bCs/>
                    </w:rPr>
                    <w:t>37</w:t>
                  </w:r>
                  <w:r w:rsidR="00757151">
                    <w:rPr>
                      <w:rFonts w:ascii="Arial" w:hAnsi="Arial" w:cs="Arial"/>
                      <w:b/>
                      <w:bCs/>
                    </w:rPr>
                    <w:t>4</w:t>
                  </w:r>
                  <w:r w:rsidR="00E21892" w:rsidRPr="00A64175">
                    <w:rPr>
                      <w:rFonts w:ascii="Arial" w:hAnsi="Arial" w:cs="Arial"/>
                      <w:b/>
                      <w:bCs/>
                    </w:rPr>
                    <w:t xml:space="preserve"> - </w:t>
                  </w:r>
                </w:p>
                <w:p w14:paraId="43DDA809" w14:textId="77777777" w:rsidR="00E21892" w:rsidRPr="00A64175" w:rsidRDefault="00E21892" w:rsidP="00A64175">
                  <w:pPr>
                    <w:contextualSpacing/>
                    <w:jc w:val="both"/>
                    <w:rPr>
                      <w:rFonts w:ascii="Arial" w:hAnsi="Arial" w:cs="Arial"/>
                      <w:b/>
                      <w:bCs/>
                    </w:rPr>
                  </w:pPr>
                </w:p>
                <w:p w14:paraId="29844035" w14:textId="0F55221E" w:rsidR="00E21892" w:rsidRPr="00C21CF0" w:rsidRDefault="00E21892" w:rsidP="00A64175">
                  <w:pPr>
                    <w:pStyle w:val="Paragraphedeliste"/>
                    <w:numPr>
                      <w:ilvl w:val="0"/>
                      <w:numId w:val="181"/>
                    </w:numPr>
                    <w:spacing w:before="0" w:beforeAutospacing="0" w:after="0" w:afterAutospacing="0" w:line="240" w:lineRule="auto"/>
                  </w:pPr>
                  <w:r w:rsidRPr="00A64175">
                    <w:t>Les FCPE peuvent adopter l</w:t>
                  </w:r>
                  <w:r w:rsidR="00815426" w:rsidRPr="00A64175">
                    <w:t>a classification</w:t>
                  </w:r>
                  <w:r w:rsidR="00C560A0" w:rsidRPr="00A64175">
                    <w:t xml:space="preserve"> générale</w:t>
                  </w:r>
                  <w:r w:rsidRPr="00A64175">
                    <w:t xml:space="preserve"> prévu</w:t>
                  </w:r>
                  <w:r w:rsidR="00815426" w:rsidRPr="00A64175">
                    <w:t>e</w:t>
                  </w:r>
                  <w:r w:rsidR="00C560A0" w:rsidRPr="00A64175">
                    <w:t xml:space="preserve"> à </w:t>
                  </w:r>
                  <w:r w:rsidR="00C560A0" w:rsidRPr="00C21CF0">
                    <w:t>l’article</w:t>
                  </w:r>
                  <w:r w:rsidR="00AA09A4" w:rsidRPr="00C21CF0">
                    <w:t xml:space="preserve"> </w:t>
                  </w:r>
                  <w:r w:rsidR="00A73320" w:rsidRPr="00C21CF0">
                    <w:t xml:space="preserve">383 </w:t>
                  </w:r>
                  <w:r w:rsidR="00C560A0" w:rsidRPr="00C21CF0">
                    <w:t xml:space="preserve"> du présent règlement général.</w:t>
                  </w:r>
                  <w:r w:rsidR="00815426" w:rsidRPr="00C21CF0">
                    <w:t xml:space="preserve"> </w:t>
                  </w:r>
                </w:p>
                <w:p w14:paraId="519FEA0C" w14:textId="73DABE0F" w:rsidR="00E21892" w:rsidRPr="00A64175" w:rsidRDefault="00C560A0" w:rsidP="00A64175">
                  <w:pPr>
                    <w:pStyle w:val="Paragraphedeliste"/>
                    <w:numPr>
                      <w:ilvl w:val="0"/>
                      <w:numId w:val="181"/>
                    </w:numPr>
                    <w:spacing w:before="0" w:beforeAutospacing="0" w:after="0" w:afterAutospacing="0" w:line="240" w:lineRule="auto"/>
                  </w:pPr>
                  <w:r w:rsidRPr="00A64175">
                    <w:t>En complément de la</w:t>
                  </w:r>
                  <w:r w:rsidR="00E21892" w:rsidRPr="00A64175">
                    <w:t xml:space="preserve"> classification</w:t>
                  </w:r>
                  <w:r w:rsidRPr="00A64175">
                    <w:t xml:space="preserve"> générale mentionnée au présent article</w:t>
                  </w:r>
                  <w:r w:rsidR="00E21892" w:rsidRPr="00A64175">
                    <w:t>, les FCPE comprennent également des classifications spécifiques et sont répartis entre :</w:t>
                  </w:r>
                </w:p>
                <w:p w14:paraId="7EE2C26B" w14:textId="65E47951" w:rsidR="00E21892" w:rsidRPr="005E294D" w:rsidRDefault="00E21892" w:rsidP="00A64175">
                  <w:pPr>
                    <w:pStyle w:val="Paragraphedeliste"/>
                    <w:numPr>
                      <w:ilvl w:val="1"/>
                      <w:numId w:val="121"/>
                    </w:numPr>
                    <w:spacing w:before="0" w:beforeAutospacing="0" w:after="0" w:afterAutospacing="0" w:line="240" w:lineRule="auto"/>
                  </w:pPr>
                  <w:r w:rsidRPr="00A64175">
                    <w:t xml:space="preserve"> </w:t>
                  </w:r>
                  <w:r w:rsidRPr="00163E61">
                    <w:t>les FCPE investis en titres de l’entrep</w:t>
                  </w:r>
                  <w:r w:rsidRPr="005329A9">
                    <w:t>rise</w:t>
                  </w:r>
                  <w:r w:rsidR="00C560A0" w:rsidRPr="005E294D">
                    <w:t> ;</w:t>
                  </w:r>
                  <w:r w:rsidRPr="005E294D">
                    <w:t xml:space="preserve"> </w:t>
                  </w:r>
                </w:p>
                <w:p w14:paraId="5C4990EF" w14:textId="77777777" w:rsidR="00E21892" w:rsidRPr="00B538D7" w:rsidRDefault="00E21892" w:rsidP="00A64175">
                  <w:pPr>
                    <w:pStyle w:val="Paragraphedeliste"/>
                    <w:numPr>
                      <w:ilvl w:val="1"/>
                      <w:numId w:val="121"/>
                    </w:numPr>
                    <w:spacing w:before="0" w:beforeAutospacing="0" w:after="0" w:afterAutospacing="0" w:line="240" w:lineRule="auto"/>
                  </w:pPr>
                  <w:r w:rsidRPr="00B538D7">
                    <w:t>les FCPE investis à moins d’un tiers en titres de l’entreprise ;</w:t>
                  </w:r>
                </w:p>
                <w:p w14:paraId="0D4A09A7" w14:textId="500A80FC" w:rsidR="00E21892" w:rsidRPr="00C21CF0" w:rsidRDefault="00E21892" w:rsidP="00A64175">
                  <w:pPr>
                    <w:pStyle w:val="Paragraphedeliste"/>
                    <w:numPr>
                      <w:ilvl w:val="1"/>
                      <w:numId w:val="121"/>
                    </w:numPr>
                    <w:spacing w:before="0" w:beforeAutospacing="0" w:after="0" w:afterAutospacing="0" w:line="240" w:lineRule="auto"/>
                  </w:pPr>
                  <w:r w:rsidRPr="00C21CF0">
                    <w:t>les FCPE investis en OPCVM ou FIA visés</w:t>
                  </w:r>
                  <w:r w:rsidR="00C560A0" w:rsidRPr="00C21CF0">
                    <w:t xml:space="preserve"> à l’article</w:t>
                  </w:r>
                  <w:r w:rsidR="00437F60" w:rsidRPr="00C21CF0">
                    <w:t xml:space="preserve"> </w:t>
                  </w:r>
                  <w:r w:rsidR="00A73320" w:rsidRPr="00C21CF0">
                    <w:t xml:space="preserve">391 </w:t>
                  </w:r>
                  <w:r w:rsidR="00437F60" w:rsidRPr="00C21CF0">
                    <w:t xml:space="preserve"> du présent règlement général</w:t>
                  </w:r>
                  <w:r w:rsidR="00C560A0" w:rsidRPr="00C21CF0">
                    <w:t xml:space="preserve"> ;</w:t>
                  </w:r>
                  <w:r w:rsidRPr="00C21CF0">
                    <w:t xml:space="preserve"> </w:t>
                  </w:r>
                </w:p>
                <w:p w14:paraId="6C610390" w14:textId="77777777" w:rsidR="00E21892" w:rsidRPr="00A64175" w:rsidRDefault="00E21892" w:rsidP="00A64175">
                  <w:pPr>
                    <w:pStyle w:val="Paragraphedeliste"/>
                    <w:numPr>
                      <w:ilvl w:val="0"/>
                      <w:numId w:val="121"/>
                    </w:numPr>
                    <w:spacing w:before="0" w:beforeAutospacing="0" w:after="0" w:afterAutospacing="0" w:line="240" w:lineRule="auto"/>
                  </w:pPr>
                  <w:r w:rsidRPr="00163E61">
                    <w:t>Les FCPE investis</w:t>
                  </w:r>
                  <w:r w:rsidRPr="00A64175">
                    <w:t xml:space="preserve"> en titres de l’entreprise sont des organismes qui investissent plus du tiers de leur actif net en titres de l’entreprise ou d’une entreprise du groupe admis à la négociation sur le Marché Financier Régional.</w:t>
                  </w:r>
                </w:p>
                <w:p w14:paraId="60D2987B" w14:textId="152F01F3" w:rsidR="00E21892" w:rsidRPr="00A64175" w:rsidRDefault="00E21892" w:rsidP="00A64175">
                  <w:pPr>
                    <w:pStyle w:val="Paragraphedeliste"/>
                    <w:numPr>
                      <w:ilvl w:val="0"/>
                      <w:numId w:val="121"/>
                    </w:numPr>
                    <w:spacing w:before="0" w:beforeAutospacing="0" w:after="0" w:afterAutospacing="0" w:line="240" w:lineRule="auto"/>
                  </w:pPr>
                  <w:r w:rsidRPr="00A64175">
                    <w:t>Les FCPE investis à moins d’un tiers en titres de l’entreprise sont des organismes qui investissent entre moins du tiers de leur actif net en titres de l’entreprise ou d’une entreprise du groupe, que ces titres soien</w:t>
                  </w:r>
                  <w:r w:rsidR="00ED357A" w:rsidRPr="00A64175">
                    <w:t>t admis ou non à la négociation sur</w:t>
                  </w:r>
                  <w:r w:rsidRPr="00A64175">
                    <w:t xml:space="preserve"> le Marché Financier Régional.</w:t>
                  </w:r>
                </w:p>
              </w:tc>
            </w:tr>
            <w:tr w:rsidR="00E21892" w:rsidRPr="00A64175" w14:paraId="718B11F0" w14:textId="77777777" w:rsidTr="00E21892">
              <w:tc>
                <w:tcPr>
                  <w:tcW w:w="9992" w:type="dxa"/>
                  <w:shd w:val="clear" w:color="auto" w:fill="auto"/>
                </w:tcPr>
                <w:p w14:paraId="057F7B29" w14:textId="77777777" w:rsidR="00E21892" w:rsidRPr="00A64175" w:rsidRDefault="00E21892" w:rsidP="00A64175">
                  <w:pPr>
                    <w:contextualSpacing/>
                    <w:jc w:val="both"/>
                    <w:rPr>
                      <w:rFonts w:ascii="Arial" w:hAnsi="Arial" w:cs="Arial"/>
                      <w:b/>
                      <w:bCs/>
                    </w:rPr>
                  </w:pPr>
                </w:p>
                <w:p w14:paraId="06A48B92" w14:textId="3274EDF4" w:rsidR="00E21892" w:rsidRPr="00A64175" w:rsidRDefault="0000470B" w:rsidP="00A64175">
                  <w:pPr>
                    <w:contextualSpacing/>
                    <w:jc w:val="both"/>
                    <w:rPr>
                      <w:rFonts w:ascii="Arial" w:hAnsi="Arial" w:cs="Arial"/>
                      <w:i/>
                      <w:iCs/>
                    </w:rPr>
                  </w:pPr>
                  <w:r w:rsidRPr="00A64175">
                    <w:rPr>
                      <w:rFonts w:ascii="Arial" w:hAnsi="Arial" w:cs="Arial"/>
                      <w:i/>
                      <w:iCs/>
                    </w:rPr>
                    <w:t>Sous -Section 4 – Transmission</w:t>
                  </w:r>
                  <w:r w:rsidR="00134A5E" w:rsidRPr="00A64175">
                    <w:rPr>
                      <w:rFonts w:ascii="Arial" w:hAnsi="Arial" w:cs="Arial"/>
                      <w:i/>
                      <w:iCs/>
                    </w:rPr>
                    <w:t xml:space="preserve"> de rapports à l’entreprise</w:t>
                  </w:r>
                </w:p>
              </w:tc>
            </w:tr>
            <w:tr w:rsidR="00E21892" w:rsidRPr="00A64175" w14:paraId="35B008DE" w14:textId="77777777" w:rsidTr="00E21892">
              <w:tc>
                <w:tcPr>
                  <w:tcW w:w="9992" w:type="dxa"/>
                  <w:shd w:val="clear" w:color="auto" w:fill="auto"/>
                </w:tcPr>
                <w:p w14:paraId="7F3C2356" w14:textId="77777777" w:rsidR="00E21892" w:rsidRPr="00A64175" w:rsidRDefault="00E21892" w:rsidP="00A64175">
                  <w:pPr>
                    <w:contextualSpacing/>
                    <w:jc w:val="both"/>
                    <w:rPr>
                      <w:rFonts w:ascii="Arial" w:hAnsi="Arial" w:cs="Arial"/>
                      <w:b/>
                      <w:bCs/>
                    </w:rPr>
                  </w:pPr>
                </w:p>
                <w:p w14:paraId="4124A3E3" w14:textId="3E032434" w:rsidR="00E21892" w:rsidRPr="00A64175" w:rsidRDefault="00ED357A" w:rsidP="00A64175">
                  <w:pPr>
                    <w:contextualSpacing/>
                    <w:jc w:val="both"/>
                    <w:rPr>
                      <w:rFonts w:ascii="Arial" w:hAnsi="Arial" w:cs="Arial"/>
                      <w:b/>
                      <w:bCs/>
                    </w:rPr>
                  </w:pPr>
                  <w:r w:rsidRPr="00A64175">
                    <w:rPr>
                      <w:rFonts w:ascii="Arial" w:hAnsi="Arial" w:cs="Arial"/>
                      <w:b/>
                      <w:bCs/>
                    </w:rPr>
                    <w:t>Article 37</w:t>
                  </w:r>
                  <w:r w:rsidR="00757151">
                    <w:rPr>
                      <w:rFonts w:ascii="Arial" w:hAnsi="Arial" w:cs="Arial"/>
                      <w:b/>
                      <w:bCs/>
                    </w:rPr>
                    <w:t>5</w:t>
                  </w:r>
                  <w:r w:rsidR="00E21892" w:rsidRPr="00A64175">
                    <w:rPr>
                      <w:rFonts w:ascii="Arial" w:hAnsi="Arial" w:cs="Arial"/>
                      <w:b/>
                      <w:bCs/>
                    </w:rPr>
                    <w:t xml:space="preserve"> - </w:t>
                  </w:r>
                  <w:r w:rsidR="00134A5E" w:rsidRPr="00A64175">
                    <w:rPr>
                      <w:rFonts w:ascii="Arial" w:hAnsi="Arial" w:cs="Arial"/>
                    </w:rPr>
                    <w:t>L</w:t>
                  </w:r>
                  <w:r w:rsidR="00E21892" w:rsidRPr="00A64175">
                    <w:rPr>
                      <w:rFonts w:ascii="Arial" w:hAnsi="Arial" w:cs="Arial"/>
                    </w:rPr>
                    <w:t xml:space="preserve">es rapports annuels et les rapports de gestion des FCPE sont transmis à l’entreprise. </w:t>
                  </w:r>
                </w:p>
              </w:tc>
            </w:tr>
          </w:tbl>
          <w:p w14:paraId="7F7A5538" w14:textId="77777777" w:rsidR="00E21892" w:rsidRPr="00A64175" w:rsidRDefault="00E21892" w:rsidP="00A64175">
            <w:pPr>
              <w:contextualSpacing/>
              <w:jc w:val="both"/>
              <w:rPr>
                <w:rFonts w:ascii="Arial" w:hAnsi="Arial" w:cs="Arial"/>
                <w:b/>
                <w:bCs/>
              </w:rPr>
            </w:pPr>
          </w:p>
          <w:p w14:paraId="132440C1" w14:textId="77777777" w:rsidR="00E21892" w:rsidRPr="00A64175" w:rsidRDefault="00E21892" w:rsidP="00A64175">
            <w:pPr>
              <w:contextualSpacing/>
              <w:jc w:val="both"/>
              <w:rPr>
                <w:rFonts w:ascii="Arial" w:hAnsi="Arial" w:cs="Arial"/>
                <w:b/>
                <w:bCs/>
              </w:rPr>
            </w:pPr>
          </w:p>
          <w:p w14:paraId="70D4E5E1" w14:textId="77777777" w:rsidR="00E21892" w:rsidRPr="00A64175" w:rsidRDefault="00E21892" w:rsidP="00A64175">
            <w:pPr>
              <w:contextualSpacing/>
              <w:jc w:val="both"/>
              <w:rPr>
                <w:rFonts w:ascii="Arial" w:hAnsi="Arial" w:cs="Arial"/>
                <w:b/>
                <w:bCs/>
              </w:rPr>
            </w:pPr>
          </w:p>
          <w:p w14:paraId="49A88C96" w14:textId="483FA429" w:rsidR="0013399C" w:rsidRPr="00A64175" w:rsidRDefault="0013399C" w:rsidP="00A64175">
            <w:pPr>
              <w:contextualSpacing/>
              <w:jc w:val="both"/>
              <w:rPr>
                <w:rFonts w:ascii="Arial" w:hAnsi="Arial" w:cs="Arial"/>
                <w:b/>
                <w:bCs/>
              </w:rPr>
            </w:pPr>
            <w:r w:rsidRPr="00A64175">
              <w:rPr>
                <w:rFonts w:ascii="Arial" w:hAnsi="Arial" w:cs="Arial"/>
                <w:b/>
                <w:bCs/>
              </w:rPr>
              <w:t>Sec</w:t>
            </w:r>
            <w:r w:rsidR="00B74E35" w:rsidRPr="00A64175">
              <w:rPr>
                <w:rFonts w:ascii="Arial" w:hAnsi="Arial" w:cs="Arial"/>
                <w:b/>
                <w:bCs/>
              </w:rPr>
              <w:t>tion V</w:t>
            </w:r>
            <w:r w:rsidR="002C5B8A" w:rsidRPr="00A64175">
              <w:rPr>
                <w:rFonts w:ascii="Arial" w:hAnsi="Arial" w:cs="Arial"/>
                <w:b/>
                <w:bCs/>
              </w:rPr>
              <w:t> : Document d’information et document d’information simplifié</w:t>
            </w:r>
            <w:r w:rsidRPr="00A64175">
              <w:rPr>
                <w:rFonts w:ascii="Arial" w:hAnsi="Arial" w:cs="Arial"/>
                <w:b/>
                <w:bCs/>
              </w:rPr>
              <w:t xml:space="preserve"> des OPCVM</w:t>
            </w:r>
          </w:p>
          <w:p w14:paraId="57B6EC2E" w14:textId="77777777" w:rsidR="00DE611B" w:rsidRPr="00A64175" w:rsidRDefault="00DE611B" w:rsidP="00A64175">
            <w:pPr>
              <w:contextualSpacing/>
              <w:jc w:val="both"/>
              <w:rPr>
                <w:rFonts w:ascii="Arial" w:hAnsi="Arial" w:cs="Arial"/>
                <w:b/>
                <w:bCs/>
              </w:rPr>
            </w:pPr>
          </w:p>
          <w:tbl>
            <w:tblPr>
              <w:tblStyle w:val="Grilledutableau"/>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2C5B8A" w:rsidRPr="00A64175" w14:paraId="05FAD3B1" w14:textId="77777777" w:rsidTr="0016292B">
              <w:tc>
                <w:tcPr>
                  <w:tcW w:w="9668" w:type="dxa"/>
                  <w:shd w:val="clear" w:color="auto" w:fill="auto"/>
                </w:tcPr>
                <w:p w14:paraId="7640FB57" w14:textId="77777777" w:rsidR="002C5B8A" w:rsidRPr="00A64175" w:rsidRDefault="002C5B8A" w:rsidP="00A64175">
                  <w:pPr>
                    <w:contextualSpacing/>
                    <w:jc w:val="both"/>
                    <w:rPr>
                      <w:rFonts w:ascii="Arial" w:hAnsi="Arial" w:cs="Arial"/>
                      <w:b/>
                      <w:bCs/>
                    </w:rPr>
                  </w:pPr>
                </w:p>
                <w:p w14:paraId="35F74147" w14:textId="1990C4DF" w:rsidR="002C5B8A" w:rsidRPr="00A64175" w:rsidRDefault="002C5B8A" w:rsidP="00A64175">
                  <w:pPr>
                    <w:shd w:val="clear" w:color="auto" w:fill="FFFFFF"/>
                    <w:spacing w:after="450"/>
                    <w:jc w:val="both"/>
                    <w:rPr>
                      <w:rFonts w:ascii="Arial" w:eastAsia="Times New Roman" w:hAnsi="Arial" w:cs="Arial"/>
                      <w:lang w:eastAsia="fr-FR"/>
                    </w:rPr>
                  </w:pPr>
                  <w:r w:rsidRPr="00A64175">
                    <w:rPr>
                      <w:rFonts w:ascii="Arial" w:hAnsi="Arial" w:cs="Arial"/>
                      <w:b/>
                      <w:bCs/>
                    </w:rPr>
                    <w:t xml:space="preserve">Article </w:t>
                  </w:r>
                  <w:r w:rsidR="00ED357A" w:rsidRPr="00A64175">
                    <w:rPr>
                      <w:rFonts w:ascii="Arial" w:hAnsi="Arial" w:cs="Arial"/>
                      <w:b/>
                      <w:bCs/>
                      <w:kern w:val="1"/>
                    </w:rPr>
                    <w:t>37</w:t>
                  </w:r>
                  <w:r w:rsidR="00757151">
                    <w:rPr>
                      <w:rFonts w:ascii="Arial" w:hAnsi="Arial" w:cs="Arial"/>
                      <w:b/>
                      <w:bCs/>
                      <w:kern w:val="1"/>
                    </w:rPr>
                    <w:t>6</w:t>
                  </w:r>
                  <w:r w:rsidRPr="00A64175">
                    <w:rPr>
                      <w:rFonts w:ascii="Arial" w:hAnsi="Arial" w:cs="Arial"/>
                      <w:b/>
                      <w:bCs/>
                      <w:kern w:val="1"/>
                    </w:rPr>
                    <w:t xml:space="preserve"> –</w:t>
                  </w:r>
                  <w:r w:rsidRPr="00A64175">
                    <w:rPr>
                      <w:rFonts w:ascii="Arial" w:hAnsi="Arial" w:cs="Arial"/>
                      <w:kern w:val="1"/>
                    </w:rPr>
                    <w:t xml:space="preserve"> </w:t>
                  </w:r>
                  <w:r w:rsidRPr="00A64175">
                    <w:rPr>
                      <w:rFonts w:ascii="Arial" w:eastAsia="Times New Roman" w:hAnsi="Arial" w:cs="Arial"/>
                      <w:lang w:eastAsia="fr-FR"/>
                    </w:rPr>
                    <w:t>Le document d’information de l'OPCVM comprend les renseignements nécessaires permettant aux investisseurs de juger, en toute connaissance de cause,  l'investissement qui leur est proposé, et notamment les risques inhérents à celui-ci.</w:t>
                  </w:r>
                </w:p>
                <w:p w14:paraId="69900041" w14:textId="77777777" w:rsidR="002C5B8A" w:rsidRPr="00A64175" w:rsidRDefault="002C5B8A" w:rsidP="00A64175">
                  <w:pPr>
                    <w:contextualSpacing/>
                    <w:jc w:val="both"/>
                    <w:rPr>
                      <w:rFonts w:ascii="Arial" w:hAnsi="Arial" w:cs="Arial"/>
                    </w:rPr>
                  </w:pPr>
                  <w:r w:rsidRPr="00A64175">
                    <w:rPr>
                      <w:rFonts w:ascii="Arial" w:hAnsi="Arial" w:cs="Arial"/>
                    </w:rPr>
                    <w:t>Le document d’information comporte obligatoirement, outre la description détaillée des éléments visés à l’article 196 du Règlement</w:t>
                  </w:r>
                  <w:r w:rsidRPr="00A64175">
                    <w:rPr>
                      <w:rFonts w:ascii="Arial" w:hAnsi="Arial" w:cs="Arial"/>
                      <w:color w:val="000000"/>
                    </w:rPr>
                    <w:t xml:space="preserve"> n°01/22/CEMAC/UMAC/CM/COSUMAF du 21 juillet 2022,</w:t>
                  </w:r>
                  <w:r w:rsidRPr="00A64175">
                    <w:rPr>
                      <w:rFonts w:ascii="Arial" w:hAnsi="Arial" w:cs="Arial"/>
                    </w:rPr>
                    <w:t xml:space="preserve"> les documents suivants :</w:t>
                  </w:r>
                </w:p>
                <w:p w14:paraId="5466B80C" w14:textId="77777777" w:rsidR="002C5B8A" w:rsidRPr="00A64175" w:rsidRDefault="002C5B8A" w:rsidP="00A64175">
                  <w:pPr>
                    <w:contextualSpacing/>
                    <w:jc w:val="both"/>
                    <w:rPr>
                      <w:rFonts w:ascii="Arial" w:hAnsi="Arial" w:cs="Arial"/>
                    </w:rPr>
                  </w:pPr>
                </w:p>
                <w:p w14:paraId="03AF768F" w14:textId="77777777" w:rsidR="002C5B8A" w:rsidRPr="00A64175" w:rsidRDefault="002C5B8A" w:rsidP="00A64175">
                  <w:pPr>
                    <w:pStyle w:val="Paragraphedeliste"/>
                    <w:numPr>
                      <w:ilvl w:val="0"/>
                      <w:numId w:val="31"/>
                    </w:numPr>
                    <w:autoSpaceDE w:val="0"/>
                    <w:adjustRightInd w:val="0"/>
                  </w:pPr>
                  <w:r w:rsidRPr="00A64175">
                    <w:t>un document simplifié, qui comprend les informations clés pour l’investisseur et qui  précise les caractéristiques essentielles de l’OPCVM ;</w:t>
                  </w:r>
                </w:p>
                <w:p w14:paraId="7D640963" w14:textId="77777777" w:rsidR="002C5B8A" w:rsidRPr="00A64175" w:rsidRDefault="002C5B8A" w:rsidP="00A64175">
                  <w:pPr>
                    <w:pStyle w:val="Paragraphedeliste"/>
                    <w:autoSpaceDE w:val="0"/>
                    <w:adjustRightInd w:val="0"/>
                  </w:pPr>
                </w:p>
                <w:p w14:paraId="01C91913" w14:textId="77777777" w:rsidR="002C5B8A" w:rsidRPr="00A64175" w:rsidRDefault="002C5B8A" w:rsidP="00A64175">
                  <w:pPr>
                    <w:pStyle w:val="Paragraphedeliste"/>
                    <w:numPr>
                      <w:ilvl w:val="0"/>
                      <w:numId w:val="31"/>
                    </w:numPr>
                    <w:autoSpaceDE w:val="0"/>
                    <w:adjustRightInd w:val="0"/>
                  </w:pPr>
                  <w:r w:rsidRPr="00A64175">
                    <w:t>le règlement de gestion ou les statuts de l’OPCVM.</w:t>
                  </w:r>
                </w:p>
                <w:p w14:paraId="1AD395FE" w14:textId="77777777" w:rsidR="002C5B8A" w:rsidRPr="00A64175" w:rsidRDefault="002C5B8A" w:rsidP="00A64175">
                  <w:pPr>
                    <w:autoSpaceDE w:val="0"/>
                    <w:autoSpaceDN w:val="0"/>
                    <w:adjustRightInd w:val="0"/>
                    <w:jc w:val="both"/>
                    <w:rPr>
                      <w:rFonts w:ascii="Arial" w:hAnsi="Arial" w:cs="Arial"/>
                    </w:rPr>
                  </w:pPr>
                </w:p>
                <w:p w14:paraId="422DEB92" w14:textId="77777777" w:rsidR="002C5B8A" w:rsidRPr="00A64175" w:rsidRDefault="002C5B8A" w:rsidP="00A64175">
                  <w:pPr>
                    <w:autoSpaceDE w:val="0"/>
                    <w:autoSpaceDN w:val="0"/>
                    <w:adjustRightInd w:val="0"/>
                    <w:jc w:val="both"/>
                    <w:rPr>
                      <w:rFonts w:ascii="Arial" w:hAnsi="Arial" w:cs="Arial"/>
                    </w:rPr>
                  </w:pPr>
                </w:p>
                <w:p w14:paraId="76B316A7" w14:textId="77777777" w:rsidR="002C5B8A" w:rsidRPr="00A64175" w:rsidRDefault="002C5B8A" w:rsidP="00A64175">
                  <w:pPr>
                    <w:autoSpaceDE w:val="0"/>
                    <w:autoSpaceDN w:val="0"/>
                    <w:adjustRightInd w:val="0"/>
                    <w:jc w:val="both"/>
                    <w:rPr>
                      <w:rFonts w:ascii="Arial" w:hAnsi="Arial" w:cs="Arial"/>
                    </w:rPr>
                  </w:pPr>
                  <w:r w:rsidRPr="00A64175">
                    <w:rPr>
                      <w:rFonts w:ascii="Arial" w:hAnsi="Arial" w:cs="Arial"/>
                    </w:rPr>
                    <w:t>Les investisseurs peuvent, sans frais, obtenir communication de ces documents auprès de la SICAV ou de l’établissement gestionnaire.</w:t>
                  </w:r>
                </w:p>
                <w:p w14:paraId="4F7903F8" w14:textId="77777777" w:rsidR="002C5B8A" w:rsidRPr="00A64175" w:rsidRDefault="002C5B8A" w:rsidP="00A64175">
                  <w:pPr>
                    <w:shd w:val="clear" w:color="auto" w:fill="FFFFFF"/>
                    <w:spacing w:after="450"/>
                    <w:jc w:val="both"/>
                    <w:rPr>
                      <w:rFonts w:ascii="Arial" w:eastAsia="Times New Roman" w:hAnsi="Arial" w:cs="Arial"/>
                      <w:lang w:eastAsia="fr-FR"/>
                    </w:rPr>
                  </w:pPr>
                </w:p>
                <w:p w14:paraId="709A324F" w14:textId="03EBA8FD" w:rsidR="002C5B8A" w:rsidRPr="00A64175" w:rsidRDefault="002C5B8A" w:rsidP="00A64175">
                  <w:pPr>
                    <w:shd w:val="clear" w:color="auto" w:fill="FFFFFF"/>
                    <w:spacing w:after="450"/>
                    <w:jc w:val="both"/>
                    <w:rPr>
                      <w:rFonts w:ascii="Arial" w:eastAsia="Times New Roman" w:hAnsi="Arial" w:cs="Arial"/>
                      <w:lang w:eastAsia="fr-FR"/>
                    </w:rPr>
                  </w:pPr>
                  <w:r w:rsidRPr="00A64175">
                    <w:rPr>
                      <w:rFonts w:ascii="Arial" w:hAnsi="Arial" w:cs="Arial"/>
                      <w:b/>
                      <w:bCs/>
                    </w:rPr>
                    <w:t xml:space="preserve">Article </w:t>
                  </w:r>
                  <w:r w:rsidR="00ED357A" w:rsidRPr="00A64175">
                    <w:rPr>
                      <w:rFonts w:ascii="Arial" w:hAnsi="Arial" w:cs="Arial"/>
                      <w:b/>
                      <w:bCs/>
                      <w:kern w:val="1"/>
                    </w:rPr>
                    <w:t>37</w:t>
                  </w:r>
                  <w:r w:rsidR="00757151">
                    <w:rPr>
                      <w:rFonts w:ascii="Arial" w:hAnsi="Arial" w:cs="Arial"/>
                      <w:b/>
                      <w:bCs/>
                      <w:kern w:val="1"/>
                    </w:rPr>
                    <w:t>7</w:t>
                  </w:r>
                  <w:r w:rsidRPr="00A64175">
                    <w:rPr>
                      <w:rFonts w:ascii="Arial" w:hAnsi="Arial" w:cs="Arial"/>
                      <w:b/>
                      <w:bCs/>
                      <w:kern w:val="1"/>
                    </w:rPr>
                    <w:t>–</w:t>
                  </w:r>
                  <w:r w:rsidRPr="00A64175">
                    <w:rPr>
                      <w:rFonts w:ascii="Arial" w:hAnsi="Arial" w:cs="Arial"/>
                      <w:kern w:val="1"/>
                    </w:rPr>
                    <w:t xml:space="preserve"> </w:t>
                  </w:r>
                  <w:r w:rsidRPr="00A64175">
                    <w:rPr>
                      <w:rFonts w:ascii="Arial" w:eastAsia="Times New Roman" w:hAnsi="Arial" w:cs="Arial"/>
                      <w:lang w:eastAsia="fr-FR"/>
                    </w:rPr>
                    <w:t>Le document d’information comporte notamment :</w:t>
                  </w:r>
                </w:p>
                <w:p w14:paraId="2DD83390" w14:textId="2EC4EBD6" w:rsidR="002C5B8A" w:rsidRPr="00D10A0C" w:rsidRDefault="002C5B8A" w:rsidP="00D10A0C">
                  <w:pPr>
                    <w:numPr>
                      <w:ilvl w:val="1"/>
                      <w:numId w:val="191"/>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1) Une présentation détaillée de la politique de rémunération, précisant la manière dont les rémunérations et les avantages sont calculés, l'identité des personnes responsables de l'attribution des rémunérations et des avantages et la composition du comité de rémunération, lorsqu'un tel comité existe ;</w:t>
                  </w:r>
                </w:p>
                <w:p w14:paraId="3CEDC3BA"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2) Une description claire et facile à comprendre du profil de risque de l'OPCVM ;</w:t>
                  </w:r>
                </w:p>
                <w:p w14:paraId="087A937C"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 xml:space="preserve">3) Une description de l'ensemble des </w:t>
                  </w:r>
                  <w:r w:rsidRPr="001B69F3">
                    <w:rPr>
                      <w:rFonts w:ascii="Arial" w:eastAsia="Times New Roman" w:hAnsi="Arial" w:cs="Arial"/>
                      <w:lang w:eastAsia="fr-FR"/>
                    </w:rPr>
                    <w:t>frais s</w:t>
                  </w:r>
                  <w:r w:rsidRPr="00A64175">
                    <w:rPr>
                      <w:rFonts w:ascii="Arial" w:eastAsia="Times New Roman" w:hAnsi="Arial" w:cs="Arial"/>
                      <w:lang w:eastAsia="fr-FR"/>
                    </w:rPr>
                    <w:t>upportés par les porteurs ou par l'OPCVM ;</w:t>
                  </w:r>
                </w:p>
                <w:p w14:paraId="6178B883"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4) Les règles de calcul des différentes commissions facturées ;</w:t>
                  </w:r>
                </w:p>
                <w:p w14:paraId="6F4B69D4"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5) Les règles de valorisation des actifs ;</w:t>
                  </w:r>
                </w:p>
                <w:p w14:paraId="3B27EDF7"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6) Les catégories d’actifs dans lesquels l’OPCVM est habilité à investir ;</w:t>
                  </w:r>
                </w:p>
                <w:p w14:paraId="05E0F1A1" w14:textId="77777777" w:rsidR="002C5B8A" w:rsidRPr="00A64175" w:rsidRDefault="002C5B8A" w:rsidP="00A64175">
                  <w:pPr>
                    <w:shd w:val="clear" w:color="auto" w:fill="FFFFFF"/>
                    <w:spacing w:after="450"/>
                    <w:ind w:left="360"/>
                    <w:jc w:val="both"/>
                    <w:rPr>
                      <w:rFonts w:ascii="Arial" w:eastAsia="Times New Roman" w:hAnsi="Arial" w:cs="Arial"/>
                      <w:lang w:eastAsia="fr-FR"/>
                    </w:rPr>
                  </w:pPr>
                  <w:r w:rsidRPr="00A64175">
                    <w:rPr>
                      <w:rFonts w:ascii="Arial" w:eastAsia="Times New Roman" w:hAnsi="Arial" w:cs="Arial"/>
                      <w:lang w:eastAsia="fr-FR"/>
                    </w:rPr>
                    <w:t>7) Une mention claire et bien visible attirant spécialement l'attention des investisseurs lorsque la valeur liquidative de l'OPCVM est susceptible de connaître une volatilité élevée du fait de la composition de son portefeuille ou des techniques de gestion du portefeuille ;</w:t>
                  </w:r>
                </w:p>
                <w:p w14:paraId="21A25940" w14:textId="6876A624" w:rsidR="002C5B8A" w:rsidRPr="00A64175" w:rsidRDefault="002C5B8A" w:rsidP="00A64175">
                  <w:pPr>
                    <w:shd w:val="clear" w:color="auto" w:fill="FFFFFF"/>
                    <w:spacing w:after="450"/>
                    <w:jc w:val="both"/>
                    <w:rPr>
                      <w:rFonts w:ascii="Arial" w:eastAsia="Times New Roman" w:hAnsi="Arial" w:cs="Arial"/>
                      <w:lang w:eastAsia="fr-FR"/>
                    </w:rPr>
                  </w:pPr>
                  <w:r w:rsidRPr="00A64175">
                    <w:rPr>
                      <w:rFonts w:ascii="Arial" w:hAnsi="Arial" w:cs="Arial"/>
                      <w:b/>
                      <w:bCs/>
                    </w:rPr>
                    <w:t xml:space="preserve">Article </w:t>
                  </w:r>
                  <w:r w:rsidR="00ED357A" w:rsidRPr="00A64175">
                    <w:rPr>
                      <w:rFonts w:ascii="Arial" w:hAnsi="Arial" w:cs="Arial"/>
                      <w:b/>
                      <w:bCs/>
                      <w:kern w:val="1"/>
                    </w:rPr>
                    <w:t>37</w:t>
                  </w:r>
                  <w:r w:rsidR="00757151">
                    <w:rPr>
                      <w:rFonts w:ascii="Arial" w:hAnsi="Arial" w:cs="Arial"/>
                      <w:b/>
                      <w:bCs/>
                      <w:kern w:val="1"/>
                    </w:rPr>
                    <w:t>8</w:t>
                  </w:r>
                  <w:r w:rsidRPr="00A64175">
                    <w:rPr>
                      <w:rFonts w:ascii="Arial" w:hAnsi="Arial" w:cs="Arial"/>
                      <w:b/>
                      <w:bCs/>
                      <w:kern w:val="1"/>
                    </w:rPr>
                    <w:t xml:space="preserve"> –</w:t>
                  </w:r>
                  <w:r w:rsidRPr="00A64175">
                    <w:rPr>
                      <w:rFonts w:ascii="Arial" w:hAnsi="Arial" w:cs="Arial"/>
                      <w:b/>
                      <w:bCs/>
                    </w:rPr>
                    <w:t xml:space="preserve"> </w:t>
                  </w:r>
                  <w:r w:rsidRPr="00A64175">
                    <w:rPr>
                      <w:rFonts w:ascii="Arial" w:eastAsia="Times New Roman" w:hAnsi="Arial" w:cs="Arial"/>
                      <w:lang w:eastAsia="fr-FR"/>
                    </w:rPr>
                    <w:t xml:space="preserve">Le contenu et la présentation du document d’information, les modalités de calcul des frais mentionnés à </w:t>
                  </w:r>
                  <w:r w:rsidRPr="00C21CF0">
                    <w:rPr>
                      <w:rFonts w:ascii="Arial" w:eastAsia="Times New Roman" w:hAnsi="Arial" w:cs="Arial"/>
                      <w:lang w:eastAsia="fr-FR"/>
                    </w:rPr>
                    <w:t xml:space="preserve">l’article </w:t>
                  </w:r>
                  <w:r w:rsidR="007820C8" w:rsidRPr="00C21CF0">
                    <w:rPr>
                      <w:rFonts w:ascii="Arial" w:eastAsia="Times New Roman" w:hAnsi="Arial" w:cs="Arial"/>
                      <w:lang w:eastAsia="fr-FR"/>
                    </w:rPr>
                    <w:t xml:space="preserve">376 </w:t>
                  </w:r>
                  <w:r w:rsidRPr="00C21CF0">
                    <w:rPr>
                      <w:rFonts w:ascii="Arial" w:eastAsia="Times New Roman" w:hAnsi="Arial" w:cs="Arial"/>
                      <w:lang w:eastAsia="fr-FR"/>
                    </w:rPr>
                    <w:t xml:space="preserve"> du présent règlement général</w:t>
                  </w:r>
                  <w:r w:rsidRPr="00A64175">
                    <w:rPr>
                      <w:rFonts w:ascii="Arial" w:eastAsia="Times New Roman" w:hAnsi="Arial" w:cs="Arial"/>
                      <w:lang w:eastAsia="fr-FR"/>
                    </w:rPr>
                    <w:t xml:space="preserve"> sont précisés dans une instruction de la COSUMAF.</w:t>
                  </w:r>
                </w:p>
                <w:p w14:paraId="6C46A2B8" w14:textId="2AD0A4F9" w:rsidR="002C5B8A" w:rsidRPr="00A64175" w:rsidRDefault="002C5B8A" w:rsidP="00A64175">
                  <w:pPr>
                    <w:autoSpaceDE w:val="0"/>
                    <w:autoSpaceDN w:val="0"/>
                    <w:adjustRightInd w:val="0"/>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37</w:t>
                  </w:r>
                  <w:r w:rsidR="00757151">
                    <w:rPr>
                      <w:rFonts w:ascii="Arial" w:hAnsi="Arial" w:cs="Arial"/>
                      <w:b/>
                      <w:bCs/>
                      <w:kern w:val="1"/>
                    </w:rPr>
                    <w:t>9</w:t>
                  </w:r>
                  <w:r w:rsidRPr="00A64175">
                    <w:rPr>
                      <w:rFonts w:ascii="Arial" w:hAnsi="Arial" w:cs="Arial"/>
                      <w:b/>
                      <w:bCs/>
                      <w:kern w:val="1"/>
                    </w:rPr>
                    <w:t xml:space="preserve"> –</w:t>
                  </w:r>
                  <w:r w:rsidRPr="00A64175">
                    <w:rPr>
                      <w:rFonts w:ascii="Arial" w:hAnsi="Arial" w:cs="Arial"/>
                      <w:b/>
                      <w:bCs/>
                    </w:rPr>
                    <w:t xml:space="preserve"> </w:t>
                  </w:r>
                  <w:r w:rsidRPr="00A64175">
                    <w:rPr>
                      <w:rFonts w:ascii="Arial" w:hAnsi="Arial" w:cs="Arial"/>
                      <w:bCs/>
                    </w:rPr>
                    <w:t>Le docu</w:t>
                  </w:r>
                  <w:r w:rsidRPr="00A64175">
                    <w:rPr>
                      <w:rFonts w:ascii="Arial" w:hAnsi="Arial" w:cs="Arial"/>
                    </w:rPr>
                    <w:t>ment d’information est tenu à jour pendant toute la durée du placement ou de la commercialisation de l’OPCVM. Toute mise à jour est soumise à l’</w:t>
                  </w:r>
                  <w:r w:rsidR="009D63C5">
                    <w:rPr>
                      <w:rFonts w:ascii="Arial" w:hAnsi="Arial" w:cs="Arial"/>
                    </w:rPr>
                    <w:t xml:space="preserve">autorisation </w:t>
                  </w:r>
                  <w:r w:rsidRPr="00A64175">
                    <w:rPr>
                      <w:rFonts w:ascii="Arial" w:hAnsi="Arial" w:cs="Arial"/>
                    </w:rPr>
                    <w:t>préalable de la COSUMAF.</w:t>
                  </w:r>
                </w:p>
                <w:p w14:paraId="6CDD6F11" w14:textId="77777777" w:rsidR="002C5B8A" w:rsidRPr="00A64175" w:rsidRDefault="002C5B8A" w:rsidP="00A64175">
                  <w:pPr>
                    <w:shd w:val="clear" w:color="auto" w:fill="FFFFFF"/>
                    <w:spacing w:after="450"/>
                    <w:jc w:val="both"/>
                    <w:rPr>
                      <w:rFonts w:ascii="Arial" w:eastAsia="Times New Roman" w:hAnsi="Arial" w:cs="Arial"/>
                      <w:lang w:eastAsia="fr-FR"/>
                    </w:rPr>
                  </w:pPr>
                </w:p>
              </w:tc>
            </w:tr>
            <w:tr w:rsidR="002C5B8A" w:rsidRPr="00A64175" w14:paraId="06E168DC" w14:textId="77777777" w:rsidTr="0016292B">
              <w:tc>
                <w:tcPr>
                  <w:tcW w:w="9668" w:type="dxa"/>
                  <w:shd w:val="clear" w:color="auto" w:fill="auto"/>
                </w:tcPr>
                <w:p w14:paraId="0297F22A" w14:textId="2155B289" w:rsidR="002C5B8A" w:rsidRPr="00A64175" w:rsidRDefault="002C5B8A" w:rsidP="00A64175">
                  <w:pPr>
                    <w:contextualSpacing/>
                    <w:jc w:val="both"/>
                    <w:rPr>
                      <w:rFonts w:ascii="Arial" w:hAnsi="Arial" w:cs="Arial"/>
                    </w:rPr>
                  </w:pPr>
                  <w:r w:rsidRPr="00A64175">
                    <w:rPr>
                      <w:rFonts w:ascii="Arial" w:hAnsi="Arial" w:cs="Arial"/>
                      <w:b/>
                      <w:bCs/>
                    </w:rPr>
                    <w:t xml:space="preserve">Article </w:t>
                  </w:r>
                  <w:r w:rsidR="00ED357A" w:rsidRPr="00A64175">
                    <w:rPr>
                      <w:rFonts w:ascii="Arial" w:hAnsi="Arial" w:cs="Arial"/>
                      <w:b/>
                      <w:bCs/>
                      <w:kern w:val="1"/>
                    </w:rPr>
                    <w:t>3</w:t>
                  </w:r>
                  <w:r w:rsidR="00757151">
                    <w:rPr>
                      <w:rFonts w:ascii="Arial" w:hAnsi="Arial" w:cs="Arial"/>
                      <w:b/>
                      <w:bCs/>
                      <w:kern w:val="1"/>
                    </w:rPr>
                    <w:t>80</w:t>
                  </w:r>
                  <w:r w:rsidRPr="00A64175">
                    <w:rPr>
                      <w:rFonts w:ascii="Arial" w:hAnsi="Arial" w:cs="Arial"/>
                      <w:b/>
                      <w:bCs/>
                      <w:kern w:val="1"/>
                    </w:rPr>
                    <w:t xml:space="preserve"> –</w:t>
                  </w:r>
                  <w:r w:rsidRPr="00A64175">
                    <w:rPr>
                      <w:rFonts w:ascii="Arial" w:hAnsi="Arial" w:cs="Arial"/>
                      <w:b/>
                      <w:bCs/>
                    </w:rPr>
                    <w:t xml:space="preserve"> </w:t>
                  </w:r>
                  <w:r w:rsidRPr="00A64175">
                    <w:rPr>
                      <w:rFonts w:ascii="Arial" w:hAnsi="Arial" w:cs="Arial"/>
                    </w:rPr>
                    <w:t>Le document d’information simplifié visé à l’article 197</w:t>
                  </w:r>
                  <w:r w:rsidRPr="00A64175">
                    <w:rPr>
                      <w:rFonts w:ascii="Arial" w:hAnsi="Arial" w:cs="Arial"/>
                      <w:color w:val="000000"/>
                    </w:rPr>
                    <w:t xml:space="preserve"> du Règlement n°01/22/CEMAC/</w:t>
                  </w:r>
                  <w:r w:rsidRPr="00A64175">
                    <w:rPr>
                      <w:rFonts w:ascii="Arial" w:hAnsi="Arial" w:cs="Arial"/>
                    </w:rPr>
                    <w:t>UMAC/CM/COSUMAF du 21 juillet 2022 comporte les informations clés pour l’investisseur. Il doit remplir les conditions suivantes :</w:t>
                  </w:r>
                </w:p>
                <w:p w14:paraId="074FEAC3" w14:textId="77777777" w:rsidR="002C5B8A" w:rsidRPr="00A64175" w:rsidRDefault="002C5B8A" w:rsidP="00A64175">
                  <w:pPr>
                    <w:contextualSpacing/>
                    <w:jc w:val="both"/>
                    <w:rPr>
                      <w:rFonts w:ascii="Arial" w:hAnsi="Arial" w:cs="Arial"/>
                      <w:b/>
                      <w:bCs/>
                    </w:rPr>
                  </w:pPr>
                </w:p>
                <w:p w14:paraId="1FEDDD89" w14:textId="77777777" w:rsidR="002C5B8A" w:rsidRPr="00A64175" w:rsidRDefault="002C5B8A" w:rsidP="00A64175">
                  <w:pPr>
                    <w:pStyle w:val="Paragraphedeliste"/>
                    <w:numPr>
                      <w:ilvl w:val="0"/>
                      <w:numId w:val="190"/>
                    </w:numPr>
                    <w:contextualSpacing/>
                    <w:rPr>
                      <w:rFonts w:eastAsia="Times New Roman"/>
                      <w:lang w:eastAsia="fr-FR"/>
                    </w:rPr>
                  </w:pPr>
                  <w:r w:rsidRPr="00A64175">
                    <w:rPr>
                      <w:rFonts w:eastAsia="Times New Roman"/>
                      <w:lang w:eastAsia="fr-FR"/>
                    </w:rPr>
                    <w:t>Il comprend les mentions suivantes : « Informations clés pour l’investisseur ».</w:t>
                  </w:r>
                </w:p>
                <w:p w14:paraId="03588812" w14:textId="77777777" w:rsidR="002C5B8A" w:rsidRPr="00A64175" w:rsidRDefault="002C5B8A" w:rsidP="00A64175">
                  <w:pPr>
                    <w:pStyle w:val="Paragraphedeliste"/>
                    <w:ind w:left="690"/>
                    <w:contextualSpacing/>
                  </w:pPr>
                </w:p>
                <w:p w14:paraId="7668CFF6" w14:textId="01FAA7C4"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2) Il contient des informations exactes, claires et cohérentes avec les parties correspondantes du </w:t>
                  </w:r>
                  <w:r w:rsidR="0025568F">
                    <w:rPr>
                      <w:rFonts w:ascii="Arial" w:eastAsia="Times New Roman" w:hAnsi="Arial" w:cs="Arial"/>
                      <w:lang w:eastAsia="fr-FR"/>
                    </w:rPr>
                    <w:t>document d’information</w:t>
                  </w:r>
                  <w:r w:rsidR="0025568F" w:rsidRPr="00A64175">
                    <w:rPr>
                      <w:rFonts w:ascii="Arial" w:eastAsia="Times New Roman" w:hAnsi="Arial" w:cs="Arial"/>
                      <w:lang w:eastAsia="fr-FR"/>
                    </w:rPr>
                    <w:t xml:space="preserve"> </w:t>
                  </w:r>
                  <w:r w:rsidRPr="00A64175">
                    <w:rPr>
                      <w:rFonts w:ascii="Arial" w:eastAsia="Times New Roman" w:hAnsi="Arial" w:cs="Arial"/>
                      <w:lang w:eastAsia="fr-FR"/>
                    </w:rPr>
                    <w:t>de l'OPCVM ;</w:t>
                  </w:r>
                </w:p>
                <w:p w14:paraId="2DFEFDC4"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3) Il comprend les informations appropriées sur les caractéristiques essentielles de l'OPCVM concerné afin de permettre aux investisseurs de raisonnablement comprendre la nature et les risques de l'OPCVM qui leur est proposé et, par conséquent, prendre des décisions d’investissement en pleine connaissance de cause ;</w:t>
                  </w:r>
                </w:p>
                <w:p w14:paraId="2A5A032C"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4)   Il contient des informations essentielles sur l'OPCVM, à savoir :</w:t>
                  </w:r>
                </w:p>
                <w:p w14:paraId="5A3886F3"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a. L'identification de l'OPCVM et de l'autorité compétente de l'OPCVM ;</w:t>
                  </w:r>
                </w:p>
                <w:p w14:paraId="459DFB8F"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b. Une brève description de ses objectifs de placement et de sa politique de  </w:t>
                  </w:r>
                </w:p>
                <w:p w14:paraId="58C86A46"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placement ;</w:t>
                  </w:r>
                </w:p>
                <w:p w14:paraId="1BA1EAA8"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c. Une présentation de ses performances passées ou, le cas échéant, de    </w:t>
                  </w:r>
                </w:p>
                <w:p w14:paraId="2DB3DFBC"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scénarios de performances ;</w:t>
                  </w:r>
                </w:p>
                <w:p w14:paraId="689B0BAE"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d. Les coûts et frais divers ;</w:t>
                  </w:r>
                </w:p>
                <w:p w14:paraId="1F1C10FE"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e. Le profil de risque. </w:t>
                  </w:r>
                </w:p>
                <w:p w14:paraId="12C4A0A4"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Ces éléments essentiels doivent être compréhensibles pour l'investisseur. Ils sont régulièrement mis à jour.</w:t>
                  </w:r>
                </w:p>
                <w:p w14:paraId="1C53682E"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5) Il indique clairement où et comment obtenir des documents et informations supplémentaires sur l'investissement proposé. Il comprend également une déclaration indiquant que les détails de la politique de rémunération actualisée sont mis à disposition gratuitement sur demande et disponibles sur un site internet. Ces détails de la politique de rémunération comprennent notamment :</w:t>
                  </w:r>
                </w:p>
                <w:p w14:paraId="46D073D1"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a. Une description de la manière dont les rémunérations et les avantages sont calculés ; </w:t>
                  </w:r>
                </w:p>
                <w:p w14:paraId="45F8013A"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b. l'identité des personnes responsables de l'attribution des rémunérations et      des avantages ;</w:t>
                  </w:r>
                </w:p>
                <w:p w14:paraId="5653E1EA" w14:textId="77777777" w:rsidR="002C5B8A" w:rsidRPr="00A64175" w:rsidRDefault="002C5B8A" w:rsidP="00A64175">
                  <w:pPr>
                    <w:numPr>
                      <w:ilvl w:val="1"/>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c. La composition du comité de rémunération, lorsqu'un tel comité existe.</w:t>
                  </w:r>
                </w:p>
                <w:p w14:paraId="6B0EB1A9"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6) Il est rédigé de manière concise et dans un langage non technique.</w:t>
                  </w:r>
                </w:p>
                <w:p w14:paraId="2DC29090"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7) Il est établi dans un format commun, permettant des comparaisons avec d'autres OPCVM.</w:t>
                  </w:r>
                </w:p>
                <w:p w14:paraId="1C30BB02" w14:textId="77777777" w:rsidR="002C5B8A" w:rsidRPr="00A64175" w:rsidRDefault="002C5B8A" w:rsidP="00A64175">
                  <w:pPr>
                    <w:numPr>
                      <w:ilvl w:val="0"/>
                      <w:numId w:val="189"/>
                    </w:numPr>
                    <w:shd w:val="clear" w:color="auto" w:fill="FFFFFF"/>
                    <w:spacing w:after="450"/>
                    <w:ind w:left="0"/>
                    <w:jc w:val="both"/>
                    <w:rPr>
                      <w:rFonts w:ascii="Arial" w:eastAsia="Times New Roman" w:hAnsi="Arial" w:cs="Arial"/>
                      <w:lang w:eastAsia="fr-FR"/>
                    </w:rPr>
                  </w:pPr>
                  <w:r w:rsidRPr="00A64175">
                    <w:rPr>
                      <w:rFonts w:ascii="Arial" w:eastAsia="Times New Roman" w:hAnsi="Arial" w:cs="Arial"/>
                      <w:lang w:eastAsia="fr-FR"/>
                    </w:rPr>
                    <w:t xml:space="preserve">     8) Il est présenté de telle manière qu'il puisse être compris par les clients non professionnels.</w:t>
                  </w:r>
                </w:p>
                <w:p w14:paraId="1482F546" w14:textId="6FAEEF95" w:rsidR="002C5B8A" w:rsidRPr="00A64175" w:rsidRDefault="002C5B8A" w:rsidP="00A64175">
                  <w:pPr>
                    <w:shd w:val="clear" w:color="auto" w:fill="FFFFFF"/>
                    <w:spacing w:after="450"/>
                    <w:jc w:val="both"/>
                    <w:rPr>
                      <w:rFonts w:ascii="Arial" w:eastAsia="Times New Roman" w:hAnsi="Arial" w:cs="Arial"/>
                      <w:lang w:eastAsia="fr-FR"/>
                    </w:rPr>
                  </w:pPr>
                  <w:r w:rsidRPr="00A64175">
                    <w:rPr>
                      <w:rFonts w:ascii="Arial" w:hAnsi="Arial" w:cs="Arial"/>
                      <w:b/>
                      <w:bCs/>
                    </w:rPr>
                    <w:t xml:space="preserve">Article </w:t>
                  </w:r>
                  <w:r w:rsidR="00ED357A" w:rsidRPr="00A64175">
                    <w:rPr>
                      <w:rFonts w:ascii="Arial" w:hAnsi="Arial" w:cs="Arial"/>
                      <w:b/>
                      <w:bCs/>
                      <w:kern w:val="1"/>
                    </w:rPr>
                    <w:t>3</w:t>
                  </w:r>
                  <w:r w:rsidR="00757151">
                    <w:rPr>
                      <w:rFonts w:ascii="Arial" w:hAnsi="Arial" w:cs="Arial"/>
                      <w:b/>
                      <w:bCs/>
                      <w:kern w:val="1"/>
                    </w:rPr>
                    <w:t>81</w:t>
                  </w:r>
                  <w:r w:rsidRPr="00A64175">
                    <w:rPr>
                      <w:rFonts w:ascii="Arial" w:hAnsi="Arial" w:cs="Arial"/>
                      <w:b/>
                      <w:bCs/>
                      <w:kern w:val="1"/>
                    </w:rPr>
                    <w:t xml:space="preserve"> –</w:t>
                  </w:r>
                  <w:r w:rsidRPr="00A64175">
                    <w:rPr>
                      <w:rFonts w:ascii="Arial" w:hAnsi="Arial" w:cs="Arial"/>
                      <w:b/>
                      <w:bCs/>
                    </w:rPr>
                    <w:t xml:space="preserve"> </w:t>
                  </w:r>
                  <w:r w:rsidRPr="00A64175">
                    <w:rPr>
                      <w:rFonts w:ascii="Arial" w:eastAsia="Times New Roman" w:hAnsi="Arial" w:cs="Arial"/>
                      <w:lang w:eastAsia="fr-FR"/>
                    </w:rPr>
                    <w:t xml:space="preserve">Le document d'information simplifié contient un avertissement clair indiquant que la responsabilité de l'OPCVM ou de sa société de gestion ne peut être engagée que sur la base de déclarations contenues dans ce document qui seraient trompeuses, inexactes ou non cohérentes avec les parties correspondantes du </w:t>
                  </w:r>
                  <w:r w:rsidR="0025568F">
                    <w:rPr>
                      <w:rFonts w:ascii="Arial" w:eastAsia="Times New Roman" w:hAnsi="Arial" w:cs="Arial"/>
                      <w:lang w:eastAsia="fr-FR"/>
                    </w:rPr>
                    <w:t>document d’information</w:t>
                  </w:r>
                  <w:r w:rsidR="0025568F" w:rsidRPr="00A64175">
                    <w:rPr>
                      <w:rFonts w:ascii="Arial" w:eastAsia="Times New Roman" w:hAnsi="Arial" w:cs="Arial"/>
                      <w:lang w:eastAsia="fr-FR"/>
                    </w:rPr>
                    <w:t xml:space="preserve"> </w:t>
                  </w:r>
                  <w:r w:rsidRPr="00A64175">
                    <w:rPr>
                      <w:rFonts w:ascii="Arial" w:eastAsia="Times New Roman" w:hAnsi="Arial" w:cs="Arial"/>
                      <w:lang w:eastAsia="fr-FR"/>
                    </w:rPr>
                    <w:t>de l'OPCVM.</w:t>
                  </w:r>
                </w:p>
                <w:p w14:paraId="7F084515" w14:textId="77777777" w:rsidR="002C5B8A" w:rsidRPr="00A64175" w:rsidRDefault="002C5B8A" w:rsidP="00A64175">
                  <w:pPr>
                    <w:contextualSpacing/>
                    <w:jc w:val="both"/>
                    <w:rPr>
                      <w:rFonts w:ascii="Arial" w:hAnsi="Arial" w:cs="Arial"/>
                    </w:rPr>
                  </w:pPr>
                </w:p>
                <w:p w14:paraId="7B4F41D8" w14:textId="5C5C2340" w:rsidR="002C5B8A" w:rsidRPr="00A64175" w:rsidRDefault="002C5B8A" w:rsidP="00A64175">
                  <w:pPr>
                    <w:contextualSpacing/>
                    <w:jc w:val="both"/>
                    <w:rPr>
                      <w:rFonts w:ascii="Arial" w:hAnsi="Arial" w:cs="Arial"/>
                    </w:rPr>
                  </w:pPr>
                  <w:r w:rsidRPr="00A64175">
                    <w:rPr>
                      <w:rFonts w:ascii="Arial" w:hAnsi="Arial" w:cs="Arial"/>
                      <w:b/>
                      <w:bCs/>
                    </w:rPr>
                    <w:t xml:space="preserve">Article </w:t>
                  </w:r>
                  <w:r w:rsidR="00ED357A" w:rsidRPr="00A64175">
                    <w:rPr>
                      <w:rFonts w:ascii="Arial" w:hAnsi="Arial" w:cs="Arial"/>
                      <w:b/>
                      <w:bCs/>
                    </w:rPr>
                    <w:t>3</w:t>
                  </w:r>
                  <w:r w:rsidR="00757151">
                    <w:rPr>
                      <w:rFonts w:ascii="Arial" w:hAnsi="Arial" w:cs="Arial"/>
                      <w:b/>
                      <w:bCs/>
                      <w:kern w:val="1"/>
                    </w:rPr>
                    <w:t>82</w:t>
                  </w:r>
                  <w:r w:rsidRPr="00A64175">
                    <w:rPr>
                      <w:rFonts w:ascii="Arial" w:hAnsi="Arial" w:cs="Arial"/>
                      <w:b/>
                      <w:bCs/>
                      <w:kern w:val="1"/>
                    </w:rPr>
                    <w:t xml:space="preserve"> –</w:t>
                  </w:r>
                  <w:r w:rsidRPr="00A64175">
                    <w:rPr>
                      <w:rFonts w:ascii="Arial" w:hAnsi="Arial" w:cs="Arial"/>
                      <w:b/>
                      <w:bCs/>
                    </w:rPr>
                    <w:t xml:space="preserve"> </w:t>
                  </w:r>
                  <w:r w:rsidRPr="00A64175">
                    <w:rPr>
                      <w:rFonts w:ascii="Arial" w:hAnsi="Arial" w:cs="Arial"/>
                    </w:rPr>
                    <w:t>Le document d’information simplifié doit respecter le contenu et l’ordre de présentation précisé dans une instruction.</w:t>
                  </w:r>
                </w:p>
                <w:p w14:paraId="2A9DE831" w14:textId="77777777" w:rsidR="002C5B8A" w:rsidRPr="00A64175" w:rsidRDefault="002C5B8A" w:rsidP="00A64175">
                  <w:pPr>
                    <w:jc w:val="both"/>
                    <w:rPr>
                      <w:rFonts w:ascii="Arial" w:hAnsi="Arial" w:cs="Arial"/>
                      <w:b/>
                    </w:rPr>
                  </w:pPr>
                </w:p>
              </w:tc>
            </w:tr>
          </w:tbl>
          <w:p w14:paraId="66F372C4" w14:textId="77777777" w:rsidR="0013399C" w:rsidRPr="00A64175" w:rsidRDefault="0013399C" w:rsidP="00A64175">
            <w:pPr>
              <w:contextualSpacing/>
              <w:jc w:val="both"/>
              <w:rPr>
                <w:rFonts w:ascii="Arial" w:hAnsi="Arial" w:cs="Arial"/>
                <w:b/>
                <w:bCs/>
              </w:rPr>
            </w:pPr>
          </w:p>
          <w:p w14:paraId="2486B27B" w14:textId="77777777" w:rsidR="0013399C" w:rsidRPr="00A64175" w:rsidRDefault="0013399C" w:rsidP="00A64175">
            <w:pPr>
              <w:contextualSpacing/>
              <w:jc w:val="both"/>
              <w:rPr>
                <w:rFonts w:ascii="Arial" w:hAnsi="Arial" w:cs="Arial"/>
                <w:b/>
                <w:bCs/>
              </w:rPr>
            </w:pPr>
          </w:p>
          <w:p w14:paraId="058AC82F" w14:textId="03E747B3" w:rsidR="00DE611B" w:rsidRPr="00A64175" w:rsidRDefault="00490B67" w:rsidP="00A64175">
            <w:pPr>
              <w:contextualSpacing/>
              <w:jc w:val="both"/>
              <w:rPr>
                <w:rFonts w:ascii="Arial" w:hAnsi="Arial" w:cs="Arial"/>
                <w:b/>
                <w:bCs/>
              </w:rPr>
            </w:pPr>
            <w:r w:rsidRPr="00A64175">
              <w:rPr>
                <w:rFonts w:ascii="Arial" w:hAnsi="Arial" w:cs="Arial"/>
                <w:b/>
                <w:bCs/>
              </w:rPr>
              <w:t>Section V</w:t>
            </w:r>
            <w:r w:rsidR="002C5B8A" w:rsidRPr="00A64175">
              <w:rPr>
                <w:rFonts w:ascii="Arial" w:hAnsi="Arial" w:cs="Arial"/>
                <w:b/>
                <w:bCs/>
              </w:rPr>
              <w:t>I</w:t>
            </w:r>
            <w:r w:rsidR="00DE611B" w:rsidRPr="00A64175">
              <w:rPr>
                <w:rFonts w:ascii="Arial" w:hAnsi="Arial" w:cs="Arial"/>
                <w:b/>
                <w:bCs/>
              </w:rPr>
              <w:t> : Classification des OPCVM</w:t>
            </w:r>
          </w:p>
          <w:p w14:paraId="382E74A3" w14:textId="77777777" w:rsidR="00DE611B" w:rsidRPr="00A64175" w:rsidRDefault="00DE611B" w:rsidP="00A64175">
            <w:pPr>
              <w:contextualSpacing/>
              <w:jc w:val="both"/>
              <w:rPr>
                <w:rFonts w:ascii="Arial" w:hAnsi="Arial" w:cs="Arial"/>
                <w:b/>
                <w:bCs/>
              </w:rPr>
            </w:pPr>
          </w:p>
          <w:p w14:paraId="1F8F93F4" w14:textId="77777777" w:rsidR="00DE611B" w:rsidRPr="00A64175" w:rsidRDefault="00DE611B" w:rsidP="00A64175">
            <w:pPr>
              <w:contextualSpacing/>
              <w:jc w:val="both"/>
              <w:rPr>
                <w:rFonts w:ascii="Arial" w:hAnsi="Arial" w:cs="Arial"/>
                <w:b/>
                <w:bCs/>
              </w:rPr>
            </w:pPr>
          </w:p>
          <w:p w14:paraId="5A9BB363" w14:textId="55C129D0" w:rsidR="00DE611B" w:rsidRPr="00A64175" w:rsidRDefault="00DE611B" w:rsidP="00A64175">
            <w:pPr>
              <w:contextualSpacing/>
              <w:jc w:val="both"/>
              <w:rPr>
                <w:rFonts w:ascii="Arial" w:hAnsi="Arial" w:cs="Arial"/>
                <w:b/>
                <w:bCs/>
              </w:rPr>
            </w:pPr>
            <w:r w:rsidRPr="00A64175">
              <w:rPr>
                <w:rFonts w:ascii="Arial" w:hAnsi="Arial" w:cs="Arial"/>
                <w:b/>
                <w:bCs/>
              </w:rPr>
              <w:t xml:space="preserve">Article </w:t>
            </w:r>
            <w:r w:rsidR="00ED357A" w:rsidRPr="00A64175">
              <w:rPr>
                <w:rFonts w:ascii="Arial" w:hAnsi="Arial" w:cs="Arial"/>
                <w:b/>
                <w:bCs/>
                <w:kern w:val="1"/>
              </w:rPr>
              <w:t>38</w:t>
            </w:r>
            <w:r w:rsidR="00757151">
              <w:rPr>
                <w:rFonts w:ascii="Arial" w:hAnsi="Arial" w:cs="Arial"/>
                <w:b/>
                <w:bCs/>
                <w:kern w:val="1"/>
              </w:rPr>
              <w:t>3</w:t>
            </w:r>
            <w:r w:rsidRPr="00A64175">
              <w:rPr>
                <w:rFonts w:ascii="Arial" w:hAnsi="Arial" w:cs="Arial"/>
                <w:b/>
                <w:bCs/>
                <w:kern w:val="1"/>
              </w:rPr>
              <w:t xml:space="preserve"> –</w:t>
            </w:r>
            <w:r w:rsidRPr="00A64175">
              <w:rPr>
                <w:rFonts w:ascii="Arial" w:hAnsi="Arial" w:cs="Arial"/>
                <w:b/>
                <w:bCs/>
              </w:rPr>
              <w:t xml:space="preserve"> </w:t>
            </w:r>
          </w:p>
          <w:p w14:paraId="223DB8C1" w14:textId="77777777" w:rsidR="00DE611B" w:rsidRPr="00A64175" w:rsidRDefault="00DE611B" w:rsidP="00A64175">
            <w:pPr>
              <w:contextualSpacing/>
              <w:jc w:val="both"/>
              <w:rPr>
                <w:rFonts w:ascii="Arial" w:hAnsi="Arial" w:cs="Arial"/>
                <w:b/>
                <w:bCs/>
              </w:rPr>
            </w:pPr>
          </w:p>
          <w:p w14:paraId="34E58B25" w14:textId="77777777" w:rsidR="00DE611B" w:rsidRPr="00A64175" w:rsidRDefault="00DE611B" w:rsidP="00A64175">
            <w:pPr>
              <w:pStyle w:val="Paragraphedeliste"/>
              <w:numPr>
                <w:ilvl w:val="0"/>
                <w:numId w:val="188"/>
              </w:numPr>
              <w:contextualSpacing/>
            </w:pPr>
            <w:r w:rsidRPr="00A64175">
              <w:t>Les OPCVM commercialisés sur le marché financier de l’Afrique Centrale sont classés en différentes catégories, en fonction de la stratégie d’investissement, de la composition et de la nature des actifs :</w:t>
            </w:r>
          </w:p>
          <w:p w14:paraId="6517EBC5" w14:textId="77777777" w:rsidR="00DE611B" w:rsidRPr="00A64175" w:rsidRDefault="00DE611B" w:rsidP="00A64175">
            <w:pPr>
              <w:pStyle w:val="Paragraphedeliste"/>
              <w:contextualSpacing/>
            </w:pPr>
          </w:p>
          <w:p w14:paraId="61BCE2E5" w14:textId="77777777" w:rsidR="00DE611B" w:rsidRPr="00A64175" w:rsidRDefault="00DE611B" w:rsidP="00A64175">
            <w:pPr>
              <w:pStyle w:val="Paragraphedeliste"/>
              <w:numPr>
                <w:ilvl w:val="0"/>
                <w:numId w:val="116"/>
              </w:numPr>
              <w:contextualSpacing/>
            </w:pPr>
            <w:r w:rsidRPr="00A64175">
              <w:t>OPCVM « Actions » ;</w:t>
            </w:r>
          </w:p>
          <w:p w14:paraId="26594E79" w14:textId="77777777" w:rsidR="00DE611B" w:rsidRPr="00A64175" w:rsidRDefault="00DE611B" w:rsidP="00A64175">
            <w:pPr>
              <w:pStyle w:val="Paragraphedeliste"/>
              <w:numPr>
                <w:ilvl w:val="0"/>
                <w:numId w:val="116"/>
              </w:numPr>
              <w:contextualSpacing/>
            </w:pPr>
            <w:r w:rsidRPr="00A64175">
              <w:t>OPCVM « Obligations et autres titres de créance »</w:t>
            </w:r>
          </w:p>
          <w:p w14:paraId="4B244548" w14:textId="77777777" w:rsidR="00DE611B" w:rsidRPr="00A64175" w:rsidRDefault="00DE611B" w:rsidP="00A64175">
            <w:pPr>
              <w:pStyle w:val="Paragraphedeliste"/>
              <w:numPr>
                <w:ilvl w:val="0"/>
                <w:numId w:val="116"/>
              </w:numPr>
              <w:contextualSpacing/>
            </w:pPr>
            <w:r w:rsidRPr="00A64175">
              <w:t>OPCVM « Monétaire » ;</w:t>
            </w:r>
          </w:p>
          <w:p w14:paraId="4982C661" w14:textId="77777777" w:rsidR="00DE611B" w:rsidRPr="00A64175" w:rsidRDefault="00DE611B" w:rsidP="00A64175">
            <w:pPr>
              <w:pStyle w:val="Paragraphedeliste"/>
              <w:numPr>
                <w:ilvl w:val="0"/>
                <w:numId w:val="116"/>
              </w:numPr>
              <w:contextualSpacing/>
            </w:pPr>
            <w:r w:rsidRPr="00A64175">
              <w:t>OPCVM « Diversifié » ;</w:t>
            </w:r>
          </w:p>
          <w:p w14:paraId="39014E4E" w14:textId="77777777" w:rsidR="00DE611B" w:rsidRPr="00A64175" w:rsidRDefault="00DE611B" w:rsidP="00A64175">
            <w:pPr>
              <w:pStyle w:val="Paragraphedeliste"/>
              <w:numPr>
                <w:ilvl w:val="0"/>
                <w:numId w:val="116"/>
              </w:numPr>
              <w:contextualSpacing/>
            </w:pPr>
            <w:r w:rsidRPr="00A64175">
              <w:t>OPCVM « Garantis ».</w:t>
            </w:r>
          </w:p>
          <w:p w14:paraId="0225E2BA" w14:textId="77777777" w:rsidR="00DE611B" w:rsidRPr="00A64175" w:rsidRDefault="00DE611B" w:rsidP="00A64175">
            <w:pPr>
              <w:pStyle w:val="Paragraphedeliste"/>
              <w:contextualSpacing/>
            </w:pPr>
          </w:p>
          <w:p w14:paraId="0277ABA0" w14:textId="77777777" w:rsidR="00DE611B" w:rsidRPr="00A64175" w:rsidRDefault="00DE611B" w:rsidP="00A64175">
            <w:pPr>
              <w:pStyle w:val="Paragraphedeliste"/>
              <w:numPr>
                <w:ilvl w:val="0"/>
                <w:numId w:val="188"/>
              </w:numPr>
              <w:contextualSpacing/>
            </w:pPr>
            <w:r w:rsidRPr="00A64175">
              <w:t>Un OPCVM « Actions » est en permanence investi, à hauteur de 60% au moins de ses actifs, hors liquidités, en actions et droits d’attribution ou de souscription, cotés à la BVMAC. L’actif d’un OPCVM « Actions » peut être constitué d’actions émises par un autre OPCVM.</w:t>
            </w:r>
          </w:p>
          <w:p w14:paraId="43FFD97E" w14:textId="77777777" w:rsidR="00DE611B" w:rsidRPr="00A64175" w:rsidRDefault="00DE611B" w:rsidP="00A64175">
            <w:pPr>
              <w:pStyle w:val="Paragraphedeliste"/>
              <w:contextualSpacing/>
            </w:pPr>
          </w:p>
          <w:p w14:paraId="4947825F" w14:textId="77777777" w:rsidR="00DE611B" w:rsidRPr="00A64175" w:rsidRDefault="00DE611B" w:rsidP="00A64175">
            <w:pPr>
              <w:pStyle w:val="Paragraphedeliste"/>
              <w:contextualSpacing/>
            </w:pPr>
            <w:r w:rsidRPr="00A64175">
              <w:t>Un OPCVM investi à hauteur de 100% de ses actifs, en titres d’OPCVM « actions », est classé dans la catégorie « actions ».</w:t>
            </w:r>
          </w:p>
          <w:p w14:paraId="57615346" w14:textId="77777777" w:rsidR="00DE611B" w:rsidRPr="00A64175" w:rsidRDefault="00DE611B" w:rsidP="00A64175">
            <w:pPr>
              <w:pStyle w:val="Paragraphedeliste"/>
              <w:contextualSpacing/>
            </w:pPr>
          </w:p>
          <w:p w14:paraId="4BC47953" w14:textId="77777777" w:rsidR="00DE611B" w:rsidRPr="00A64175" w:rsidRDefault="00DE611B" w:rsidP="00A64175">
            <w:pPr>
              <w:pStyle w:val="Paragraphedeliste"/>
              <w:numPr>
                <w:ilvl w:val="0"/>
                <w:numId w:val="188"/>
              </w:numPr>
              <w:contextualSpacing/>
            </w:pPr>
            <w:r w:rsidRPr="00A64175">
              <w:t>Un OPCVM « Obligations et autres titres de créance » est en permanence investi, à hauteur de 60% au moins de ses actifs, hors liquidités, en emprunts obligataires émis par appel public à l’épargne, en bons et obligations du trésor assimilables, en emprunts obligataires garantis par un Etat membre de la CEMAC et en instruments financiers émis sur le marché monétaire.</w:t>
            </w:r>
          </w:p>
          <w:p w14:paraId="4B6F3746" w14:textId="77777777" w:rsidR="00DE611B" w:rsidRPr="00A64175" w:rsidRDefault="00DE611B" w:rsidP="00A64175">
            <w:pPr>
              <w:pStyle w:val="Paragraphedeliste"/>
              <w:contextualSpacing/>
            </w:pPr>
          </w:p>
          <w:p w14:paraId="04A85545" w14:textId="77777777" w:rsidR="00DE611B" w:rsidRPr="00A64175" w:rsidRDefault="00DE611B" w:rsidP="00A64175">
            <w:pPr>
              <w:pStyle w:val="Paragraphedeliste"/>
              <w:contextualSpacing/>
            </w:pPr>
            <w:r w:rsidRPr="00A64175">
              <w:t>Un OPCVM investi à hauteur de 100% de ses actifs, en titres d’OPCVM « Obligations et autres titres de créance » est classé dans la catégorie « Obligations et autres titres de créance ».</w:t>
            </w:r>
          </w:p>
          <w:p w14:paraId="48DBED91" w14:textId="77777777" w:rsidR="00DE611B" w:rsidRPr="00A64175" w:rsidRDefault="00DE611B" w:rsidP="00A64175">
            <w:pPr>
              <w:pStyle w:val="Paragraphedeliste"/>
              <w:contextualSpacing/>
            </w:pPr>
          </w:p>
          <w:p w14:paraId="3835A1AD" w14:textId="77777777" w:rsidR="00DE611B" w:rsidRPr="00A64175" w:rsidRDefault="00DE611B" w:rsidP="00A64175">
            <w:pPr>
              <w:pStyle w:val="Paragraphedeliste"/>
              <w:numPr>
                <w:ilvl w:val="0"/>
                <w:numId w:val="188"/>
              </w:numPr>
              <w:contextualSpacing/>
            </w:pPr>
            <w:r w:rsidRPr="00A64175">
              <w:t>Un OPCVM « Monétaire » est en permanence investi et exposé, à hauteur de 60% au moins de ses actifs, hors liquidités, en instruments du marché monétaire et/ou en titres obligataires émis par un Etat membre de la CEMAC et dont la maturité initiale ou la maturité résiduelle est inférieure à deux (2) ans.</w:t>
            </w:r>
          </w:p>
          <w:p w14:paraId="7C88470E" w14:textId="77777777" w:rsidR="00DE611B" w:rsidRPr="00A64175" w:rsidRDefault="00DE611B" w:rsidP="00A64175">
            <w:pPr>
              <w:pStyle w:val="Paragraphedeliste"/>
              <w:contextualSpacing/>
            </w:pPr>
          </w:p>
          <w:p w14:paraId="131AE2CB" w14:textId="77777777" w:rsidR="00DE611B" w:rsidRPr="00A64175" w:rsidRDefault="00DE611B" w:rsidP="00A64175">
            <w:pPr>
              <w:pStyle w:val="Paragraphedeliste"/>
              <w:numPr>
                <w:ilvl w:val="0"/>
                <w:numId w:val="188"/>
              </w:numPr>
              <w:contextualSpacing/>
            </w:pPr>
            <w:r w:rsidRPr="00A64175">
              <w:t xml:space="preserve">Un OPCVM « Contractuel» est assorti d’un engagement souscris, contractuellement, selon le cas, par l’établissement de gestion du fonds commun de placement ou par la SICAV, qui porte sur un résultat concret exprimé en termes de performance et/ou de garantie de restitution du capital investi ou de protection à hauteur d’une valeur de rachat garantie. En contrepartie de cette garantie, la société de gestion ou la SICAV peut exiger du souscripteur, des engagements portant sur le montant investi et/ou la durée de détention des titres de l’OPCVM. </w:t>
            </w:r>
          </w:p>
          <w:p w14:paraId="097B3F38" w14:textId="77777777" w:rsidR="00DE611B" w:rsidRPr="00A64175" w:rsidRDefault="00DE611B" w:rsidP="00A64175">
            <w:pPr>
              <w:pStyle w:val="Paragraphedeliste"/>
            </w:pPr>
          </w:p>
          <w:p w14:paraId="58350708" w14:textId="77777777" w:rsidR="00DE611B" w:rsidRPr="00A64175" w:rsidRDefault="00DE611B" w:rsidP="00A64175">
            <w:pPr>
              <w:pStyle w:val="Paragraphedeliste"/>
            </w:pPr>
            <w:r w:rsidRPr="00A64175">
              <w:t>Les engagements sur le montant investi ou sur la durée de détention des titres de l’OPCVM peuvent être formalisés de différentes manières, qui devront le cas échéant être présentées dans le dossier d’agrément de l’OPCVM.</w:t>
            </w:r>
          </w:p>
          <w:p w14:paraId="055BA6E2" w14:textId="77777777" w:rsidR="00DE611B" w:rsidRPr="00A64175" w:rsidRDefault="00DE611B" w:rsidP="00A64175">
            <w:pPr>
              <w:pStyle w:val="Paragraphedeliste"/>
              <w:numPr>
                <w:ilvl w:val="0"/>
                <w:numId w:val="188"/>
              </w:numPr>
              <w:contextualSpacing/>
            </w:pPr>
            <w:r w:rsidRPr="00A64175">
              <w:t>Un OPCVM « Diversifié » est un OPCVM qui n’est ni OPCVM « Actions », ni OPCVM « Obligations », ni OPCVM « Monétaire », ni OPCVM « contractuel ».</w:t>
            </w:r>
          </w:p>
          <w:p w14:paraId="281DF1F0" w14:textId="77777777" w:rsidR="00DE611B" w:rsidRPr="00A64175" w:rsidRDefault="00DE611B" w:rsidP="00A64175">
            <w:pPr>
              <w:pStyle w:val="Paragraphedeliste"/>
            </w:pPr>
          </w:p>
          <w:p w14:paraId="1FD742C1" w14:textId="77777777" w:rsidR="00DE611B" w:rsidRPr="00A64175" w:rsidRDefault="00DE611B" w:rsidP="00A64175">
            <w:pPr>
              <w:pStyle w:val="Paragraphedeliste"/>
            </w:pPr>
            <w:r w:rsidRPr="00A64175">
              <w:t>Un OPCVM « diversifié » ne peut à aucun moment être investi à hauteur de plus de 60% de ses actifs, hors liquidités, en actions, en obligations et autres titres de créance, en instruments du marché monétaire ou en titres d’autres OPC.</w:t>
            </w:r>
          </w:p>
          <w:p w14:paraId="622BB90D" w14:textId="77777777" w:rsidR="00DE611B" w:rsidRDefault="00DE611B" w:rsidP="00A64175">
            <w:pPr>
              <w:contextualSpacing/>
              <w:jc w:val="both"/>
              <w:rPr>
                <w:rFonts w:ascii="Arial" w:hAnsi="Arial" w:cs="Arial"/>
                <w:b/>
                <w:bCs/>
              </w:rPr>
            </w:pPr>
          </w:p>
          <w:p w14:paraId="31D293DD" w14:textId="77777777" w:rsidR="005E294D" w:rsidRPr="00A64175" w:rsidRDefault="005E294D" w:rsidP="00A64175">
            <w:pPr>
              <w:contextualSpacing/>
              <w:jc w:val="both"/>
              <w:rPr>
                <w:rFonts w:ascii="Arial" w:hAnsi="Arial" w:cs="Arial"/>
                <w:b/>
                <w:bCs/>
              </w:rPr>
            </w:pPr>
          </w:p>
          <w:p w14:paraId="3E1C7772" w14:textId="77777777" w:rsidR="00DE611B" w:rsidRPr="00A64175" w:rsidRDefault="00DE611B" w:rsidP="00A64175">
            <w:pPr>
              <w:contextualSpacing/>
              <w:jc w:val="both"/>
              <w:rPr>
                <w:rFonts w:ascii="Arial" w:hAnsi="Arial" w:cs="Arial"/>
                <w:b/>
                <w:bCs/>
              </w:rPr>
            </w:pPr>
          </w:p>
        </w:tc>
      </w:tr>
      <w:tr w:rsidR="007058CC" w:rsidRPr="00A64175" w14:paraId="03490AB9" w14:textId="77777777" w:rsidTr="000E7336">
        <w:trPr>
          <w:jc w:val="center"/>
        </w:trPr>
        <w:tc>
          <w:tcPr>
            <w:tcW w:w="10316" w:type="dxa"/>
            <w:shd w:val="clear" w:color="auto" w:fill="auto"/>
          </w:tcPr>
          <w:p w14:paraId="7680D9D7" w14:textId="1D7049E9" w:rsidR="007058CC" w:rsidRPr="00A64175" w:rsidRDefault="007058CC" w:rsidP="00A64175">
            <w:pPr>
              <w:contextualSpacing/>
              <w:jc w:val="both"/>
              <w:rPr>
                <w:rFonts w:ascii="Arial" w:hAnsi="Arial" w:cs="Arial"/>
                <w:b/>
                <w:bCs/>
              </w:rPr>
            </w:pPr>
            <w:r w:rsidRPr="00A64175">
              <w:rPr>
                <w:rFonts w:ascii="Arial" w:hAnsi="Arial" w:cs="Arial"/>
                <w:b/>
                <w:bCs/>
              </w:rPr>
              <w:t xml:space="preserve">Section </w:t>
            </w:r>
            <w:r w:rsidR="00490B67" w:rsidRPr="00A64175">
              <w:rPr>
                <w:rFonts w:ascii="Arial" w:hAnsi="Arial" w:cs="Arial"/>
                <w:b/>
                <w:bCs/>
              </w:rPr>
              <w:t>V</w:t>
            </w:r>
            <w:r w:rsidR="0016292B" w:rsidRPr="00A64175">
              <w:rPr>
                <w:rFonts w:ascii="Arial" w:hAnsi="Arial" w:cs="Arial"/>
                <w:b/>
                <w:bCs/>
              </w:rPr>
              <w:t>I</w:t>
            </w:r>
            <w:r w:rsidRPr="00A64175">
              <w:rPr>
                <w:rFonts w:ascii="Arial" w:hAnsi="Arial" w:cs="Arial"/>
                <w:b/>
                <w:bCs/>
              </w:rPr>
              <w:t>I : Gestion des OPCVM</w:t>
            </w:r>
          </w:p>
          <w:p w14:paraId="70FBFDDB" w14:textId="77777777" w:rsidR="00115077" w:rsidRPr="00A64175" w:rsidRDefault="00115077" w:rsidP="00A64175">
            <w:pPr>
              <w:contextualSpacing/>
              <w:jc w:val="both"/>
              <w:rPr>
                <w:rFonts w:ascii="Arial" w:hAnsi="Arial" w:cs="Arial"/>
                <w:i/>
                <w:iCs/>
              </w:rPr>
            </w:pPr>
          </w:p>
          <w:p w14:paraId="766E5F40" w14:textId="5A1A7FEE" w:rsidR="00B161DF" w:rsidRPr="00A64175" w:rsidRDefault="00B161DF" w:rsidP="00A64175">
            <w:pPr>
              <w:contextualSpacing/>
              <w:jc w:val="both"/>
              <w:rPr>
                <w:rFonts w:ascii="Arial" w:hAnsi="Arial" w:cs="Arial"/>
                <w:b/>
                <w:bCs/>
              </w:rPr>
            </w:pPr>
          </w:p>
        </w:tc>
      </w:tr>
      <w:tr w:rsidR="007058CC" w:rsidRPr="00A64175" w14:paraId="6D8DF8C9" w14:textId="77777777" w:rsidTr="000E7336">
        <w:trPr>
          <w:jc w:val="center"/>
        </w:trPr>
        <w:tc>
          <w:tcPr>
            <w:tcW w:w="10316" w:type="dxa"/>
            <w:shd w:val="clear" w:color="auto" w:fill="auto"/>
          </w:tcPr>
          <w:p w14:paraId="242D010C" w14:textId="031658E2" w:rsidR="007058CC" w:rsidRPr="00A64175" w:rsidRDefault="00B74E35" w:rsidP="00A64175">
            <w:pPr>
              <w:contextualSpacing/>
              <w:jc w:val="both"/>
              <w:rPr>
                <w:rFonts w:ascii="Arial" w:hAnsi="Arial" w:cs="Arial"/>
                <w:i/>
                <w:iCs/>
              </w:rPr>
            </w:pPr>
            <w:r w:rsidRPr="00A64175">
              <w:rPr>
                <w:rFonts w:ascii="Arial" w:hAnsi="Arial" w:cs="Arial"/>
                <w:i/>
                <w:iCs/>
              </w:rPr>
              <w:t>Sous-section 1</w:t>
            </w:r>
            <w:r w:rsidR="007058CC" w:rsidRPr="00A64175">
              <w:rPr>
                <w:rFonts w:ascii="Arial" w:hAnsi="Arial" w:cs="Arial"/>
                <w:i/>
                <w:iCs/>
              </w:rPr>
              <w:t> : Actifs éligibles</w:t>
            </w:r>
          </w:p>
        </w:tc>
      </w:tr>
      <w:tr w:rsidR="007058CC" w:rsidRPr="00A64175" w14:paraId="18D3CCCB" w14:textId="77777777" w:rsidTr="000E7336">
        <w:trPr>
          <w:jc w:val="center"/>
        </w:trPr>
        <w:tc>
          <w:tcPr>
            <w:tcW w:w="10316" w:type="dxa"/>
            <w:shd w:val="clear" w:color="auto" w:fill="auto"/>
          </w:tcPr>
          <w:p w14:paraId="7A8E162D" w14:textId="77777777" w:rsidR="007058CC" w:rsidRPr="00A64175" w:rsidRDefault="007058CC" w:rsidP="00A64175">
            <w:pPr>
              <w:contextualSpacing/>
              <w:jc w:val="both"/>
              <w:rPr>
                <w:rFonts w:ascii="Arial" w:hAnsi="Arial" w:cs="Arial"/>
                <w:b/>
                <w:bCs/>
              </w:rPr>
            </w:pPr>
          </w:p>
          <w:p w14:paraId="37F5B090" w14:textId="6E6DE90D" w:rsidR="007058CC" w:rsidRPr="00A64175" w:rsidRDefault="00AA09A4" w:rsidP="00A64175">
            <w:pPr>
              <w:contextualSpacing/>
              <w:jc w:val="both"/>
              <w:rPr>
                <w:rFonts w:ascii="Arial" w:hAnsi="Arial" w:cs="Arial"/>
                <w:b/>
                <w:bCs/>
              </w:rPr>
            </w:pPr>
            <w:r w:rsidRPr="00A64175">
              <w:rPr>
                <w:rFonts w:ascii="Arial" w:hAnsi="Arial" w:cs="Arial"/>
                <w:b/>
                <w:bCs/>
              </w:rPr>
              <w:t>Article 38</w:t>
            </w:r>
            <w:r w:rsidR="00757151">
              <w:rPr>
                <w:rFonts w:ascii="Arial" w:hAnsi="Arial" w:cs="Arial"/>
                <w:b/>
                <w:bCs/>
              </w:rPr>
              <w:t>4</w:t>
            </w:r>
            <w:r w:rsidR="007058CC" w:rsidRPr="00A64175">
              <w:rPr>
                <w:rFonts w:ascii="Arial" w:hAnsi="Arial" w:cs="Arial"/>
                <w:b/>
                <w:bCs/>
              </w:rPr>
              <w:t xml:space="preserve"> - </w:t>
            </w:r>
          </w:p>
          <w:p w14:paraId="678353A9" w14:textId="77777777" w:rsidR="007058CC" w:rsidRPr="00A64175" w:rsidRDefault="007058CC" w:rsidP="00A64175">
            <w:pPr>
              <w:pStyle w:val="Paragraphedeliste"/>
              <w:numPr>
                <w:ilvl w:val="0"/>
                <w:numId w:val="175"/>
              </w:numPr>
              <w:spacing w:after="0" w:afterAutospacing="0" w:line="240" w:lineRule="auto"/>
              <w:contextualSpacing/>
            </w:pPr>
            <w:r w:rsidRPr="00A64175">
              <w:t>Les OPCVM sont constitués de :</w:t>
            </w:r>
          </w:p>
          <w:p w14:paraId="342D61F2" w14:textId="77777777" w:rsidR="007058CC" w:rsidRPr="00A64175" w:rsidRDefault="007058CC" w:rsidP="00A64175">
            <w:pPr>
              <w:pStyle w:val="Paragraphedeliste"/>
              <w:ind w:left="426"/>
              <w:contextualSpacing/>
            </w:pPr>
          </w:p>
          <w:p w14:paraId="7974963F" w14:textId="65DB315D" w:rsidR="004F0312" w:rsidRPr="00A64175" w:rsidRDefault="007058CC" w:rsidP="00A64175">
            <w:pPr>
              <w:pStyle w:val="Paragraphedeliste"/>
              <w:numPr>
                <w:ilvl w:val="0"/>
                <w:numId w:val="111"/>
              </w:numPr>
              <w:spacing w:after="0" w:afterAutospacing="0" w:line="240" w:lineRule="auto"/>
              <w:contextualSpacing/>
            </w:pPr>
            <w:r w:rsidRPr="00A64175">
              <w:t>Valeurs mobilières</w:t>
            </w:r>
            <w:r w:rsidR="00951732" w:rsidRPr="00A64175">
              <w:t xml:space="preserve"> négoci</w:t>
            </w:r>
            <w:r w:rsidR="004F0312" w:rsidRPr="00A64175">
              <w:t>ées à la BVMAC ;</w:t>
            </w:r>
          </w:p>
          <w:p w14:paraId="228DDFC5" w14:textId="77777777" w:rsidR="00396224" w:rsidRPr="00A64175" w:rsidRDefault="00396224" w:rsidP="00A64175">
            <w:pPr>
              <w:pStyle w:val="Paragraphedeliste"/>
              <w:spacing w:after="0" w:afterAutospacing="0" w:line="240" w:lineRule="auto"/>
              <w:contextualSpacing/>
            </w:pPr>
          </w:p>
          <w:p w14:paraId="4C135BCD" w14:textId="7E7A9CCF" w:rsidR="007058CC" w:rsidRPr="00A64175" w:rsidRDefault="004F0312" w:rsidP="00A64175">
            <w:pPr>
              <w:pStyle w:val="Paragraphedeliste"/>
              <w:numPr>
                <w:ilvl w:val="0"/>
                <w:numId w:val="111"/>
              </w:numPr>
              <w:spacing w:after="0" w:afterAutospacing="0" w:line="240" w:lineRule="auto"/>
              <w:contextualSpacing/>
            </w:pPr>
            <w:r w:rsidRPr="00A64175">
              <w:t xml:space="preserve"> </w:t>
            </w:r>
            <w:r w:rsidR="00396224" w:rsidRPr="00A64175">
              <w:t>I</w:t>
            </w:r>
            <w:r w:rsidR="007058CC" w:rsidRPr="00A64175">
              <w:t>nstruments du marché m</w:t>
            </w:r>
            <w:r w:rsidR="006F5BF2" w:rsidRPr="00A64175">
              <w:t>onétaire</w:t>
            </w:r>
            <w:r w:rsidR="007058CC" w:rsidRPr="00A64175">
              <w:t> ;</w:t>
            </w:r>
          </w:p>
          <w:p w14:paraId="1DB5ADFA" w14:textId="77777777" w:rsidR="007058CC" w:rsidRPr="00A64175" w:rsidRDefault="007058CC" w:rsidP="00A64175">
            <w:pPr>
              <w:pStyle w:val="Paragraphedeliste"/>
              <w:contextualSpacing/>
            </w:pPr>
          </w:p>
          <w:p w14:paraId="5DE015E0" w14:textId="6A90859D" w:rsidR="007058CC" w:rsidRPr="00A64175" w:rsidRDefault="007058CC" w:rsidP="00A64175">
            <w:pPr>
              <w:pStyle w:val="Paragraphedeliste"/>
              <w:numPr>
                <w:ilvl w:val="0"/>
                <w:numId w:val="111"/>
              </w:numPr>
              <w:spacing w:after="0" w:afterAutospacing="0" w:line="240" w:lineRule="auto"/>
              <w:contextualSpacing/>
            </w:pPr>
            <w:r w:rsidRPr="00A64175">
              <w:t>Part</w:t>
            </w:r>
            <w:r w:rsidR="00EF6091" w:rsidRPr="00A64175">
              <w:t>s d’OPCVM agréés conformément aux dispositions de l’article 193 du</w:t>
            </w:r>
            <w:r w:rsidR="00396224" w:rsidRPr="00A64175">
              <w:rPr>
                <w:color w:val="000000"/>
              </w:rPr>
              <w:t xml:space="preserve"> Règlement n°01/22/CEMAC/UMAC/CM/COSUMAF du 21 juillet 2022,</w:t>
            </w:r>
            <w:r w:rsidR="00EF6091" w:rsidRPr="00A64175">
              <w:t xml:space="preserve"> </w:t>
            </w:r>
            <w:r w:rsidRPr="00A64175">
              <w:t xml:space="preserve"> ou d’autres OPC à condition que :</w:t>
            </w:r>
          </w:p>
          <w:p w14:paraId="78B42C35" w14:textId="77777777" w:rsidR="007058CC" w:rsidRPr="00A64175" w:rsidRDefault="007058CC" w:rsidP="00A64175">
            <w:pPr>
              <w:pStyle w:val="Paragraphedeliste"/>
              <w:numPr>
                <w:ilvl w:val="0"/>
                <w:numId w:val="117"/>
              </w:numPr>
              <w:spacing w:after="0" w:afterAutospacing="0" w:line="240" w:lineRule="auto"/>
              <w:contextualSpacing/>
            </w:pPr>
            <w:r w:rsidRPr="00A64175">
              <w:t>Ces OPC soient agréés et soumis à une surveillance de la COSUMAF ou d’une autre autorité de supervision des marchés financiers ;</w:t>
            </w:r>
          </w:p>
          <w:p w14:paraId="3310D46E" w14:textId="77777777" w:rsidR="007058CC" w:rsidRPr="00A64175" w:rsidRDefault="007058CC" w:rsidP="00A64175">
            <w:pPr>
              <w:pStyle w:val="Paragraphedeliste"/>
              <w:numPr>
                <w:ilvl w:val="0"/>
                <w:numId w:val="117"/>
              </w:numPr>
              <w:spacing w:after="0" w:afterAutospacing="0" w:line="240" w:lineRule="auto"/>
              <w:contextualSpacing/>
            </w:pPr>
            <w:r w:rsidRPr="00A64175">
              <w:t>Le niveau de protection garantie aux porteurs de parts de ces OPC soit équivalent à celui prévu pour les porteurs de parts d’OPCVM.</w:t>
            </w:r>
          </w:p>
          <w:p w14:paraId="27B25E73" w14:textId="77777777" w:rsidR="007058CC" w:rsidRPr="00A64175" w:rsidRDefault="007058CC" w:rsidP="00A64175">
            <w:pPr>
              <w:pStyle w:val="Paragraphedeliste"/>
              <w:contextualSpacing/>
            </w:pPr>
          </w:p>
          <w:p w14:paraId="00DE1721" w14:textId="4562BD6A" w:rsidR="007058CC" w:rsidRPr="00A64175" w:rsidRDefault="007058CC" w:rsidP="00A64175">
            <w:pPr>
              <w:pStyle w:val="Paragraphedeliste"/>
              <w:numPr>
                <w:ilvl w:val="0"/>
                <w:numId w:val="111"/>
              </w:numPr>
              <w:spacing w:after="0" w:afterAutospacing="0" w:line="240" w:lineRule="auto"/>
              <w:contextualSpacing/>
            </w:pPr>
            <w:r w:rsidRPr="00A64175">
              <w:t>Dépôts auprès d’un établissement de crédit</w:t>
            </w:r>
            <w:r w:rsidR="00F46C3F" w:rsidRPr="00A64175">
              <w:t>,</w:t>
            </w:r>
            <w:r w:rsidRPr="00A64175">
              <w:t xml:space="preserve"> remboursables sur demande ou pouvant être retirés, et ayant une échéance inférieure ou égale à douze mois, à condition que l’établissement de crédit ait son siège statutaire</w:t>
            </w:r>
            <w:r w:rsidR="00397F6C" w:rsidRPr="00A64175">
              <w:t xml:space="preserve"> sur le territoire d’un  </w:t>
            </w:r>
            <w:r w:rsidRPr="00A64175">
              <w:t>État membre de la CEMAC ;</w:t>
            </w:r>
          </w:p>
          <w:p w14:paraId="632A0D0D" w14:textId="77777777" w:rsidR="007058CC" w:rsidRPr="00A64175" w:rsidRDefault="007058CC" w:rsidP="00A64175">
            <w:pPr>
              <w:pStyle w:val="Paragraphedeliste"/>
              <w:contextualSpacing/>
            </w:pPr>
          </w:p>
          <w:p w14:paraId="5F43912D" w14:textId="77777777" w:rsidR="007058CC" w:rsidRPr="00A64175" w:rsidRDefault="007058CC" w:rsidP="00A64175">
            <w:pPr>
              <w:pStyle w:val="Paragraphedeliste"/>
              <w:numPr>
                <w:ilvl w:val="0"/>
                <w:numId w:val="111"/>
              </w:numPr>
              <w:spacing w:after="0" w:afterAutospacing="0" w:line="240" w:lineRule="auto"/>
              <w:contextualSpacing/>
            </w:pPr>
            <w:r w:rsidRPr="00A64175">
              <w:t xml:space="preserve">Instruments financiers dérivés à condition que : </w:t>
            </w:r>
          </w:p>
          <w:p w14:paraId="63ABB7F2" w14:textId="77777777" w:rsidR="00397F6C" w:rsidRPr="00A64175" w:rsidRDefault="00397F6C" w:rsidP="00A64175">
            <w:pPr>
              <w:contextualSpacing/>
              <w:jc w:val="both"/>
              <w:rPr>
                <w:rFonts w:ascii="Arial" w:hAnsi="Arial" w:cs="Arial"/>
              </w:rPr>
            </w:pPr>
          </w:p>
          <w:p w14:paraId="3E254E67" w14:textId="77777777" w:rsidR="007058CC" w:rsidRPr="00A64175" w:rsidRDefault="007058CC" w:rsidP="00A64175">
            <w:pPr>
              <w:pStyle w:val="Paragraphedeliste"/>
              <w:numPr>
                <w:ilvl w:val="0"/>
                <w:numId w:val="112"/>
              </w:numPr>
              <w:spacing w:after="0" w:afterAutospacing="0" w:line="240" w:lineRule="auto"/>
              <w:contextualSpacing/>
            </w:pPr>
            <w:r w:rsidRPr="00A64175">
              <w:t xml:space="preserve">Le sous-jacent du dérivé́ consiste en instruments relevant du présent paragraphe, en indices financiers, en taux d’intérêt, en taux de change ou en devises, dans lesquels l’OPCVM peut effectuer des placements conformément à ses objectifs d’investissement, tels qu’ils ressortent de son règlement ou de ses documents constitutifs, </w:t>
            </w:r>
          </w:p>
          <w:p w14:paraId="383DA434" w14:textId="77777777" w:rsidR="007058CC" w:rsidRPr="00A64175" w:rsidRDefault="007058CC" w:rsidP="00A64175">
            <w:pPr>
              <w:pStyle w:val="Paragraphedeliste"/>
              <w:ind w:left="1440"/>
              <w:contextualSpacing/>
            </w:pPr>
          </w:p>
          <w:p w14:paraId="2FD1301D" w14:textId="77777777" w:rsidR="007058CC" w:rsidRPr="00A64175" w:rsidRDefault="007058CC" w:rsidP="00A64175">
            <w:pPr>
              <w:pStyle w:val="Paragraphedeliste"/>
              <w:numPr>
                <w:ilvl w:val="0"/>
                <w:numId w:val="112"/>
              </w:numPr>
              <w:spacing w:after="0" w:afterAutospacing="0" w:line="240" w:lineRule="auto"/>
              <w:contextualSpacing/>
            </w:pPr>
            <w:r w:rsidRPr="00A64175">
              <w:t>les contreparties des transactions sur instruments dérivés de gré́ à gré́ soient des établissements soumis à une surveillance prudentielle,</w:t>
            </w:r>
          </w:p>
          <w:p w14:paraId="072F9E7B" w14:textId="77777777" w:rsidR="007058CC" w:rsidRPr="00A64175" w:rsidRDefault="007058CC" w:rsidP="00A64175">
            <w:pPr>
              <w:pStyle w:val="Paragraphedeliste"/>
              <w:ind w:left="1440"/>
              <w:contextualSpacing/>
            </w:pPr>
          </w:p>
          <w:p w14:paraId="48DF9546" w14:textId="7ED5E435" w:rsidR="007058CC" w:rsidRPr="00A64175" w:rsidRDefault="007058CC" w:rsidP="00A64175">
            <w:pPr>
              <w:pStyle w:val="Paragraphedeliste"/>
              <w:numPr>
                <w:ilvl w:val="0"/>
                <w:numId w:val="112"/>
              </w:numPr>
              <w:spacing w:after="0" w:afterAutospacing="0" w:line="240" w:lineRule="auto"/>
              <w:contextualSpacing/>
            </w:pPr>
            <w:r w:rsidRPr="00A64175">
              <w:t xml:space="preserve">les instruments dérivés de gré à gré fassent l’objet d’une évaluation fiable et vérifiable sur une base journalière et puissent, à l’initiative </w:t>
            </w:r>
            <w:r w:rsidR="00867DB6" w:rsidRPr="00A64175">
              <w:t>de l’OPCVM, être vendus, liquidé</w:t>
            </w:r>
            <w:r w:rsidRPr="00A64175">
              <w:t>s ou clôturés par une transaction symétrique, à tout moment et à leur juste valeur.</w:t>
            </w:r>
          </w:p>
          <w:p w14:paraId="446E67EF" w14:textId="77777777" w:rsidR="007058CC" w:rsidRPr="00A64175" w:rsidRDefault="007058CC" w:rsidP="00A64175">
            <w:pPr>
              <w:pStyle w:val="Paragraphedeliste"/>
              <w:ind w:left="1440"/>
              <w:contextualSpacing/>
            </w:pPr>
          </w:p>
          <w:p w14:paraId="5A961CEE" w14:textId="2E7DCFB7" w:rsidR="007058CC" w:rsidRPr="00A64175" w:rsidRDefault="007058CC" w:rsidP="00A64175">
            <w:pPr>
              <w:pStyle w:val="Paragraphedeliste"/>
              <w:numPr>
                <w:ilvl w:val="0"/>
                <w:numId w:val="111"/>
              </w:numPr>
              <w:spacing w:after="0" w:afterAutospacing="0" w:line="240" w:lineRule="auto"/>
              <w:contextualSpacing/>
            </w:pPr>
            <w:r w:rsidRPr="00A64175">
              <w:t xml:space="preserve">instruments du marché monétaire autres que ceux visés au paragraphe </w:t>
            </w:r>
            <w:r w:rsidR="00867DB6" w:rsidRPr="00A64175">
              <w:t>1 b</w:t>
            </w:r>
            <w:r w:rsidRPr="00A64175">
              <w:t>)</w:t>
            </w:r>
            <w:r w:rsidR="00867DB6" w:rsidRPr="00A64175">
              <w:t xml:space="preserve"> du présent article</w:t>
            </w:r>
            <w:r w:rsidRPr="00A64175">
              <w:t xml:space="preserve">, pour autant que l’émission ou l’émetteur de ces instruments soient soumis eux-mêmes à une règlementation visant à protéger les investisseurs et l’épargne et que ces instruments soient: </w:t>
            </w:r>
          </w:p>
          <w:p w14:paraId="4BE0BFE2" w14:textId="77777777" w:rsidR="007058CC" w:rsidRPr="00A64175" w:rsidRDefault="007058CC" w:rsidP="00A64175">
            <w:pPr>
              <w:pStyle w:val="Paragraphedeliste"/>
              <w:contextualSpacing/>
            </w:pPr>
          </w:p>
          <w:p w14:paraId="082E30C0" w14:textId="007E52B6" w:rsidR="007058CC" w:rsidRPr="00A64175" w:rsidRDefault="007058CC" w:rsidP="00A64175">
            <w:pPr>
              <w:pStyle w:val="Paragraphedeliste"/>
              <w:numPr>
                <w:ilvl w:val="0"/>
                <w:numId w:val="113"/>
              </w:numPr>
              <w:suppressAutoHyphens w:val="0"/>
              <w:autoSpaceDN/>
              <w:spacing w:after="0" w:afterAutospacing="0" w:line="240" w:lineRule="auto"/>
              <w:contextualSpacing/>
              <w:textAlignment w:val="auto"/>
            </w:pPr>
            <w:r w:rsidRPr="00A64175">
              <w:t>émis ou garantis par une administration centrale, régionale ou locale ou par la Banque des États d’Afrique central</w:t>
            </w:r>
            <w:r w:rsidR="00867DB6" w:rsidRPr="00A64175">
              <w:t>e,</w:t>
            </w:r>
            <w:r w:rsidRPr="00A64175">
              <w:t xml:space="preserve"> ou par un organisme public international dont font partie un ou plusieurs États membres</w:t>
            </w:r>
            <w:r w:rsidR="00951732" w:rsidRPr="00A64175">
              <w:t xml:space="preserve"> de la CEMAC</w:t>
            </w:r>
            <w:r w:rsidRPr="00A64175">
              <w:t xml:space="preserve">, </w:t>
            </w:r>
          </w:p>
          <w:p w14:paraId="6F10DB96" w14:textId="77777777" w:rsidR="007058CC" w:rsidRPr="00A64175" w:rsidRDefault="007058CC" w:rsidP="00A64175">
            <w:pPr>
              <w:pStyle w:val="Paragraphedeliste"/>
              <w:suppressAutoHyphens w:val="0"/>
              <w:autoSpaceDN/>
              <w:ind w:left="1440"/>
              <w:contextualSpacing/>
              <w:textAlignment w:val="auto"/>
            </w:pPr>
          </w:p>
          <w:p w14:paraId="74C4FF47" w14:textId="3AE19532" w:rsidR="007058CC" w:rsidRPr="00A64175" w:rsidRDefault="00951732" w:rsidP="00A64175">
            <w:pPr>
              <w:pStyle w:val="Paragraphedeliste"/>
              <w:numPr>
                <w:ilvl w:val="0"/>
                <w:numId w:val="113"/>
              </w:numPr>
              <w:suppressAutoHyphens w:val="0"/>
              <w:autoSpaceDN/>
              <w:spacing w:after="0" w:afterAutospacing="0" w:line="240" w:lineRule="auto"/>
              <w:contextualSpacing/>
              <w:textAlignment w:val="auto"/>
            </w:pPr>
            <w:r w:rsidRPr="00A64175">
              <w:t>émis par une entreprise dont l</w:t>
            </w:r>
            <w:r w:rsidR="007058CC" w:rsidRPr="00A64175">
              <w:t xml:space="preserve">es titres sont négociés sur la bourse régionale, </w:t>
            </w:r>
          </w:p>
          <w:p w14:paraId="44823550" w14:textId="77777777" w:rsidR="007058CC" w:rsidRPr="00A64175" w:rsidRDefault="007058CC" w:rsidP="00A64175">
            <w:pPr>
              <w:pStyle w:val="Paragraphedeliste"/>
              <w:suppressAutoHyphens w:val="0"/>
              <w:autoSpaceDN/>
              <w:ind w:left="1440"/>
              <w:contextualSpacing/>
              <w:textAlignment w:val="auto"/>
            </w:pPr>
          </w:p>
          <w:p w14:paraId="524414E7" w14:textId="77777777" w:rsidR="007058CC" w:rsidRPr="00A64175" w:rsidRDefault="007058CC" w:rsidP="00A64175">
            <w:pPr>
              <w:pStyle w:val="Paragraphedeliste"/>
              <w:numPr>
                <w:ilvl w:val="0"/>
                <w:numId w:val="113"/>
              </w:numPr>
              <w:suppressAutoHyphens w:val="0"/>
              <w:autoSpaceDN/>
              <w:spacing w:after="0" w:afterAutospacing="0" w:line="240" w:lineRule="auto"/>
              <w:contextualSpacing/>
              <w:textAlignment w:val="auto"/>
            </w:pPr>
            <w:r w:rsidRPr="00A64175">
              <w:t>émis ou garantis par un établissement soumis à une surveillance prudentielle, selon les critères définis par le droit communautaire, ou par un établissement qui est soumis et qui se conforme à des règles prudentielles considérées par les autorités compétentes comme au moins aussi strictes que celles prévues par le droit communautaire.</w:t>
            </w:r>
          </w:p>
          <w:p w14:paraId="4BAA07A0" w14:textId="77777777" w:rsidR="007058CC" w:rsidRPr="00A64175" w:rsidRDefault="007058CC" w:rsidP="00A64175">
            <w:pPr>
              <w:contextualSpacing/>
              <w:jc w:val="both"/>
              <w:rPr>
                <w:rFonts w:ascii="Arial" w:eastAsia="Times New Roman" w:hAnsi="Arial" w:cs="Arial"/>
                <w:lang w:eastAsia="fr-FR"/>
              </w:rPr>
            </w:pPr>
          </w:p>
          <w:p w14:paraId="6B060EAF" w14:textId="77777777" w:rsidR="00A870BE" w:rsidRDefault="007058CC" w:rsidP="00A64175">
            <w:pPr>
              <w:contextualSpacing/>
              <w:jc w:val="both"/>
              <w:rPr>
                <w:rFonts w:ascii="Arial" w:eastAsia="Times New Roman" w:hAnsi="Arial" w:cs="Arial"/>
                <w:lang w:eastAsia="fr-FR"/>
              </w:rPr>
            </w:pPr>
            <w:r w:rsidRPr="00A64175">
              <w:rPr>
                <w:rFonts w:ascii="Arial" w:eastAsia="Times New Roman" w:hAnsi="Arial" w:cs="Arial"/>
                <w:lang w:eastAsia="fr-FR"/>
              </w:rPr>
              <w:t>Un OPCVM peut détenir, à titre accessoire, des liquidités</w:t>
            </w:r>
            <w:r w:rsidR="0025568F">
              <w:rPr>
                <w:rFonts w:ascii="Arial" w:eastAsia="Times New Roman" w:hAnsi="Arial" w:cs="Arial"/>
                <w:lang w:eastAsia="fr-FR"/>
              </w:rPr>
              <w:t xml:space="preserve"> dans la limite de 20% de ses actifs</w:t>
            </w:r>
            <w:r w:rsidRPr="00A64175">
              <w:rPr>
                <w:rFonts w:ascii="Arial" w:eastAsia="Times New Roman" w:hAnsi="Arial" w:cs="Arial"/>
                <w:lang w:eastAsia="fr-FR"/>
              </w:rPr>
              <w:t>.</w:t>
            </w:r>
          </w:p>
          <w:p w14:paraId="44F10DF7" w14:textId="77777777" w:rsidR="00A870BE" w:rsidRDefault="00A870BE" w:rsidP="00A64175">
            <w:pPr>
              <w:contextualSpacing/>
              <w:jc w:val="both"/>
              <w:rPr>
                <w:rFonts w:ascii="Arial" w:eastAsia="Times New Roman" w:hAnsi="Arial" w:cs="Arial"/>
                <w:lang w:eastAsia="fr-FR"/>
              </w:rPr>
            </w:pPr>
          </w:p>
          <w:p w14:paraId="1CC2929F" w14:textId="447FABEE" w:rsidR="007058CC" w:rsidRDefault="00A870BE" w:rsidP="00A64175">
            <w:pPr>
              <w:contextualSpacing/>
              <w:jc w:val="both"/>
              <w:rPr>
                <w:rFonts w:ascii="Arial" w:eastAsia="Times New Roman" w:hAnsi="Arial" w:cs="Arial"/>
                <w:lang w:eastAsia="fr-FR"/>
              </w:rPr>
            </w:pPr>
            <w:r>
              <w:rPr>
                <w:rFonts w:ascii="Arial" w:eastAsia="Times New Roman" w:hAnsi="Arial" w:cs="Arial"/>
                <w:lang w:eastAsia="fr-FR"/>
              </w:rPr>
              <w:t>Sous réserve de l’autorisation préalable de la COSUMAF, les actifs d’un OPCVM pourront comprendre, dans la limite de 15% de son actif</w:t>
            </w:r>
            <w:r w:rsidR="009006B9">
              <w:rPr>
                <w:rFonts w:ascii="Arial" w:eastAsia="Times New Roman" w:hAnsi="Arial" w:cs="Arial"/>
                <w:lang w:eastAsia="fr-FR"/>
              </w:rPr>
              <w:t xml:space="preserve"> </w:t>
            </w:r>
            <w:r>
              <w:rPr>
                <w:rFonts w:ascii="Arial" w:eastAsia="Times New Roman" w:hAnsi="Arial" w:cs="Arial"/>
                <w:lang w:eastAsia="fr-FR"/>
              </w:rPr>
              <w:t>des titres émis sur un marché situé en dehors de la zone CEMAC.</w:t>
            </w:r>
            <w:r w:rsidR="007058CC" w:rsidRPr="00A64175">
              <w:rPr>
                <w:rFonts w:ascii="Arial" w:eastAsia="Times New Roman" w:hAnsi="Arial" w:cs="Arial"/>
                <w:lang w:eastAsia="fr-FR"/>
              </w:rPr>
              <w:t xml:space="preserve"> </w:t>
            </w:r>
          </w:p>
          <w:p w14:paraId="15731452" w14:textId="77777777" w:rsidR="009006B9" w:rsidRDefault="009006B9" w:rsidP="00A64175">
            <w:pPr>
              <w:contextualSpacing/>
              <w:jc w:val="both"/>
              <w:rPr>
                <w:rFonts w:ascii="Arial" w:eastAsia="Times New Roman" w:hAnsi="Arial" w:cs="Arial"/>
                <w:lang w:eastAsia="fr-FR"/>
              </w:rPr>
            </w:pPr>
          </w:p>
          <w:p w14:paraId="54F3676E" w14:textId="5BE5B017" w:rsidR="009006B9" w:rsidRPr="00A64175" w:rsidRDefault="009006B9" w:rsidP="00A64175">
            <w:pPr>
              <w:contextualSpacing/>
              <w:jc w:val="both"/>
              <w:rPr>
                <w:rFonts w:ascii="Arial" w:eastAsia="Times New Roman" w:hAnsi="Arial" w:cs="Arial"/>
                <w:lang w:eastAsia="fr-FR"/>
              </w:rPr>
            </w:pPr>
            <w:r>
              <w:rPr>
                <w:rFonts w:ascii="Arial" w:eastAsia="Times New Roman" w:hAnsi="Arial" w:cs="Arial"/>
                <w:lang w:eastAsia="fr-FR"/>
              </w:rPr>
              <w:t>Sous réserve de l’autorisation préalable de la COSUMAF, les actifs d’un OPCVM pourront comprendre, dans la limite de 10% de son actif des titres non cotés.</w:t>
            </w:r>
          </w:p>
        </w:tc>
      </w:tr>
      <w:tr w:rsidR="007058CC" w:rsidRPr="00A64175" w14:paraId="5599480C" w14:textId="77777777" w:rsidTr="000E7336">
        <w:trPr>
          <w:jc w:val="center"/>
        </w:trPr>
        <w:tc>
          <w:tcPr>
            <w:tcW w:w="10316" w:type="dxa"/>
            <w:shd w:val="clear" w:color="auto" w:fill="auto"/>
          </w:tcPr>
          <w:p w14:paraId="10643575" w14:textId="77777777" w:rsidR="007058CC" w:rsidRPr="00A64175" w:rsidRDefault="007058CC" w:rsidP="00A64175">
            <w:pPr>
              <w:jc w:val="both"/>
              <w:rPr>
                <w:rFonts w:ascii="Arial" w:hAnsi="Arial" w:cs="Arial"/>
                <w:b/>
                <w:bCs/>
              </w:rPr>
            </w:pPr>
          </w:p>
          <w:p w14:paraId="6F637556" w14:textId="77777777" w:rsidR="007058CC" w:rsidRPr="00A64175" w:rsidRDefault="007058CC" w:rsidP="00A64175">
            <w:pPr>
              <w:jc w:val="both"/>
              <w:rPr>
                <w:rFonts w:ascii="Arial" w:hAnsi="Arial" w:cs="Arial"/>
                <w:i/>
                <w:iCs/>
              </w:rPr>
            </w:pPr>
            <w:r w:rsidRPr="00A64175">
              <w:rPr>
                <w:rFonts w:ascii="Arial" w:hAnsi="Arial" w:cs="Arial"/>
                <w:i/>
                <w:iCs/>
              </w:rPr>
              <w:t>Sous-section 2 : Règles d’investissement</w:t>
            </w:r>
          </w:p>
        </w:tc>
      </w:tr>
      <w:tr w:rsidR="007058CC" w:rsidRPr="00A64175" w14:paraId="2FF6B201" w14:textId="77777777" w:rsidTr="000E7336">
        <w:trPr>
          <w:jc w:val="center"/>
        </w:trPr>
        <w:tc>
          <w:tcPr>
            <w:tcW w:w="10316" w:type="dxa"/>
            <w:shd w:val="clear" w:color="auto" w:fill="auto"/>
          </w:tcPr>
          <w:p w14:paraId="746DCC19" w14:textId="77777777" w:rsidR="007058CC" w:rsidRPr="00A64175" w:rsidRDefault="007058CC" w:rsidP="00A64175">
            <w:pPr>
              <w:contextualSpacing/>
              <w:jc w:val="both"/>
              <w:rPr>
                <w:rFonts w:ascii="Arial" w:hAnsi="Arial" w:cs="Arial"/>
                <w:b/>
                <w:bCs/>
              </w:rPr>
            </w:pPr>
          </w:p>
          <w:p w14:paraId="333BCFD2" w14:textId="0992856C" w:rsidR="007058CC" w:rsidRPr="00A64175" w:rsidRDefault="001C0623" w:rsidP="00A64175">
            <w:pPr>
              <w:contextualSpacing/>
              <w:jc w:val="both"/>
              <w:rPr>
                <w:rFonts w:ascii="Arial" w:hAnsi="Arial" w:cs="Arial"/>
                <w:b/>
                <w:bCs/>
              </w:rPr>
            </w:pPr>
            <w:r w:rsidRPr="00A64175">
              <w:rPr>
                <w:rFonts w:ascii="Arial" w:hAnsi="Arial" w:cs="Arial"/>
                <w:b/>
                <w:bCs/>
              </w:rPr>
              <w:t>Article 38</w:t>
            </w:r>
            <w:r w:rsidR="00757151">
              <w:rPr>
                <w:rFonts w:ascii="Arial" w:hAnsi="Arial" w:cs="Arial"/>
                <w:b/>
                <w:bCs/>
              </w:rPr>
              <w:t>5</w:t>
            </w:r>
            <w:r w:rsidR="007058CC" w:rsidRPr="00A64175">
              <w:rPr>
                <w:rFonts w:ascii="Arial" w:hAnsi="Arial" w:cs="Arial"/>
                <w:b/>
                <w:bCs/>
              </w:rPr>
              <w:t xml:space="preserve"> -  </w:t>
            </w:r>
          </w:p>
          <w:p w14:paraId="18A08521" w14:textId="77777777" w:rsidR="007058CC" w:rsidRPr="00A64175" w:rsidRDefault="007058CC" w:rsidP="00A64175">
            <w:pPr>
              <w:pStyle w:val="Paragraphedeliste"/>
              <w:widowControl w:val="0"/>
              <w:numPr>
                <w:ilvl w:val="0"/>
                <w:numId w:val="118"/>
              </w:numPr>
              <w:autoSpaceDE w:val="0"/>
              <w:adjustRightInd w:val="0"/>
              <w:spacing w:after="0" w:afterAutospacing="0" w:line="240" w:lineRule="auto"/>
              <w:ind w:left="426"/>
              <w:contextualSpacing/>
            </w:pPr>
            <w:r w:rsidRPr="00A64175">
              <w:t xml:space="preserve">Un OPCVM ne peut employer plus </w:t>
            </w:r>
            <w:r w:rsidRPr="005E294D">
              <w:t xml:space="preserve">de </w:t>
            </w:r>
            <w:r w:rsidRPr="00C21CF0">
              <w:t>20</w:t>
            </w:r>
            <w:r w:rsidRPr="005E294D">
              <w:t xml:space="preserve"> %</w:t>
            </w:r>
            <w:r w:rsidRPr="00A64175">
              <w:t xml:space="preserve"> de ses actifs dans des valeurs mobilières ou instrument du marché monétaire émis par un même émetteur.</w:t>
            </w:r>
          </w:p>
          <w:p w14:paraId="612014A9" w14:textId="77777777" w:rsidR="007058CC" w:rsidRPr="00A64175" w:rsidRDefault="007058CC" w:rsidP="00A64175">
            <w:pPr>
              <w:pStyle w:val="Paragraphedeliste"/>
              <w:widowControl w:val="0"/>
              <w:autoSpaceDE w:val="0"/>
              <w:adjustRightInd w:val="0"/>
              <w:ind w:left="426"/>
              <w:contextualSpacing/>
            </w:pPr>
          </w:p>
          <w:p w14:paraId="26C570C9" w14:textId="77777777" w:rsidR="007058CC" w:rsidRPr="00A64175" w:rsidRDefault="007058CC" w:rsidP="00A64175">
            <w:pPr>
              <w:pStyle w:val="Paragraphedeliste"/>
              <w:widowControl w:val="0"/>
              <w:autoSpaceDE w:val="0"/>
              <w:adjustRightInd w:val="0"/>
              <w:ind w:left="426"/>
              <w:contextualSpacing/>
            </w:pPr>
          </w:p>
          <w:p w14:paraId="7F849D3E" w14:textId="77777777" w:rsidR="007058CC" w:rsidRPr="00A64175" w:rsidRDefault="007058CC" w:rsidP="00A64175">
            <w:pPr>
              <w:pStyle w:val="Paragraphedeliste"/>
              <w:numPr>
                <w:ilvl w:val="0"/>
                <w:numId w:val="118"/>
              </w:numPr>
              <w:spacing w:after="0" w:afterAutospacing="0" w:line="240" w:lineRule="auto"/>
              <w:ind w:left="426"/>
              <w:contextualSpacing/>
            </w:pPr>
            <w:r w:rsidRPr="00A64175">
              <w:t>Le risque de contrepartie de l’OPCVM dans une transaction sur instruments dérivés de gré à gré ne peut excéder aucun des plafonds suivants :</w:t>
            </w:r>
          </w:p>
          <w:p w14:paraId="1D9145A4" w14:textId="776250ED" w:rsidR="007058CC" w:rsidRPr="00A64175" w:rsidRDefault="007058CC" w:rsidP="00A64175">
            <w:pPr>
              <w:pStyle w:val="Paragraphedeliste"/>
              <w:numPr>
                <w:ilvl w:val="1"/>
                <w:numId w:val="119"/>
              </w:numPr>
              <w:spacing w:after="0" w:afterAutospacing="0" w:line="240" w:lineRule="auto"/>
              <w:ind w:left="851"/>
              <w:contextualSpacing/>
            </w:pPr>
            <w:r w:rsidRPr="00A64175">
              <w:t>10 % de ses actifs lorsque la contrepartie est un é</w:t>
            </w:r>
            <w:r w:rsidR="001C6E59" w:rsidRPr="00A64175">
              <w:t xml:space="preserve">tablissement de crédit, </w:t>
            </w:r>
            <w:r w:rsidRPr="00A64175">
              <w:t>ou</w:t>
            </w:r>
          </w:p>
          <w:p w14:paraId="692970A1" w14:textId="77777777" w:rsidR="007058CC" w:rsidRPr="00A64175" w:rsidRDefault="007058CC" w:rsidP="00A64175">
            <w:pPr>
              <w:pStyle w:val="Paragraphedeliste"/>
              <w:numPr>
                <w:ilvl w:val="1"/>
                <w:numId w:val="119"/>
              </w:numPr>
              <w:spacing w:after="0" w:afterAutospacing="0" w:line="240" w:lineRule="auto"/>
              <w:ind w:left="851"/>
              <w:contextualSpacing/>
              <w:rPr>
                <w:b/>
                <w:bCs/>
              </w:rPr>
            </w:pPr>
            <w:r w:rsidRPr="00A64175">
              <w:t xml:space="preserve">5 % de ses actifs, dans les autres cas. </w:t>
            </w:r>
          </w:p>
          <w:p w14:paraId="75D2B856" w14:textId="77777777" w:rsidR="007058CC" w:rsidRPr="00A64175" w:rsidRDefault="007058CC" w:rsidP="00A64175">
            <w:pPr>
              <w:pStyle w:val="Paragraphedeliste"/>
              <w:ind w:left="426"/>
              <w:contextualSpacing/>
              <w:rPr>
                <w:b/>
                <w:bCs/>
              </w:rPr>
            </w:pPr>
          </w:p>
        </w:tc>
      </w:tr>
      <w:tr w:rsidR="007058CC" w:rsidRPr="00A64175" w14:paraId="2E1CE52C" w14:textId="77777777" w:rsidTr="000E7336">
        <w:trPr>
          <w:jc w:val="center"/>
        </w:trPr>
        <w:tc>
          <w:tcPr>
            <w:tcW w:w="10316" w:type="dxa"/>
            <w:shd w:val="clear" w:color="auto" w:fill="auto"/>
          </w:tcPr>
          <w:p w14:paraId="2617A675" w14:textId="551530B6" w:rsidR="007058CC" w:rsidRPr="00A64175" w:rsidRDefault="001C6E59" w:rsidP="00A64175">
            <w:pPr>
              <w:widowControl w:val="0"/>
              <w:autoSpaceDE w:val="0"/>
              <w:adjustRightInd w:val="0"/>
              <w:contextualSpacing/>
              <w:jc w:val="both"/>
              <w:rPr>
                <w:rFonts w:ascii="Arial" w:hAnsi="Arial" w:cs="Arial"/>
              </w:rPr>
            </w:pPr>
            <w:r w:rsidRPr="00A64175">
              <w:rPr>
                <w:rFonts w:ascii="Arial" w:hAnsi="Arial" w:cs="Arial"/>
                <w:b/>
                <w:bCs/>
              </w:rPr>
              <w:t>Article 38</w:t>
            </w:r>
            <w:r w:rsidR="00757151">
              <w:rPr>
                <w:rFonts w:ascii="Arial" w:hAnsi="Arial" w:cs="Arial"/>
                <w:b/>
                <w:bCs/>
              </w:rPr>
              <w:t>6</w:t>
            </w:r>
            <w:r w:rsidR="007058CC" w:rsidRPr="00A64175">
              <w:rPr>
                <w:rFonts w:ascii="Arial" w:hAnsi="Arial" w:cs="Arial"/>
                <w:b/>
                <w:bCs/>
              </w:rPr>
              <w:t xml:space="preserve"> - </w:t>
            </w:r>
            <w:r w:rsidRPr="00A64175">
              <w:rPr>
                <w:rFonts w:ascii="Arial" w:hAnsi="Arial" w:cs="Arial"/>
              </w:rPr>
              <w:t>U</w:t>
            </w:r>
            <w:r w:rsidR="007058CC" w:rsidRPr="00A64175">
              <w:rPr>
                <w:rFonts w:ascii="Arial" w:hAnsi="Arial" w:cs="Arial"/>
              </w:rPr>
              <w:t xml:space="preserve">n OPCVM peut employer jusqu’à </w:t>
            </w:r>
            <w:r w:rsidR="007058CC" w:rsidRPr="00C21CF0">
              <w:rPr>
                <w:rFonts w:ascii="Arial" w:hAnsi="Arial" w:cs="Arial"/>
              </w:rPr>
              <w:t>40</w:t>
            </w:r>
            <w:r w:rsidR="007058CC" w:rsidRPr="00A64175">
              <w:rPr>
                <w:rFonts w:ascii="Arial" w:hAnsi="Arial" w:cs="Arial"/>
              </w:rPr>
              <w:t xml:space="preserve"> % de ses actifs dans des valeurs mobilière</w:t>
            </w:r>
            <w:r w:rsidR="00134A5E" w:rsidRPr="00A64175">
              <w:rPr>
                <w:rFonts w:ascii="Arial" w:hAnsi="Arial" w:cs="Arial"/>
              </w:rPr>
              <w:t>s</w:t>
            </w:r>
            <w:r w:rsidR="007058CC" w:rsidRPr="00A64175">
              <w:rPr>
                <w:rFonts w:ascii="Arial" w:hAnsi="Arial" w:cs="Arial"/>
              </w:rPr>
              <w:t xml:space="preserve"> ou instruments du marché monétaire émis ou garantis par un ou plusieurs États membres de la CEMAC. </w:t>
            </w:r>
          </w:p>
          <w:p w14:paraId="7459A507" w14:textId="77777777" w:rsidR="007058CC" w:rsidRPr="00A64175" w:rsidRDefault="007058CC" w:rsidP="00A64175">
            <w:pPr>
              <w:widowControl w:val="0"/>
              <w:autoSpaceDE w:val="0"/>
              <w:adjustRightInd w:val="0"/>
              <w:contextualSpacing/>
              <w:jc w:val="both"/>
              <w:rPr>
                <w:rFonts w:ascii="Arial" w:hAnsi="Arial" w:cs="Arial"/>
                <w:b/>
                <w:bCs/>
              </w:rPr>
            </w:pPr>
          </w:p>
        </w:tc>
      </w:tr>
      <w:tr w:rsidR="007058CC" w:rsidRPr="00A64175" w14:paraId="6E7E4501" w14:textId="77777777" w:rsidTr="000E7336">
        <w:trPr>
          <w:jc w:val="center"/>
        </w:trPr>
        <w:tc>
          <w:tcPr>
            <w:tcW w:w="10316" w:type="dxa"/>
            <w:shd w:val="clear" w:color="auto" w:fill="auto"/>
          </w:tcPr>
          <w:p w14:paraId="2590848E" w14:textId="28FAA3F7" w:rsidR="007058CC" w:rsidRPr="00A64175" w:rsidRDefault="001C6E59" w:rsidP="00A64175">
            <w:pPr>
              <w:widowControl w:val="0"/>
              <w:autoSpaceDE w:val="0"/>
              <w:adjustRightInd w:val="0"/>
              <w:contextualSpacing/>
              <w:jc w:val="both"/>
              <w:rPr>
                <w:rFonts w:ascii="Arial" w:hAnsi="Arial" w:cs="Arial"/>
                <w:b/>
                <w:bCs/>
              </w:rPr>
            </w:pPr>
            <w:r w:rsidRPr="00A64175">
              <w:rPr>
                <w:rFonts w:ascii="Arial" w:hAnsi="Arial" w:cs="Arial"/>
                <w:b/>
                <w:bCs/>
              </w:rPr>
              <w:t>Article 38</w:t>
            </w:r>
            <w:r w:rsidR="00757151">
              <w:rPr>
                <w:rFonts w:ascii="Arial" w:hAnsi="Arial" w:cs="Arial"/>
                <w:b/>
                <w:bCs/>
              </w:rPr>
              <w:t>7</w:t>
            </w:r>
            <w:r w:rsidR="007058CC" w:rsidRPr="00A64175">
              <w:rPr>
                <w:rFonts w:ascii="Arial" w:hAnsi="Arial" w:cs="Arial"/>
                <w:b/>
                <w:bCs/>
              </w:rPr>
              <w:t xml:space="preserve"> - </w:t>
            </w:r>
          </w:p>
          <w:p w14:paraId="3439FE93" w14:textId="56325D85" w:rsidR="007058CC" w:rsidRPr="00A64175" w:rsidRDefault="001C6E59" w:rsidP="00A64175">
            <w:pPr>
              <w:pStyle w:val="Paragraphedeliste"/>
              <w:widowControl w:val="0"/>
              <w:autoSpaceDE w:val="0"/>
              <w:adjustRightInd w:val="0"/>
              <w:spacing w:after="0" w:afterAutospacing="0" w:line="240" w:lineRule="auto"/>
              <w:contextualSpacing/>
            </w:pPr>
            <w:r w:rsidRPr="00A64175">
              <w:t>U</w:t>
            </w:r>
            <w:r w:rsidR="007058CC" w:rsidRPr="00A64175">
              <w:t xml:space="preserve">n OPCVM ne peut combiner, lorsque cela l’amènerait à investir plus de 20 % de ses actifs dans une même entité́, plusieurs éléments parmi les suivants : </w:t>
            </w:r>
          </w:p>
          <w:p w14:paraId="2FE80FB7" w14:textId="77777777" w:rsidR="007058CC" w:rsidRPr="00A64175" w:rsidRDefault="007058CC" w:rsidP="00A64175">
            <w:pPr>
              <w:pStyle w:val="NormalWeb"/>
              <w:numPr>
                <w:ilvl w:val="0"/>
                <w:numId w:val="120"/>
              </w:numPr>
              <w:spacing w:after="0" w:afterAutospacing="0"/>
              <w:ind w:left="714" w:hanging="357"/>
              <w:contextualSpacing/>
              <w:jc w:val="both"/>
              <w:rPr>
                <w:rFonts w:ascii="Arial" w:eastAsia="Calibri" w:hAnsi="Arial" w:cs="Arial"/>
                <w:sz w:val="22"/>
                <w:szCs w:val="22"/>
              </w:rPr>
            </w:pPr>
            <w:r w:rsidRPr="00A64175">
              <w:rPr>
                <w:rFonts w:ascii="Arial" w:eastAsia="Calibri" w:hAnsi="Arial" w:cs="Arial"/>
                <w:sz w:val="22"/>
                <w:szCs w:val="22"/>
              </w:rPr>
              <w:t xml:space="preserve">Des investissements dans des valeurs mobilières ou des instruments du marché́ monétaire émis par ladite entité́ ; </w:t>
            </w:r>
          </w:p>
          <w:p w14:paraId="74AFAFCD" w14:textId="77777777" w:rsidR="007058CC" w:rsidRPr="00A64175" w:rsidRDefault="007058CC" w:rsidP="00A64175">
            <w:pPr>
              <w:pStyle w:val="NormalWeb"/>
              <w:spacing w:after="0" w:afterAutospacing="0"/>
              <w:ind w:left="714"/>
              <w:contextualSpacing/>
              <w:jc w:val="both"/>
              <w:rPr>
                <w:rFonts w:ascii="Arial" w:eastAsia="Calibri" w:hAnsi="Arial" w:cs="Arial"/>
                <w:sz w:val="22"/>
                <w:szCs w:val="22"/>
              </w:rPr>
            </w:pPr>
          </w:p>
          <w:p w14:paraId="12F840E3" w14:textId="77777777" w:rsidR="007058CC" w:rsidRPr="00A64175" w:rsidRDefault="007058CC" w:rsidP="00A64175">
            <w:pPr>
              <w:pStyle w:val="NormalWeb"/>
              <w:numPr>
                <w:ilvl w:val="0"/>
                <w:numId w:val="120"/>
              </w:numPr>
              <w:spacing w:after="0" w:afterAutospacing="0"/>
              <w:ind w:left="714" w:hanging="357"/>
              <w:contextualSpacing/>
              <w:jc w:val="both"/>
              <w:rPr>
                <w:rFonts w:ascii="Arial" w:eastAsia="Calibri" w:hAnsi="Arial" w:cs="Arial"/>
                <w:sz w:val="22"/>
                <w:szCs w:val="22"/>
              </w:rPr>
            </w:pPr>
            <w:r w:rsidRPr="00A64175">
              <w:rPr>
                <w:rFonts w:ascii="Arial" w:eastAsia="Calibri" w:hAnsi="Arial" w:cs="Arial"/>
                <w:sz w:val="22"/>
                <w:szCs w:val="22"/>
              </w:rPr>
              <w:t xml:space="preserve">Des dépôts auprès de ladite entité́ ; ou </w:t>
            </w:r>
          </w:p>
          <w:p w14:paraId="58DE1037" w14:textId="77777777" w:rsidR="007058CC" w:rsidRPr="00A64175" w:rsidRDefault="007058CC" w:rsidP="00A64175">
            <w:pPr>
              <w:pStyle w:val="NormalWeb"/>
              <w:spacing w:after="0" w:afterAutospacing="0"/>
              <w:contextualSpacing/>
              <w:jc w:val="both"/>
              <w:rPr>
                <w:rFonts w:ascii="Arial" w:eastAsia="Calibri" w:hAnsi="Arial" w:cs="Arial"/>
                <w:sz w:val="22"/>
                <w:szCs w:val="22"/>
              </w:rPr>
            </w:pPr>
          </w:p>
          <w:p w14:paraId="5A210052" w14:textId="77777777" w:rsidR="007058CC" w:rsidRPr="00A64175" w:rsidRDefault="007058CC" w:rsidP="00A64175">
            <w:pPr>
              <w:pStyle w:val="NormalWeb"/>
              <w:numPr>
                <w:ilvl w:val="0"/>
                <w:numId w:val="120"/>
              </w:numPr>
              <w:spacing w:after="0" w:afterAutospacing="0"/>
              <w:ind w:left="714" w:hanging="357"/>
              <w:contextualSpacing/>
              <w:jc w:val="both"/>
              <w:rPr>
                <w:rFonts w:ascii="Arial" w:eastAsia="Calibri" w:hAnsi="Arial" w:cs="Arial"/>
                <w:sz w:val="22"/>
                <w:szCs w:val="22"/>
              </w:rPr>
            </w:pPr>
            <w:r w:rsidRPr="00A64175">
              <w:rPr>
                <w:rFonts w:ascii="Arial" w:eastAsia="Calibri" w:hAnsi="Arial" w:cs="Arial"/>
                <w:sz w:val="22"/>
                <w:szCs w:val="22"/>
              </w:rPr>
              <w:t xml:space="preserve">Des risques découlant de transactions sur instruments dérivés de gré à gré avec ladite entité. </w:t>
            </w:r>
          </w:p>
          <w:p w14:paraId="3F162AAC" w14:textId="77777777" w:rsidR="007058CC" w:rsidRPr="00A64175" w:rsidRDefault="007058CC" w:rsidP="00A64175">
            <w:pPr>
              <w:pStyle w:val="Paragraphedeliste"/>
              <w:widowControl w:val="0"/>
              <w:autoSpaceDE w:val="0"/>
              <w:adjustRightInd w:val="0"/>
              <w:contextualSpacing/>
            </w:pPr>
          </w:p>
          <w:p w14:paraId="506FDD01" w14:textId="77777777" w:rsidR="007058CC" w:rsidRPr="00A64175" w:rsidRDefault="007058CC" w:rsidP="00A64175">
            <w:pPr>
              <w:pStyle w:val="Paragraphedeliste"/>
              <w:widowControl w:val="0"/>
              <w:autoSpaceDE w:val="0"/>
              <w:adjustRightInd w:val="0"/>
              <w:spacing w:after="0" w:afterAutospacing="0" w:line="240" w:lineRule="auto"/>
              <w:contextualSpacing/>
              <w:rPr>
                <w:b/>
                <w:bCs/>
              </w:rPr>
            </w:pPr>
            <w:r w:rsidRPr="00A64175">
              <w:t xml:space="preserve">Les investissements cumulés au sein d’un même groupe sont limités à 35 %. </w:t>
            </w:r>
          </w:p>
        </w:tc>
      </w:tr>
      <w:tr w:rsidR="007058CC" w:rsidRPr="00A64175" w14:paraId="7CE2C428" w14:textId="77777777" w:rsidTr="000E7336">
        <w:trPr>
          <w:jc w:val="center"/>
        </w:trPr>
        <w:tc>
          <w:tcPr>
            <w:tcW w:w="10316" w:type="dxa"/>
            <w:shd w:val="clear" w:color="auto" w:fill="auto"/>
          </w:tcPr>
          <w:p w14:paraId="7D2A28CD" w14:textId="77777777" w:rsidR="007058CC" w:rsidRPr="00A64175" w:rsidRDefault="007058CC" w:rsidP="00A64175">
            <w:pPr>
              <w:widowControl w:val="0"/>
              <w:autoSpaceDE w:val="0"/>
              <w:adjustRightInd w:val="0"/>
              <w:contextualSpacing/>
              <w:jc w:val="both"/>
              <w:rPr>
                <w:rFonts w:ascii="Arial" w:hAnsi="Arial" w:cs="Arial"/>
                <w:b/>
                <w:bCs/>
              </w:rPr>
            </w:pPr>
          </w:p>
          <w:p w14:paraId="556C40F9" w14:textId="3312E60C" w:rsidR="007058CC" w:rsidRPr="00A64175" w:rsidRDefault="001C6E59" w:rsidP="00A64175">
            <w:pPr>
              <w:widowControl w:val="0"/>
              <w:autoSpaceDE w:val="0"/>
              <w:adjustRightInd w:val="0"/>
              <w:contextualSpacing/>
              <w:jc w:val="both"/>
              <w:rPr>
                <w:rFonts w:ascii="Arial" w:hAnsi="Arial" w:cs="Arial"/>
                <w:b/>
                <w:bCs/>
              </w:rPr>
            </w:pPr>
            <w:r w:rsidRPr="00A64175">
              <w:rPr>
                <w:rFonts w:ascii="Arial" w:hAnsi="Arial" w:cs="Arial"/>
                <w:b/>
                <w:bCs/>
              </w:rPr>
              <w:t>Article 38</w:t>
            </w:r>
            <w:r w:rsidR="00757151">
              <w:rPr>
                <w:rFonts w:ascii="Arial" w:hAnsi="Arial" w:cs="Arial"/>
                <w:b/>
                <w:bCs/>
              </w:rPr>
              <w:t>8</w:t>
            </w:r>
            <w:r w:rsidR="007058CC" w:rsidRPr="00A64175">
              <w:rPr>
                <w:rFonts w:ascii="Arial" w:hAnsi="Arial" w:cs="Arial"/>
                <w:b/>
                <w:bCs/>
              </w:rPr>
              <w:t xml:space="preserve"> </w:t>
            </w:r>
            <w:r w:rsidR="007058CC" w:rsidRPr="00A64175">
              <w:rPr>
                <w:rFonts w:ascii="Arial" w:eastAsia="Times New Roman" w:hAnsi="Arial" w:cs="Arial"/>
                <w:lang w:eastAsia="fr-FR"/>
              </w:rPr>
              <w:t xml:space="preserve">Les limites prévues </w:t>
            </w:r>
            <w:r w:rsidRPr="00A64175">
              <w:rPr>
                <w:rFonts w:ascii="Arial" w:eastAsia="Times New Roman" w:hAnsi="Arial" w:cs="Arial"/>
                <w:lang w:eastAsia="fr-FR"/>
              </w:rPr>
              <w:t xml:space="preserve">à </w:t>
            </w:r>
            <w:r w:rsidRPr="00C21CF0">
              <w:rPr>
                <w:rFonts w:ascii="Arial" w:eastAsia="Times New Roman" w:hAnsi="Arial" w:cs="Arial"/>
                <w:lang w:eastAsia="fr-FR"/>
              </w:rPr>
              <w:t xml:space="preserve">l’article </w:t>
            </w:r>
            <w:r w:rsidR="00980870" w:rsidRPr="00C21CF0">
              <w:rPr>
                <w:rFonts w:ascii="Arial" w:eastAsia="Times New Roman" w:hAnsi="Arial" w:cs="Arial"/>
                <w:lang w:eastAsia="fr-FR"/>
              </w:rPr>
              <w:t xml:space="preserve">385 </w:t>
            </w:r>
            <w:r w:rsidR="007058CC" w:rsidRPr="00C21CF0">
              <w:rPr>
                <w:rFonts w:ascii="Arial" w:eastAsia="Times New Roman" w:hAnsi="Arial" w:cs="Arial"/>
                <w:lang w:eastAsia="fr-FR"/>
              </w:rPr>
              <w:t>.1</w:t>
            </w:r>
            <w:r w:rsidRPr="00C21CF0">
              <w:rPr>
                <w:rFonts w:ascii="Arial" w:eastAsia="Times New Roman" w:hAnsi="Arial" w:cs="Arial"/>
                <w:lang w:eastAsia="fr-FR"/>
              </w:rPr>
              <w:t xml:space="preserve"> du présent règlement général</w:t>
            </w:r>
            <w:r w:rsidR="007058CC" w:rsidRPr="00A64175">
              <w:rPr>
                <w:rFonts w:ascii="Arial" w:eastAsia="Times New Roman" w:hAnsi="Arial" w:cs="Arial"/>
                <w:lang w:eastAsia="fr-FR"/>
              </w:rPr>
              <w:t xml:space="preserve"> sont portées à 35 % au maximum pour les placements en actions ou en titres de créance émis par une même entité́, lorsque, conformément au règlement du fonds ou aux documents constitutifs, la politique d’investissement de l’OPCVM a pour but de reproduire la composition d’un indice d’actions ou de titres de créance précis qui est reconnu par la COSUMAF, sur les bases suivantes : </w:t>
            </w:r>
          </w:p>
          <w:p w14:paraId="35057E14" w14:textId="77777777" w:rsidR="007058CC" w:rsidRPr="00A64175" w:rsidRDefault="007058CC" w:rsidP="00A64175">
            <w:pPr>
              <w:pStyle w:val="Paragraphedeliste"/>
              <w:numPr>
                <w:ilvl w:val="1"/>
                <w:numId w:val="122"/>
              </w:numPr>
              <w:spacing w:after="0" w:afterAutospacing="0" w:line="240" w:lineRule="auto"/>
              <w:contextualSpacing/>
              <w:rPr>
                <w:rFonts w:eastAsia="Times New Roman"/>
                <w:lang w:eastAsia="fr-FR"/>
              </w:rPr>
            </w:pPr>
            <w:r w:rsidRPr="00A64175">
              <w:rPr>
                <w:rFonts w:eastAsia="Times New Roman"/>
                <w:lang w:eastAsia="fr-FR"/>
              </w:rPr>
              <w:t xml:space="preserve">La composition de l’indice est suffisamment diversifiée ; </w:t>
            </w:r>
          </w:p>
          <w:p w14:paraId="2EC29524" w14:textId="77777777" w:rsidR="007058CC" w:rsidRPr="00A64175" w:rsidRDefault="007058CC" w:rsidP="00A64175">
            <w:pPr>
              <w:pStyle w:val="Paragraphedeliste"/>
              <w:numPr>
                <w:ilvl w:val="1"/>
                <w:numId w:val="122"/>
              </w:numPr>
              <w:spacing w:after="0" w:afterAutospacing="0" w:line="240" w:lineRule="auto"/>
              <w:contextualSpacing/>
              <w:rPr>
                <w:rFonts w:eastAsia="Times New Roman"/>
                <w:lang w:eastAsia="fr-FR"/>
              </w:rPr>
            </w:pPr>
            <w:r w:rsidRPr="00A64175">
              <w:rPr>
                <w:rFonts w:eastAsia="Times New Roman"/>
                <w:lang w:eastAsia="fr-FR"/>
              </w:rPr>
              <w:t xml:space="preserve">L’indice constitue un étalon représentatif du marché́ auquel il se réfère ; et </w:t>
            </w:r>
          </w:p>
          <w:p w14:paraId="79E051AD" w14:textId="77777777" w:rsidR="007058CC" w:rsidRPr="00A64175" w:rsidRDefault="007058CC" w:rsidP="00A64175">
            <w:pPr>
              <w:pStyle w:val="Paragraphedeliste"/>
              <w:numPr>
                <w:ilvl w:val="1"/>
                <w:numId w:val="122"/>
              </w:numPr>
              <w:spacing w:after="0" w:afterAutospacing="0" w:line="240" w:lineRule="auto"/>
              <w:contextualSpacing/>
              <w:rPr>
                <w:rFonts w:eastAsia="Times New Roman"/>
                <w:lang w:eastAsia="fr-FR"/>
              </w:rPr>
            </w:pPr>
            <w:r w:rsidRPr="00A64175">
              <w:rPr>
                <w:rFonts w:eastAsia="Times New Roman"/>
                <w:lang w:eastAsia="fr-FR"/>
              </w:rPr>
              <w:t xml:space="preserve">Il fait l’objet d’une publication appropriée. </w:t>
            </w:r>
          </w:p>
          <w:p w14:paraId="539B92C1" w14:textId="77777777" w:rsidR="007058CC" w:rsidRPr="00A64175" w:rsidRDefault="007058CC" w:rsidP="00A64175">
            <w:pPr>
              <w:jc w:val="both"/>
              <w:rPr>
                <w:rFonts w:ascii="Arial" w:hAnsi="Arial" w:cs="Arial"/>
                <w:b/>
                <w:bCs/>
              </w:rPr>
            </w:pPr>
          </w:p>
          <w:p w14:paraId="2DAA649E" w14:textId="77777777" w:rsidR="001C6E59" w:rsidRPr="00A64175" w:rsidRDefault="001C6E59" w:rsidP="00A64175">
            <w:pPr>
              <w:jc w:val="both"/>
              <w:rPr>
                <w:rFonts w:ascii="Arial" w:hAnsi="Arial" w:cs="Arial"/>
                <w:b/>
                <w:bCs/>
              </w:rPr>
            </w:pPr>
          </w:p>
        </w:tc>
      </w:tr>
      <w:tr w:rsidR="007058CC" w:rsidRPr="00A64175" w14:paraId="4642D60E" w14:textId="77777777" w:rsidTr="000E7336">
        <w:trPr>
          <w:jc w:val="center"/>
        </w:trPr>
        <w:tc>
          <w:tcPr>
            <w:tcW w:w="10316" w:type="dxa"/>
            <w:shd w:val="clear" w:color="auto" w:fill="auto"/>
          </w:tcPr>
          <w:p w14:paraId="228C2CAB" w14:textId="77101985" w:rsidR="007058CC" w:rsidRPr="00A64175" w:rsidRDefault="001C6E59" w:rsidP="00A64175">
            <w:pPr>
              <w:pStyle w:val="NormalWeb"/>
              <w:spacing w:after="0" w:afterAutospacing="0"/>
              <w:contextualSpacing/>
              <w:jc w:val="both"/>
              <w:rPr>
                <w:rFonts w:ascii="Arial" w:hAnsi="Arial" w:cs="Arial"/>
                <w:b/>
                <w:bCs/>
                <w:sz w:val="22"/>
                <w:szCs w:val="22"/>
              </w:rPr>
            </w:pPr>
            <w:r w:rsidRPr="00A64175">
              <w:rPr>
                <w:rFonts w:ascii="Arial" w:hAnsi="Arial" w:cs="Arial"/>
                <w:b/>
                <w:bCs/>
                <w:sz w:val="22"/>
                <w:szCs w:val="22"/>
              </w:rPr>
              <w:t>Article 38</w:t>
            </w:r>
            <w:r w:rsidR="00757151">
              <w:rPr>
                <w:rFonts w:ascii="Arial" w:hAnsi="Arial" w:cs="Arial"/>
                <w:b/>
                <w:bCs/>
                <w:sz w:val="22"/>
                <w:szCs w:val="22"/>
              </w:rPr>
              <w:t>9</w:t>
            </w:r>
            <w:r w:rsidR="007058CC" w:rsidRPr="00A64175">
              <w:rPr>
                <w:rFonts w:ascii="Arial" w:hAnsi="Arial" w:cs="Arial"/>
                <w:b/>
                <w:bCs/>
                <w:sz w:val="22"/>
                <w:szCs w:val="22"/>
              </w:rPr>
              <w:t xml:space="preserve"> - </w:t>
            </w:r>
          </w:p>
          <w:p w14:paraId="769A5297" w14:textId="6650C5C0" w:rsidR="007058CC" w:rsidRPr="00C21CF0" w:rsidRDefault="007058CC" w:rsidP="00A64175">
            <w:pPr>
              <w:pStyle w:val="Paragraphedeliste"/>
              <w:numPr>
                <w:ilvl w:val="0"/>
                <w:numId w:val="123"/>
              </w:numPr>
              <w:spacing w:after="0" w:afterAutospacing="0" w:line="240" w:lineRule="auto"/>
              <w:contextualSpacing/>
              <w:rPr>
                <w:rFonts w:eastAsia="Times New Roman"/>
                <w:lang w:eastAsia="fr-FR"/>
              </w:rPr>
            </w:pPr>
            <w:r w:rsidRPr="00C21CF0">
              <w:rPr>
                <w:rFonts w:eastAsia="Times New Roman"/>
                <w:lang w:eastAsia="fr-FR"/>
              </w:rPr>
              <w:t>Un OPCVM peut acquérir les parts d’OPCVM ou d’autres organismes de placement collectif</w:t>
            </w:r>
            <w:r w:rsidR="00477BAB" w:rsidRPr="00C21CF0">
              <w:rPr>
                <w:rFonts w:eastAsia="Times New Roman"/>
                <w:lang w:eastAsia="fr-FR"/>
              </w:rPr>
              <w:t xml:space="preserve"> dans la limite </w:t>
            </w:r>
            <w:r w:rsidRPr="00C21CF0">
              <w:rPr>
                <w:rFonts w:eastAsia="Times New Roman"/>
                <w:lang w:eastAsia="fr-FR"/>
              </w:rPr>
              <w:t xml:space="preserve"> de 20 % au maximum</w:t>
            </w:r>
            <w:r w:rsidR="00881CEA" w:rsidRPr="00C21CF0">
              <w:rPr>
                <w:rFonts w:eastAsia="Times New Roman"/>
                <w:lang w:eastAsia="fr-FR"/>
              </w:rPr>
              <w:t xml:space="preserve"> de son actif,</w:t>
            </w:r>
            <w:r w:rsidRPr="00C21CF0">
              <w:rPr>
                <w:rFonts w:eastAsia="Times New Roman"/>
                <w:lang w:eastAsia="fr-FR"/>
              </w:rPr>
              <w:t xml:space="preserve"> </w:t>
            </w:r>
            <w:r w:rsidR="00477BAB" w:rsidRPr="00C21CF0">
              <w:rPr>
                <w:rFonts w:eastAsia="Times New Roman"/>
                <w:lang w:eastAsia="fr-FR"/>
              </w:rPr>
              <w:t xml:space="preserve">par </w:t>
            </w:r>
            <w:r w:rsidRPr="00C21CF0">
              <w:rPr>
                <w:rFonts w:eastAsia="Times New Roman"/>
                <w:lang w:eastAsia="fr-FR"/>
              </w:rPr>
              <w:t>organisme de placement collectif.</w:t>
            </w:r>
          </w:p>
          <w:p w14:paraId="195F6D15" w14:textId="77777777" w:rsidR="007058CC" w:rsidRPr="005E294D" w:rsidRDefault="007058CC" w:rsidP="00A64175">
            <w:pPr>
              <w:pStyle w:val="Paragraphedeliste"/>
              <w:numPr>
                <w:ilvl w:val="0"/>
                <w:numId w:val="123"/>
              </w:numPr>
              <w:spacing w:after="0" w:afterAutospacing="0" w:line="240" w:lineRule="auto"/>
              <w:contextualSpacing/>
              <w:rPr>
                <w:rFonts w:eastAsia="Times New Roman"/>
                <w:lang w:eastAsia="fr-FR"/>
              </w:rPr>
            </w:pPr>
            <w:r w:rsidRPr="005E294D">
              <w:rPr>
                <w:rFonts w:eastAsia="Times New Roman"/>
                <w:lang w:eastAsia="fr-FR"/>
              </w:rPr>
              <w:t xml:space="preserve">Les placements dans des parts d’organismes de placement collectif autres que des OPCVM ne peuvent dépasser, au total, </w:t>
            </w:r>
            <w:r w:rsidRPr="00C21CF0">
              <w:rPr>
                <w:rFonts w:eastAsia="Times New Roman"/>
                <w:lang w:eastAsia="fr-FR"/>
              </w:rPr>
              <w:t>30</w:t>
            </w:r>
            <w:r w:rsidRPr="005E294D">
              <w:rPr>
                <w:rFonts w:eastAsia="Times New Roman"/>
                <w:lang w:eastAsia="fr-FR"/>
              </w:rPr>
              <w:t xml:space="preserve"> % des actifs de l’OPCVM.</w:t>
            </w:r>
          </w:p>
          <w:p w14:paraId="7CE88CC7" w14:textId="77777777" w:rsidR="007058CC" w:rsidRPr="00A64175" w:rsidRDefault="007058CC" w:rsidP="00A64175">
            <w:pPr>
              <w:pStyle w:val="Paragraphedeliste"/>
              <w:numPr>
                <w:ilvl w:val="0"/>
                <w:numId w:val="123"/>
              </w:numPr>
              <w:spacing w:after="0" w:afterAutospacing="0" w:line="240" w:lineRule="auto"/>
              <w:contextualSpacing/>
              <w:rPr>
                <w:rFonts w:eastAsia="Times New Roman"/>
                <w:lang w:eastAsia="fr-FR"/>
              </w:rPr>
            </w:pPr>
            <w:r w:rsidRPr="00A64175">
              <w:rPr>
                <w:rFonts w:eastAsia="Times New Roman"/>
                <w:lang w:eastAsia="fr-FR"/>
              </w:rPr>
              <w:t>Lorsqu’un OPCVM investit dans les parts d’autres OPCVM ou d’organismes de placement collectif qui sont gérés, de façon directe ou par délégation, par la même société́ de gestion ou par toute autre société́ à laquelle la société́ de gestion est liée dans le cadre d’une communauté́ de gestion ou de contrôle ou par une importante participation directe ou indirecte, ladite société́ de gestion ou l’autre société́ ne peut facturer de droits de souscription ou de remboursement pour l’investissement de l’OPCVM dans les parts de ces autres OPCVM ou organismes de placement collectif.</w:t>
            </w:r>
          </w:p>
          <w:p w14:paraId="006D9972" w14:textId="77777777" w:rsidR="007058CC" w:rsidRPr="00A64175" w:rsidRDefault="007058CC" w:rsidP="00A64175">
            <w:pPr>
              <w:pStyle w:val="Paragraphedeliste"/>
              <w:numPr>
                <w:ilvl w:val="0"/>
                <w:numId w:val="123"/>
              </w:numPr>
              <w:spacing w:after="0" w:afterAutospacing="0" w:line="240" w:lineRule="auto"/>
              <w:contextualSpacing/>
              <w:rPr>
                <w:rFonts w:eastAsia="Times New Roman"/>
                <w:lang w:eastAsia="fr-FR"/>
              </w:rPr>
            </w:pPr>
            <w:r w:rsidRPr="00A64175">
              <w:rPr>
                <w:rFonts w:eastAsia="Times New Roman"/>
                <w:lang w:eastAsia="fr-FR"/>
              </w:rPr>
              <w:t xml:space="preserve">Un OPCVM qui investit une part importante de ses actifs dans d’autres OPCVM ou d’autres organismes de placement collectif indique dans son document d’information le niveau maximal des commissions de gestion qui peuvent être facturées à la fois à l’OPCVM lui-même et aux autres OPCVM ou aux autres organismes de placement collectif dans lesquels il entend investir. Il indique, dans son rapport annuel, le pourcentage maximal des frais de gestion facturés tant à l’OPCVM lui-même qu’aux autres OPCVM ou aux organismes de placement collectif dans lesquels il investit. </w:t>
            </w:r>
          </w:p>
          <w:p w14:paraId="60212F7A" w14:textId="77777777" w:rsidR="007058CC" w:rsidRPr="00A64175" w:rsidRDefault="007058CC" w:rsidP="00A64175">
            <w:pPr>
              <w:jc w:val="both"/>
              <w:rPr>
                <w:rFonts w:ascii="Arial" w:hAnsi="Arial" w:cs="Arial"/>
                <w:b/>
                <w:bCs/>
              </w:rPr>
            </w:pPr>
          </w:p>
          <w:p w14:paraId="07A4544E" w14:textId="77777777" w:rsidR="001C6E59" w:rsidRPr="00A64175" w:rsidRDefault="001C6E59" w:rsidP="00A64175">
            <w:pPr>
              <w:jc w:val="both"/>
              <w:rPr>
                <w:rFonts w:ascii="Arial" w:hAnsi="Arial" w:cs="Arial"/>
                <w:b/>
                <w:bCs/>
              </w:rPr>
            </w:pPr>
          </w:p>
        </w:tc>
      </w:tr>
      <w:tr w:rsidR="007058CC" w:rsidRPr="00A64175" w14:paraId="271C5925" w14:textId="77777777" w:rsidTr="000E7336">
        <w:trPr>
          <w:jc w:val="center"/>
        </w:trPr>
        <w:tc>
          <w:tcPr>
            <w:tcW w:w="10316" w:type="dxa"/>
            <w:shd w:val="clear" w:color="auto" w:fill="auto"/>
          </w:tcPr>
          <w:p w14:paraId="0D1AB264" w14:textId="43BF51EF" w:rsidR="007058CC" w:rsidRPr="00A64175" w:rsidRDefault="001C6E59" w:rsidP="00A64175">
            <w:pPr>
              <w:contextualSpacing/>
              <w:jc w:val="both"/>
              <w:rPr>
                <w:rFonts w:ascii="Arial" w:hAnsi="Arial" w:cs="Arial"/>
                <w:b/>
                <w:bCs/>
              </w:rPr>
            </w:pPr>
            <w:r w:rsidRPr="00A64175">
              <w:rPr>
                <w:rFonts w:ascii="Arial" w:hAnsi="Arial" w:cs="Arial"/>
                <w:b/>
                <w:bCs/>
              </w:rPr>
              <w:t>Article 3</w:t>
            </w:r>
            <w:r w:rsidR="00757151">
              <w:rPr>
                <w:rFonts w:ascii="Arial" w:hAnsi="Arial" w:cs="Arial"/>
                <w:b/>
                <w:bCs/>
              </w:rPr>
              <w:t>90</w:t>
            </w:r>
            <w:r w:rsidR="007058CC" w:rsidRPr="00A64175">
              <w:rPr>
                <w:rFonts w:ascii="Arial" w:hAnsi="Arial" w:cs="Arial"/>
                <w:b/>
                <w:bCs/>
              </w:rPr>
              <w:t xml:space="preserve"> - </w:t>
            </w:r>
          </w:p>
          <w:p w14:paraId="543A5349" w14:textId="11E03FC8" w:rsidR="007058CC" w:rsidRPr="00A64175" w:rsidRDefault="007058CC" w:rsidP="00A64175">
            <w:pPr>
              <w:pStyle w:val="Paragraphedeliste"/>
              <w:numPr>
                <w:ilvl w:val="1"/>
                <w:numId w:val="120"/>
              </w:numPr>
              <w:spacing w:after="0" w:afterAutospacing="0" w:line="240" w:lineRule="auto"/>
              <w:ind w:left="284"/>
              <w:contextualSpacing/>
              <w:rPr>
                <w:rFonts w:eastAsia="Times New Roman"/>
                <w:lang w:eastAsia="fr-FR"/>
              </w:rPr>
            </w:pPr>
            <w:r w:rsidRPr="00A64175">
              <w:rPr>
                <w:rFonts w:eastAsia="Times New Roman"/>
                <w:lang w:eastAsia="fr-FR"/>
              </w:rPr>
              <w:t>Les OPCVM ne sont pas tenus de se conformer aux limites prévues aux</w:t>
            </w:r>
            <w:r w:rsidR="002E27FE" w:rsidRPr="00A64175">
              <w:rPr>
                <w:rFonts w:eastAsia="Times New Roman"/>
                <w:lang w:eastAsia="fr-FR"/>
              </w:rPr>
              <w:t xml:space="preserve"> </w:t>
            </w:r>
            <w:r w:rsidR="002E27FE" w:rsidRPr="00C21CF0">
              <w:rPr>
                <w:rFonts w:eastAsia="Times New Roman"/>
                <w:lang w:eastAsia="fr-FR"/>
              </w:rPr>
              <w:t xml:space="preserve">articles </w:t>
            </w:r>
            <w:r w:rsidR="0054750B" w:rsidRPr="00C21CF0">
              <w:rPr>
                <w:rFonts w:eastAsia="Times New Roman"/>
                <w:lang w:eastAsia="fr-FR"/>
              </w:rPr>
              <w:t xml:space="preserve">386 </w:t>
            </w:r>
            <w:r w:rsidR="002E27FE" w:rsidRPr="00C21CF0">
              <w:rPr>
                <w:rFonts w:eastAsia="Times New Roman"/>
                <w:lang w:eastAsia="fr-FR"/>
              </w:rPr>
              <w:t xml:space="preserve"> à </w:t>
            </w:r>
            <w:r w:rsidR="0054750B" w:rsidRPr="00C21CF0">
              <w:rPr>
                <w:rFonts w:eastAsia="Times New Roman"/>
                <w:lang w:eastAsia="fr-FR"/>
              </w:rPr>
              <w:t xml:space="preserve">389 </w:t>
            </w:r>
            <w:r w:rsidR="002E27FE" w:rsidRPr="00C21CF0">
              <w:rPr>
                <w:rFonts w:eastAsia="Times New Roman"/>
                <w:lang w:eastAsia="fr-FR"/>
              </w:rPr>
              <w:t xml:space="preserve"> du présent règlement général</w:t>
            </w:r>
            <w:r w:rsidRPr="00A64175">
              <w:rPr>
                <w:rFonts w:eastAsia="Times New Roman"/>
                <w:lang w:eastAsia="fr-FR"/>
              </w:rPr>
              <w:t xml:space="preserve"> lors de l’exercice de droits de souscription afférents à des valeurs mobilières ou à des instruments du marché́ monétaire qui font partie de leurs actifs. </w:t>
            </w:r>
          </w:p>
          <w:p w14:paraId="5C99F0C2" w14:textId="77777777" w:rsidR="007058CC" w:rsidRPr="00A64175" w:rsidRDefault="007058CC" w:rsidP="00A64175">
            <w:pPr>
              <w:pStyle w:val="Paragraphedeliste"/>
              <w:contextualSpacing/>
              <w:rPr>
                <w:rFonts w:eastAsia="Times New Roman"/>
                <w:lang w:eastAsia="fr-FR"/>
              </w:rPr>
            </w:pPr>
          </w:p>
          <w:p w14:paraId="18B62922" w14:textId="67EE1A2D" w:rsidR="007058CC" w:rsidRPr="00A64175" w:rsidRDefault="007058CC" w:rsidP="00A64175">
            <w:pPr>
              <w:pStyle w:val="Paragraphedeliste"/>
              <w:numPr>
                <w:ilvl w:val="1"/>
                <w:numId w:val="120"/>
              </w:numPr>
              <w:spacing w:after="0" w:afterAutospacing="0" w:line="240" w:lineRule="auto"/>
              <w:ind w:left="284"/>
              <w:contextualSpacing/>
              <w:rPr>
                <w:rFonts w:eastAsia="Times New Roman"/>
                <w:lang w:eastAsia="fr-FR"/>
              </w:rPr>
            </w:pPr>
            <w:r w:rsidRPr="00A64175">
              <w:rPr>
                <w:rFonts w:eastAsia="Times New Roman"/>
                <w:lang w:eastAsia="fr-FR"/>
              </w:rPr>
              <w:t>Tout en veillant au respect du principe de la répartition des risques, les OPCVM nouvellement agrées peuvent déroger aux articles</w:t>
            </w:r>
            <w:r w:rsidR="002E27FE" w:rsidRPr="00A64175">
              <w:rPr>
                <w:rFonts w:eastAsia="Times New Roman"/>
                <w:lang w:eastAsia="fr-FR"/>
              </w:rPr>
              <w:t xml:space="preserve"> </w:t>
            </w:r>
            <w:r w:rsidR="00BF1D14" w:rsidRPr="00C21CF0">
              <w:rPr>
                <w:rFonts w:eastAsia="Times New Roman"/>
                <w:lang w:eastAsia="fr-FR"/>
              </w:rPr>
              <w:t xml:space="preserve">386 </w:t>
            </w:r>
            <w:r w:rsidR="002E27FE" w:rsidRPr="00C21CF0">
              <w:rPr>
                <w:rFonts w:eastAsia="Times New Roman"/>
                <w:lang w:eastAsia="fr-FR"/>
              </w:rPr>
              <w:t xml:space="preserve"> à </w:t>
            </w:r>
            <w:r w:rsidR="00BF1D14" w:rsidRPr="00C21CF0">
              <w:rPr>
                <w:rFonts w:eastAsia="Times New Roman"/>
                <w:lang w:eastAsia="fr-FR"/>
              </w:rPr>
              <w:t xml:space="preserve">389 </w:t>
            </w:r>
            <w:r w:rsidR="002E27FE" w:rsidRPr="00C21CF0">
              <w:rPr>
                <w:rFonts w:eastAsia="Times New Roman"/>
                <w:lang w:eastAsia="fr-FR"/>
              </w:rPr>
              <w:t xml:space="preserve"> du présent règlement général</w:t>
            </w:r>
            <w:r w:rsidRPr="00C860C4">
              <w:rPr>
                <w:rFonts w:eastAsia="Times New Roman"/>
                <w:lang w:eastAsia="fr-FR"/>
              </w:rPr>
              <w:t xml:space="preserve"> </w:t>
            </w:r>
            <w:r w:rsidRPr="00A64175">
              <w:rPr>
                <w:rFonts w:eastAsia="Times New Roman"/>
                <w:lang w:eastAsia="fr-FR"/>
              </w:rPr>
              <w:t>pendant une période de six mois suivant la date de leur agrément.</w:t>
            </w:r>
          </w:p>
          <w:p w14:paraId="1F54AAFC" w14:textId="77777777" w:rsidR="007058CC" w:rsidRPr="00A64175" w:rsidRDefault="007058CC" w:rsidP="00A64175">
            <w:pPr>
              <w:pStyle w:val="Paragraphedeliste"/>
              <w:ind w:left="284"/>
              <w:contextualSpacing/>
              <w:rPr>
                <w:rFonts w:eastAsia="Times New Roman"/>
                <w:lang w:eastAsia="fr-FR"/>
              </w:rPr>
            </w:pPr>
          </w:p>
          <w:p w14:paraId="0E3050C7" w14:textId="77777777" w:rsidR="007058CC" w:rsidRPr="00A64175" w:rsidRDefault="007058CC" w:rsidP="00A64175">
            <w:pPr>
              <w:pStyle w:val="Paragraphedeliste"/>
              <w:numPr>
                <w:ilvl w:val="1"/>
                <w:numId w:val="120"/>
              </w:numPr>
              <w:spacing w:after="0" w:afterAutospacing="0" w:line="240" w:lineRule="auto"/>
              <w:ind w:left="284"/>
              <w:contextualSpacing/>
              <w:rPr>
                <w:rFonts w:eastAsia="Times New Roman"/>
                <w:lang w:eastAsia="fr-FR"/>
              </w:rPr>
            </w:pPr>
            <w:r w:rsidRPr="00A64175">
              <w:rPr>
                <w:rFonts w:eastAsia="Times New Roman"/>
                <w:lang w:eastAsia="fr-FR"/>
              </w:rPr>
              <w:t xml:space="preserve">Si un dépassement des limites visées au paragraphe 1 intervient indépendamment de la volonté́ d’un OPCVM ou à la suite de l’exercice de droits de souscription, ledit OPCVM doit, dans ses opérations de vente, avoir pour objectif prioritaire de régulariser cette situation en tenant compte de l’intérêt des porteurs de parts. </w:t>
            </w:r>
          </w:p>
          <w:p w14:paraId="7C677E5F" w14:textId="77777777" w:rsidR="007058CC" w:rsidRDefault="007058CC" w:rsidP="00C860C4">
            <w:pPr>
              <w:contextualSpacing/>
              <w:rPr>
                <w:rFonts w:ascii="Arial" w:eastAsia="Times New Roman" w:hAnsi="Arial" w:cs="Arial"/>
                <w:lang w:eastAsia="fr-FR"/>
              </w:rPr>
            </w:pPr>
          </w:p>
          <w:p w14:paraId="4A75DFED" w14:textId="77777777" w:rsidR="00C860C4" w:rsidRPr="00C860C4" w:rsidRDefault="00C860C4" w:rsidP="00C860C4">
            <w:pPr>
              <w:contextualSpacing/>
              <w:rPr>
                <w:rFonts w:eastAsia="Times New Roman"/>
                <w:lang w:eastAsia="fr-FR"/>
              </w:rPr>
            </w:pPr>
          </w:p>
        </w:tc>
      </w:tr>
      <w:tr w:rsidR="007058CC" w:rsidRPr="00A64175" w14:paraId="14460B34" w14:textId="77777777" w:rsidTr="000E7336">
        <w:trPr>
          <w:jc w:val="center"/>
        </w:trPr>
        <w:tc>
          <w:tcPr>
            <w:tcW w:w="10316" w:type="dxa"/>
            <w:shd w:val="clear" w:color="auto" w:fill="auto"/>
          </w:tcPr>
          <w:p w14:paraId="0594B650" w14:textId="77777777" w:rsidR="007058CC" w:rsidRPr="00A64175" w:rsidRDefault="007058CC" w:rsidP="00A64175">
            <w:pPr>
              <w:contextualSpacing/>
              <w:jc w:val="both"/>
              <w:rPr>
                <w:rFonts w:ascii="Arial" w:hAnsi="Arial" w:cs="Arial"/>
                <w:b/>
                <w:bCs/>
              </w:rPr>
            </w:pPr>
          </w:p>
          <w:p w14:paraId="3522D4AF" w14:textId="2C87F8CE" w:rsidR="007058CC" w:rsidRPr="00A64175" w:rsidRDefault="003679E9" w:rsidP="00A64175">
            <w:pPr>
              <w:contextualSpacing/>
              <w:jc w:val="both"/>
              <w:rPr>
                <w:rFonts w:ascii="Arial" w:hAnsi="Arial" w:cs="Arial"/>
                <w:b/>
                <w:bCs/>
              </w:rPr>
            </w:pPr>
            <w:r w:rsidRPr="00A64175">
              <w:rPr>
                <w:rFonts w:ascii="Arial" w:hAnsi="Arial" w:cs="Arial"/>
                <w:b/>
                <w:bCs/>
              </w:rPr>
              <w:t>CHAPITRE III : FONDS D’INVESTISSEMENT ALTERNATIFS</w:t>
            </w:r>
          </w:p>
        </w:tc>
      </w:tr>
      <w:tr w:rsidR="007058CC" w:rsidRPr="00A64175" w14:paraId="63743E7E" w14:textId="77777777" w:rsidTr="000E7336">
        <w:trPr>
          <w:jc w:val="center"/>
        </w:trPr>
        <w:tc>
          <w:tcPr>
            <w:tcW w:w="10316" w:type="dxa"/>
            <w:shd w:val="clear" w:color="auto" w:fill="auto"/>
          </w:tcPr>
          <w:p w14:paraId="43FC75DE" w14:textId="77777777" w:rsidR="007058CC" w:rsidRPr="00A64175" w:rsidRDefault="007058CC" w:rsidP="00A64175">
            <w:pPr>
              <w:contextualSpacing/>
              <w:jc w:val="both"/>
              <w:rPr>
                <w:rFonts w:ascii="Arial" w:hAnsi="Arial" w:cs="Arial"/>
                <w:b/>
                <w:bCs/>
              </w:rPr>
            </w:pPr>
          </w:p>
          <w:p w14:paraId="7DE5C988" w14:textId="267E7BBA" w:rsidR="00BB55DE" w:rsidRPr="00A64175" w:rsidRDefault="00BB55DE" w:rsidP="00A64175">
            <w:pPr>
              <w:contextualSpacing/>
              <w:jc w:val="both"/>
              <w:rPr>
                <w:rFonts w:ascii="Arial" w:eastAsia="Times New Roman" w:hAnsi="Arial" w:cs="Arial"/>
                <w:lang w:eastAsia="fr-FR"/>
              </w:rPr>
            </w:pPr>
            <w:r w:rsidRPr="00A64175">
              <w:rPr>
                <w:rFonts w:ascii="Arial" w:hAnsi="Arial" w:cs="Arial"/>
                <w:b/>
                <w:bCs/>
              </w:rPr>
              <w:t xml:space="preserve">Article </w:t>
            </w:r>
            <w:r w:rsidR="00437F60" w:rsidRPr="00A64175">
              <w:rPr>
                <w:rFonts w:ascii="Arial" w:hAnsi="Arial" w:cs="Arial"/>
                <w:b/>
                <w:bCs/>
              </w:rPr>
              <w:t>3</w:t>
            </w:r>
            <w:r w:rsidR="00757151">
              <w:rPr>
                <w:rFonts w:ascii="Arial" w:hAnsi="Arial" w:cs="Arial"/>
                <w:b/>
                <w:bCs/>
                <w:kern w:val="1"/>
              </w:rPr>
              <w:t>91</w:t>
            </w:r>
            <w:r w:rsidRPr="00A64175">
              <w:rPr>
                <w:rFonts w:ascii="Arial" w:hAnsi="Arial" w:cs="Arial"/>
                <w:b/>
                <w:bCs/>
                <w:kern w:val="1"/>
              </w:rPr>
              <w:t xml:space="preserve"> –</w:t>
            </w:r>
            <w:r w:rsidRPr="00A64175">
              <w:rPr>
                <w:rFonts w:ascii="Arial" w:hAnsi="Arial" w:cs="Arial"/>
                <w:b/>
                <w:bCs/>
              </w:rPr>
              <w:t xml:space="preserve"> </w:t>
            </w:r>
            <w:r w:rsidRPr="00A64175">
              <w:rPr>
                <w:rFonts w:ascii="Arial" w:eastAsia="Times New Roman" w:hAnsi="Arial" w:cs="Arial"/>
                <w:lang w:eastAsia="fr-FR"/>
              </w:rPr>
              <w:t>Les Fonds d’investissement alternatifs (FIA) comprennent :</w:t>
            </w:r>
          </w:p>
          <w:p w14:paraId="00C64276" w14:textId="77777777" w:rsidR="00BB55DE" w:rsidRPr="00A64175" w:rsidRDefault="00BB55DE" w:rsidP="00A64175">
            <w:pPr>
              <w:contextualSpacing/>
              <w:jc w:val="both"/>
              <w:rPr>
                <w:rFonts w:ascii="Arial" w:eastAsia="Times New Roman" w:hAnsi="Arial" w:cs="Arial"/>
                <w:lang w:eastAsia="fr-FR"/>
              </w:rPr>
            </w:pPr>
          </w:p>
          <w:p w14:paraId="60EDAE4D" w14:textId="62360AD6" w:rsidR="00BB55DE" w:rsidRPr="00A64175" w:rsidRDefault="00BB55DE" w:rsidP="00A64175">
            <w:pPr>
              <w:pStyle w:val="Paragraphedeliste"/>
              <w:numPr>
                <w:ilvl w:val="0"/>
                <w:numId w:val="117"/>
              </w:numPr>
              <w:contextualSpacing/>
              <w:rPr>
                <w:rFonts w:eastAsia="Times New Roman"/>
                <w:lang w:eastAsia="fr-FR"/>
              </w:rPr>
            </w:pPr>
            <w:r w:rsidRPr="00A64175">
              <w:rPr>
                <w:rFonts w:eastAsia="Times New Roman"/>
                <w:lang w:eastAsia="fr-FR"/>
              </w:rPr>
              <w:t>Les organismes de titrisation ;</w:t>
            </w:r>
          </w:p>
          <w:p w14:paraId="4E4AAD5A" w14:textId="11FF4448" w:rsidR="00BB55DE" w:rsidRPr="00A64175" w:rsidRDefault="00BB55DE" w:rsidP="00A64175">
            <w:pPr>
              <w:pStyle w:val="Paragraphedeliste"/>
              <w:numPr>
                <w:ilvl w:val="0"/>
                <w:numId w:val="117"/>
              </w:numPr>
              <w:contextualSpacing/>
              <w:rPr>
                <w:rFonts w:eastAsia="Times New Roman"/>
                <w:lang w:eastAsia="fr-FR"/>
              </w:rPr>
            </w:pPr>
            <w:r w:rsidRPr="00A64175">
              <w:rPr>
                <w:rFonts w:eastAsia="Times New Roman"/>
                <w:lang w:eastAsia="fr-FR"/>
              </w:rPr>
              <w:t>Les organismes de placement collectif immobilier ;</w:t>
            </w:r>
          </w:p>
          <w:p w14:paraId="08EB2D71" w14:textId="5F493D38" w:rsidR="00BB55DE" w:rsidRPr="00A64175" w:rsidRDefault="00BB55DE" w:rsidP="00A64175">
            <w:pPr>
              <w:pStyle w:val="Paragraphedeliste"/>
              <w:numPr>
                <w:ilvl w:val="0"/>
                <w:numId w:val="117"/>
              </w:numPr>
              <w:contextualSpacing/>
              <w:rPr>
                <w:rFonts w:eastAsia="Times New Roman"/>
                <w:lang w:eastAsia="fr-FR"/>
              </w:rPr>
            </w:pPr>
            <w:r w:rsidRPr="00A64175">
              <w:rPr>
                <w:rFonts w:eastAsia="Times New Roman"/>
                <w:lang w:eastAsia="fr-FR"/>
              </w:rPr>
              <w:t>Les organismes de capital investissement ;</w:t>
            </w:r>
          </w:p>
          <w:p w14:paraId="50F04AF5" w14:textId="02A00B2E" w:rsidR="00BB55DE" w:rsidRPr="00D10A0C" w:rsidRDefault="00BB55DE" w:rsidP="00A64175">
            <w:pPr>
              <w:pStyle w:val="Paragraphedeliste"/>
              <w:numPr>
                <w:ilvl w:val="0"/>
                <w:numId w:val="117"/>
              </w:numPr>
              <w:contextualSpacing/>
              <w:rPr>
                <w:rFonts w:eastAsia="Times New Roman"/>
                <w:lang w:eastAsia="fr-FR"/>
              </w:rPr>
            </w:pPr>
            <w:r w:rsidRPr="00A64175">
              <w:rPr>
                <w:rFonts w:eastAsia="Times New Roman"/>
                <w:lang w:eastAsia="fr-FR"/>
              </w:rPr>
              <w:t>Les organismes professionnels d’investissement à long terme.</w:t>
            </w:r>
          </w:p>
          <w:p w14:paraId="2D788BA6" w14:textId="77777777" w:rsidR="00BB55DE" w:rsidRPr="00A64175" w:rsidRDefault="00BB55DE" w:rsidP="00A64175">
            <w:pPr>
              <w:contextualSpacing/>
              <w:jc w:val="both"/>
              <w:rPr>
                <w:rFonts w:ascii="Arial" w:hAnsi="Arial" w:cs="Arial"/>
                <w:b/>
                <w:bCs/>
              </w:rPr>
            </w:pPr>
          </w:p>
          <w:p w14:paraId="50D99E61" w14:textId="77777777" w:rsidR="007058CC" w:rsidRDefault="007058CC" w:rsidP="00A64175">
            <w:pPr>
              <w:contextualSpacing/>
              <w:jc w:val="both"/>
              <w:rPr>
                <w:rFonts w:ascii="Arial" w:hAnsi="Arial" w:cs="Arial"/>
                <w:b/>
                <w:bCs/>
              </w:rPr>
            </w:pPr>
            <w:r w:rsidRPr="00A64175">
              <w:rPr>
                <w:rFonts w:ascii="Arial" w:hAnsi="Arial" w:cs="Arial"/>
                <w:b/>
                <w:bCs/>
              </w:rPr>
              <w:t>Secti</w:t>
            </w:r>
            <w:r w:rsidR="00F3560B" w:rsidRPr="00A64175">
              <w:rPr>
                <w:rFonts w:ascii="Arial" w:hAnsi="Arial" w:cs="Arial"/>
                <w:b/>
                <w:bCs/>
              </w:rPr>
              <w:t>on I : ORGANISMES DE TITRISATION</w:t>
            </w:r>
          </w:p>
          <w:p w14:paraId="4742A9AD" w14:textId="31F4F2CD" w:rsidR="00D10A0C" w:rsidRPr="00A64175" w:rsidRDefault="00D10A0C" w:rsidP="00A64175">
            <w:pPr>
              <w:contextualSpacing/>
              <w:jc w:val="both"/>
              <w:rPr>
                <w:rFonts w:ascii="Arial" w:hAnsi="Arial" w:cs="Arial"/>
                <w:b/>
                <w:bCs/>
              </w:rPr>
            </w:pPr>
          </w:p>
        </w:tc>
      </w:tr>
      <w:tr w:rsidR="007058CC" w:rsidRPr="00A64175" w14:paraId="57A59C9E" w14:textId="77777777" w:rsidTr="000E7336">
        <w:trPr>
          <w:jc w:val="center"/>
        </w:trPr>
        <w:tc>
          <w:tcPr>
            <w:tcW w:w="10316" w:type="dxa"/>
            <w:shd w:val="clear" w:color="auto" w:fill="auto"/>
          </w:tcPr>
          <w:p w14:paraId="7D8E5025" w14:textId="77777777" w:rsidR="007058CC" w:rsidRPr="00A64175" w:rsidRDefault="007058CC" w:rsidP="00A64175">
            <w:pPr>
              <w:contextualSpacing/>
              <w:jc w:val="both"/>
              <w:rPr>
                <w:rFonts w:ascii="Arial" w:hAnsi="Arial" w:cs="Arial"/>
              </w:rPr>
            </w:pPr>
            <w:r w:rsidRPr="00A64175">
              <w:rPr>
                <w:rFonts w:ascii="Arial" w:hAnsi="Arial" w:cs="Arial"/>
              </w:rPr>
              <w:t>Sous-section 1 – Principes Généraux</w:t>
            </w:r>
          </w:p>
        </w:tc>
      </w:tr>
      <w:tr w:rsidR="007058CC" w:rsidRPr="00A64175" w14:paraId="623C0D5D" w14:textId="77777777" w:rsidTr="000E7336">
        <w:trPr>
          <w:jc w:val="center"/>
        </w:trPr>
        <w:tc>
          <w:tcPr>
            <w:tcW w:w="10316" w:type="dxa"/>
            <w:shd w:val="clear" w:color="auto" w:fill="auto"/>
          </w:tcPr>
          <w:p w14:paraId="077638F0" w14:textId="77777777" w:rsidR="007058CC" w:rsidRPr="00A64175" w:rsidRDefault="007058CC" w:rsidP="00A64175">
            <w:pPr>
              <w:contextualSpacing/>
              <w:jc w:val="both"/>
              <w:rPr>
                <w:rFonts w:ascii="Arial" w:hAnsi="Arial" w:cs="Arial"/>
                <w:b/>
                <w:bCs/>
              </w:rPr>
            </w:pPr>
          </w:p>
          <w:p w14:paraId="5D72F300" w14:textId="5D5D5992" w:rsidR="007058CC" w:rsidRPr="00A64175" w:rsidRDefault="00F23E25" w:rsidP="00A64175">
            <w:pPr>
              <w:contextualSpacing/>
              <w:jc w:val="both"/>
              <w:rPr>
                <w:rFonts w:ascii="Arial" w:hAnsi="Arial" w:cs="Arial"/>
                <w:b/>
                <w:bCs/>
              </w:rPr>
            </w:pPr>
            <w:r w:rsidRPr="00A64175">
              <w:rPr>
                <w:rFonts w:ascii="Arial" w:hAnsi="Arial" w:cs="Arial"/>
                <w:b/>
                <w:bCs/>
              </w:rPr>
              <w:t>Article 3</w:t>
            </w:r>
            <w:r w:rsidR="00757151">
              <w:rPr>
                <w:rFonts w:ascii="Arial" w:hAnsi="Arial" w:cs="Arial"/>
                <w:b/>
                <w:bCs/>
              </w:rPr>
              <w:t>92</w:t>
            </w:r>
            <w:r w:rsidR="007058CC" w:rsidRPr="00A64175">
              <w:rPr>
                <w:rFonts w:ascii="Arial" w:hAnsi="Arial" w:cs="Arial"/>
                <w:b/>
                <w:bCs/>
              </w:rPr>
              <w:t xml:space="preserve"> </w:t>
            </w:r>
            <w:r w:rsidRPr="00A64175">
              <w:rPr>
                <w:rFonts w:ascii="Arial" w:hAnsi="Arial" w:cs="Arial"/>
                <w:b/>
                <w:bCs/>
              </w:rPr>
              <w:t>–</w:t>
            </w:r>
            <w:r w:rsidR="007058CC" w:rsidRPr="00A64175">
              <w:rPr>
                <w:rFonts w:ascii="Arial" w:hAnsi="Arial" w:cs="Arial"/>
                <w:b/>
                <w:bCs/>
              </w:rPr>
              <w:t xml:space="preserve"> </w:t>
            </w:r>
          </w:p>
          <w:p w14:paraId="1D19E3D6" w14:textId="77777777" w:rsidR="00F23E25" w:rsidRPr="00A64175" w:rsidRDefault="00F23E25" w:rsidP="006924CE">
            <w:pPr>
              <w:contextualSpacing/>
              <w:jc w:val="both"/>
              <w:rPr>
                <w:rFonts w:ascii="Arial" w:hAnsi="Arial" w:cs="Arial"/>
                <w:b/>
                <w:bCs/>
              </w:rPr>
            </w:pPr>
          </w:p>
          <w:p w14:paraId="438FDB6F" w14:textId="77777777" w:rsidR="00096986" w:rsidRPr="00A64175" w:rsidRDefault="007058CC" w:rsidP="006924CE">
            <w:pPr>
              <w:pStyle w:val="Paragraphedeliste"/>
              <w:numPr>
                <w:ilvl w:val="0"/>
                <w:numId w:val="182"/>
              </w:numPr>
              <w:spacing w:before="0" w:beforeAutospacing="0" w:after="0" w:afterAutospacing="0" w:line="240" w:lineRule="auto"/>
              <w:rPr>
                <w:b/>
                <w:bCs/>
              </w:rPr>
            </w:pPr>
            <w:r w:rsidRPr="00A64175">
              <w:t xml:space="preserve">Un organisme de titrisation (OT) est un FIA qui acquière des créances en </w:t>
            </w:r>
          </w:p>
          <w:p w14:paraId="78047C42" w14:textId="77777777" w:rsidR="00096986" w:rsidRPr="00A64175" w:rsidRDefault="007058CC" w:rsidP="006924CE">
            <w:pPr>
              <w:pStyle w:val="Paragraphedeliste"/>
              <w:spacing w:before="0" w:beforeAutospacing="0" w:after="0" w:afterAutospacing="0" w:line="240" w:lineRule="auto"/>
            </w:pPr>
            <w:r w:rsidRPr="00A64175">
              <w:t xml:space="preserve">finançant cette acquisition par l’émission de titres négociables représentatifs </w:t>
            </w:r>
          </w:p>
          <w:p w14:paraId="1DE14076" w14:textId="5F1FEA2F" w:rsidR="007058CC" w:rsidRPr="00A64175" w:rsidRDefault="007058CC" w:rsidP="006924CE">
            <w:pPr>
              <w:pStyle w:val="Paragraphedeliste"/>
              <w:spacing w:before="0" w:beforeAutospacing="0" w:after="0" w:afterAutospacing="0" w:line="240" w:lineRule="auto"/>
              <w:rPr>
                <w:b/>
                <w:bCs/>
              </w:rPr>
            </w:pPr>
            <w:r w:rsidRPr="00A64175">
              <w:t>desdites créances.</w:t>
            </w:r>
          </w:p>
          <w:p w14:paraId="6667FC57" w14:textId="77777777" w:rsidR="00096986" w:rsidRPr="00A64175" w:rsidRDefault="007058CC" w:rsidP="006924CE">
            <w:pPr>
              <w:pStyle w:val="Paragraphedeliste"/>
              <w:numPr>
                <w:ilvl w:val="0"/>
                <w:numId w:val="182"/>
              </w:numPr>
              <w:spacing w:before="0" w:beforeAutospacing="0" w:after="0" w:afterAutospacing="0" w:line="240" w:lineRule="auto"/>
            </w:pPr>
            <w:r w:rsidRPr="00A64175">
              <w:t xml:space="preserve">Les organismes de titrisation prenant la forme de copropriété sont dénommés </w:t>
            </w:r>
          </w:p>
          <w:p w14:paraId="0023E956" w14:textId="77777777" w:rsidR="00096986" w:rsidRPr="00A64175" w:rsidRDefault="007058CC" w:rsidP="006924CE">
            <w:pPr>
              <w:pStyle w:val="Paragraphedeliste"/>
              <w:spacing w:before="0" w:beforeAutospacing="0" w:after="0" w:afterAutospacing="0" w:line="240" w:lineRule="auto"/>
            </w:pPr>
            <w:r w:rsidRPr="00A64175">
              <w:t xml:space="preserve">des Fonds commun de titrisation (FCT) et de société de titrisation (ST) pour ceux </w:t>
            </w:r>
          </w:p>
          <w:p w14:paraId="6572B333" w14:textId="7CBB2829" w:rsidR="007058CC" w:rsidRPr="00A64175" w:rsidRDefault="007058CC" w:rsidP="006924CE">
            <w:pPr>
              <w:pStyle w:val="Paragraphedeliste"/>
              <w:spacing w:before="0" w:beforeAutospacing="0" w:after="0" w:afterAutospacing="0" w:line="240" w:lineRule="auto"/>
            </w:pPr>
            <w:r w:rsidRPr="00A64175">
              <w:t xml:space="preserve">optant pour la forme sociétale. </w:t>
            </w:r>
          </w:p>
          <w:p w14:paraId="33009546" w14:textId="3F9E23EB" w:rsidR="0068539C" w:rsidRPr="00A64175" w:rsidRDefault="007058CC" w:rsidP="00A64175">
            <w:pPr>
              <w:pStyle w:val="Paragraphedeliste"/>
              <w:numPr>
                <w:ilvl w:val="0"/>
                <w:numId w:val="182"/>
              </w:numPr>
              <w:spacing w:before="0" w:beforeAutospacing="0" w:after="0" w:afterAutospacing="0" w:line="240" w:lineRule="auto"/>
              <w:rPr>
                <w:b/>
                <w:bCs/>
              </w:rPr>
            </w:pPr>
            <w:r w:rsidRPr="00A64175">
              <w:t xml:space="preserve">La souscription </w:t>
            </w:r>
            <w:r w:rsidR="0068539C" w:rsidRPr="00A64175">
              <w:t>des titres/parts OT est ouverte aux investisseurs personnes physiques ou morales</w:t>
            </w:r>
            <w:r w:rsidRPr="00A64175">
              <w:t xml:space="preserve">. </w:t>
            </w:r>
            <w:r w:rsidR="0068539C" w:rsidRPr="00A64175">
              <w:t xml:space="preserve">Toutefois, lorsque la titrisation a pour objet un portefeuille de créances douteuses ou en souffrance, la souscription doit être réservée aux investisseurs qualifiés définis à l’article 89 du </w:t>
            </w:r>
            <w:r w:rsidR="006D080E" w:rsidRPr="00A64175">
              <w:rPr>
                <w:color w:val="000000"/>
              </w:rPr>
              <w:t>Règlement n°01/22/CEMAC/UMAC/CM/COSUMAF du 21 juillet 2022.</w:t>
            </w:r>
          </w:p>
          <w:p w14:paraId="30D4B302" w14:textId="77777777" w:rsidR="007058CC" w:rsidRPr="00A64175" w:rsidRDefault="007058CC" w:rsidP="00A64175">
            <w:pPr>
              <w:pStyle w:val="Paragraphedeliste"/>
              <w:spacing w:before="0" w:beforeAutospacing="0" w:after="0" w:afterAutospacing="0" w:line="240" w:lineRule="auto"/>
              <w:rPr>
                <w:b/>
                <w:bCs/>
              </w:rPr>
            </w:pPr>
          </w:p>
          <w:p w14:paraId="6AE415E3" w14:textId="77777777" w:rsidR="006D080E" w:rsidRPr="00A64175" w:rsidRDefault="006D080E" w:rsidP="00A64175">
            <w:pPr>
              <w:pStyle w:val="Paragraphedeliste"/>
              <w:spacing w:before="0" w:beforeAutospacing="0" w:after="0" w:afterAutospacing="0" w:line="240" w:lineRule="auto"/>
              <w:rPr>
                <w:b/>
                <w:bCs/>
              </w:rPr>
            </w:pPr>
          </w:p>
          <w:p w14:paraId="7F59BB14" w14:textId="61422F6C" w:rsidR="006D080E" w:rsidRPr="00A64175" w:rsidRDefault="00F23E25" w:rsidP="00A64175">
            <w:pPr>
              <w:jc w:val="both"/>
              <w:rPr>
                <w:rFonts w:ascii="Arial" w:eastAsia="Times New Roman" w:hAnsi="Arial" w:cs="Arial"/>
                <w:lang w:eastAsia="fr-FR"/>
              </w:rPr>
            </w:pPr>
            <w:r w:rsidRPr="00A64175">
              <w:rPr>
                <w:rFonts w:ascii="Arial" w:hAnsi="Arial" w:cs="Arial"/>
                <w:b/>
              </w:rPr>
              <w:t>Article 39</w:t>
            </w:r>
            <w:r w:rsidR="00757151">
              <w:rPr>
                <w:rFonts w:ascii="Arial" w:hAnsi="Arial" w:cs="Arial"/>
                <w:b/>
              </w:rPr>
              <w:t>3</w:t>
            </w:r>
            <w:r w:rsidR="006D080E" w:rsidRPr="00A64175">
              <w:rPr>
                <w:rFonts w:ascii="Arial" w:hAnsi="Arial" w:cs="Arial"/>
                <w:b/>
              </w:rPr>
              <w:t xml:space="preserve">. – </w:t>
            </w:r>
            <w:r w:rsidR="006D080E" w:rsidRPr="00A64175">
              <w:rPr>
                <w:rFonts w:ascii="Arial" w:eastAsia="Times New Roman" w:hAnsi="Arial" w:cs="Arial"/>
                <w:lang w:eastAsia="fr-FR"/>
              </w:rPr>
              <w:t>Les organismes de titrisation peuvent revêtir deux formes : soit la forme d’un fonds commun de titrisation (FCT) soit la forme d’une société de titrisation (ST).</w:t>
            </w:r>
          </w:p>
          <w:p w14:paraId="3BDF2D8C" w14:textId="77777777" w:rsidR="006D080E" w:rsidRPr="00A64175" w:rsidRDefault="006D080E" w:rsidP="00A64175">
            <w:pPr>
              <w:jc w:val="both"/>
              <w:rPr>
                <w:rFonts w:ascii="Arial" w:hAnsi="Arial" w:cs="Arial"/>
              </w:rPr>
            </w:pPr>
          </w:p>
          <w:p w14:paraId="306AE27B" w14:textId="432225F7" w:rsidR="006D080E" w:rsidRPr="00A64175" w:rsidRDefault="00F23E25" w:rsidP="00A64175">
            <w:pPr>
              <w:jc w:val="both"/>
              <w:rPr>
                <w:rFonts w:ascii="Arial" w:hAnsi="Arial" w:cs="Arial"/>
              </w:rPr>
            </w:pPr>
            <w:r w:rsidRPr="00A64175">
              <w:rPr>
                <w:rFonts w:ascii="Arial" w:hAnsi="Arial" w:cs="Arial"/>
                <w:b/>
              </w:rPr>
              <w:t>Article 39</w:t>
            </w:r>
            <w:r w:rsidR="00757151">
              <w:rPr>
                <w:rFonts w:ascii="Arial" w:hAnsi="Arial" w:cs="Arial"/>
                <w:b/>
              </w:rPr>
              <w:t>4</w:t>
            </w:r>
            <w:r w:rsidR="006D080E" w:rsidRPr="00A64175">
              <w:rPr>
                <w:rFonts w:ascii="Arial" w:hAnsi="Arial" w:cs="Arial"/>
                <w:b/>
              </w:rPr>
              <w:t xml:space="preserve">. – </w:t>
            </w:r>
            <w:r w:rsidR="006D080E" w:rsidRPr="00A64175">
              <w:rPr>
                <w:rFonts w:ascii="Arial" w:eastAsia="Times New Roman" w:hAnsi="Arial" w:cs="Arial"/>
                <w:lang w:eastAsia="fr-FR"/>
              </w:rPr>
              <w:t>Le fonds commun de titrisation  (FCT) est une copropriété qui a pour objet d’acquérir des créances et leurs accessoires et d’émettre des parts représentatives de ces créances.</w:t>
            </w:r>
          </w:p>
          <w:p w14:paraId="0F7F5809" w14:textId="77777777" w:rsidR="006D080E" w:rsidRPr="00A64175" w:rsidRDefault="006D080E" w:rsidP="00A64175">
            <w:pPr>
              <w:jc w:val="both"/>
              <w:rPr>
                <w:rFonts w:ascii="Arial" w:hAnsi="Arial" w:cs="Arial"/>
              </w:rPr>
            </w:pPr>
            <w:r w:rsidRPr="00A64175">
              <w:rPr>
                <w:rFonts w:ascii="Arial" w:hAnsi="Arial" w:cs="Arial"/>
              </w:rPr>
              <w:t>Le FCT  est dépourvu de la personnalité morale. Il est représenté à l’égard des tiers et dans toute action en justice par sa société de gestion.</w:t>
            </w:r>
          </w:p>
          <w:p w14:paraId="23611276" w14:textId="77777777" w:rsidR="006D080E" w:rsidRPr="00A64175" w:rsidRDefault="006D080E" w:rsidP="00A64175">
            <w:pPr>
              <w:jc w:val="both"/>
              <w:rPr>
                <w:rFonts w:ascii="Arial" w:eastAsia="Times New Roman" w:hAnsi="Arial" w:cs="Arial"/>
                <w:lang w:eastAsia="fr-FR"/>
              </w:rPr>
            </w:pPr>
            <w:r w:rsidRPr="00A64175">
              <w:rPr>
                <w:rFonts w:ascii="Arial" w:eastAsia="Times New Roman" w:hAnsi="Arial" w:cs="Arial"/>
                <w:lang w:eastAsia="fr-FR"/>
              </w:rPr>
              <w:t>Les dispositions relatives à l’indivision et aux sociétés en participation ne lui sont pas applicables.</w:t>
            </w:r>
          </w:p>
          <w:p w14:paraId="5E0DED64" w14:textId="77777777" w:rsidR="006D080E" w:rsidRPr="00A64175" w:rsidRDefault="006D080E" w:rsidP="00A64175">
            <w:pPr>
              <w:jc w:val="both"/>
              <w:rPr>
                <w:rFonts w:ascii="Arial" w:eastAsia="Times New Roman" w:hAnsi="Arial" w:cs="Arial"/>
                <w:lang w:eastAsia="fr-FR"/>
              </w:rPr>
            </w:pPr>
          </w:p>
          <w:p w14:paraId="5758FBD4" w14:textId="77777777" w:rsidR="006D080E" w:rsidRPr="00A64175" w:rsidRDefault="006D080E" w:rsidP="00A64175">
            <w:pPr>
              <w:jc w:val="both"/>
              <w:rPr>
                <w:rFonts w:ascii="Arial" w:hAnsi="Arial" w:cs="Arial"/>
              </w:rPr>
            </w:pPr>
            <w:r w:rsidRPr="00A64175">
              <w:rPr>
                <w:rFonts w:ascii="Arial" w:hAnsi="Arial" w:cs="Arial"/>
              </w:rPr>
              <w:t>Le FCTC est soumis à l’agrément préalable de la COSUMAF dans les conditions précisées dans le Règlement général de la COSUMAF.</w:t>
            </w:r>
            <w:r w:rsidRPr="00A64175">
              <w:rPr>
                <w:rFonts w:ascii="Arial" w:hAnsi="Arial" w:cs="Arial"/>
              </w:rPr>
              <w:tab/>
            </w:r>
          </w:p>
          <w:p w14:paraId="7BE338EF" w14:textId="77777777" w:rsidR="006D080E" w:rsidRPr="00A64175" w:rsidRDefault="006D080E" w:rsidP="00A64175">
            <w:pPr>
              <w:jc w:val="both"/>
              <w:rPr>
                <w:rFonts w:ascii="Arial" w:hAnsi="Arial" w:cs="Arial"/>
              </w:rPr>
            </w:pPr>
          </w:p>
          <w:p w14:paraId="0BC1E071" w14:textId="10174582" w:rsidR="006D080E" w:rsidRPr="00A64175" w:rsidRDefault="00F23E25" w:rsidP="00A64175">
            <w:pPr>
              <w:jc w:val="both"/>
              <w:rPr>
                <w:rFonts w:ascii="Arial" w:eastAsia="Times New Roman" w:hAnsi="Arial" w:cs="Arial"/>
                <w:lang w:eastAsia="fr-FR"/>
              </w:rPr>
            </w:pPr>
            <w:r w:rsidRPr="00A64175">
              <w:rPr>
                <w:rFonts w:ascii="Arial" w:hAnsi="Arial" w:cs="Arial"/>
                <w:b/>
              </w:rPr>
              <w:t>Article 39</w:t>
            </w:r>
            <w:r w:rsidR="00757151">
              <w:rPr>
                <w:rFonts w:ascii="Arial" w:hAnsi="Arial" w:cs="Arial"/>
                <w:b/>
              </w:rPr>
              <w:t>5</w:t>
            </w:r>
            <w:r w:rsidR="006D080E" w:rsidRPr="00A64175">
              <w:rPr>
                <w:rFonts w:ascii="Arial" w:hAnsi="Arial" w:cs="Arial"/>
                <w:b/>
              </w:rPr>
              <w:t xml:space="preserve">. – </w:t>
            </w:r>
            <w:r w:rsidR="006D080E" w:rsidRPr="00A64175">
              <w:rPr>
                <w:rFonts w:ascii="Arial" w:eastAsia="Times New Roman" w:hAnsi="Arial" w:cs="Arial"/>
                <w:lang w:eastAsia="fr-FR"/>
              </w:rPr>
              <w:t>Le FCT est constitué à l’initiative d’une société chargée de sa gestion. La constitution du fonds peut également intervenir à l’initiative conjointe de la société de gestion et du dépositaire. Les deux structures visées au présent article doivent, avant toute intervention ou opération, obtenir leur agrément auprès de la COSUMAF.</w:t>
            </w:r>
          </w:p>
          <w:p w14:paraId="6FF3C841" w14:textId="67A18186" w:rsidR="00664641" w:rsidRPr="00A64175" w:rsidRDefault="00664641" w:rsidP="00A64175">
            <w:pPr>
              <w:jc w:val="both"/>
              <w:rPr>
                <w:rFonts w:ascii="Arial" w:eastAsia="Times New Roman" w:hAnsi="Arial" w:cs="Arial"/>
                <w:lang w:eastAsia="fr-FR"/>
              </w:rPr>
            </w:pPr>
          </w:p>
          <w:p w14:paraId="759EBB40" w14:textId="77777777" w:rsidR="00664641" w:rsidRPr="00A64175" w:rsidRDefault="00664641" w:rsidP="00A64175">
            <w:pPr>
              <w:jc w:val="both"/>
              <w:rPr>
                <w:rFonts w:ascii="Arial" w:eastAsia="Times New Roman" w:hAnsi="Arial" w:cs="Arial"/>
                <w:lang w:eastAsia="fr-FR"/>
              </w:rPr>
            </w:pPr>
          </w:p>
          <w:p w14:paraId="27CBFC29" w14:textId="67D2385B" w:rsidR="006D080E" w:rsidRPr="00A64175" w:rsidRDefault="00F23E25" w:rsidP="00A64175">
            <w:pPr>
              <w:jc w:val="both"/>
              <w:rPr>
                <w:rFonts w:ascii="Arial" w:eastAsia="Times New Roman" w:hAnsi="Arial" w:cs="Arial"/>
                <w:lang w:eastAsia="fr-FR"/>
              </w:rPr>
            </w:pPr>
            <w:r w:rsidRPr="00A64175">
              <w:rPr>
                <w:rFonts w:ascii="Arial" w:hAnsi="Arial" w:cs="Arial"/>
                <w:b/>
              </w:rPr>
              <w:t>Article 39</w:t>
            </w:r>
            <w:r w:rsidR="00757151">
              <w:rPr>
                <w:rFonts w:ascii="Arial" w:hAnsi="Arial" w:cs="Arial"/>
                <w:b/>
              </w:rPr>
              <w:t>6</w:t>
            </w:r>
            <w:r w:rsidR="006D080E" w:rsidRPr="00A64175">
              <w:rPr>
                <w:rFonts w:ascii="Arial" w:hAnsi="Arial" w:cs="Arial"/>
                <w:b/>
              </w:rPr>
              <w:t xml:space="preserve">. – </w:t>
            </w:r>
            <w:r w:rsidR="006D080E" w:rsidRPr="00A64175">
              <w:rPr>
                <w:rFonts w:ascii="Arial" w:eastAsia="Times New Roman" w:hAnsi="Arial" w:cs="Arial"/>
                <w:lang w:eastAsia="fr-FR"/>
              </w:rPr>
              <w:t>Le règlement du FCT définit ses modalités de fonctionnement. Il est établi par la société de gestion ou, en cas de constitution conjointe du FCT, par la société de gestion et le dépositaire.</w:t>
            </w:r>
          </w:p>
          <w:p w14:paraId="08BFA105" w14:textId="77777777" w:rsidR="006D080E" w:rsidRPr="00A64175" w:rsidRDefault="006D080E" w:rsidP="00A64175">
            <w:pPr>
              <w:jc w:val="both"/>
              <w:rPr>
                <w:rFonts w:ascii="Arial" w:eastAsia="Times New Roman" w:hAnsi="Arial" w:cs="Arial"/>
                <w:lang w:eastAsia="fr-FR"/>
              </w:rPr>
            </w:pPr>
          </w:p>
          <w:p w14:paraId="579571B5" w14:textId="06C8FABD" w:rsidR="006D080E" w:rsidRPr="00A64175" w:rsidRDefault="00F23E25" w:rsidP="00A64175">
            <w:pPr>
              <w:jc w:val="both"/>
              <w:rPr>
                <w:rFonts w:ascii="Arial" w:eastAsia="Times New Roman" w:hAnsi="Arial" w:cs="Arial"/>
                <w:lang w:eastAsia="fr-FR"/>
              </w:rPr>
            </w:pPr>
            <w:r w:rsidRPr="00A64175">
              <w:rPr>
                <w:rFonts w:ascii="Arial" w:hAnsi="Arial" w:cs="Arial"/>
                <w:b/>
              </w:rPr>
              <w:t>Article 39</w:t>
            </w:r>
            <w:r w:rsidR="00757151">
              <w:rPr>
                <w:rFonts w:ascii="Arial" w:hAnsi="Arial" w:cs="Arial"/>
                <w:b/>
              </w:rPr>
              <w:t>7</w:t>
            </w:r>
            <w:r w:rsidR="006D080E" w:rsidRPr="00A64175">
              <w:rPr>
                <w:rFonts w:ascii="Arial" w:hAnsi="Arial" w:cs="Arial"/>
                <w:b/>
              </w:rPr>
              <w:t xml:space="preserve">. – </w:t>
            </w:r>
            <w:r w:rsidR="009F78DB" w:rsidRPr="00A64175">
              <w:rPr>
                <w:rFonts w:ascii="Arial" w:eastAsia="Times New Roman" w:hAnsi="Arial" w:cs="Arial"/>
                <w:lang w:eastAsia="fr-FR"/>
              </w:rPr>
              <w:t>Les ST</w:t>
            </w:r>
            <w:r w:rsidR="006D080E" w:rsidRPr="00A64175">
              <w:rPr>
                <w:rFonts w:ascii="Arial" w:eastAsia="Times New Roman" w:hAnsi="Arial" w:cs="Arial"/>
                <w:lang w:eastAsia="fr-FR"/>
              </w:rPr>
              <w:t xml:space="preserve"> sont constituées sous la forme d’une société anonyme ou d’une société par actions simplifiée.</w:t>
            </w:r>
          </w:p>
          <w:p w14:paraId="1B380B2B" w14:textId="77777777" w:rsidR="006D080E" w:rsidRPr="00A64175" w:rsidRDefault="006D080E" w:rsidP="00A64175">
            <w:pPr>
              <w:jc w:val="both"/>
              <w:rPr>
                <w:rFonts w:ascii="Arial" w:eastAsia="Times New Roman" w:hAnsi="Arial" w:cs="Arial"/>
                <w:lang w:eastAsia="fr-FR"/>
              </w:rPr>
            </w:pPr>
            <w:r w:rsidRPr="00A64175">
              <w:rPr>
                <w:rFonts w:ascii="Arial" w:eastAsia="Times New Roman" w:hAnsi="Arial" w:cs="Arial"/>
                <w:lang w:eastAsia="fr-FR"/>
              </w:rPr>
              <w:t>La gestion est assurée par une société de gestion spécialisée.</w:t>
            </w:r>
          </w:p>
          <w:p w14:paraId="50111F00" w14:textId="5CC5142D" w:rsidR="006D080E" w:rsidRPr="00A64175" w:rsidRDefault="006D080E" w:rsidP="00A64175">
            <w:pPr>
              <w:jc w:val="both"/>
              <w:rPr>
                <w:rFonts w:ascii="Arial" w:eastAsia="Times New Roman" w:hAnsi="Arial" w:cs="Arial"/>
                <w:lang w:eastAsia="fr-FR"/>
              </w:rPr>
            </w:pPr>
            <w:r w:rsidRPr="00A64175">
              <w:rPr>
                <w:rFonts w:ascii="Arial" w:eastAsia="Times New Roman" w:hAnsi="Arial" w:cs="Arial"/>
                <w:lang w:eastAsia="fr-FR"/>
              </w:rPr>
              <w:t>L’établissement gestionnaire exerce, sous sa responsabilité, la direction génér</w:t>
            </w:r>
            <w:r w:rsidR="009F78DB" w:rsidRPr="00A64175">
              <w:rPr>
                <w:rFonts w:ascii="Arial" w:eastAsia="Times New Roman" w:hAnsi="Arial" w:cs="Arial"/>
                <w:lang w:eastAsia="fr-FR"/>
              </w:rPr>
              <w:t>ale de la ST  s</w:t>
            </w:r>
            <w:r w:rsidRPr="00A64175">
              <w:rPr>
                <w:rFonts w:ascii="Arial" w:eastAsia="Times New Roman" w:hAnsi="Arial" w:cs="Arial"/>
                <w:lang w:eastAsia="fr-FR"/>
              </w:rPr>
              <w:t xml:space="preserve"> constituée sous forme de société anonyme ou la présidence lorsque la société est constituée sous forme de société par actions simplifiée.</w:t>
            </w:r>
          </w:p>
          <w:p w14:paraId="7C519E8A" w14:textId="47101028" w:rsidR="006D080E" w:rsidRPr="00A64175" w:rsidRDefault="006D080E" w:rsidP="00A64175">
            <w:pPr>
              <w:jc w:val="both"/>
              <w:rPr>
                <w:rFonts w:ascii="Arial" w:hAnsi="Arial" w:cs="Arial"/>
                <w:b/>
                <w:bCs/>
              </w:rPr>
            </w:pPr>
          </w:p>
        </w:tc>
      </w:tr>
      <w:tr w:rsidR="007058CC" w:rsidRPr="00A64175" w14:paraId="6379E5FF" w14:textId="77777777" w:rsidTr="000E7336">
        <w:trPr>
          <w:jc w:val="center"/>
        </w:trPr>
        <w:tc>
          <w:tcPr>
            <w:tcW w:w="10316" w:type="dxa"/>
            <w:shd w:val="clear" w:color="auto" w:fill="auto"/>
          </w:tcPr>
          <w:p w14:paraId="34D9A518" w14:textId="77777777" w:rsidR="007058CC" w:rsidRPr="00A64175" w:rsidRDefault="007058CC" w:rsidP="00A64175">
            <w:pPr>
              <w:contextualSpacing/>
              <w:jc w:val="both"/>
              <w:rPr>
                <w:rFonts w:ascii="Arial" w:hAnsi="Arial" w:cs="Arial"/>
                <w:b/>
                <w:bCs/>
              </w:rPr>
            </w:pPr>
          </w:p>
          <w:p w14:paraId="1C9F4A4F" w14:textId="6747EBEA" w:rsidR="007058CC" w:rsidRPr="00A64175" w:rsidRDefault="00F23E25" w:rsidP="00A64175">
            <w:pPr>
              <w:contextualSpacing/>
              <w:jc w:val="both"/>
              <w:rPr>
                <w:rFonts w:ascii="Arial" w:hAnsi="Arial" w:cs="Arial"/>
                <w:b/>
                <w:bCs/>
              </w:rPr>
            </w:pPr>
            <w:r w:rsidRPr="00A64175">
              <w:rPr>
                <w:rFonts w:ascii="Arial" w:hAnsi="Arial" w:cs="Arial"/>
                <w:b/>
                <w:bCs/>
              </w:rPr>
              <w:t>Article 39</w:t>
            </w:r>
            <w:r w:rsidR="00757151">
              <w:rPr>
                <w:rFonts w:ascii="Arial" w:hAnsi="Arial" w:cs="Arial"/>
                <w:b/>
                <w:bCs/>
              </w:rPr>
              <w:t>8</w:t>
            </w:r>
            <w:r w:rsidR="007058CC" w:rsidRPr="00A64175">
              <w:rPr>
                <w:rFonts w:ascii="Arial" w:hAnsi="Arial" w:cs="Arial"/>
                <w:b/>
                <w:bCs/>
              </w:rPr>
              <w:t xml:space="preserve"> -</w:t>
            </w:r>
          </w:p>
          <w:p w14:paraId="6B4C417F" w14:textId="77777777" w:rsidR="00740509" w:rsidRPr="00A64175" w:rsidRDefault="007058CC" w:rsidP="00A64175">
            <w:pPr>
              <w:contextualSpacing/>
              <w:jc w:val="both"/>
              <w:rPr>
                <w:rFonts w:ascii="Arial" w:hAnsi="Arial" w:cs="Arial"/>
              </w:rPr>
            </w:pPr>
            <w:r w:rsidRPr="00A64175">
              <w:rPr>
                <w:rFonts w:ascii="Arial" w:hAnsi="Arial" w:cs="Arial"/>
              </w:rPr>
              <w:t xml:space="preserve">Seules les sociétés de gestion dont le programme d’activité prévoit la gestion d’Organisme </w:t>
            </w:r>
          </w:p>
          <w:p w14:paraId="25F28235" w14:textId="67798B7D" w:rsidR="007058CC" w:rsidRPr="00A64175" w:rsidRDefault="007058CC" w:rsidP="00A64175">
            <w:pPr>
              <w:contextualSpacing/>
              <w:jc w:val="both"/>
              <w:rPr>
                <w:rFonts w:ascii="Arial" w:hAnsi="Arial" w:cs="Arial"/>
                <w:b/>
                <w:bCs/>
              </w:rPr>
            </w:pPr>
            <w:r w:rsidRPr="00A64175">
              <w:rPr>
                <w:rFonts w:ascii="Arial" w:hAnsi="Arial" w:cs="Arial"/>
              </w:rPr>
              <w:t>de titrisation, peuvent gérer des Organisme de titrisation.</w:t>
            </w:r>
          </w:p>
        </w:tc>
      </w:tr>
      <w:tr w:rsidR="007058CC" w:rsidRPr="00A64175" w14:paraId="74709819" w14:textId="77777777" w:rsidTr="000E7336">
        <w:trPr>
          <w:jc w:val="center"/>
        </w:trPr>
        <w:tc>
          <w:tcPr>
            <w:tcW w:w="10316" w:type="dxa"/>
            <w:shd w:val="clear" w:color="auto" w:fill="auto"/>
          </w:tcPr>
          <w:p w14:paraId="5679510F" w14:textId="77777777" w:rsidR="007058CC" w:rsidRPr="00A64175" w:rsidRDefault="007058CC" w:rsidP="00A64175">
            <w:pPr>
              <w:contextualSpacing/>
              <w:jc w:val="both"/>
              <w:rPr>
                <w:rFonts w:ascii="Arial" w:hAnsi="Arial" w:cs="Arial"/>
                <w:b/>
                <w:bCs/>
              </w:rPr>
            </w:pPr>
          </w:p>
          <w:p w14:paraId="07279C19" w14:textId="4D32663F" w:rsidR="007058CC" w:rsidRPr="00A64175" w:rsidRDefault="00F23E25" w:rsidP="00A64175">
            <w:pPr>
              <w:contextualSpacing/>
              <w:jc w:val="both"/>
              <w:rPr>
                <w:rFonts w:ascii="Arial" w:hAnsi="Arial" w:cs="Arial"/>
                <w:b/>
                <w:bCs/>
              </w:rPr>
            </w:pPr>
            <w:r w:rsidRPr="00A64175">
              <w:rPr>
                <w:rFonts w:ascii="Arial" w:hAnsi="Arial" w:cs="Arial"/>
                <w:b/>
                <w:bCs/>
              </w:rPr>
              <w:t>Article 39</w:t>
            </w:r>
            <w:r w:rsidR="00757151">
              <w:rPr>
                <w:rFonts w:ascii="Arial" w:hAnsi="Arial" w:cs="Arial"/>
                <w:b/>
                <w:bCs/>
              </w:rPr>
              <w:t>9</w:t>
            </w:r>
            <w:r w:rsidR="007058CC" w:rsidRPr="00A64175">
              <w:rPr>
                <w:rFonts w:ascii="Arial" w:hAnsi="Arial" w:cs="Arial"/>
                <w:b/>
                <w:bCs/>
              </w:rPr>
              <w:t xml:space="preserve"> </w:t>
            </w:r>
            <w:r w:rsidR="00A33540" w:rsidRPr="00A64175">
              <w:rPr>
                <w:rFonts w:ascii="Arial" w:hAnsi="Arial" w:cs="Arial"/>
                <w:b/>
                <w:bCs/>
              </w:rPr>
              <w:t>–</w:t>
            </w:r>
            <w:r w:rsidR="007058CC" w:rsidRPr="00A64175">
              <w:rPr>
                <w:rFonts w:ascii="Arial" w:hAnsi="Arial" w:cs="Arial"/>
                <w:b/>
                <w:bCs/>
              </w:rPr>
              <w:t xml:space="preserve"> </w:t>
            </w:r>
          </w:p>
          <w:p w14:paraId="0F1F35F7" w14:textId="77777777" w:rsidR="00A33540" w:rsidRPr="00A64175" w:rsidRDefault="00A33540" w:rsidP="00A64175">
            <w:pPr>
              <w:contextualSpacing/>
              <w:jc w:val="both"/>
              <w:rPr>
                <w:rFonts w:ascii="Arial" w:hAnsi="Arial" w:cs="Arial"/>
                <w:b/>
                <w:bCs/>
              </w:rPr>
            </w:pPr>
          </w:p>
          <w:p w14:paraId="159C10EC" w14:textId="77777777" w:rsidR="007058CC" w:rsidRPr="00A64175" w:rsidRDefault="007058CC" w:rsidP="00A64175">
            <w:pPr>
              <w:contextualSpacing/>
              <w:jc w:val="both"/>
              <w:rPr>
                <w:rFonts w:ascii="Arial" w:hAnsi="Arial" w:cs="Arial"/>
              </w:rPr>
            </w:pPr>
            <w:r w:rsidRPr="00A64175">
              <w:rPr>
                <w:rFonts w:ascii="Arial" w:hAnsi="Arial" w:cs="Arial"/>
              </w:rPr>
              <w:t>Un organisme de titrisation peut émettre :</w:t>
            </w:r>
          </w:p>
          <w:p w14:paraId="1F41FD29" w14:textId="77777777" w:rsidR="007058CC" w:rsidRPr="00A64175" w:rsidRDefault="007058CC" w:rsidP="00A64175">
            <w:pPr>
              <w:contextualSpacing/>
              <w:jc w:val="both"/>
              <w:rPr>
                <w:rFonts w:ascii="Arial" w:hAnsi="Arial" w:cs="Arial"/>
              </w:rPr>
            </w:pPr>
          </w:p>
          <w:p w14:paraId="4199D60D" w14:textId="77777777" w:rsidR="007058CC" w:rsidRPr="00A64175" w:rsidRDefault="007058CC" w:rsidP="00A64175">
            <w:pPr>
              <w:pStyle w:val="Paragraphedeliste"/>
              <w:numPr>
                <w:ilvl w:val="1"/>
                <w:numId w:val="118"/>
              </w:numPr>
              <w:spacing w:before="0" w:beforeAutospacing="0" w:after="0" w:afterAutospacing="0" w:line="240" w:lineRule="auto"/>
              <w:contextualSpacing/>
            </w:pPr>
            <w:r w:rsidRPr="00A64175">
              <w:t xml:space="preserve">des actions ou parts de capital; </w:t>
            </w:r>
          </w:p>
          <w:p w14:paraId="45B5877D" w14:textId="77777777" w:rsidR="007058CC" w:rsidRPr="00A64175" w:rsidRDefault="007058CC" w:rsidP="00A64175">
            <w:pPr>
              <w:pStyle w:val="Paragraphedeliste"/>
              <w:numPr>
                <w:ilvl w:val="1"/>
                <w:numId w:val="118"/>
              </w:numPr>
              <w:spacing w:before="0" w:beforeAutospacing="0" w:after="0" w:afterAutospacing="0" w:line="240" w:lineRule="auto"/>
              <w:contextualSpacing/>
            </w:pPr>
            <w:r w:rsidRPr="00A64175">
              <w:t xml:space="preserve">les titres de créance, </w:t>
            </w:r>
          </w:p>
          <w:p w14:paraId="601BAD49" w14:textId="77777777" w:rsidR="007058CC" w:rsidRPr="00A64175" w:rsidRDefault="007058CC" w:rsidP="00A64175">
            <w:pPr>
              <w:pStyle w:val="Paragraphedeliste"/>
              <w:numPr>
                <w:ilvl w:val="1"/>
                <w:numId w:val="118"/>
              </w:numPr>
              <w:spacing w:before="0" w:beforeAutospacing="0" w:after="0" w:afterAutospacing="0" w:line="240" w:lineRule="auto"/>
              <w:contextualSpacing/>
              <w:rPr>
                <w:b/>
                <w:bCs/>
              </w:rPr>
            </w:pPr>
            <w:r w:rsidRPr="00A64175">
              <w:t>les certificats de sukuk.</w:t>
            </w:r>
          </w:p>
          <w:p w14:paraId="20D3B26C" w14:textId="77777777" w:rsidR="007058CC" w:rsidRPr="00A64175" w:rsidRDefault="007058CC" w:rsidP="00A64175">
            <w:pPr>
              <w:contextualSpacing/>
              <w:jc w:val="both"/>
              <w:rPr>
                <w:rFonts w:ascii="Arial" w:hAnsi="Arial" w:cs="Arial"/>
                <w:b/>
                <w:bCs/>
              </w:rPr>
            </w:pPr>
          </w:p>
        </w:tc>
      </w:tr>
      <w:tr w:rsidR="007058CC" w:rsidRPr="00A64175" w14:paraId="01A589B9" w14:textId="77777777" w:rsidTr="000E7336">
        <w:trPr>
          <w:jc w:val="center"/>
        </w:trPr>
        <w:tc>
          <w:tcPr>
            <w:tcW w:w="10316" w:type="dxa"/>
            <w:shd w:val="clear" w:color="auto" w:fill="auto"/>
          </w:tcPr>
          <w:p w14:paraId="1E87E022" w14:textId="77777777" w:rsidR="007058CC" w:rsidRPr="00A64175" w:rsidRDefault="007058CC" w:rsidP="00A64175">
            <w:pPr>
              <w:contextualSpacing/>
              <w:jc w:val="both"/>
              <w:rPr>
                <w:rFonts w:ascii="Arial" w:hAnsi="Arial" w:cs="Arial"/>
                <w:i/>
                <w:iCs/>
              </w:rPr>
            </w:pPr>
            <w:r w:rsidRPr="00A64175">
              <w:rPr>
                <w:rFonts w:ascii="Arial" w:hAnsi="Arial" w:cs="Arial"/>
                <w:i/>
                <w:iCs/>
              </w:rPr>
              <w:t>Sous-section 2 – Règles de fonctionnement</w:t>
            </w:r>
          </w:p>
          <w:p w14:paraId="5DAE454D" w14:textId="77777777" w:rsidR="007058CC" w:rsidRPr="00A64175" w:rsidRDefault="007058CC" w:rsidP="00A64175">
            <w:pPr>
              <w:contextualSpacing/>
              <w:jc w:val="both"/>
              <w:rPr>
                <w:rFonts w:ascii="Arial" w:hAnsi="Arial" w:cs="Arial"/>
                <w:b/>
                <w:bCs/>
              </w:rPr>
            </w:pPr>
          </w:p>
        </w:tc>
      </w:tr>
      <w:tr w:rsidR="007058CC" w:rsidRPr="00A64175" w14:paraId="2DE83BAF" w14:textId="77777777" w:rsidTr="000E7336">
        <w:trPr>
          <w:jc w:val="center"/>
        </w:trPr>
        <w:tc>
          <w:tcPr>
            <w:tcW w:w="10316" w:type="dxa"/>
            <w:shd w:val="clear" w:color="auto" w:fill="auto"/>
          </w:tcPr>
          <w:p w14:paraId="46A11D27" w14:textId="2AFB81D1" w:rsidR="007058CC" w:rsidRPr="00A64175" w:rsidRDefault="00F23E25" w:rsidP="00A64175">
            <w:pPr>
              <w:contextualSpacing/>
              <w:jc w:val="both"/>
              <w:rPr>
                <w:rFonts w:ascii="Arial" w:hAnsi="Arial" w:cs="Arial"/>
                <w:b/>
                <w:bCs/>
              </w:rPr>
            </w:pPr>
            <w:r w:rsidRPr="00A64175">
              <w:rPr>
                <w:rFonts w:ascii="Arial" w:hAnsi="Arial" w:cs="Arial"/>
                <w:b/>
                <w:bCs/>
              </w:rPr>
              <w:t xml:space="preserve">Article </w:t>
            </w:r>
            <w:r w:rsidR="00757151">
              <w:rPr>
                <w:rFonts w:ascii="Arial" w:hAnsi="Arial" w:cs="Arial"/>
                <w:b/>
                <w:bCs/>
              </w:rPr>
              <w:t>400</w:t>
            </w:r>
            <w:r w:rsidR="007058CC" w:rsidRPr="00A64175">
              <w:rPr>
                <w:rFonts w:ascii="Arial" w:hAnsi="Arial" w:cs="Arial"/>
                <w:b/>
                <w:bCs/>
              </w:rPr>
              <w:t xml:space="preserve"> </w:t>
            </w:r>
            <w:r w:rsidR="007058CC" w:rsidRPr="00A64175">
              <w:rPr>
                <w:rFonts w:ascii="Arial" w:hAnsi="Arial" w:cs="Arial"/>
              </w:rPr>
              <w:t xml:space="preserve">– Une instruction de </w:t>
            </w:r>
            <w:r w:rsidR="00047530" w:rsidRPr="00A64175">
              <w:rPr>
                <w:rFonts w:ascii="Arial" w:hAnsi="Arial" w:cs="Arial"/>
              </w:rPr>
              <w:t>la COSUMAF précise les règles</w:t>
            </w:r>
            <w:r w:rsidR="007058CC" w:rsidRPr="00A64175">
              <w:rPr>
                <w:rFonts w:ascii="Arial" w:hAnsi="Arial" w:cs="Arial"/>
              </w:rPr>
              <w:t xml:space="preserve"> de fonctionnement des organismes de titrisation selon leurs spécificités.</w:t>
            </w:r>
          </w:p>
        </w:tc>
      </w:tr>
      <w:tr w:rsidR="007058CC" w:rsidRPr="00A64175" w14:paraId="6A3A0DBC" w14:textId="77777777" w:rsidTr="000E7336">
        <w:trPr>
          <w:jc w:val="center"/>
        </w:trPr>
        <w:tc>
          <w:tcPr>
            <w:tcW w:w="10316" w:type="dxa"/>
            <w:shd w:val="clear" w:color="auto" w:fill="auto"/>
          </w:tcPr>
          <w:p w14:paraId="414677B3" w14:textId="77777777" w:rsidR="007058CC" w:rsidRPr="00A64175" w:rsidRDefault="007058CC" w:rsidP="00A64175">
            <w:pPr>
              <w:contextualSpacing/>
              <w:jc w:val="both"/>
              <w:rPr>
                <w:rFonts w:ascii="Arial" w:hAnsi="Arial" w:cs="Arial"/>
                <w:b/>
                <w:bCs/>
              </w:rPr>
            </w:pPr>
          </w:p>
          <w:p w14:paraId="476AE0AC" w14:textId="77777777" w:rsidR="007058CC" w:rsidRPr="00A64175" w:rsidRDefault="007058CC" w:rsidP="00A64175">
            <w:pPr>
              <w:contextualSpacing/>
              <w:jc w:val="both"/>
              <w:rPr>
                <w:rFonts w:ascii="Arial" w:hAnsi="Arial" w:cs="Arial"/>
                <w:i/>
                <w:iCs/>
              </w:rPr>
            </w:pPr>
            <w:r w:rsidRPr="00A64175">
              <w:rPr>
                <w:rFonts w:ascii="Arial" w:hAnsi="Arial" w:cs="Arial"/>
                <w:i/>
                <w:iCs/>
              </w:rPr>
              <w:t>Sous-section 3 – Règles d’investissement</w:t>
            </w:r>
          </w:p>
        </w:tc>
      </w:tr>
      <w:tr w:rsidR="007058CC" w:rsidRPr="00A64175" w14:paraId="6741BA73" w14:textId="77777777" w:rsidTr="000E7336">
        <w:trPr>
          <w:jc w:val="center"/>
        </w:trPr>
        <w:tc>
          <w:tcPr>
            <w:tcW w:w="10316" w:type="dxa"/>
            <w:shd w:val="clear" w:color="auto" w:fill="auto"/>
          </w:tcPr>
          <w:p w14:paraId="502DCAAD" w14:textId="77777777" w:rsidR="007058CC" w:rsidRPr="00A64175" w:rsidRDefault="007058CC" w:rsidP="00A64175">
            <w:pPr>
              <w:contextualSpacing/>
              <w:jc w:val="both"/>
              <w:rPr>
                <w:rFonts w:ascii="Arial" w:hAnsi="Arial" w:cs="Arial"/>
                <w:b/>
                <w:bCs/>
              </w:rPr>
            </w:pPr>
          </w:p>
          <w:p w14:paraId="07C51F79" w14:textId="0DAFF1B1" w:rsidR="007058CC" w:rsidRPr="00A64175" w:rsidRDefault="00F23E25" w:rsidP="00A64175">
            <w:pPr>
              <w:contextualSpacing/>
              <w:jc w:val="both"/>
              <w:rPr>
                <w:rFonts w:ascii="Arial" w:hAnsi="Arial" w:cs="Arial"/>
                <w:b/>
                <w:bCs/>
              </w:rPr>
            </w:pPr>
            <w:r w:rsidRPr="00A64175">
              <w:rPr>
                <w:rFonts w:ascii="Arial" w:hAnsi="Arial" w:cs="Arial"/>
                <w:b/>
                <w:bCs/>
              </w:rPr>
              <w:t xml:space="preserve">Article </w:t>
            </w:r>
            <w:r w:rsidR="00757151">
              <w:rPr>
                <w:rFonts w:ascii="Arial" w:hAnsi="Arial" w:cs="Arial"/>
                <w:b/>
                <w:bCs/>
              </w:rPr>
              <w:t>401</w:t>
            </w:r>
            <w:r w:rsidR="007058CC" w:rsidRPr="00A64175">
              <w:rPr>
                <w:rFonts w:ascii="Arial" w:hAnsi="Arial" w:cs="Arial"/>
                <w:b/>
                <w:bCs/>
              </w:rPr>
              <w:t xml:space="preserve"> </w:t>
            </w:r>
            <w:r w:rsidR="00A33540" w:rsidRPr="00A64175">
              <w:rPr>
                <w:rFonts w:ascii="Arial" w:hAnsi="Arial" w:cs="Arial"/>
                <w:b/>
                <w:bCs/>
              </w:rPr>
              <w:t>–</w:t>
            </w:r>
            <w:r w:rsidR="007058CC" w:rsidRPr="00A64175">
              <w:rPr>
                <w:rFonts w:ascii="Arial" w:hAnsi="Arial" w:cs="Arial"/>
                <w:b/>
                <w:bCs/>
              </w:rPr>
              <w:t xml:space="preserve"> </w:t>
            </w:r>
          </w:p>
          <w:p w14:paraId="18681B81" w14:textId="77777777" w:rsidR="00A33540" w:rsidRPr="00A64175" w:rsidRDefault="00A33540" w:rsidP="00A64175">
            <w:pPr>
              <w:contextualSpacing/>
              <w:jc w:val="both"/>
              <w:rPr>
                <w:rFonts w:ascii="Arial" w:hAnsi="Arial" w:cs="Arial"/>
                <w:b/>
                <w:bCs/>
              </w:rPr>
            </w:pPr>
          </w:p>
          <w:p w14:paraId="30552985" w14:textId="77777777" w:rsidR="007058CC" w:rsidRPr="00A64175" w:rsidRDefault="007058CC" w:rsidP="00A64175">
            <w:pPr>
              <w:jc w:val="both"/>
              <w:rPr>
                <w:rFonts w:ascii="Arial" w:hAnsi="Arial" w:cs="Arial"/>
              </w:rPr>
            </w:pPr>
            <w:r w:rsidRPr="00A64175">
              <w:rPr>
                <w:rFonts w:ascii="Arial" w:hAnsi="Arial" w:cs="Arial"/>
              </w:rPr>
              <w:t>L’actif d’un organisme de titrisation peut être composé :</w:t>
            </w:r>
          </w:p>
          <w:p w14:paraId="4E268E82" w14:textId="77777777" w:rsidR="007058CC" w:rsidRPr="00A64175" w:rsidRDefault="007058CC" w:rsidP="00A64175">
            <w:pPr>
              <w:pStyle w:val="Paragraphedeliste"/>
              <w:numPr>
                <w:ilvl w:val="0"/>
                <w:numId w:val="45"/>
              </w:numPr>
              <w:spacing w:before="0" w:beforeAutospacing="0" w:after="0" w:afterAutospacing="0" w:line="240" w:lineRule="auto"/>
            </w:pPr>
            <w:r w:rsidRPr="00A64175">
              <w:t>de créances résultant soit d’un acte déjà intervenu, soit d’un acte à intervenir, que le montant ou la date d’exigibilité soit ou non déterminé ;</w:t>
            </w:r>
          </w:p>
          <w:p w14:paraId="3835FE19" w14:textId="77777777" w:rsidR="007058CC" w:rsidRPr="00A64175" w:rsidRDefault="007058CC" w:rsidP="00A64175">
            <w:pPr>
              <w:pStyle w:val="Paragraphedeliste"/>
              <w:numPr>
                <w:ilvl w:val="0"/>
                <w:numId w:val="45"/>
              </w:numPr>
              <w:spacing w:before="0" w:beforeAutospacing="0" w:after="0" w:afterAutospacing="0" w:line="240" w:lineRule="auto"/>
            </w:pPr>
            <w:r w:rsidRPr="00A64175">
              <w:t>de liquidités ;</w:t>
            </w:r>
          </w:p>
          <w:p w14:paraId="0FA3DCDD" w14:textId="77777777" w:rsidR="007058CC" w:rsidRPr="00A64175" w:rsidRDefault="007058CC" w:rsidP="00A64175">
            <w:pPr>
              <w:pStyle w:val="Paragraphedeliste"/>
              <w:numPr>
                <w:ilvl w:val="0"/>
                <w:numId w:val="45"/>
              </w:numPr>
              <w:spacing w:before="0" w:beforeAutospacing="0" w:after="0" w:afterAutospacing="0" w:line="240" w:lineRule="auto"/>
            </w:pPr>
            <w:r w:rsidRPr="00A64175">
              <w:t>d’actifs qui lui sont transférés au titre de la constitution ou de la réalisation des garanties attachées aux créances cédées à l’organisme de titrisation.</w:t>
            </w:r>
          </w:p>
          <w:p w14:paraId="0A61DC01" w14:textId="77777777" w:rsidR="009F78DB" w:rsidRPr="00A64175" w:rsidRDefault="009F78DB" w:rsidP="00A64175">
            <w:pPr>
              <w:pStyle w:val="Paragraphedeliste"/>
              <w:spacing w:before="0" w:beforeAutospacing="0" w:after="0" w:afterAutospacing="0" w:line="240" w:lineRule="auto"/>
            </w:pPr>
          </w:p>
        </w:tc>
      </w:tr>
      <w:tr w:rsidR="007058CC" w:rsidRPr="00A64175" w14:paraId="6BEB71FA" w14:textId="77777777" w:rsidTr="000E7336">
        <w:trPr>
          <w:trHeight w:val="391"/>
          <w:jc w:val="center"/>
        </w:trPr>
        <w:tc>
          <w:tcPr>
            <w:tcW w:w="10316" w:type="dxa"/>
            <w:shd w:val="clear" w:color="auto" w:fill="auto"/>
          </w:tcPr>
          <w:p w14:paraId="55DEF73C" w14:textId="31D7C0B5" w:rsidR="006D080E" w:rsidRPr="00A64175" w:rsidRDefault="00F23E25" w:rsidP="00A64175">
            <w:pPr>
              <w:jc w:val="both"/>
              <w:rPr>
                <w:rFonts w:ascii="Arial" w:hAnsi="Arial" w:cs="Arial"/>
              </w:rPr>
            </w:pPr>
            <w:r w:rsidRPr="00A64175">
              <w:rPr>
                <w:rFonts w:ascii="Arial" w:hAnsi="Arial" w:cs="Arial"/>
                <w:b/>
              </w:rPr>
              <w:t xml:space="preserve">Article </w:t>
            </w:r>
            <w:r w:rsidR="00757151">
              <w:rPr>
                <w:rFonts w:ascii="Arial" w:hAnsi="Arial" w:cs="Arial"/>
                <w:b/>
              </w:rPr>
              <w:t>402</w:t>
            </w:r>
            <w:r w:rsidR="006D080E" w:rsidRPr="00A64175">
              <w:rPr>
                <w:rFonts w:ascii="Arial" w:hAnsi="Arial" w:cs="Arial"/>
                <w:b/>
              </w:rPr>
              <w:t xml:space="preserve">. – </w:t>
            </w:r>
            <w:r w:rsidR="006D080E" w:rsidRPr="00A64175">
              <w:rPr>
                <w:rFonts w:ascii="Arial" w:hAnsi="Arial" w:cs="Arial"/>
              </w:rPr>
              <w:t>Toute opération financière réalisée par le FCTC donne lieu à l’établissement, par l’établissement gestionnaire, d’un document d’information soumis au visa de la COSUMAF avant toute diffusion dans le public.</w:t>
            </w:r>
          </w:p>
          <w:p w14:paraId="01666905" w14:textId="77777777" w:rsidR="006D080E" w:rsidRPr="00A64175" w:rsidRDefault="006D080E" w:rsidP="00A64175">
            <w:pPr>
              <w:jc w:val="both"/>
              <w:rPr>
                <w:rFonts w:ascii="Arial" w:hAnsi="Arial" w:cs="Arial"/>
              </w:rPr>
            </w:pPr>
          </w:p>
          <w:p w14:paraId="6090192D" w14:textId="3D08BC71" w:rsidR="006D080E" w:rsidRDefault="00F23E25" w:rsidP="00A64175">
            <w:pPr>
              <w:jc w:val="both"/>
              <w:rPr>
                <w:rFonts w:ascii="Arial" w:eastAsia="Times New Roman" w:hAnsi="Arial" w:cs="Arial"/>
                <w:lang w:eastAsia="fr-FR"/>
              </w:rPr>
            </w:pPr>
            <w:r w:rsidRPr="00A64175">
              <w:rPr>
                <w:rFonts w:ascii="Arial" w:hAnsi="Arial" w:cs="Arial"/>
                <w:b/>
              </w:rPr>
              <w:t>Article 40</w:t>
            </w:r>
            <w:r w:rsidR="00757151">
              <w:rPr>
                <w:rFonts w:ascii="Arial" w:hAnsi="Arial" w:cs="Arial"/>
                <w:b/>
              </w:rPr>
              <w:t>3</w:t>
            </w:r>
            <w:r w:rsidR="006D080E" w:rsidRPr="00A64175">
              <w:rPr>
                <w:rFonts w:ascii="Arial" w:hAnsi="Arial" w:cs="Arial"/>
                <w:b/>
              </w:rPr>
              <w:t xml:space="preserve">. – </w:t>
            </w:r>
            <w:r w:rsidR="006D080E" w:rsidRPr="00A64175">
              <w:rPr>
                <w:rFonts w:ascii="Arial" w:eastAsia="Times New Roman" w:hAnsi="Arial" w:cs="Arial"/>
                <w:lang w:eastAsia="fr-FR"/>
              </w:rPr>
              <w:t>Le Règlement général de la COSUMAF définit les règles d’organisation, de fonctionnement et de contrôle des organismes de titrisation. Il précise également les conditions et la procédure d’agrément des organismes de titrisation, des établissements gestionnaires et des dépositaires de ces organismes.</w:t>
            </w:r>
          </w:p>
          <w:p w14:paraId="19E80B7F" w14:textId="77777777" w:rsidR="00441973" w:rsidRPr="00C860C4" w:rsidRDefault="00441973" w:rsidP="00A64175">
            <w:pPr>
              <w:jc w:val="both"/>
              <w:rPr>
                <w:rFonts w:ascii="Arial" w:eastAsia="Times New Roman" w:hAnsi="Arial" w:cs="Arial"/>
                <w:lang w:eastAsia="fr-FR"/>
              </w:rPr>
            </w:pPr>
          </w:p>
          <w:p w14:paraId="1322ACD1" w14:textId="2C59F435" w:rsidR="006D080E" w:rsidRPr="00335982" w:rsidRDefault="009F78DB" w:rsidP="00A64175">
            <w:pPr>
              <w:jc w:val="both"/>
              <w:rPr>
                <w:rFonts w:ascii="Arial" w:hAnsi="Arial" w:cs="Arial"/>
                <w:b/>
                <w:bCs/>
              </w:rPr>
            </w:pPr>
            <w:r w:rsidRPr="00335982">
              <w:rPr>
                <w:rFonts w:ascii="Arial" w:hAnsi="Arial" w:cs="Arial"/>
                <w:b/>
                <w:bCs/>
              </w:rPr>
              <w:t>Section II : ORGANISMES DE PLACEMENT COLLECTIF IMMOBILIER (OPCI)</w:t>
            </w:r>
          </w:p>
          <w:p w14:paraId="344C7CC2" w14:textId="77777777" w:rsidR="006D080E" w:rsidRPr="00335982" w:rsidRDefault="006D080E" w:rsidP="00A64175">
            <w:pPr>
              <w:jc w:val="both"/>
              <w:rPr>
                <w:rFonts w:ascii="Arial" w:hAnsi="Arial" w:cs="Arial"/>
                <w:b/>
                <w:bCs/>
              </w:rPr>
            </w:pPr>
          </w:p>
          <w:p w14:paraId="51D51DB0" w14:textId="77777777" w:rsidR="00FB5ACC" w:rsidRPr="00A64175" w:rsidRDefault="00FB5ACC" w:rsidP="00A64175">
            <w:pPr>
              <w:jc w:val="both"/>
              <w:rPr>
                <w:rFonts w:ascii="Arial" w:hAnsi="Arial" w:cs="Arial"/>
                <w:b/>
              </w:rPr>
            </w:pPr>
            <w:r w:rsidRPr="00335982">
              <w:rPr>
                <w:rFonts w:ascii="Arial" w:hAnsi="Arial" w:cs="Arial"/>
                <w:b/>
              </w:rPr>
              <w:t>SOUS-TITRE III – ORGANISMES DE PLACEMENT COLLECTIF IMMOBILIER</w:t>
            </w:r>
          </w:p>
          <w:p w14:paraId="77E0BB5B" w14:textId="77777777" w:rsidR="00FB5ACC" w:rsidRPr="00A64175" w:rsidRDefault="00FB5ACC" w:rsidP="00A64175">
            <w:pPr>
              <w:jc w:val="both"/>
              <w:rPr>
                <w:rFonts w:ascii="Arial" w:hAnsi="Arial" w:cs="Arial"/>
              </w:rPr>
            </w:pPr>
          </w:p>
          <w:p w14:paraId="03808AC6" w14:textId="77777777" w:rsidR="00FB5ACC" w:rsidRPr="00A64175" w:rsidRDefault="00FB5ACC" w:rsidP="00A64175">
            <w:pPr>
              <w:jc w:val="both"/>
              <w:rPr>
                <w:rFonts w:ascii="Arial" w:hAnsi="Arial" w:cs="Arial"/>
              </w:rPr>
            </w:pPr>
          </w:p>
          <w:p w14:paraId="75587304" w14:textId="77777777" w:rsidR="00FB5ACC" w:rsidRPr="00A64175" w:rsidRDefault="00FB5ACC" w:rsidP="00A64175">
            <w:pPr>
              <w:jc w:val="both"/>
              <w:rPr>
                <w:rFonts w:ascii="Arial" w:hAnsi="Arial" w:cs="Arial"/>
                <w:b/>
              </w:rPr>
            </w:pPr>
            <w:r w:rsidRPr="00A64175">
              <w:rPr>
                <w:rFonts w:ascii="Arial" w:hAnsi="Arial" w:cs="Arial"/>
                <w:b/>
              </w:rPr>
              <w:t>CHAPITRE I – CONSTITUTION ET AGREMENT DES ORGANISMES DE PLACEMENT COLLECTIF IMMOBILIER</w:t>
            </w:r>
          </w:p>
          <w:p w14:paraId="5D415D48" w14:textId="77777777" w:rsidR="00FB5ACC" w:rsidRPr="00A64175" w:rsidRDefault="00FB5ACC" w:rsidP="00A64175">
            <w:pPr>
              <w:jc w:val="both"/>
              <w:rPr>
                <w:rFonts w:ascii="Arial" w:hAnsi="Arial" w:cs="Arial"/>
              </w:rPr>
            </w:pPr>
          </w:p>
          <w:p w14:paraId="2FA484AD" w14:textId="77777777" w:rsidR="00FB5ACC" w:rsidRPr="00A64175" w:rsidRDefault="00FB5ACC" w:rsidP="00A64175">
            <w:pPr>
              <w:jc w:val="both"/>
              <w:rPr>
                <w:rFonts w:ascii="Arial" w:hAnsi="Arial" w:cs="Arial"/>
              </w:rPr>
            </w:pPr>
          </w:p>
          <w:p w14:paraId="55829B71" w14:textId="77777777" w:rsidR="00FB5ACC" w:rsidRPr="00A64175" w:rsidRDefault="00FB5ACC" w:rsidP="00A64175">
            <w:pPr>
              <w:jc w:val="both"/>
              <w:rPr>
                <w:rFonts w:ascii="Arial" w:hAnsi="Arial" w:cs="Arial"/>
                <w:b/>
              </w:rPr>
            </w:pPr>
            <w:r w:rsidRPr="00A64175">
              <w:rPr>
                <w:rFonts w:ascii="Arial" w:hAnsi="Arial" w:cs="Arial"/>
                <w:b/>
              </w:rPr>
              <w:t>Section I : Constitution</w:t>
            </w:r>
          </w:p>
          <w:p w14:paraId="0E92198B" w14:textId="77777777" w:rsidR="00FB5ACC" w:rsidRPr="00A64175" w:rsidRDefault="00FB5ACC" w:rsidP="00A64175">
            <w:pPr>
              <w:jc w:val="both"/>
              <w:rPr>
                <w:rFonts w:ascii="Arial" w:hAnsi="Arial" w:cs="Arial"/>
              </w:rPr>
            </w:pPr>
          </w:p>
          <w:p w14:paraId="15EA94A8" w14:textId="77777777" w:rsidR="00FB5ACC" w:rsidRPr="00A64175" w:rsidRDefault="00FB5ACC" w:rsidP="00A64175">
            <w:pPr>
              <w:jc w:val="both"/>
              <w:rPr>
                <w:rFonts w:ascii="Arial" w:hAnsi="Arial" w:cs="Arial"/>
              </w:rPr>
            </w:pPr>
          </w:p>
          <w:p w14:paraId="6355BC7B" w14:textId="133208FB" w:rsidR="00FB5ACC" w:rsidRPr="00A64175" w:rsidRDefault="00F23E25" w:rsidP="00A64175">
            <w:pPr>
              <w:jc w:val="both"/>
              <w:rPr>
                <w:rFonts w:ascii="Arial" w:hAnsi="Arial" w:cs="Arial"/>
              </w:rPr>
            </w:pPr>
            <w:r w:rsidRPr="00A64175">
              <w:rPr>
                <w:rFonts w:ascii="Arial" w:hAnsi="Arial" w:cs="Arial"/>
                <w:b/>
                <w:bCs/>
              </w:rPr>
              <w:t>Article 40</w:t>
            </w:r>
            <w:r w:rsidR="00757151">
              <w:rPr>
                <w:rFonts w:ascii="Arial" w:hAnsi="Arial" w:cs="Arial"/>
                <w:b/>
                <w:bCs/>
              </w:rPr>
              <w:t>4</w:t>
            </w:r>
            <w:r w:rsidR="00FB5ACC" w:rsidRPr="00A64175">
              <w:rPr>
                <w:rFonts w:ascii="Arial" w:hAnsi="Arial" w:cs="Arial"/>
                <w:b/>
              </w:rPr>
              <w:t>. –</w:t>
            </w:r>
            <w:r w:rsidR="00FB5ACC" w:rsidRPr="00A64175">
              <w:rPr>
                <w:rFonts w:ascii="Arial" w:hAnsi="Arial" w:cs="Arial"/>
              </w:rPr>
              <w:t xml:space="preserve"> </w:t>
            </w:r>
            <w:r w:rsidR="00FB5ACC" w:rsidRPr="00A64175">
              <w:rPr>
                <w:rFonts w:ascii="Arial" w:eastAsia="Times New Roman" w:hAnsi="Arial" w:cs="Arial"/>
                <w:lang w:eastAsia="fr-FR"/>
              </w:rPr>
              <w:t>Les OPCI prennent la forme soit d’une société de placement immobilier (SPI), soit d’un fonds commun de placement immobilier (FCPI).</w:t>
            </w:r>
          </w:p>
          <w:p w14:paraId="6B2CB783" w14:textId="77777777" w:rsidR="00FB5ACC" w:rsidRPr="00A64175" w:rsidRDefault="00FB5ACC" w:rsidP="00A64175">
            <w:pPr>
              <w:jc w:val="both"/>
              <w:rPr>
                <w:rFonts w:ascii="Arial" w:hAnsi="Arial" w:cs="Arial"/>
              </w:rPr>
            </w:pPr>
          </w:p>
          <w:p w14:paraId="2D890DF5" w14:textId="77777777" w:rsidR="00FB5ACC" w:rsidRPr="00A64175" w:rsidRDefault="00FB5ACC" w:rsidP="00A64175">
            <w:pPr>
              <w:jc w:val="both"/>
              <w:rPr>
                <w:rFonts w:ascii="Arial" w:hAnsi="Arial" w:cs="Arial"/>
              </w:rPr>
            </w:pPr>
            <w:r w:rsidRPr="00A64175">
              <w:rPr>
                <w:rFonts w:ascii="Arial" w:hAnsi="Arial" w:cs="Arial"/>
              </w:rPr>
              <w:t>La SPI prend obligatoirement la forme d’une société anonyme à capital variable ou d’une société par actions simplifiée. Lorsqu’elle est constituée sous forme de société anonyme, ses titres peuvent être admis à la négociation à la Bourse Régionale.</w:t>
            </w:r>
          </w:p>
          <w:p w14:paraId="7DE94319" w14:textId="77777777" w:rsidR="00FB5ACC" w:rsidRPr="00A64175" w:rsidRDefault="00FB5ACC" w:rsidP="00A64175">
            <w:pPr>
              <w:jc w:val="both"/>
              <w:rPr>
                <w:rFonts w:ascii="Arial" w:hAnsi="Arial" w:cs="Arial"/>
              </w:rPr>
            </w:pPr>
          </w:p>
          <w:p w14:paraId="78C000C7" w14:textId="77777777" w:rsidR="00FB5ACC" w:rsidRPr="00A64175" w:rsidRDefault="00FB5ACC" w:rsidP="00A64175">
            <w:pPr>
              <w:jc w:val="both"/>
              <w:rPr>
                <w:rFonts w:ascii="Arial" w:hAnsi="Arial" w:cs="Arial"/>
              </w:rPr>
            </w:pPr>
            <w:r w:rsidRPr="00A64175">
              <w:rPr>
                <w:rFonts w:ascii="Arial" w:hAnsi="Arial" w:cs="Arial"/>
              </w:rPr>
              <w:t>Le FCPI est une copropriété qui n’a pas la personnalité morale. Les règles relatives à l’indivision et aux sociétés en participation ne s’appliquent pas au FCPI.</w:t>
            </w:r>
          </w:p>
          <w:p w14:paraId="78EAC54E" w14:textId="77777777" w:rsidR="00FB5ACC" w:rsidRPr="00A64175" w:rsidRDefault="00FB5ACC" w:rsidP="00A64175">
            <w:pPr>
              <w:jc w:val="both"/>
              <w:rPr>
                <w:rFonts w:ascii="Arial" w:hAnsi="Arial" w:cs="Arial"/>
              </w:rPr>
            </w:pPr>
          </w:p>
          <w:p w14:paraId="61A03AA5" w14:textId="77777777" w:rsidR="00FB5ACC" w:rsidRPr="00A64175" w:rsidRDefault="00FB5ACC" w:rsidP="00A64175">
            <w:pPr>
              <w:jc w:val="both"/>
              <w:rPr>
                <w:rFonts w:ascii="Arial" w:hAnsi="Arial" w:cs="Arial"/>
              </w:rPr>
            </w:pPr>
            <w:r w:rsidRPr="00A64175">
              <w:rPr>
                <w:rFonts w:ascii="Arial" w:eastAsia="Times New Roman" w:hAnsi="Arial" w:cs="Arial"/>
                <w:color w:val="000000"/>
              </w:rPr>
              <w:t>Les porteurs de parts ne sont tenus des dettes de la copropriété qu'à concurrence de l'actif du fonds et proportionnellement à leur quote-part. </w:t>
            </w:r>
          </w:p>
          <w:p w14:paraId="5AF6A8C7" w14:textId="77777777" w:rsidR="00FB5ACC" w:rsidRPr="00A64175" w:rsidRDefault="00FB5ACC" w:rsidP="00A64175">
            <w:pPr>
              <w:jc w:val="both"/>
              <w:rPr>
                <w:rFonts w:ascii="Arial" w:hAnsi="Arial" w:cs="Arial"/>
              </w:rPr>
            </w:pPr>
          </w:p>
          <w:p w14:paraId="43B5B628" w14:textId="018F3511" w:rsidR="00FB5ACC" w:rsidRPr="00A64175" w:rsidRDefault="00A33540" w:rsidP="00A64175">
            <w:pPr>
              <w:jc w:val="both"/>
              <w:rPr>
                <w:rFonts w:ascii="Arial" w:hAnsi="Arial" w:cs="Arial"/>
              </w:rPr>
            </w:pPr>
            <w:r w:rsidRPr="00A64175">
              <w:rPr>
                <w:rFonts w:ascii="Arial" w:hAnsi="Arial" w:cs="Arial"/>
                <w:b/>
                <w:bCs/>
              </w:rPr>
              <w:t>Article 40</w:t>
            </w:r>
            <w:r w:rsidR="00757151">
              <w:rPr>
                <w:rFonts w:ascii="Arial" w:hAnsi="Arial" w:cs="Arial"/>
                <w:b/>
                <w:bCs/>
              </w:rPr>
              <w:t>5</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 xml:space="preserve">Les OPCI sont constitués à l’initiative d’une société de gestion, laquelle désigne un dépositaire. </w:t>
            </w:r>
          </w:p>
          <w:p w14:paraId="2D19EA88" w14:textId="77777777" w:rsidR="00FB5ACC" w:rsidRPr="00A64175" w:rsidRDefault="00FB5ACC" w:rsidP="00A64175">
            <w:pPr>
              <w:jc w:val="both"/>
              <w:rPr>
                <w:rFonts w:ascii="Arial" w:hAnsi="Arial" w:cs="Arial"/>
              </w:rPr>
            </w:pPr>
          </w:p>
          <w:p w14:paraId="5647409E" w14:textId="77777777" w:rsidR="00FB5ACC" w:rsidRPr="00A64175" w:rsidRDefault="00FB5ACC" w:rsidP="00A64175">
            <w:pPr>
              <w:jc w:val="both"/>
              <w:rPr>
                <w:rFonts w:ascii="Arial" w:hAnsi="Arial" w:cs="Arial"/>
              </w:rPr>
            </w:pPr>
            <w:r w:rsidRPr="00A64175">
              <w:rPr>
                <w:rFonts w:ascii="Arial" w:hAnsi="Arial" w:cs="Arial"/>
              </w:rPr>
              <w:t>La société de gestion établit le règlement de gestion de l’OPCI. Ce règlement doit être conforme à un modèle type fixé dans une instruction de la COSUMAF.</w:t>
            </w:r>
          </w:p>
          <w:p w14:paraId="0686C5BE" w14:textId="77777777" w:rsidR="00FB5ACC" w:rsidRPr="00A64175" w:rsidRDefault="00FB5ACC" w:rsidP="00A64175">
            <w:pPr>
              <w:jc w:val="both"/>
              <w:rPr>
                <w:rFonts w:ascii="Arial" w:hAnsi="Arial" w:cs="Arial"/>
              </w:rPr>
            </w:pPr>
          </w:p>
          <w:p w14:paraId="7B5CC36A" w14:textId="6DF38346" w:rsidR="00FB5ACC" w:rsidRPr="00A64175" w:rsidRDefault="00A33540" w:rsidP="00A64175">
            <w:pPr>
              <w:jc w:val="both"/>
              <w:rPr>
                <w:rFonts w:ascii="Arial" w:hAnsi="Arial" w:cs="Arial"/>
              </w:rPr>
            </w:pPr>
            <w:r w:rsidRPr="00A64175">
              <w:rPr>
                <w:rFonts w:ascii="Arial" w:hAnsi="Arial" w:cs="Arial"/>
                <w:b/>
                <w:bCs/>
              </w:rPr>
              <w:t>Article 40</w:t>
            </w:r>
            <w:r w:rsidR="00757151">
              <w:rPr>
                <w:rFonts w:ascii="Arial" w:hAnsi="Arial" w:cs="Arial"/>
                <w:b/>
                <w:bCs/>
              </w:rPr>
              <w:t>6</w:t>
            </w:r>
            <w:r w:rsidR="00FB5ACC" w:rsidRPr="00A64175">
              <w:rPr>
                <w:rFonts w:ascii="Arial" w:hAnsi="Arial" w:cs="Arial"/>
                <w:b/>
              </w:rPr>
              <w:t>. –</w:t>
            </w:r>
            <w:r w:rsidR="00FB5ACC" w:rsidRPr="00A64175">
              <w:rPr>
                <w:rFonts w:ascii="Arial" w:hAnsi="Arial" w:cs="Arial"/>
              </w:rPr>
              <w:t xml:space="preserve"> Si leur règlement de gestion le prévoit, les OPCI peuvent, à leur création ou en cours d’existence, constituer en leur sein plusieurs compartiments. Au sein de chaque compartiment, sont émis des titres qui lui sont propres et qui constituent les actifs de l’OPCI.</w:t>
            </w:r>
          </w:p>
          <w:p w14:paraId="30C1BEF5" w14:textId="77777777" w:rsidR="00FB5ACC" w:rsidRPr="00A64175" w:rsidRDefault="00FB5ACC" w:rsidP="00A64175">
            <w:pPr>
              <w:jc w:val="both"/>
              <w:rPr>
                <w:rFonts w:ascii="Arial" w:hAnsi="Arial" w:cs="Arial"/>
              </w:rPr>
            </w:pPr>
          </w:p>
          <w:p w14:paraId="13C783D0" w14:textId="77777777" w:rsidR="00FB5ACC" w:rsidRPr="00A64175" w:rsidRDefault="00FB5ACC" w:rsidP="00A64175">
            <w:pPr>
              <w:jc w:val="both"/>
              <w:rPr>
                <w:rFonts w:ascii="Arial" w:hAnsi="Arial" w:cs="Arial"/>
              </w:rPr>
            </w:pPr>
            <w:r w:rsidRPr="00A64175">
              <w:rPr>
                <w:rFonts w:ascii="Arial" w:hAnsi="Arial" w:cs="Arial"/>
              </w:rPr>
              <w:t>Le règlement de gestion prévoit, outre des règles communes à tous les compartiments, une annexe précisant les règles particulières pour chaque compartiment, relatives notamment aux caractéristiques ou règles de gestion spécifiques au compartiment concerné.</w:t>
            </w:r>
          </w:p>
          <w:p w14:paraId="68188EFD" w14:textId="77777777" w:rsidR="00FB5ACC" w:rsidRPr="00A64175" w:rsidRDefault="00FB5ACC" w:rsidP="00A64175">
            <w:pPr>
              <w:jc w:val="both"/>
              <w:rPr>
                <w:rFonts w:ascii="Arial" w:hAnsi="Arial" w:cs="Arial"/>
              </w:rPr>
            </w:pPr>
          </w:p>
          <w:p w14:paraId="1132643E" w14:textId="77777777" w:rsidR="00FB5ACC" w:rsidRPr="00A64175" w:rsidRDefault="00FB5ACC" w:rsidP="00A64175">
            <w:pPr>
              <w:jc w:val="both"/>
              <w:rPr>
                <w:rFonts w:ascii="Arial" w:hAnsi="Arial" w:cs="Arial"/>
              </w:rPr>
            </w:pPr>
            <w:r w:rsidRPr="00A64175">
              <w:rPr>
                <w:rFonts w:ascii="Arial" w:hAnsi="Arial" w:cs="Arial"/>
              </w:rPr>
              <w:t>Sauf disposition contraire du règlement de gestion de l’OPCI, les actifs de chaque compartiment ne répondent que des dettes ou obligations dudit compartiment.</w:t>
            </w:r>
          </w:p>
          <w:p w14:paraId="553C5A51" w14:textId="77777777" w:rsidR="00FB5ACC" w:rsidRPr="00A64175" w:rsidRDefault="00FB5ACC" w:rsidP="00A64175">
            <w:pPr>
              <w:jc w:val="both"/>
              <w:rPr>
                <w:rFonts w:ascii="Arial" w:hAnsi="Arial" w:cs="Arial"/>
              </w:rPr>
            </w:pPr>
          </w:p>
          <w:p w14:paraId="0761AD52" w14:textId="77777777" w:rsidR="00FB5ACC" w:rsidRPr="00A64175" w:rsidRDefault="00FB5ACC" w:rsidP="00A64175">
            <w:pPr>
              <w:jc w:val="both"/>
              <w:rPr>
                <w:rFonts w:ascii="Arial" w:hAnsi="Arial" w:cs="Arial"/>
              </w:rPr>
            </w:pPr>
          </w:p>
          <w:p w14:paraId="4942D8BD" w14:textId="77777777" w:rsidR="00FB5ACC" w:rsidRPr="00A64175" w:rsidRDefault="00FB5ACC" w:rsidP="00A64175">
            <w:pPr>
              <w:jc w:val="both"/>
              <w:rPr>
                <w:rFonts w:ascii="Arial" w:hAnsi="Arial" w:cs="Arial"/>
                <w:b/>
              </w:rPr>
            </w:pPr>
            <w:r w:rsidRPr="00A64175">
              <w:rPr>
                <w:rFonts w:ascii="Arial" w:hAnsi="Arial" w:cs="Arial"/>
                <w:b/>
              </w:rPr>
              <w:t>Section II : Agrément</w:t>
            </w:r>
          </w:p>
          <w:p w14:paraId="24819C1C" w14:textId="77777777" w:rsidR="00FB5ACC" w:rsidRPr="00A64175" w:rsidRDefault="00FB5ACC" w:rsidP="00A64175">
            <w:pPr>
              <w:jc w:val="both"/>
              <w:rPr>
                <w:rFonts w:ascii="Arial" w:hAnsi="Arial" w:cs="Arial"/>
              </w:rPr>
            </w:pPr>
          </w:p>
          <w:p w14:paraId="1B4EA2A9" w14:textId="77777777" w:rsidR="00FB5ACC" w:rsidRPr="00A64175" w:rsidRDefault="00FB5ACC" w:rsidP="00A64175">
            <w:pPr>
              <w:jc w:val="both"/>
              <w:rPr>
                <w:rFonts w:ascii="Arial" w:hAnsi="Arial" w:cs="Arial"/>
              </w:rPr>
            </w:pPr>
          </w:p>
          <w:p w14:paraId="32C2E19F" w14:textId="31FFF3D1" w:rsidR="00FB5ACC" w:rsidRPr="00A64175" w:rsidRDefault="00A33540" w:rsidP="00A64175">
            <w:pPr>
              <w:jc w:val="both"/>
              <w:rPr>
                <w:rFonts w:ascii="Arial" w:hAnsi="Arial" w:cs="Arial"/>
              </w:rPr>
            </w:pPr>
            <w:r w:rsidRPr="00A64175">
              <w:rPr>
                <w:rFonts w:ascii="Arial" w:hAnsi="Arial" w:cs="Arial"/>
                <w:b/>
                <w:bCs/>
              </w:rPr>
              <w:t>Article 40</w:t>
            </w:r>
            <w:r w:rsidR="00757151">
              <w:rPr>
                <w:rFonts w:ascii="Arial" w:hAnsi="Arial" w:cs="Arial"/>
                <w:b/>
                <w:bCs/>
              </w:rPr>
              <w:t>7</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La constitution de tout OPCI ou la création, en son sein, de tout compartiment, est soumise à l’agrément de la COSUMAF.</w:t>
            </w:r>
          </w:p>
          <w:p w14:paraId="79565B63" w14:textId="77777777" w:rsidR="00FB5ACC" w:rsidRPr="00A64175" w:rsidRDefault="00FB5ACC" w:rsidP="00A64175">
            <w:pPr>
              <w:jc w:val="both"/>
              <w:rPr>
                <w:rFonts w:ascii="Arial" w:hAnsi="Arial" w:cs="Arial"/>
              </w:rPr>
            </w:pPr>
          </w:p>
          <w:p w14:paraId="00FCE1E0" w14:textId="77777777" w:rsidR="00FB5ACC" w:rsidRPr="00A64175" w:rsidRDefault="00FB5ACC" w:rsidP="00A64175">
            <w:pPr>
              <w:jc w:val="both"/>
              <w:rPr>
                <w:rFonts w:ascii="Arial" w:hAnsi="Arial" w:cs="Arial"/>
              </w:rPr>
            </w:pPr>
            <w:r w:rsidRPr="00A64175">
              <w:rPr>
                <w:rFonts w:ascii="Arial" w:hAnsi="Arial" w:cs="Arial"/>
              </w:rPr>
              <w:t>La commercialisation des parts ou actions d’OPCI et, le cas échéant, de leurs compartiments, ne peut intervenir qu’après obtention de cet agrément.</w:t>
            </w:r>
          </w:p>
          <w:p w14:paraId="0071FA10" w14:textId="77777777" w:rsidR="00FB5ACC" w:rsidRPr="00A64175" w:rsidRDefault="00FB5ACC" w:rsidP="00A64175">
            <w:pPr>
              <w:jc w:val="both"/>
              <w:rPr>
                <w:rFonts w:ascii="Arial" w:hAnsi="Arial" w:cs="Arial"/>
              </w:rPr>
            </w:pPr>
          </w:p>
          <w:p w14:paraId="2F92E752" w14:textId="433960C8" w:rsidR="00FB5ACC" w:rsidRPr="00A64175" w:rsidRDefault="00A33540" w:rsidP="00A64175">
            <w:pPr>
              <w:jc w:val="both"/>
              <w:rPr>
                <w:rFonts w:ascii="Arial" w:hAnsi="Arial" w:cs="Arial"/>
              </w:rPr>
            </w:pPr>
            <w:r w:rsidRPr="00A64175">
              <w:rPr>
                <w:rFonts w:ascii="Arial" w:hAnsi="Arial" w:cs="Arial"/>
                <w:b/>
                <w:bCs/>
              </w:rPr>
              <w:t>Article 40</w:t>
            </w:r>
            <w:r w:rsidR="00757151">
              <w:rPr>
                <w:rFonts w:ascii="Arial" w:hAnsi="Arial" w:cs="Arial"/>
                <w:b/>
                <w:bCs/>
              </w:rPr>
              <w:t>8</w:t>
            </w:r>
            <w:r w:rsidR="00FB5ACC" w:rsidRPr="00A64175">
              <w:rPr>
                <w:rFonts w:ascii="Arial" w:hAnsi="Arial" w:cs="Arial"/>
                <w:b/>
              </w:rPr>
              <w:t>. –</w:t>
            </w:r>
            <w:r w:rsidR="00FB5ACC" w:rsidRPr="00A64175">
              <w:rPr>
                <w:rFonts w:ascii="Arial" w:hAnsi="Arial" w:cs="Arial"/>
              </w:rPr>
              <w:t xml:space="preserve"> Peut être constitué, un OPCI réservé à des investisseurs qualifiés au sens de l’article</w:t>
            </w:r>
            <w:r w:rsidR="00BE0D8A" w:rsidRPr="00A64175">
              <w:rPr>
                <w:rFonts w:ascii="Arial" w:hAnsi="Arial" w:cs="Arial"/>
              </w:rPr>
              <w:t xml:space="preserve"> 89 du </w:t>
            </w:r>
            <w:r w:rsidR="00BE0D8A" w:rsidRPr="00A64175">
              <w:rPr>
                <w:rFonts w:ascii="Arial" w:hAnsi="Arial" w:cs="Arial"/>
                <w:color w:val="000000"/>
              </w:rPr>
              <w:t>Règlement n°01/22/CEMAC/UMAC/CM/COSUMAF du 21 juillet 2022</w:t>
            </w:r>
            <w:r w:rsidR="00FB5ACC" w:rsidRPr="00A64175">
              <w:rPr>
                <w:rFonts w:ascii="Arial" w:hAnsi="Arial" w:cs="Arial"/>
              </w:rPr>
              <w:t xml:space="preserve">  et soumis à des règles de fonctionnement simplifiées.</w:t>
            </w:r>
          </w:p>
          <w:p w14:paraId="31C0F9E9" w14:textId="77777777" w:rsidR="00FB5ACC" w:rsidRPr="00A64175" w:rsidRDefault="00FB5ACC" w:rsidP="00A64175">
            <w:pPr>
              <w:jc w:val="both"/>
              <w:rPr>
                <w:rFonts w:ascii="Arial" w:hAnsi="Arial" w:cs="Arial"/>
              </w:rPr>
            </w:pPr>
          </w:p>
          <w:p w14:paraId="534024EA" w14:textId="77777777" w:rsidR="00FB5ACC" w:rsidRPr="00A64175" w:rsidRDefault="00FB5ACC" w:rsidP="00A64175">
            <w:pPr>
              <w:jc w:val="both"/>
              <w:rPr>
                <w:rFonts w:ascii="Arial" w:hAnsi="Arial" w:cs="Arial"/>
              </w:rPr>
            </w:pPr>
            <w:r w:rsidRPr="00A64175">
              <w:rPr>
                <w:rFonts w:ascii="Arial" w:hAnsi="Arial" w:cs="Arial"/>
              </w:rPr>
              <w:t>Au moment de la souscription de parts ou actions d’un OPCI à règles de fonctionnement simplifiées, le dépositaire de l’OPCI vérifie la qualité du souscripteur ou acquéreur, qui doit être uniquement un investisseur qualifié.</w:t>
            </w:r>
          </w:p>
          <w:p w14:paraId="5ED50F38" w14:textId="77777777" w:rsidR="00FB5ACC" w:rsidRPr="00A64175" w:rsidRDefault="00FB5ACC" w:rsidP="00A64175">
            <w:pPr>
              <w:jc w:val="both"/>
              <w:rPr>
                <w:rFonts w:ascii="Arial" w:hAnsi="Arial" w:cs="Arial"/>
              </w:rPr>
            </w:pPr>
          </w:p>
          <w:p w14:paraId="2EB5B036" w14:textId="77777777" w:rsidR="00FB5ACC" w:rsidRPr="00A64175" w:rsidRDefault="00FB5ACC" w:rsidP="00A64175">
            <w:pPr>
              <w:jc w:val="both"/>
              <w:rPr>
                <w:rFonts w:ascii="Arial" w:hAnsi="Arial" w:cs="Arial"/>
              </w:rPr>
            </w:pPr>
            <w:r w:rsidRPr="00A64175">
              <w:rPr>
                <w:rFonts w:ascii="Arial" w:hAnsi="Arial" w:cs="Arial"/>
              </w:rPr>
              <w:t>Dans le cas d’un OPCI réservé à des investisseurs qualifiés, le nombre de ces investisseurs ne peut excéder vingt (20).</w:t>
            </w:r>
          </w:p>
          <w:p w14:paraId="0B35CB6E" w14:textId="77777777" w:rsidR="00FB5ACC" w:rsidRPr="00A64175" w:rsidRDefault="00FB5ACC" w:rsidP="00A64175">
            <w:pPr>
              <w:jc w:val="both"/>
              <w:rPr>
                <w:rFonts w:ascii="Arial" w:hAnsi="Arial" w:cs="Arial"/>
              </w:rPr>
            </w:pPr>
          </w:p>
          <w:p w14:paraId="29C9FD33" w14:textId="61B4EFB8" w:rsidR="00FB5ACC" w:rsidRPr="00A64175" w:rsidRDefault="00BE0D8A" w:rsidP="00A64175">
            <w:pPr>
              <w:jc w:val="both"/>
              <w:rPr>
                <w:rFonts w:ascii="Arial" w:hAnsi="Arial" w:cs="Arial"/>
              </w:rPr>
            </w:pPr>
            <w:r w:rsidRPr="00A64175">
              <w:rPr>
                <w:rFonts w:ascii="Arial" w:hAnsi="Arial" w:cs="Arial"/>
                <w:b/>
                <w:bCs/>
              </w:rPr>
              <w:t>Article 40</w:t>
            </w:r>
            <w:r w:rsidR="00757151">
              <w:rPr>
                <w:rFonts w:ascii="Arial" w:hAnsi="Arial" w:cs="Arial"/>
                <w:b/>
                <w:bCs/>
              </w:rPr>
              <w:t>9</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 xml:space="preserve">Un OPCI peut être constitué par apports en numéraire ou en nature. Les apports en nature ne peuvent porter que sur les actifs immobiliers visés à l’article </w:t>
            </w:r>
            <w:r w:rsidR="00CA7CED" w:rsidRPr="00C21CF0">
              <w:rPr>
                <w:rFonts w:ascii="Arial" w:hAnsi="Arial" w:cs="Arial"/>
              </w:rPr>
              <w:t>416</w:t>
            </w:r>
            <w:r w:rsidR="00856252" w:rsidRPr="00C21CF0">
              <w:rPr>
                <w:rFonts w:ascii="Arial" w:hAnsi="Arial" w:cs="Arial"/>
              </w:rPr>
              <w:t xml:space="preserve"> </w:t>
            </w:r>
            <w:r w:rsidR="00FB5ACC" w:rsidRPr="00CA7CED">
              <w:rPr>
                <w:rFonts w:ascii="Arial" w:hAnsi="Arial" w:cs="Arial"/>
              </w:rPr>
              <w:t xml:space="preserve"> </w:t>
            </w:r>
            <w:r w:rsidR="00FB5ACC" w:rsidRPr="00C21CF0">
              <w:rPr>
                <w:rFonts w:ascii="Arial" w:hAnsi="Arial" w:cs="Arial"/>
              </w:rPr>
              <w:t>du présent Règlement</w:t>
            </w:r>
            <w:r w:rsidR="00CA7CED">
              <w:rPr>
                <w:rFonts w:ascii="Arial" w:hAnsi="Arial" w:cs="Arial"/>
              </w:rPr>
              <w:t xml:space="preserve"> général</w:t>
            </w:r>
            <w:r w:rsidR="00FB5ACC" w:rsidRPr="00A64175">
              <w:rPr>
                <w:rFonts w:ascii="Arial" w:hAnsi="Arial" w:cs="Arial"/>
              </w:rPr>
              <w:t>.</w:t>
            </w:r>
          </w:p>
          <w:p w14:paraId="450356E2" w14:textId="77777777" w:rsidR="00FB5ACC" w:rsidRPr="00A64175" w:rsidRDefault="00FB5ACC" w:rsidP="00A64175">
            <w:pPr>
              <w:jc w:val="both"/>
              <w:rPr>
                <w:rFonts w:ascii="Arial" w:hAnsi="Arial" w:cs="Arial"/>
              </w:rPr>
            </w:pPr>
          </w:p>
          <w:p w14:paraId="2C28EF46" w14:textId="77777777" w:rsidR="00FB5ACC" w:rsidRPr="00A64175" w:rsidRDefault="00FB5ACC" w:rsidP="00A64175">
            <w:pPr>
              <w:jc w:val="both"/>
              <w:rPr>
                <w:rFonts w:ascii="Arial" w:hAnsi="Arial" w:cs="Arial"/>
              </w:rPr>
            </w:pPr>
            <w:r w:rsidRPr="00A64175">
              <w:rPr>
                <w:rFonts w:ascii="Arial" w:hAnsi="Arial" w:cs="Arial"/>
              </w:rPr>
              <w:t>Le ou les commissaires aux comptes vérifient la substance des apports en nature et la pertinence de leur évaluation par deux (2) experts en évaluation.</w:t>
            </w:r>
          </w:p>
          <w:p w14:paraId="39701BBC" w14:textId="77777777" w:rsidR="00FB5ACC" w:rsidRPr="00A64175" w:rsidRDefault="00FB5ACC" w:rsidP="00A64175">
            <w:pPr>
              <w:jc w:val="both"/>
              <w:rPr>
                <w:rFonts w:ascii="Arial" w:hAnsi="Arial" w:cs="Arial"/>
              </w:rPr>
            </w:pPr>
          </w:p>
          <w:p w14:paraId="1CE4C3D4" w14:textId="77777777" w:rsidR="00FB5ACC" w:rsidRPr="00A64175" w:rsidRDefault="00FB5ACC" w:rsidP="00A64175">
            <w:pPr>
              <w:jc w:val="both"/>
              <w:rPr>
                <w:rFonts w:ascii="Arial" w:hAnsi="Arial" w:cs="Arial"/>
              </w:rPr>
            </w:pPr>
            <w:r w:rsidRPr="00A64175">
              <w:rPr>
                <w:rFonts w:ascii="Arial" w:hAnsi="Arial" w:cs="Arial"/>
              </w:rPr>
              <w:t>Le règlement de gestion de l’OPCI comprend l’évaluation des apports en nature effectués lors de sa constitution.</w:t>
            </w:r>
          </w:p>
          <w:p w14:paraId="0F396F44" w14:textId="77777777" w:rsidR="00FB5ACC" w:rsidRPr="00A64175" w:rsidRDefault="00FB5ACC" w:rsidP="00A64175">
            <w:pPr>
              <w:jc w:val="both"/>
              <w:rPr>
                <w:rFonts w:ascii="Arial" w:hAnsi="Arial" w:cs="Arial"/>
              </w:rPr>
            </w:pPr>
          </w:p>
          <w:p w14:paraId="296E2F9D" w14:textId="37F668C4"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10</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A la constitution d’un OPCI, les souscriptions de titres et la libération des apports ne peuvent en aucun cas être effectuées par compensation avec des créances certaines, liquides et exigibles détenues sur l’OPCI.</w:t>
            </w:r>
          </w:p>
          <w:p w14:paraId="03255E73" w14:textId="77777777" w:rsidR="00FB5ACC" w:rsidRPr="00A64175" w:rsidRDefault="00FB5ACC" w:rsidP="00A64175">
            <w:pPr>
              <w:jc w:val="both"/>
              <w:rPr>
                <w:rFonts w:ascii="Arial" w:hAnsi="Arial" w:cs="Arial"/>
              </w:rPr>
            </w:pPr>
          </w:p>
          <w:p w14:paraId="4BA50F09" w14:textId="031DF429"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11</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En vue de son agrément, tout OPCI est tenu de déposer auprès de la COSUMAF un dossier comprenant notamment un projet de règlement de gestion ou un projet de règlement spécifique en cas de constitution d’un compartiment et une note de la société de gestion précisant la forme de l’OPCI, la politique d’investissement et les choix de financement.</w:t>
            </w:r>
          </w:p>
          <w:p w14:paraId="163E9B06" w14:textId="77777777" w:rsidR="00FB5ACC" w:rsidRPr="00A64175" w:rsidRDefault="00FB5ACC" w:rsidP="00A64175">
            <w:pPr>
              <w:jc w:val="both"/>
              <w:rPr>
                <w:rFonts w:ascii="Arial" w:hAnsi="Arial" w:cs="Arial"/>
              </w:rPr>
            </w:pPr>
          </w:p>
          <w:p w14:paraId="7ACDFBFC" w14:textId="77777777" w:rsidR="00FB5ACC" w:rsidRPr="00A64175" w:rsidRDefault="00FB5ACC" w:rsidP="00A64175">
            <w:pPr>
              <w:jc w:val="both"/>
              <w:rPr>
                <w:rFonts w:ascii="Arial" w:hAnsi="Arial" w:cs="Arial"/>
              </w:rPr>
            </w:pPr>
            <w:r w:rsidRPr="00A64175">
              <w:rPr>
                <w:rFonts w:ascii="Arial" w:hAnsi="Arial" w:cs="Arial"/>
              </w:rPr>
              <w:t>Le dossier d’agrément doit être déposé par la société de gestion contre remise d’un récépissé de dépôt dûment daté et signé.</w:t>
            </w:r>
          </w:p>
          <w:p w14:paraId="4B48E556" w14:textId="77777777" w:rsidR="00FB5ACC" w:rsidRPr="00A64175" w:rsidRDefault="00FB5ACC" w:rsidP="00A64175">
            <w:pPr>
              <w:jc w:val="both"/>
              <w:rPr>
                <w:rFonts w:ascii="Arial" w:hAnsi="Arial" w:cs="Arial"/>
              </w:rPr>
            </w:pPr>
          </w:p>
          <w:p w14:paraId="4692F892" w14:textId="77777777" w:rsidR="00FB5ACC" w:rsidRPr="00A64175" w:rsidRDefault="00FB5ACC" w:rsidP="00A64175">
            <w:pPr>
              <w:jc w:val="both"/>
              <w:rPr>
                <w:rFonts w:ascii="Arial" w:hAnsi="Arial" w:cs="Arial"/>
              </w:rPr>
            </w:pPr>
            <w:r w:rsidRPr="00A64175">
              <w:rPr>
                <w:rFonts w:ascii="Arial" w:hAnsi="Arial" w:cs="Arial"/>
              </w:rPr>
              <w:t>Une instruction de la COSUMAF définit le contenu du dossier d’agrément, les conditions et la procédure d’agrément.</w:t>
            </w:r>
          </w:p>
          <w:p w14:paraId="0F56DB33" w14:textId="77777777" w:rsidR="00FB5ACC" w:rsidRPr="00A64175" w:rsidRDefault="00FB5ACC" w:rsidP="00A64175">
            <w:pPr>
              <w:jc w:val="both"/>
              <w:rPr>
                <w:rFonts w:ascii="Arial" w:hAnsi="Arial" w:cs="Arial"/>
              </w:rPr>
            </w:pPr>
          </w:p>
          <w:p w14:paraId="1223E50F" w14:textId="560E5851"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12</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 xml:space="preserve">La décision d’agrément ou de refus d’agrément est motivée. Elle est notifiée à la société de gestion par lettre recommandée avec demande d’avis de réception ou remise en mains propres contre récépissé. Le délai de notification est de </w:t>
            </w:r>
            <w:r w:rsidR="000E7336" w:rsidRPr="00A64175">
              <w:rPr>
                <w:rFonts w:ascii="Arial" w:hAnsi="Arial" w:cs="Arial"/>
              </w:rPr>
              <w:t>quarante-cinq</w:t>
            </w:r>
            <w:r w:rsidR="00FB5ACC" w:rsidRPr="00A64175">
              <w:rPr>
                <w:rFonts w:ascii="Arial" w:hAnsi="Arial" w:cs="Arial"/>
              </w:rPr>
              <w:t xml:space="preserve"> (45) jours à compter de la date du récépissé de dépôt</w:t>
            </w:r>
            <w:r w:rsidR="007068DE">
              <w:rPr>
                <w:rFonts w:ascii="Arial" w:hAnsi="Arial" w:cs="Arial"/>
              </w:rPr>
              <w:t>.</w:t>
            </w:r>
          </w:p>
          <w:p w14:paraId="06172667" w14:textId="77777777" w:rsidR="00FB5ACC" w:rsidRPr="00A64175" w:rsidRDefault="00FB5ACC" w:rsidP="00A64175">
            <w:pPr>
              <w:jc w:val="both"/>
              <w:rPr>
                <w:rFonts w:ascii="Arial" w:hAnsi="Arial" w:cs="Arial"/>
              </w:rPr>
            </w:pPr>
          </w:p>
          <w:p w14:paraId="4128E881" w14:textId="7F5F0CF0"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3</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Toute modification du règlement de gestion d’un OPCI ou d’un compartiment est obligatoirement soumise à un nouvel agrément qui est délivré dans les mêmes conditions de délai et de procédure que l’agrément initial.</w:t>
            </w:r>
          </w:p>
          <w:p w14:paraId="596C6159" w14:textId="77777777" w:rsidR="00FB5ACC" w:rsidRPr="00A64175" w:rsidRDefault="00FB5ACC" w:rsidP="00A64175">
            <w:pPr>
              <w:jc w:val="both"/>
              <w:rPr>
                <w:rFonts w:ascii="Arial" w:hAnsi="Arial" w:cs="Arial"/>
              </w:rPr>
            </w:pPr>
          </w:p>
          <w:p w14:paraId="2DDF6DEC" w14:textId="7C805A81" w:rsidR="00FB5ACC" w:rsidRPr="00A64175" w:rsidRDefault="00FB5ACC" w:rsidP="00A64175">
            <w:pPr>
              <w:jc w:val="both"/>
              <w:rPr>
                <w:rFonts w:ascii="Arial" w:hAnsi="Arial" w:cs="Arial"/>
              </w:rPr>
            </w:pPr>
            <w:r w:rsidRPr="00A64175">
              <w:rPr>
                <w:rFonts w:ascii="Arial" w:hAnsi="Arial" w:cs="Arial"/>
                <w:b/>
                <w:bCs/>
              </w:rPr>
              <w:t xml:space="preserve">Article </w:t>
            </w:r>
            <w:r w:rsidR="00BE0D8A" w:rsidRPr="00A64175">
              <w:rPr>
                <w:rFonts w:ascii="Arial" w:hAnsi="Arial" w:cs="Arial"/>
                <w:b/>
                <w:bCs/>
              </w:rPr>
              <w:t>41</w:t>
            </w:r>
            <w:r w:rsidR="00757151">
              <w:rPr>
                <w:rFonts w:ascii="Arial" w:hAnsi="Arial" w:cs="Arial"/>
                <w:b/>
                <w:bCs/>
              </w:rPr>
              <w:t>4</w:t>
            </w:r>
            <w:r w:rsidRPr="00A64175">
              <w:rPr>
                <w:rFonts w:ascii="Arial" w:hAnsi="Arial" w:cs="Arial"/>
                <w:b/>
              </w:rPr>
              <w:t>. –</w:t>
            </w:r>
            <w:r w:rsidRPr="00A64175">
              <w:rPr>
                <w:rFonts w:ascii="Arial" w:eastAsia="Times New Roman" w:hAnsi="Arial" w:cs="Arial"/>
                <w:bCs/>
                <w:lang w:eastAsia="fr-FR"/>
              </w:rPr>
              <w:t xml:space="preserve"> </w:t>
            </w:r>
            <w:r w:rsidRPr="00A64175">
              <w:rPr>
                <w:rFonts w:ascii="Arial" w:hAnsi="Arial" w:cs="Arial"/>
              </w:rPr>
              <w:t>En cas de transformation, fusion, scission, dissolution ou liquidation d’un OPCI, l’agrément préalable de la COSUMAF est obligatoirement sollicité par la société de gestion.</w:t>
            </w:r>
          </w:p>
          <w:p w14:paraId="6F88C15C" w14:textId="77777777" w:rsidR="00FB5ACC" w:rsidRPr="00A64175" w:rsidRDefault="00FB5ACC" w:rsidP="00A64175">
            <w:pPr>
              <w:jc w:val="both"/>
              <w:rPr>
                <w:rFonts w:ascii="Arial" w:hAnsi="Arial" w:cs="Arial"/>
              </w:rPr>
            </w:pPr>
          </w:p>
          <w:p w14:paraId="6C6EE353" w14:textId="77777777" w:rsidR="00FB5ACC" w:rsidRPr="00A64175" w:rsidRDefault="00FB5ACC" w:rsidP="00A64175">
            <w:pPr>
              <w:jc w:val="both"/>
              <w:rPr>
                <w:rFonts w:ascii="Arial" w:hAnsi="Arial" w:cs="Arial"/>
              </w:rPr>
            </w:pPr>
            <w:r w:rsidRPr="00A64175">
              <w:rPr>
                <w:rFonts w:ascii="Arial" w:hAnsi="Arial" w:cs="Arial"/>
              </w:rPr>
              <w:t>L’agrément visé au présent article est délivré dans un délai de huit (8) jours.</w:t>
            </w:r>
          </w:p>
          <w:p w14:paraId="7513DF8F" w14:textId="77777777" w:rsidR="00FB5ACC" w:rsidRPr="00A64175" w:rsidRDefault="00FB5ACC" w:rsidP="00A64175">
            <w:pPr>
              <w:jc w:val="both"/>
              <w:rPr>
                <w:rFonts w:ascii="Arial" w:hAnsi="Arial" w:cs="Arial"/>
              </w:rPr>
            </w:pPr>
          </w:p>
          <w:p w14:paraId="16746D42" w14:textId="77777777" w:rsidR="00FB5ACC" w:rsidRPr="00A64175" w:rsidRDefault="00FB5ACC" w:rsidP="00A64175">
            <w:pPr>
              <w:jc w:val="both"/>
              <w:rPr>
                <w:rFonts w:ascii="Arial" w:hAnsi="Arial" w:cs="Arial"/>
              </w:rPr>
            </w:pPr>
            <w:r w:rsidRPr="00A64175">
              <w:rPr>
                <w:rFonts w:ascii="Arial" w:hAnsi="Arial" w:cs="Arial"/>
              </w:rPr>
              <w:t>La COSUMAF précise, par instruction, les conditions de délivrance de l’agrément visé au présent article.</w:t>
            </w:r>
          </w:p>
          <w:p w14:paraId="0B903DA5" w14:textId="77777777" w:rsidR="00FB5ACC" w:rsidRPr="00A64175" w:rsidRDefault="00FB5ACC" w:rsidP="00A64175">
            <w:pPr>
              <w:jc w:val="both"/>
              <w:rPr>
                <w:rFonts w:ascii="Arial" w:hAnsi="Arial" w:cs="Arial"/>
              </w:rPr>
            </w:pPr>
          </w:p>
          <w:p w14:paraId="37998D0D" w14:textId="77777777" w:rsidR="00FB5ACC" w:rsidRPr="00A64175" w:rsidRDefault="00FB5ACC" w:rsidP="00A64175">
            <w:pPr>
              <w:jc w:val="both"/>
              <w:rPr>
                <w:rFonts w:ascii="Arial" w:hAnsi="Arial" w:cs="Arial"/>
              </w:rPr>
            </w:pPr>
          </w:p>
          <w:p w14:paraId="18C508B6" w14:textId="77777777" w:rsidR="00FB5ACC" w:rsidRPr="00A64175" w:rsidRDefault="00FB5ACC" w:rsidP="00A64175">
            <w:pPr>
              <w:jc w:val="both"/>
              <w:rPr>
                <w:rFonts w:ascii="Arial" w:hAnsi="Arial" w:cs="Arial"/>
                <w:b/>
              </w:rPr>
            </w:pPr>
            <w:r w:rsidRPr="00A64175">
              <w:rPr>
                <w:rFonts w:ascii="Arial" w:hAnsi="Arial" w:cs="Arial"/>
                <w:b/>
              </w:rPr>
              <w:t>CHAPITRE II – FONCTIONNEMENT DES ORGANISMES DE PLACEMENT COLLECTIF IMMOBILIER</w:t>
            </w:r>
          </w:p>
          <w:p w14:paraId="59EBF18D" w14:textId="77777777" w:rsidR="00FB5ACC" w:rsidRPr="00A64175" w:rsidRDefault="00FB5ACC" w:rsidP="00A64175">
            <w:pPr>
              <w:jc w:val="both"/>
              <w:rPr>
                <w:rFonts w:ascii="Arial" w:hAnsi="Arial" w:cs="Arial"/>
              </w:rPr>
            </w:pPr>
          </w:p>
          <w:p w14:paraId="4B9E9A58" w14:textId="77777777" w:rsidR="00FB5ACC" w:rsidRPr="00A64175" w:rsidRDefault="00FB5ACC" w:rsidP="00A64175">
            <w:pPr>
              <w:jc w:val="both"/>
              <w:rPr>
                <w:rFonts w:ascii="Arial" w:hAnsi="Arial" w:cs="Arial"/>
              </w:rPr>
            </w:pPr>
          </w:p>
          <w:p w14:paraId="1E93FFEE" w14:textId="77777777" w:rsidR="00FB5ACC" w:rsidRPr="00A64175" w:rsidRDefault="00FB5ACC" w:rsidP="00A64175">
            <w:pPr>
              <w:jc w:val="both"/>
              <w:rPr>
                <w:rFonts w:ascii="Arial" w:hAnsi="Arial" w:cs="Arial"/>
                <w:b/>
              </w:rPr>
            </w:pPr>
            <w:r w:rsidRPr="00A64175">
              <w:rPr>
                <w:rFonts w:ascii="Arial" w:hAnsi="Arial" w:cs="Arial"/>
                <w:b/>
              </w:rPr>
              <w:t>Section I : L’actif de l’OPCI</w:t>
            </w:r>
          </w:p>
          <w:p w14:paraId="2ECE1EC2" w14:textId="77777777" w:rsidR="00FB5ACC" w:rsidRPr="00A64175" w:rsidRDefault="00FB5ACC" w:rsidP="00A64175">
            <w:pPr>
              <w:jc w:val="both"/>
              <w:rPr>
                <w:rFonts w:ascii="Arial" w:hAnsi="Arial" w:cs="Arial"/>
              </w:rPr>
            </w:pPr>
          </w:p>
          <w:p w14:paraId="347ED564" w14:textId="77777777" w:rsidR="00FB5ACC" w:rsidRPr="00A64175" w:rsidRDefault="00FB5ACC" w:rsidP="00A64175">
            <w:pPr>
              <w:jc w:val="both"/>
              <w:rPr>
                <w:rFonts w:ascii="Arial" w:hAnsi="Arial" w:cs="Arial"/>
              </w:rPr>
            </w:pPr>
          </w:p>
          <w:p w14:paraId="00CD19CD" w14:textId="77777777" w:rsidR="00FB5ACC" w:rsidRPr="00A64175" w:rsidRDefault="00FB5ACC" w:rsidP="00A64175">
            <w:pPr>
              <w:jc w:val="both"/>
              <w:rPr>
                <w:rFonts w:ascii="Arial" w:hAnsi="Arial" w:cs="Arial"/>
                <w:b/>
              </w:rPr>
            </w:pPr>
            <w:r w:rsidRPr="00A64175">
              <w:rPr>
                <w:rFonts w:ascii="Arial" w:hAnsi="Arial" w:cs="Arial"/>
                <w:b/>
              </w:rPr>
              <w:t>Sous-section I : Composition de l’actif</w:t>
            </w:r>
          </w:p>
          <w:p w14:paraId="576370FD" w14:textId="77777777" w:rsidR="00FB5ACC" w:rsidRPr="00A64175" w:rsidRDefault="00FB5ACC" w:rsidP="00A64175">
            <w:pPr>
              <w:jc w:val="both"/>
              <w:rPr>
                <w:rFonts w:ascii="Arial" w:hAnsi="Arial" w:cs="Arial"/>
              </w:rPr>
            </w:pPr>
          </w:p>
          <w:p w14:paraId="1CF27780" w14:textId="77777777" w:rsidR="00FB5ACC" w:rsidRPr="00A64175" w:rsidRDefault="00FB5ACC" w:rsidP="00A64175">
            <w:pPr>
              <w:jc w:val="both"/>
              <w:rPr>
                <w:rFonts w:ascii="Arial" w:hAnsi="Arial" w:cs="Arial"/>
              </w:rPr>
            </w:pPr>
          </w:p>
          <w:p w14:paraId="1CDF236C" w14:textId="631D08DD"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5</w:t>
            </w:r>
            <w:r w:rsidR="00FB5ACC" w:rsidRPr="00A64175">
              <w:rPr>
                <w:rFonts w:ascii="Arial" w:hAnsi="Arial" w:cs="Arial"/>
                <w:b/>
              </w:rPr>
              <w:t>. –</w:t>
            </w:r>
            <w:r w:rsidR="00FB5ACC" w:rsidRPr="00A64175">
              <w:rPr>
                <w:rFonts w:ascii="Arial" w:hAnsi="Arial" w:cs="Arial"/>
              </w:rPr>
              <w:t xml:space="preserve"> Le montant minimum de l’actif net d’un OPCI s’élève à trois cent millions (300 000 000) de francs CFA.</w:t>
            </w:r>
          </w:p>
          <w:p w14:paraId="375EA95F" w14:textId="77777777" w:rsidR="00FB5ACC" w:rsidRPr="00A64175" w:rsidRDefault="00FB5ACC" w:rsidP="00A64175">
            <w:pPr>
              <w:jc w:val="both"/>
              <w:rPr>
                <w:rFonts w:ascii="Arial" w:hAnsi="Arial" w:cs="Arial"/>
              </w:rPr>
            </w:pPr>
          </w:p>
          <w:p w14:paraId="459471C3" w14:textId="77777777" w:rsidR="00FB5ACC" w:rsidRPr="00A64175" w:rsidRDefault="00FB5ACC" w:rsidP="00A64175">
            <w:pPr>
              <w:jc w:val="both"/>
              <w:rPr>
                <w:rFonts w:ascii="Arial" w:hAnsi="Arial" w:cs="Arial"/>
              </w:rPr>
            </w:pPr>
            <w:r w:rsidRPr="00A64175">
              <w:rPr>
                <w:rFonts w:ascii="Arial" w:hAnsi="Arial" w:cs="Arial"/>
              </w:rPr>
              <w:t>Lorsque l’actif de l’OPCI demeure pendant vingt-quatre (24) mois consécutifs inférieur au montant minimum fixé au présent article, il est procédé à la liquidation de l’OPCI.</w:t>
            </w:r>
          </w:p>
          <w:p w14:paraId="6ADD0DEB" w14:textId="77777777" w:rsidR="00FB5ACC" w:rsidRPr="00A64175" w:rsidRDefault="00FB5ACC" w:rsidP="00A64175">
            <w:pPr>
              <w:jc w:val="both"/>
              <w:rPr>
                <w:rFonts w:ascii="Arial" w:hAnsi="Arial" w:cs="Arial"/>
              </w:rPr>
            </w:pPr>
          </w:p>
          <w:p w14:paraId="3D6BE689" w14:textId="77777777" w:rsidR="00FB5ACC" w:rsidRPr="00A64175" w:rsidRDefault="00FB5ACC" w:rsidP="00A64175">
            <w:pPr>
              <w:jc w:val="both"/>
              <w:rPr>
                <w:rFonts w:ascii="Arial" w:hAnsi="Arial" w:cs="Arial"/>
              </w:rPr>
            </w:pPr>
            <w:r w:rsidRPr="00A64175">
              <w:rPr>
                <w:rFonts w:ascii="Arial" w:hAnsi="Arial" w:cs="Arial"/>
              </w:rPr>
              <w:t>Lorsque l’OPCI comporte des compartiments, les dispositions du présent article sont applicables à chaque compartiment.</w:t>
            </w:r>
          </w:p>
          <w:p w14:paraId="6F77DA7A" w14:textId="77777777" w:rsidR="00FB5ACC" w:rsidRPr="00A64175" w:rsidRDefault="00FB5ACC" w:rsidP="00A64175">
            <w:pPr>
              <w:jc w:val="both"/>
              <w:rPr>
                <w:rFonts w:ascii="Arial" w:hAnsi="Arial" w:cs="Arial"/>
              </w:rPr>
            </w:pPr>
          </w:p>
          <w:p w14:paraId="640569D0" w14:textId="6BE9E5D1"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6</w:t>
            </w:r>
            <w:r w:rsidR="00FB5ACC" w:rsidRPr="00A64175">
              <w:rPr>
                <w:rFonts w:ascii="Arial" w:hAnsi="Arial" w:cs="Arial"/>
                <w:b/>
              </w:rPr>
              <w:t>. –</w:t>
            </w:r>
            <w:r w:rsidR="00FB5ACC" w:rsidRPr="00A64175">
              <w:rPr>
                <w:rFonts w:ascii="Arial" w:eastAsia="Times New Roman" w:hAnsi="Arial" w:cs="Arial"/>
                <w:bCs/>
                <w:lang w:eastAsia="fr-FR"/>
              </w:rPr>
              <w:t xml:space="preserve"> </w:t>
            </w:r>
            <w:r w:rsidR="00FB5ACC" w:rsidRPr="00A64175">
              <w:rPr>
                <w:rFonts w:ascii="Arial" w:hAnsi="Arial" w:cs="Arial"/>
              </w:rPr>
              <w:t>L’actif d’un OPCI comprend :</w:t>
            </w:r>
          </w:p>
          <w:p w14:paraId="3EB93531" w14:textId="77777777" w:rsidR="00FB5ACC" w:rsidRPr="00A64175" w:rsidRDefault="00FB5ACC" w:rsidP="00A64175">
            <w:pPr>
              <w:jc w:val="both"/>
              <w:rPr>
                <w:rFonts w:ascii="Arial" w:hAnsi="Arial" w:cs="Arial"/>
              </w:rPr>
            </w:pPr>
          </w:p>
          <w:p w14:paraId="623A7077" w14:textId="77777777" w:rsidR="00FB5ACC" w:rsidRPr="00A64175" w:rsidRDefault="00FB5ACC" w:rsidP="00A64175">
            <w:pPr>
              <w:pStyle w:val="Paragraphedeliste"/>
              <w:numPr>
                <w:ilvl w:val="0"/>
                <w:numId w:val="192"/>
              </w:numPr>
              <w:spacing w:before="0" w:beforeAutospacing="0" w:after="0" w:afterAutospacing="0" w:line="240" w:lineRule="auto"/>
            </w:pPr>
            <w:r w:rsidRPr="00A64175">
              <w:t>des biens immeubles construits ou acquis en vue de leur location et situés dans les Etats membres de la CEMAC ou dans tout autre Etat précisé par la COSUMAF ;</w:t>
            </w:r>
          </w:p>
          <w:p w14:paraId="76F972FF" w14:textId="77777777" w:rsidR="00FB5ACC" w:rsidRPr="00A64175" w:rsidRDefault="00FB5ACC" w:rsidP="00A64175">
            <w:pPr>
              <w:pStyle w:val="Paragraphedeliste"/>
              <w:spacing w:before="0" w:beforeAutospacing="0" w:after="0" w:afterAutospacing="0" w:line="240" w:lineRule="auto"/>
            </w:pPr>
          </w:p>
          <w:p w14:paraId="5ABDA4CF" w14:textId="77777777" w:rsidR="00FB5ACC" w:rsidRPr="00A64175" w:rsidRDefault="00FB5ACC" w:rsidP="00A64175">
            <w:pPr>
              <w:pStyle w:val="Paragraphedeliste"/>
              <w:numPr>
                <w:ilvl w:val="0"/>
                <w:numId w:val="192"/>
              </w:numPr>
              <w:spacing w:before="0" w:beforeAutospacing="0" w:after="0" w:afterAutospacing="0" w:line="240" w:lineRule="auto"/>
            </w:pPr>
            <w:r w:rsidRPr="00A64175">
              <w:t>des droits réels immobiliers ;</w:t>
            </w:r>
          </w:p>
          <w:p w14:paraId="386882EC" w14:textId="77777777" w:rsidR="00FB5ACC" w:rsidRPr="00A64175" w:rsidRDefault="00FB5ACC" w:rsidP="00A64175">
            <w:pPr>
              <w:jc w:val="both"/>
              <w:rPr>
                <w:rFonts w:ascii="Arial" w:hAnsi="Arial" w:cs="Arial"/>
              </w:rPr>
            </w:pPr>
          </w:p>
          <w:p w14:paraId="1C737CE4" w14:textId="77777777" w:rsidR="00FB5ACC" w:rsidRPr="00A64175" w:rsidRDefault="00FB5ACC" w:rsidP="00A64175">
            <w:pPr>
              <w:pStyle w:val="Paragraphedeliste"/>
              <w:numPr>
                <w:ilvl w:val="0"/>
                <w:numId w:val="192"/>
              </w:numPr>
              <w:spacing w:before="0" w:beforeAutospacing="0" w:after="0" w:afterAutospacing="0" w:line="240" w:lineRule="auto"/>
            </w:pPr>
            <w:r w:rsidRPr="00A64175">
              <w:t>des droits détenus en qualité de crédit-preneur afférents à des contrats de crédit-bail portant sur des immeubles situés dans les Etats membres de la CEMAC ou dans tout autre Etat précisé par la COSUMAF ;</w:t>
            </w:r>
          </w:p>
          <w:p w14:paraId="158AF28D" w14:textId="77777777" w:rsidR="00FB5ACC" w:rsidRPr="00A64175" w:rsidRDefault="00FB5ACC" w:rsidP="00A64175">
            <w:pPr>
              <w:jc w:val="both"/>
              <w:rPr>
                <w:rFonts w:ascii="Arial" w:hAnsi="Arial" w:cs="Arial"/>
              </w:rPr>
            </w:pPr>
          </w:p>
          <w:p w14:paraId="0E87B5C9" w14:textId="77777777" w:rsidR="00FB5ACC" w:rsidRPr="00A64175" w:rsidRDefault="00FB5ACC" w:rsidP="00A64175">
            <w:pPr>
              <w:pStyle w:val="Paragraphedeliste"/>
              <w:numPr>
                <w:ilvl w:val="0"/>
                <w:numId w:val="192"/>
              </w:numPr>
              <w:spacing w:before="0" w:beforeAutospacing="0" w:after="0" w:afterAutospacing="0" w:line="240" w:lineRule="auto"/>
            </w:pPr>
            <w:r w:rsidRPr="00A64175">
              <w:t>des titres de capital, certificats de sukuk, des droits, des titres de créance, donnant accès directement ou indirectement au capital de sociétés ayant leur siège social ou leur principal établissement dans les Etats membres de la CEMAC et dont l’actif est constitué principalement d’immeubles, à l’exclusion des sociétés de personnes et des sociétés civiles ;</w:t>
            </w:r>
          </w:p>
          <w:p w14:paraId="07559A18" w14:textId="77777777" w:rsidR="00FB5ACC" w:rsidRPr="00A64175" w:rsidRDefault="00FB5ACC" w:rsidP="00A64175">
            <w:pPr>
              <w:jc w:val="both"/>
              <w:rPr>
                <w:rFonts w:ascii="Arial" w:hAnsi="Arial" w:cs="Arial"/>
              </w:rPr>
            </w:pPr>
          </w:p>
          <w:p w14:paraId="7A05356D" w14:textId="77777777" w:rsidR="00FB5ACC" w:rsidRPr="00A64175" w:rsidRDefault="00FB5ACC" w:rsidP="00A64175">
            <w:pPr>
              <w:pStyle w:val="Paragraphedeliste"/>
              <w:numPr>
                <w:ilvl w:val="0"/>
                <w:numId w:val="192"/>
              </w:numPr>
              <w:spacing w:before="0" w:beforeAutospacing="0" w:after="0" w:afterAutospacing="0" w:line="240" w:lineRule="auto"/>
            </w:pPr>
            <w:r w:rsidRPr="00A64175">
              <w:t>les parts ou actions d’OPCI agréés par la COSUMAF ;</w:t>
            </w:r>
          </w:p>
          <w:p w14:paraId="34DF84F8" w14:textId="77777777" w:rsidR="00FB5ACC" w:rsidRPr="00A64175" w:rsidRDefault="00FB5ACC" w:rsidP="00A64175">
            <w:pPr>
              <w:jc w:val="both"/>
              <w:rPr>
                <w:rFonts w:ascii="Arial" w:hAnsi="Arial" w:cs="Arial"/>
              </w:rPr>
            </w:pPr>
          </w:p>
          <w:p w14:paraId="7DFCE6FF" w14:textId="77777777" w:rsidR="00FB5ACC" w:rsidRPr="00A64175" w:rsidRDefault="00FB5ACC" w:rsidP="00A64175">
            <w:pPr>
              <w:pStyle w:val="Paragraphedeliste"/>
              <w:numPr>
                <w:ilvl w:val="0"/>
                <w:numId w:val="192"/>
              </w:numPr>
              <w:spacing w:before="0" w:beforeAutospacing="0" w:after="0" w:afterAutospacing="0" w:line="240" w:lineRule="auto"/>
            </w:pPr>
            <w:r w:rsidRPr="00A64175">
              <w:t>les liquidités ou avances en compte courant.</w:t>
            </w:r>
          </w:p>
          <w:p w14:paraId="6A36BAB9" w14:textId="77777777" w:rsidR="00FB5ACC" w:rsidRPr="00A64175" w:rsidRDefault="00FB5ACC" w:rsidP="00A64175">
            <w:pPr>
              <w:jc w:val="both"/>
              <w:rPr>
                <w:rFonts w:ascii="Arial" w:hAnsi="Arial" w:cs="Arial"/>
              </w:rPr>
            </w:pPr>
          </w:p>
          <w:p w14:paraId="50A62F3C" w14:textId="77777777" w:rsidR="00FB5ACC" w:rsidRPr="00A64175" w:rsidRDefault="00FB5ACC" w:rsidP="00A64175">
            <w:pPr>
              <w:jc w:val="both"/>
              <w:rPr>
                <w:rFonts w:ascii="Arial" w:hAnsi="Arial" w:cs="Arial"/>
              </w:rPr>
            </w:pPr>
            <w:r w:rsidRPr="00A64175">
              <w:rPr>
                <w:rFonts w:ascii="Arial" w:hAnsi="Arial" w:cs="Arial"/>
              </w:rPr>
              <w:t xml:space="preserve">Les biens immobiliers, droits réels immobiliers et titres visés au présent article, doivent représenter au moins 70% de l’actif d’un OPCI. </w:t>
            </w:r>
          </w:p>
          <w:p w14:paraId="126EFD72" w14:textId="77777777" w:rsidR="00FB5ACC" w:rsidRPr="00A64175" w:rsidRDefault="00FB5ACC" w:rsidP="00A64175">
            <w:pPr>
              <w:jc w:val="both"/>
              <w:rPr>
                <w:rFonts w:ascii="Arial" w:hAnsi="Arial" w:cs="Arial"/>
              </w:rPr>
            </w:pPr>
          </w:p>
          <w:p w14:paraId="46FDC06D" w14:textId="77777777" w:rsidR="00FB5ACC" w:rsidRPr="00A64175" w:rsidRDefault="00FB5ACC" w:rsidP="00A64175">
            <w:pPr>
              <w:jc w:val="both"/>
              <w:rPr>
                <w:rFonts w:ascii="Arial" w:hAnsi="Arial" w:cs="Arial"/>
              </w:rPr>
            </w:pPr>
          </w:p>
          <w:p w14:paraId="0FCBF06A" w14:textId="77777777" w:rsidR="00FB5ACC" w:rsidRPr="00A64175" w:rsidRDefault="00FB5ACC" w:rsidP="00A64175">
            <w:pPr>
              <w:jc w:val="both"/>
              <w:rPr>
                <w:rFonts w:ascii="Arial" w:hAnsi="Arial" w:cs="Arial"/>
                <w:b/>
              </w:rPr>
            </w:pPr>
            <w:r w:rsidRPr="00A64175">
              <w:rPr>
                <w:rFonts w:ascii="Arial" w:hAnsi="Arial" w:cs="Arial"/>
                <w:b/>
              </w:rPr>
              <w:t>Sous-section II : L’évaluation des actifs de l’OPCI</w:t>
            </w:r>
          </w:p>
          <w:p w14:paraId="1DD2CBAE" w14:textId="77777777" w:rsidR="00FB5ACC" w:rsidRPr="00A64175" w:rsidRDefault="00FB5ACC" w:rsidP="00A64175">
            <w:pPr>
              <w:jc w:val="both"/>
              <w:rPr>
                <w:rFonts w:ascii="Arial" w:hAnsi="Arial" w:cs="Arial"/>
              </w:rPr>
            </w:pPr>
          </w:p>
          <w:p w14:paraId="3ADC9C64" w14:textId="77777777" w:rsidR="00FB5ACC" w:rsidRPr="00A64175" w:rsidRDefault="00FB5ACC" w:rsidP="00A64175">
            <w:pPr>
              <w:jc w:val="both"/>
              <w:rPr>
                <w:rFonts w:ascii="Arial" w:hAnsi="Arial" w:cs="Arial"/>
              </w:rPr>
            </w:pPr>
          </w:p>
          <w:p w14:paraId="3C687B6D" w14:textId="07227379"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7</w:t>
            </w:r>
            <w:r w:rsidR="00FB5ACC" w:rsidRPr="00A64175">
              <w:rPr>
                <w:rFonts w:ascii="Arial" w:hAnsi="Arial" w:cs="Arial"/>
                <w:b/>
              </w:rPr>
              <w:t>. –</w:t>
            </w:r>
            <w:r w:rsidR="00FB5ACC" w:rsidRPr="00A64175">
              <w:rPr>
                <w:rFonts w:ascii="Arial" w:hAnsi="Arial" w:cs="Arial"/>
              </w:rPr>
              <w:t xml:space="preserve"> Les immeubles et droits réels détenus directement ou indirectement par un OPCI sont évalués dans les conditions suivantes :</w:t>
            </w:r>
          </w:p>
          <w:p w14:paraId="0F53C8F0" w14:textId="77777777" w:rsidR="00FB5ACC" w:rsidRPr="00A64175" w:rsidRDefault="00FB5ACC" w:rsidP="00A64175">
            <w:pPr>
              <w:jc w:val="both"/>
              <w:rPr>
                <w:rFonts w:ascii="Arial" w:hAnsi="Arial" w:cs="Arial"/>
              </w:rPr>
            </w:pPr>
          </w:p>
          <w:p w14:paraId="1C50457A" w14:textId="77777777" w:rsidR="00FB5ACC" w:rsidRPr="00A64175" w:rsidRDefault="00FB5ACC" w:rsidP="00A64175">
            <w:pPr>
              <w:pStyle w:val="Paragraphedeliste"/>
              <w:numPr>
                <w:ilvl w:val="0"/>
                <w:numId w:val="192"/>
              </w:numPr>
              <w:spacing w:before="0" w:beforeAutospacing="0" w:after="0" w:afterAutospacing="0" w:line="240" w:lineRule="auto"/>
            </w:pPr>
            <w:r w:rsidRPr="00A64175">
              <w:t>au moins une fois par semestre, chaque actif est évalué par deux experts en évaluation, désignés par la société de gestion qui fixe leur mission, l’un des experts détermine la valeur de l’actif et l’autre apprécie, en toute responsabilité, la pertinence de cette valeur ;</w:t>
            </w:r>
          </w:p>
          <w:p w14:paraId="4E862C31" w14:textId="77777777" w:rsidR="00FB5ACC" w:rsidRPr="00A64175" w:rsidRDefault="00FB5ACC" w:rsidP="00A64175">
            <w:pPr>
              <w:pStyle w:val="Paragraphedeliste"/>
              <w:spacing w:before="0" w:beforeAutospacing="0" w:after="0" w:afterAutospacing="0" w:line="240" w:lineRule="auto"/>
            </w:pPr>
          </w:p>
          <w:p w14:paraId="0C5A2999" w14:textId="77777777" w:rsidR="00FB5ACC" w:rsidRPr="00A64175" w:rsidRDefault="00FB5ACC" w:rsidP="00A64175">
            <w:pPr>
              <w:pStyle w:val="Paragraphedeliste"/>
              <w:numPr>
                <w:ilvl w:val="0"/>
                <w:numId w:val="193"/>
              </w:numPr>
              <w:spacing w:before="0" w:beforeAutospacing="0" w:after="0" w:afterAutospacing="0" w:line="240" w:lineRule="auto"/>
            </w:pPr>
            <w:r w:rsidRPr="00A64175">
              <w:t>une fois par an, chaque actif fait l’objet d’une expertise immobilière réalisée par un expert en évaluation.</w:t>
            </w:r>
          </w:p>
          <w:p w14:paraId="79FA853B" w14:textId="77777777" w:rsidR="00FB5ACC" w:rsidRPr="00A64175" w:rsidRDefault="00FB5ACC" w:rsidP="00A64175">
            <w:pPr>
              <w:pStyle w:val="Paragraphedeliste"/>
              <w:spacing w:before="0" w:beforeAutospacing="0" w:after="0" w:afterAutospacing="0" w:line="240" w:lineRule="auto"/>
            </w:pPr>
          </w:p>
          <w:p w14:paraId="1AD6208C" w14:textId="4FB495D7"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8</w:t>
            </w:r>
            <w:r w:rsidR="00FB5ACC" w:rsidRPr="00A64175">
              <w:rPr>
                <w:rFonts w:ascii="Arial" w:hAnsi="Arial" w:cs="Arial"/>
                <w:b/>
              </w:rPr>
              <w:t>. –</w:t>
            </w:r>
            <w:r w:rsidR="00FB5ACC" w:rsidRPr="00A64175">
              <w:rPr>
                <w:rFonts w:ascii="Arial" w:hAnsi="Arial" w:cs="Arial"/>
              </w:rPr>
              <w:t xml:space="preserve"> Pour chaque actif immobilier de l’OPCI soumis à évaluation, les experts en évaluation établissent un document précisant, concernant l’expert ayant déterminé la valeur de l’actif, la méthodologie employée et la valeur retenue, et concernant l’expert ayant procédé à l’examen critique de la valeur, la procédure et les contrôles effectués.</w:t>
            </w:r>
          </w:p>
          <w:p w14:paraId="23AB54EE" w14:textId="77777777" w:rsidR="00FB5ACC" w:rsidRPr="00A64175" w:rsidRDefault="00FB5ACC" w:rsidP="00A64175">
            <w:pPr>
              <w:jc w:val="both"/>
              <w:rPr>
                <w:rFonts w:ascii="Arial" w:hAnsi="Arial" w:cs="Arial"/>
              </w:rPr>
            </w:pPr>
          </w:p>
          <w:p w14:paraId="7EE5FF88" w14:textId="77777777" w:rsidR="00FB5ACC" w:rsidRPr="00A64175" w:rsidRDefault="00FB5ACC" w:rsidP="00A64175">
            <w:pPr>
              <w:jc w:val="both"/>
              <w:rPr>
                <w:rFonts w:ascii="Arial" w:hAnsi="Arial" w:cs="Arial"/>
              </w:rPr>
            </w:pPr>
            <w:r w:rsidRPr="00A64175">
              <w:rPr>
                <w:rFonts w:ascii="Arial" w:hAnsi="Arial" w:cs="Arial"/>
              </w:rPr>
              <w:t>L’expert en évaluation ayant procédé à l’examen critique de la valeur transmet ce document à la société de gestion, au dépositaire et, à la fin du premier semestre ainsi qu’à la clôture des comptes, au commissaire aux comptes.</w:t>
            </w:r>
          </w:p>
          <w:p w14:paraId="5888F2C6" w14:textId="77777777" w:rsidR="00FB5ACC" w:rsidRPr="00A64175" w:rsidRDefault="00FB5ACC" w:rsidP="00A64175">
            <w:pPr>
              <w:jc w:val="both"/>
              <w:rPr>
                <w:rFonts w:ascii="Arial" w:hAnsi="Arial" w:cs="Arial"/>
              </w:rPr>
            </w:pPr>
          </w:p>
          <w:p w14:paraId="18D68533" w14:textId="5DE52B60" w:rsidR="00FB5ACC" w:rsidRPr="00A64175" w:rsidRDefault="00BE0D8A" w:rsidP="00A64175">
            <w:pPr>
              <w:jc w:val="both"/>
              <w:rPr>
                <w:rFonts w:ascii="Arial" w:hAnsi="Arial" w:cs="Arial"/>
              </w:rPr>
            </w:pPr>
            <w:r w:rsidRPr="00A64175">
              <w:rPr>
                <w:rFonts w:ascii="Arial" w:hAnsi="Arial" w:cs="Arial"/>
                <w:b/>
                <w:bCs/>
              </w:rPr>
              <w:t>Article 41</w:t>
            </w:r>
            <w:r w:rsidR="00757151">
              <w:rPr>
                <w:rFonts w:ascii="Arial" w:hAnsi="Arial" w:cs="Arial"/>
                <w:b/>
                <w:bCs/>
              </w:rPr>
              <w:t>9</w:t>
            </w:r>
            <w:r w:rsidR="00FB5ACC" w:rsidRPr="00A64175">
              <w:rPr>
                <w:rFonts w:ascii="Arial" w:hAnsi="Arial" w:cs="Arial"/>
                <w:b/>
              </w:rPr>
              <w:t>. –</w:t>
            </w:r>
            <w:r w:rsidR="00FB5ACC" w:rsidRPr="00A64175">
              <w:rPr>
                <w:rFonts w:ascii="Arial" w:hAnsi="Arial" w:cs="Arial"/>
              </w:rPr>
              <w:t xml:space="preserve"> Les experts en évaluation sont tenus d’informer le dépositaire, la société de gestion, le commissaire aux comptes et la COSUMAF des difficultés rencontrées dans l’exercice de leur mission.</w:t>
            </w:r>
          </w:p>
          <w:p w14:paraId="78C0C53F" w14:textId="77777777" w:rsidR="00FB5ACC" w:rsidRPr="00A64175" w:rsidRDefault="00FB5ACC" w:rsidP="00A64175">
            <w:pPr>
              <w:jc w:val="both"/>
              <w:rPr>
                <w:rFonts w:ascii="Arial" w:hAnsi="Arial" w:cs="Arial"/>
              </w:rPr>
            </w:pPr>
          </w:p>
          <w:p w14:paraId="165C0C48" w14:textId="3BBDECA6"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20</w:t>
            </w:r>
            <w:r w:rsidR="00FB5ACC" w:rsidRPr="00A64175">
              <w:rPr>
                <w:rFonts w:ascii="Arial" w:hAnsi="Arial" w:cs="Arial"/>
                <w:b/>
              </w:rPr>
              <w:t>. –</w:t>
            </w:r>
            <w:r w:rsidR="00FB5ACC" w:rsidRPr="00A64175">
              <w:rPr>
                <w:rFonts w:ascii="Arial" w:hAnsi="Arial" w:cs="Arial"/>
              </w:rPr>
              <w:t xml:space="preserve"> Les experts en évaluation sont tenus d’établir conjointement, en fin d’exercice, un rapport annuel qui prend la forme d’un rapport de synthèse. Ce rapport rend compte notamment des diligences des experts au cours de l’exercice.</w:t>
            </w:r>
          </w:p>
          <w:p w14:paraId="644FEC83" w14:textId="77777777" w:rsidR="00FB5ACC" w:rsidRPr="00A64175" w:rsidRDefault="00FB5ACC" w:rsidP="00A64175">
            <w:pPr>
              <w:jc w:val="both"/>
              <w:rPr>
                <w:rFonts w:ascii="Arial" w:hAnsi="Arial" w:cs="Arial"/>
              </w:rPr>
            </w:pPr>
          </w:p>
          <w:p w14:paraId="69314CEE" w14:textId="77777777" w:rsidR="00FB5ACC" w:rsidRPr="00A64175" w:rsidRDefault="00FB5ACC" w:rsidP="00A64175">
            <w:pPr>
              <w:jc w:val="both"/>
              <w:rPr>
                <w:rFonts w:ascii="Arial" w:hAnsi="Arial" w:cs="Arial"/>
              </w:rPr>
            </w:pPr>
            <w:r w:rsidRPr="00A64175">
              <w:rPr>
                <w:rFonts w:ascii="Arial" w:hAnsi="Arial" w:cs="Arial"/>
              </w:rPr>
              <w:t>Une instruction de la COSUMAF précise le contenu du rapport annuel visé au présent article.</w:t>
            </w:r>
          </w:p>
          <w:p w14:paraId="23614385" w14:textId="77777777" w:rsidR="00FB5ACC" w:rsidRPr="00A64175" w:rsidRDefault="00FB5ACC" w:rsidP="00A64175">
            <w:pPr>
              <w:jc w:val="both"/>
              <w:rPr>
                <w:rFonts w:ascii="Arial" w:hAnsi="Arial" w:cs="Arial"/>
              </w:rPr>
            </w:pPr>
          </w:p>
          <w:p w14:paraId="6567FEDC" w14:textId="002C6FEE"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21</w:t>
            </w:r>
            <w:r w:rsidR="00FB5ACC" w:rsidRPr="00A64175">
              <w:rPr>
                <w:rFonts w:ascii="Arial" w:hAnsi="Arial" w:cs="Arial"/>
                <w:b/>
              </w:rPr>
              <w:t>. –</w:t>
            </w:r>
            <w:r w:rsidR="00FB5ACC" w:rsidRPr="00A64175">
              <w:rPr>
                <w:rFonts w:ascii="Arial" w:hAnsi="Arial" w:cs="Arial"/>
              </w:rPr>
              <w:t xml:space="preserve"> Les OPCI sont tenus d’établir leur valeur liquidative et de la publier selon une périodicité liée à leur politique de gestion, à la nature des actifs détenus et au profil des souscripteurs. La valeur liquidative est obligatoirement établie et publiée au moins une (1) fois par semestre et au plus deux (2) fois par mois. Elle est communiquée à la COSUMAF le jour de sa détermination.</w:t>
            </w:r>
          </w:p>
          <w:p w14:paraId="61A92AF1" w14:textId="77777777" w:rsidR="00FB5ACC" w:rsidRPr="00A64175" w:rsidRDefault="00FB5ACC" w:rsidP="00A64175">
            <w:pPr>
              <w:jc w:val="both"/>
              <w:rPr>
                <w:rFonts w:ascii="Arial" w:hAnsi="Arial" w:cs="Arial"/>
              </w:rPr>
            </w:pPr>
          </w:p>
          <w:p w14:paraId="31E14468" w14:textId="77777777" w:rsidR="00FB5ACC" w:rsidRPr="00A64175" w:rsidRDefault="00FB5ACC" w:rsidP="00A64175">
            <w:pPr>
              <w:jc w:val="both"/>
              <w:rPr>
                <w:rFonts w:ascii="Arial" w:hAnsi="Arial" w:cs="Arial"/>
              </w:rPr>
            </w:pPr>
            <w:r w:rsidRPr="00A64175">
              <w:rPr>
                <w:rFonts w:ascii="Arial" w:hAnsi="Arial" w:cs="Arial"/>
              </w:rPr>
              <w:t>La valeur liquidative est obtenue en divisant l’actif net de l’OPCI par le nombre de parts ou d’actions émises.</w:t>
            </w:r>
          </w:p>
          <w:p w14:paraId="2A0A0FFE" w14:textId="77777777" w:rsidR="00FB5ACC" w:rsidRPr="00A64175" w:rsidRDefault="00FB5ACC" w:rsidP="00A64175">
            <w:pPr>
              <w:jc w:val="both"/>
              <w:rPr>
                <w:rFonts w:ascii="Arial" w:hAnsi="Arial" w:cs="Arial"/>
              </w:rPr>
            </w:pPr>
          </w:p>
          <w:p w14:paraId="5F143E51" w14:textId="77777777" w:rsidR="00FB5ACC" w:rsidRPr="00A64175" w:rsidRDefault="00FB5ACC" w:rsidP="00A64175">
            <w:pPr>
              <w:jc w:val="both"/>
              <w:rPr>
                <w:rFonts w:ascii="Arial" w:hAnsi="Arial" w:cs="Arial"/>
              </w:rPr>
            </w:pPr>
            <w:r w:rsidRPr="00A64175">
              <w:rPr>
                <w:rFonts w:ascii="Arial" w:hAnsi="Arial" w:cs="Arial"/>
              </w:rPr>
              <w:t>Le document d’information précise la périodicité d’établissement et de publication de la valeur liquidative et la méthode d’évaluation.</w:t>
            </w:r>
          </w:p>
          <w:p w14:paraId="26A7885D" w14:textId="77777777" w:rsidR="00FB5ACC" w:rsidRPr="00A64175" w:rsidRDefault="00FB5ACC" w:rsidP="00A64175">
            <w:pPr>
              <w:jc w:val="both"/>
              <w:rPr>
                <w:rFonts w:ascii="Arial" w:hAnsi="Arial" w:cs="Arial"/>
              </w:rPr>
            </w:pPr>
          </w:p>
          <w:p w14:paraId="04271096" w14:textId="77777777" w:rsidR="00FB5ACC" w:rsidRPr="00A64175" w:rsidRDefault="00FB5ACC" w:rsidP="00A64175">
            <w:pPr>
              <w:jc w:val="both"/>
              <w:rPr>
                <w:rFonts w:ascii="Arial" w:hAnsi="Arial" w:cs="Arial"/>
              </w:rPr>
            </w:pPr>
          </w:p>
          <w:p w14:paraId="69B3F1D4" w14:textId="77777777" w:rsidR="00FB5ACC" w:rsidRPr="00A64175" w:rsidRDefault="00FB5ACC" w:rsidP="00A64175">
            <w:pPr>
              <w:jc w:val="both"/>
              <w:rPr>
                <w:rFonts w:ascii="Arial" w:hAnsi="Arial" w:cs="Arial"/>
                <w:b/>
              </w:rPr>
            </w:pPr>
            <w:r w:rsidRPr="00A64175">
              <w:rPr>
                <w:rFonts w:ascii="Arial" w:hAnsi="Arial" w:cs="Arial"/>
                <w:b/>
              </w:rPr>
              <w:t>Section II : Financement des OPCI</w:t>
            </w:r>
          </w:p>
          <w:p w14:paraId="375139B8" w14:textId="77777777" w:rsidR="00FB5ACC" w:rsidRPr="00A64175" w:rsidRDefault="00FB5ACC" w:rsidP="00A64175">
            <w:pPr>
              <w:jc w:val="both"/>
              <w:rPr>
                <w:rFonts w:ascii="Arial" w:hAnsi="Arial" w:cs="Arial"/>
              </w:rPr>
            </w:pPr>
          </w:p>
          <w:p w14:paraId="42200A4E" w14:textId="77777777" w:rsidR="00FB5ACC" w:rsidRPr="00A64175" w:rsidRDefault="00FB5ACC" w:rsidP="00A64175">
            <w:pPr>
              <w:jc w:val="both"/>
              <w:rPr>
                <w:rFonts w:ascii="Arial" w:hAnsi="Arial" w:cs="Arial"/>
              </w:rPr>
            </w:pPr>
          </w:p>
          <w:p w14:paraId="62383098" w14:textId="43CEA5D9"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22</w:t>
            </w:r>
            <w:r w:rsidR="00FB5ACC" w:rsidRPr="00A64175">
              <w:rPr>
                <w:rFonts w:ascii="Arial" w:hAnsi="Arial" w:cs="Arial"/>
                <w:b/>
              </w:rPr>
              <w:t>. –</w:t>
            </w:r>
            <w:r w:rsidR="00FB5ACC" w:rsidRPr="00A64175">
              <w:rPr>
                <w:rFonts w:ascii="Arial" w:hAnsi="Arial" w:cs="Arial"/>
              </w:rPr>
              <w:t xml:space="preserve"> Les OPCI </w:t>
            </w:r>
            <w:r w:rsidR="00FB5ACC" w:rsidRPr="00A64175">
              <w:rPr>
                <w:rFonts w:ascii="Arial" w:eastAsia="Times New Roman" w:hAnsi="Arial" w:cs="Arial"/>
                <w:lang w:eastAsia="fr-FR"/>
              </w:rPr>
              <w:t>émettent des actions, des titres de créance, des parts et des certificats de sukuk.</w:t>
            </w:r>
          </w:p>
          <w:p w14:paraId="20AD2464" w14:textId="77777777" w:rsidR="00FB5ACC" w:rsidRPr="00A64175" w:rsidRDefault="00FB5ACC" w:rsidP="00A64175">
            <w:pPr>
              <w:jc w:val="both"/>
              <w:rPr>
                <w:rFonts w:ascii="Arial" w:hAnsi="Arial" w:cs="Arial"/>
              </w:rPr>
            </w:pPr>
          </w:p>
          <w:p w14:paraId="2D59DCC2" w14:textId="77777777" w:rsidR="00FB5ACC" w:rsidRPr="00A64175" w:rsidRDefault="00FB5ACC" w:rsidP="00A64175">
            <w:pPr>
              <w:jc w:val="both"/>
              <w:rPr>
                <w:rFonts w:ascii="Arial" w:hAnsi="Arial" w:cs="Arial"/>
              </w:rPr>
            </w:pPr>
            <w:r w:rsidRPr="00A64175">
              <w:rPr>
                <w:rFonts w:ascii="Arial" w:hAnsi="Arial" w:cs="Arial"/>
              </w:rPr>
              <w:t>Les titres de créance comprennent :</w:t>
            </w:r>
          </w:p>
          <w:p w14:paraId="6B76BC71" w14:textId="77777777" w:rsidR="00FB5ACC" w:rsidRPr="00A64175" w:rsidRDefault="00FB5ACC" w:rsidP="00A64175">
            <w:pPr>
              <w:jc w:val="both"/>
              <w:rPr>
                <w:rFonts w:ascii="Arial" w:hAnsi="Arial" w:cs="Arial"/>
              </w:rPr>
            </w:pPr>
          </w:p>
          <w:p w14:paraId="45281D35" w14:textId="77777777" w:rsidR="00FB5ACC" w:rsidRPr="00A64175" w:rsidRDefault="00FB5ACC" w:rsidP="00A64175">
            <w:pPr>
              <w:pStyle w:val="Paragraphedeliste"/>
              <w:numPr>
                <w:ilvl w:val="0"/>
                <w:numId w:val="192"/>
              </w:numPr>
              <w:spacing w:before="0" w:beforeAutospacing="0" w:after="0" w:afterAutospacing="0" w:line="240" w:lineRule="auto"/>
            </w:pPr>
            <w:r w:rsidRPr="00A64175">
              <w:t>les billets de trésorerie régis par les dispositions du Règlement n°04/CEMAC/UMAC/CM relatif au marché des titres de créances négociables de la CEMAC ;</w:t>
            </w:r>
          </w:p>
          <w:p w14:paraId="2EF5524C" w14:textId="77777777" w:rsidR="00FB5ACC" w:rsidRPr="00A64175" w:rsidRDefault="00FB5ACC" w:rsidP="00A64175">
            <w:pPr>
              <w:pStyle w:val="Paragraphedeliste"/>
              <w:spacing w:before="0" w:beforeAutospacing="0" w:after="0" w:afterAutospacing="0" w:line="240" w:lineRule="auto"/>
            </w:pPr>
          </w:p>
          <w:p w14:paraId="1462F17F" w14:textId="77777777" w:rsidR="00FB5ACC" w:rsidRPr="00A64175" w:rsidRDefault="00FB5ACC" w:rsidP="00A64175">
            <w:pPr>
              <w:pStyle w:val="Paragraphedeliste"/>
              <w:numPr>
                <w:ilvl w:val="0"/>
                <w:numId w:val="192"/>
              </w:numPr>
              <w:spacing w:before="0" w:beforeAutospacing="0" w:after="0" w:afterAutospacing="0" w:line="240" w:lineRule="auto"/>
            </w:pPr>
            <w:r w:rsidRPr="00A64175">
              <w:t>les obligations.</w:t>
            </w:r>
          </w:p>
          <w:p w14:paraId="32D75E58" w14:textId="77777777" w:rsidR="00FB5ACC" w:rsidRPr="00A64175" w:rsidRDefault="00FB5ACC" w:rsidP="00A64175">
            <w:pPr>
              <w:jc w:val="both"/>
              <w:rPr>
                <w:rFonts w:ascii="Arial" w:hAnsi="Arial" w:cs="Arial"/>
              </w:rPr>
            </w:pPr>
          </w:p>
          <w:p w14:paraId="0B4B1B35" w14:textId="69BD4C00" w:rsidR="00FB5ACC" w:rsidRPr="00A64175" w:rsidRDefault="00BE0D8A" w:rsidP="00A64175">
            <w:pPr>
              <w:jc w:val="both"/>
              <w:rPr>
                <w:rFonts w:ascii="Arial" w:hAnsi="Arial" w:cs="Arial"/>
              </w:rPr>
            </w:pPr>
            <w:r w:rsidRPr="00A64175">
              <w:rPr>
                <w:rFonts w:ascii="Arial" w:hAnsi="Arial" w:cs="Arial"/>
                <w:b/>
                <w:bCs/>
              </w:rPr>
              <w:t>Article 42</w:t>
            </w:r>
            <w:r w:rsidR="00757151">
              <w:rPr>
                <w:rFonts w:ascii="Arial" w:hAnsi="Arial" w:cs="Arial"/>
                <w:b/>
                <w:bCs/>
              </w:rPr>
              <w:t>3</w:t>
            </w:r>
            <w:r w:rsidR="00FB5ACC" w:rsidRPr="00A64175">
              <w:rPr>
                <w:rFonts w:ascii="Arial" w:hAnsi="Arial" w:cs="Arial"/>
                <w:b/>
              </w:rPr>
              <w:t>. –</w:t>
            </w:r>
            <w:r w:rsidR="00FB5ACC" w:rsidRPr="00A64175">
              <w:rPr>
                <w:rFonts w:ascii="Arial" w:hAnsi="Arial" w:cs="Arial"/>
              </w:rPr>
              <w:t xml:space="preserve"> Les parts ou actions d’OPCI sont émises ou rachetées à tout moment à la demande des porteurs ou actionnaires sur la base de la valeur liquidative. </w:t>
            </w:r>
          </w:p>
          <w:p w14:paraId="5B5F6D6F" w14:textId="77777777" w:rsidR="00FB5ACC" w:rsidRPr="00A64175" w:rsidRDefault="00FB5ACC" w:rsidP="00A64175">
            <w:pPr>
              <w:jc w:val="both"/>
              <w:rPr>
                <w:rFonts w:ascii="Arial" w:hAnsi="Arial" w:cs="Arial"/>
              </w:rPr>
            </w:pPr>
          </w:p>
          <w:p w14:paraId="76F62977" w14:textId="1E197FE2" w:rsidR="00FB5ACC" w:rsidRPr="00A64175" w:rsidRDefault="00FB5ACC" w:rsidP="00A64175">
            <w:pPr>
              <w:jc w:val="both"/>
              <w:rPr>
                <w:rFonts w:ascii="Arial" w:hAnsi="Arial" w:cs="Arial"/>
              </w:rPr>
            </w:pPr>
            <w:r w:rsidRPr="00A64175">
              <w:rPr>
                <w:rFonts w:ascii="Arial" w:hAnsi="Arial" w:cs="Arial"/>
                <w:b/>
                <w:bCs/>
              </w:rPr>
              <w:t xml:space="preserve">Article </w:t>
            </w:r>
            <w:r w:rsidR="00BE0D8A" w:rsidRPr="00A64175">
              <w:rPr>
                <w:rFonts w:ascii="Arial" w:hAnsi="Arial" w:cs="Arial"/>
                <w:b/>
                <w:bCs/>
              </w:rPr>
              <w:t>42</w:t>
            </w:r>
            <w:r w:rsidR="00757151">
              <w:rPr>
                <w:rFonts w:ascii="Arial" w:hAnsi="Arial" w:cs="Arial"/>
                <w:b/>
                <w:bCs/>
              </w:rPr>
              <w:t>4</w:t>
            </w:r>
            <w:r w:rsidRPr="00A64175">
              <w:rPr>
                <w:rFonts w:ascii="Arial" w:hAnsi="Arial" w:cs="Arial"/>
                <w:b/>
              </w:rPr>
              <w:t>. –</w:t>
            </w:r>
            <w:r w:rsidRPr="00A64175">
              <w:rPr>
                <w:rFonts w:ascii="Arial" w:hAnsi="Arial" w:cs="Arial"/>
              </w:rPr>
              <w:t xml:space="preserve"> Lorsqu’un OPCI est réservé, par le document d’information, à un nombre précis de porteurs ou à une catégorie d’investisseurs, cet OPCI peut cesser d’émettre des parts ou actions.</w:t>
            </w:r>
          </w:p>
          <w:p w14:paraId="5CA1BAE2" w14:textId="77777777" w:rsidR="00FB5ACC" w:rsidRPr="00A64175" w:rsidRDefault="00FB5ACC" w:rsidP="00A64175">
            <w:pPr>
              <w:jc w:val="both"/>
              <w:rPr>
                <w:rFonts w:ascii="Arial" w:hAnsi="Arial" w:cs="Arial"/>
              </w:rPr>
            </w:pPr>
          </w:p>
          <w:p w14:paraId="438B454C" w14:textId="534BB972" w:rsidR="00FB5ACC" w:rsidRPr="00A64175" w:rsidRDefault="00FB5ACC" w:rsidP="00A64175">
            <w:pPr>
              <w:jc w:val="both"/>
              <w:rPr>
                <w:rFonts w:ascii="Arial" w:hAnsi="Arial" w:cs="Arial"/>
              </w:rPr>
            </w:pPr>
            <w:r w:rsidRPr="00A64175">
              <w:rPr>
                <w:rFonts w:ascii="Arial" w:hAnsi="Arial" w:cs="Arial"/>
                <w:b/>
                <w:bCs/>
              </w:rPr>
              <w:t xml:space="preserve">Article </w:t>
            </w:r>
            <w:r w:rsidR="00BE0D8A" w:rsidRPr="00A64175">
              <w:rPr>
                <w:rFonts w:ascii="Arial" w:hAnsi="Arial" w:cs="Arial"/>
                <w:b/>
                <w:bCs/>
              </w:rPr>
              <w:t>42</w:t>
            </w:r>
            <w:r w:rsidR="00757151">
              <w:rPr>
                <w:rFonts w:ascii="Arial" w:hAnsi="Arial" w:cs="Arial"/>
                <w:b/>
                <w:bCs/>
              </w:rPr>
              <w:t>5</w:t>
            </w:r>
            <w:r w:rsidRPr="00A64175">
              <w:rPr>
                <w:rFonts w:ascii="Arial" w:hAnsi="Arial" w:cs="Arial"/>
                <w:b/>
              </w:rPr>
              <w:t>. –</w:t>
            </w:r>
            <w:r w:rsidRPr="00A64175">
              <w:rPr>
                <w:rFonts w:ascii="Arial" w:hAnsi="Arial" w:cs="Arial"/>
              </w:rPr>
              <w:t xml:space="preserve"> Les OPCI peuvent, si leur règlement de gestion le prévoit, suspendre les rachats de parts ou d’actions. Dans ce cas, la société de gestion informe la COSUMAF et les porteurs de l’OPCI des raisons et des modalités de la suspension.</w:t>
            </w:r>
          </w:p>
          <w:p w14:paraId="50EE3C3D" w14:textId="77777777" w:rsidR="00FB5ACC" w:rsidRPr="00A64175" w:rsidRDefault="00FB5ACC" w:rsidP="00A64175">
            <w:pPr>
              <w:jc w:val="both"/>
              <w:rPr>
                <w:rFonts w:ascii="Arial" w:hAnsi="Arial" w:cs="Arial"/>
              </w:rPr>
            </w:pPr>
          </w:p>
          <w:p w14:paraId="5E89E2E0" w14:textId="77777777" w:rsidR="00FB5ACC" w:rsidRPr="00A64175" w:rsidRDefault="00FB5ACC" w:rsidP="00A64175">
            <w:pPr>
              <w:jc w:val="both"/>
              <w:rPr>
                <w:rFonts w:ascii="Arial" w:hAnsi="Arial" w:cs="Arial"/>
              </w:rPr>
            </w:pPr>
            <w:r w:rsidRPr="00A64175">
              <w:rPr>
                <w:rFonts w:ascii="Arial" w:hAnsi="Arial" w:cs="Arial"/>
              </w:rPr>
              <w:t>Les OPCI peuvent également, si leur règlement de gestion le prévoit, plafonner les demandes de rachat.</w:t>
            </w:r>
          </w:p>
          <w:p w14:paraId="6AD188BC" w14:textId="77777777" w:rsidR="00FB5ACC" w:rsidRPr="00A64175" w:rsidRDefault="00FB5ACC" w:rsidP="00A64175">
            <w:pPr>
              <w:jc w:val="both"/>
              <w:rPr>
                <w:rFonts w:ascii="Arial" w:hAnsi="Arial" w:cs="Arial"/>
              </w:rPr>
            </w:pPr>
          </w:p>
          <w:p w14:paraId="03777A94" w14:textId="77777777" w:rsidR="00FB5ACC" w:rsidRPr="00A64175" w:rsidRDefault="00FB5ACC" w:rsidP="00A64175">
            <w:pPr>
              <w:jc w:val="both"/>
              <w:rPr>
                <w:rFonts w:ascii="Arial" w:hAnsi="Arial" w:cs="Arial"/>
              </w:rPr>
            </w:pPr>
            <w:r w:rsidRPr="00A64175">
              <w:rPr>
                <w:rFonts w:ascii="Arial" w:hAnsi="Arial" w:cs="Arial"/>
              </w:rPr>
              <w:t>Le document d’information et le règlement de gestion de l’OPCI précisent les conditions et les modalités de mise en œuvre de la faculté de suspension et de plafonnement des rachats.</w:t>
            </w:r>
          </w:p>
          <w:p w14:paraId="19A630FF" w14:textId="77777777" w:rsidR="00FB5ACC" w:rsidRPr="00A64175" w:rsidRDefault="00FB5ACC" w:rsidP="00A64175">
            <w:pPr>
              <w:jc w:val="both"/>
              <w:rPr>
                <w:rFonts w:ascii="Arial" w:hAnsi="Arial" w:cs="Arial"/>
              </w:rPr>
            </w:pPr>
          </w:p>
          <w:p w14:paraId="17B26714" w14:textId="1B163B09" w:rsidR="00FB5ACC" w:rsidRPr="00A64175" w:rsidRDefault="00BE0D8A" w:rsidP="00A64175">
            <w:pPr>
              <w:jc w:val="both"/>
              <w:rPr>
                <w:rFonts w:ascii="Arial" w:hAnsi="Arial" w:cs="Arial"/>
              </w:rPr>
            </w:pPr>
            <w:r w:rsidRPr="00A64175">
              <w:rPr>
                <w:rFonts w:ascii="Arial" w:hAnsi="Arial" w:cs="Arial"/>
                <w:b/>
                <w:bCs/>
              </w:rPr>
              <w:t>Article 42</w:t>
            </w:r>
            <w:r w:rsidR="00757151">
              <w:rPr>
                <w:rFonts w:ascii="Arial" w:hAnsi="Arial" w:cs="Arial"/>
                <w:b/>
                <w:bCs/>
              </w:rPr>
              <w:t>6</w:t>
            </w:r>
            <w:r w:rsidR="00FB5ACC" w:rsidRPr="00A64175">
              <w:rPr>
                <w:rFonts w:ascii="Arial" w:hAnsi="Arial" w:cs="Arial"/>
                <w:b/>
              </w:rPr>
              <w:t>. –</w:t>
            </w:r>
            <w:r w:rsidR="00FB5ACC" w:rsidRPr="00A64175">
              <w:rPr>
                <w:rFonts w:ascii="Arial" w:hAnsi="Arial" w:cs="Arial"/>
              </w:rPr>
              <w:t xml:space="preserve"> Lorsque le règlement de gestion le prévoit et dans les conditions qu’il fixe, un OPCI peut contracter des emprunts dans la limite de 30% de la valeur de ses actifs, à l’exclusion des liquidités et des avances en compte courant.</w:t>
            </w:r>
          </w:p>
          <w:p w14:paraId="322925D6" w14:textId="77777777" w:rsidR="00FB5ACC" w:rsidRPr="00A64175" w:rsidRDefault="00FB5ACC" w:rsidP="00A64175">
            <w:pPr>
              <w:jc w:val="both"/>
              <w:rPr>
                <w:rFonts w:ascii="Arial" w:hAnsi="Arial" w:cs="Arial"/>
              </w:rPr>
            </w:pPr>
          </w:p>
          <w:p w14:paraId="6F9D45BA" w14:textId="77777777" w:rsidR="00FB5ACC" w:rsidRPr="00A64175" w:rsidRDefault="00FB5ACC" w:rsidP="00A64175">
            <w:pPr>
              <w:jc w:val="both"/>
              <w:rPr>
                <w:rFonts w:ascii="Arial" w:hAnsi="Arial" w:cs="Arial"/>
              </w:rPr>
            </w:pPr>
            <w:r w:rsidRPr="00A64175">
              <w:rPr>
                <w:rFonts w:ascii="Arial" w:hAnsi="Arial" w:cs="Arial"/>
              </w:rPr>
              <w:t>En cas de non-respect de la limitation prévue au présent article, la société de gestion informe sans délai la COSUMAF et précise les dispositions qu’elle entend prendre pour régulariser sa situation dans un délai maximal d’un (1) an. A défaut de régularisation, la COSUMAF procède au retrait de l’agrément délivré à l’OPCI.</w:t>
            </w:r>
          </w:p>
          <w:p w14:paraId="7F88D93E" w14:textId="77777777" w:rsidR="00FB5ACC" w:rsidRPr="00A64175" w:rsidRDefault="00FB5ACC" w:rsidP="00A64175">
            <w:pPr>
              <w:jc w:val="both"/>
              <w:rPr>
                <w:rFonts w:ascii="Arial" w:hAnsi="Arial" w:cs="Arial"/>
              </w:rPr>
            </w:pPr>
          </w:p>
          <w:p w14:paraId="40031649" w14:textId="709A5FEF" w:rsidR="00FB5ACC" w:rsidRPr="00A64175" w:rsidRDefault="00BE0D8A" w:rsidP="00A64175">
            <w:pPr>
              <w:jc w:val="both"/>
              <w:rPr>
                <w:rFonts w:ascii="Arial" w:hAnsi="Arial" w:cs="Arial"/>
              </w:rPr>
            </w:pPr>
            <w:r w:rsidRPr="00A64175">
              <w:rPr>
                <w:rFonts w:ascii="Arial" w:hAnsi="Arial" w:cs="Arial"/>
                <w:b/>
                <w:bCs/>
              </w:rPr>
              <w:t>Article 42</w:t>
            </w:r>
            <w:r w:rsidR="00757151">
              <w:rPr>
                <w:rFonts w:ascii="Arial" w:hAnsi="Arial" w:cs="Arial"/>
                <w:b/>
                <w:bCs/>
              </w:rPr>
              <w:t>7</w:t>
            </w:r>
            <w:r w:rsidR="00FB5ACC" w:rsidRPr="00A64175">
              <w:rPr>
                <w:rFonts w:ascii="Arial" w:hAnsi="Arial" w:cs="Arial"/>
                <w:b/>
              </w:rPr>
              <w:t>. –</w:t>
            </w:r>
            <w:r w:rsidR="00FB5ACC" w:rsidRPr="00A64175">
              <w:rPr>
                <w:rFonts w:ascii="Arial" w:hAnsi="Arial" w:cs="Arial"/>
              </w:rPr>
              <w:t xml:space="preserve"> Toute SPI doit suspendre le rachat de ses actions lorsque son capital atteint la moitié du montant du capital social minimum. Son conseil d’administration doit, dans un délai de </w:t>
            </w:r>
            <w:r w:rsidR="00FD2652" w:rsidRPr="00A64175">
              <w:rPr>
                <w:rFonts w:ascii="Arial" w:hAnsi="Arial" w:cs="Arial"/>
              </w:rPr>
              <w:t>quarante-cinq</w:t>
            </w:r>
            <w:r w:rsidR="00FB5ACC" w:rsidRPr="00A64175">
              <w:rPr>
                <w:rFonts w:ascii="Arial" w:hAnsi="Arial" w:cs="Arial"/>
              </w:rPr>
              <w:t xml:space="preserve"> (45) jours calendaires à compter de la date de cette suspension, convoquer l’assemblée générale extraordinaire de la SPI afin de se prononcer sur sa dissolution.</w:t>
            </w:r>
          </w:p>
          <w:p w14:paraId="517AC49D" w14:textId="77777777" w:rsidR="00FB5ACC" w:rsidRPr="00A64175" w:rsidRDefault="00FB5ACC" w:rsidP="00A64175">
            <w:pPr>
              <w:jc w:val="both"/>
              <w:rPr>
                <w:rFonts w:ascii="Arial" w:hAnsi="Arial" w:cs="Arial"/>
              </w:rPr>
            </w:pPr>
          </w:p>
          <w:p w14:paraId="6DD5898F" w14:textId="3817BFAC" w:rsidR="00FB5ACC" w:rsidRPr="00A64175" w:rsidRDefault="00BE0D8A" w:rsidP="00A64175">
            <w:pPr>
              <w:jc w:val="both"/>
              <w:rPr>
                <w:rFonts w:ascii="Arial" w:hAnsi="Arial" w:cs="Arial"/>
              </w:rPr>
            </w:pPr>
            <w:r w:rsidRPr="00A64175">
              <w:rPr>
                <w:rFonts w:ascii="Arial" w:hAnsi="Arial" w:cs="Arial"/>
                <w:b/>
                <w:bCs/>
              </w:rPr>
              <w:t>Article 42</w:t>
            </w:r>
            <w:r w:rsidR="00757151">
              <w:rPr>
                <w:rFonts w:ascii="Arial" w:hAnsi="Arial" w:cs="Arial"/>
                <w:b/>
                <w:bCs/>
              </w:rPr>
              <w:t>8</w:t>
            </w:r>
            <w:r w:rsidR="00FB5ACC" w:rsidRPr="00A64175">
              <w:rPr>
                <w:rFonts w:ascii="Arial" w:hAnsi="Arial" w:cs="Arial"/>
                <w:b/>
              </w:rPr>
              <w:t>. –</w:t>
            </w:r>
            <w:r w:rsidR="00FB5ACC" w:rsidRPr="00A64175">
              <w:rPr>
                <w:rFonts w:ascii="Arial" w:hAnsi="Arial" w:cs="Arial"/>
              </w:rPr>
              <w:t xml:space="preserve"> Tout FCPI doit suspendre le rachat de ses parts lorsque son actif net atteint la moitié du montant des apports. Lorsque l’actif net du FCPI demeure pendant plus de deux (2) mois à compter de la date de cette suspension, inférieur à la moitié de ce montant minimum, la société de gestion doit procéder à la liquidation du FCPI.</w:t>
            </w:r>
          </w:p>
          <w:p w14:paraId="340B1A93" w14:textId="77777777" w:rsidR="00FB5ACC" w:rsidRPr="00A64175" w:rsidRDefault="00FB5ACC" w:rsidP="00A64175">
            <w:pPr>
              <w:jc w:val="both"/>
              <w:rPr>
                <w:rFonts w:ascii="Arial" w:hAnsi="Arial" w:cs="Arial"/>
                <w:b/>
                <w:bCs/>
              </w:rPr>
            </w:pPr>
          </w:p>
          <w:p w14:paraId="29075B56" w14:textId="77777777" w:rsidR="00FB5ACC" w:rsidRPr="00A64175" w:rsidRDefault="00FB5ACC" w:rsidP="00A64175">
            <w:pPr>
              <w:jc w:val="both"/>
              <w:rPr>
                <w:rFonts w:ascii="Arial" w:hAnsi="Arial" w:cs="Arial"/>
              </w:rPr>
            </w:pPr>
          </w:p>
          <w:p w14:paraId="1A47B53B" w14:textId="77777777" w:rsidR="00FB5ACC" w:rsidRPr="00A64175" w:rsidRDefault="00FB5ACC" w:rsidP="00A64175">
            <w:pPr>
              <w:jc w:val="both"/>
              <w:rPr>
                <w:rFonts w:ascii="Arial" w:hAnsi="Arial" w:cs="Arial"/>
                <w:b/>
              </w:rPr>
            </w:pPr>
            <w:r w:rsidRPr="00A64175">
              <w:rPr>
                <w:rFonts w:ascii="Arial" w:hAnsi="Arial" w:cs="Arial"/>
                <w:b/>
              </w:rPr>
              <w:t>Section III : Information du public</w:t>
            </w:r>
          </w:p>
          <w:p w14:paraId="4C005ABF" w14:textId="77777777" w:rsidR="00FB5ACC" w:rsidRPr="00A64175" w:rsidRDefault="00FB5ACC" w:rsidP="00A64175">
            <w:pPr>
              <w:jc w:val="both"/>
              <w:rPr>
                <w:rFonts w:ascii="Arial" w:hAnsi="Arial" w:cs="Arial"/>
              </w:rPr>
            </w:pPr>
          </w:p>
          <w:p w14:paraId="44A621B6" w14:textId="77777777" w:rsidR="00FB5ACC" w:rsidRPr="00A64175" w:rsidRDefault="00FB5ACC" w:rsidP="00A64175">
            <w:pPr>
              <w:jc w:val="both"/>
              <w:rPr>
                <w:rFonts w:ascii="Arial" w:hAnsi="Arial" w:cs="Arial"/>
              </w:rPr>
            </w:pPr>
          </w:p>
          <w:p w14:paraId="3468122B" w14:textId="77777777" w:rsidR="00FB5ACC" w:rsidRPr="00A64175" w:rsidRDefault="00FB5ACC" w:rsidP="00A64175">
            <w:pPr>
              <w:jc w:val="both"/>
              <w:rPr>
                <w:rFonts w:ascii="Arial" w:hAnsi="Arial" w:cs="Arial"/>
                <w:b/>
                <w:bCs/>
              </w:rPr>
            </w:pPr>
          </w:p>
          <w:p w14:paraId="178DC74D" w14:textId="77777777" w:rsidR="00FB5ACC" w:rsidRPr="00A64175" w:rsidRDefault="00FB5ACC" w:rsidP="00A64175">
            <w:pPr>
              <w:jc w:val="both"/>
              <w:rPr>
                <w:rFonts w:ascii="Arial" w:hAnsi="Arial" w:cs="Arial"/>
                <w:b/>
                <w:bCs/>
              </w:rPr>
            </w:pPr>
          </w:p>
          <w:p w14:paraId="352399FC" w14:textId="0220F684" w:rsidR="00FB5ACC" w:rsidRPr="00A64175" w:rsidRDefault="00FB5ACC" w:rsidP="00A64175">
            <w:pPr>
              <w:jc w:val="both"/>
              <w:rPr>
                <w:rFonts w:ascii="Arial" w:hAnsi="Arial" w:cs="Arial"/>
              </w:rPr>
            </w:pPr>
            <w:r w:rsidRPr="00A64175">
              <w:rPr>
                <w:rFonts w:ascii="Arial" w:hAnsi="Arial" w:cs="Arial"/>
                <w:b/>
                <w:bCs/>
              </w:rPr>
              <w:t>Article</w:t>
            </w:r>
            <w:r w:rsidR="00BE0D8A" w:rsidRPr="00A64175">
              <w:rPr>
                <w:rFonts w:ascii="Arial" w:hAnsi="Arial" w:cs="Arial"/>
                <w:b/>
                <w:bCs/>
              </w:rPr>
              <w:t xml:space="preserve"> 42</w:t>
            </w:r>
            <w:r w:rsidR="00757151">
              <w:rPr>
                <w:rFonts w:ascii="Arial" w:hAnsi="Arial" w:cs="Arial"/>
                <w:b/>
                <w:bCs/>
              </w:rPr>
              <w:t>9</w:t>
            </w:r>
            <w:r w:rsidRPr="00A64175">
              <w:rPr>
                <w:rFonts w:ascii="Arial" w:hAnsi="Arial" w:cs="Arial"/>
                <w:b/>
              </w:rPr>
              <w:t>. –</w:t>
            </w:r>
            <w:r w:rsidRPr="00A64175">
              <w:rPr>
                <w:rFonts w:ascii="Arial" w:hAnsi="Arial" w:cs="Arial"/>
              </w:rPr>
              <w:t xml:space="preserve"> Pour tout OPCI, il est établi un document d’information, soumis au visa de la COSUMAF. Le document d’information doit être conforme au document d’information type prévu dans une instruction de la COSUMAF.</w:t>
            </w:r>
          </w:p>
          <w:p w14:paraId="31D71730" w14:textId="77777777" w:rsidR="00FB5ACC" w:rsidRPr="00A64175" w:rsidRDefault="00FB5ACC" w:rsidP="00A64175">
            <w:pPr>
              <w:jc w:val="both"/>
              <w:rPr>
                <w:rFonts w:ascii="Arial" w:hAnsi="Arial" w:cs="Arial"/>
              </w:rPr>
            </w:pPr>
          </w:p>
          <w:p w14:paraId="23A16096" w14:textId="77777777" w:rsidR="00FB5ACC" w:rsidRPr="00A64175" w:rsidRDefault="00FB5ACC" w:rsidP="00A64175">
            <w:pPr>
              <w:jc w:val="both"/>
              <w:rPr>
                <w:rFonts w:ascii="Arial" w:hAnsi="Arial" w:cs="Arial"/>
              </w:rPr>
            </w:pPr>
            <w:r w:rsidRPr="00A64175">
              <w:rPr>
                <w:rFonts w:ascii="Arial" w:hAnsi="Arial" w:cs="Arial"/>
              </w:rPr>
              <w:t>La société de gestion est responsable du contenu du document d’information transmis à la COSUMAF. Ce document est publié sur le site internet de la COSUMAF.</w:t>
            </w:r>
          </w:p>
          <w:p w14:paraId="01030D4C" w14:textId="77777777" w:rsidR="00FB5ACC" w:rsidRPr="00A64175" w:rsidRDefault="00FB5ACC" w:rsidP="00A64175">
            <w:pPr>
              <w:jc w:val="both"/>
              <w:rPr>
                <w:rFonts w:ascii="Arial" w:hAnsi="Arial" w:cs="Arial"/>
              </w:rPr>
            </w:pPr>
          </w:p>
          <w:p w14:paraId="6D21D5ED" w14:textId="459DCEF0"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30</w:t>
            </w:r>
            <w:r w:rsidR="00FB5ACC" w:rsidRPr="00A64175">
              <w:rPr>
                <w:rFonts w:ascii="Arial" w:hAnsi="Arial" w:cs="Arial"/>
                <w:b/>
              </w:rPr>
              <w:t>. –</w:t>
            </w:r>
            <w:r w:rsidR="00FB5ACC" w:rsidRPr="00A64175">
              <w:rPr>
                <w:rFonts w:ascii="Arial" w:hAnsi="Arial" w:cs="Arial"/>
              </w:rPr>
              <w:t xml:space="preserve"> Le document d’information précise la politique d’investissement de l’OPCI et ses objectifs de gestion.</w:t>
            </w:r>
          </w:p>
          <w:p w14:paraId="4618E394" w14:textId="77777777" w:rsidR="00FB5ACC" w:rsidRPr="00A64175" w:rsidRDefault="00FB5ACC" w:rsidP="00A64175">
            <w:pPr>
              <w:jc w:val="both"/>
              <w:rPr>
                <w:rFonts w:ascii="Arial" w:hAnsi="Arial" w:cs="Arial"/>
              </w:rPr>
            </w:pPr>
          </w:p>
          <w:p w14:paraId="43DF7B28" w14:textId="77777777" w:rsidR="00FB5ACC" w:rsidRPr="00A64175" w:rsidRDefault="00FB5ACC" w:rsidP="00A64175">
            <w:pPr>
              <w:jc w:val="both"/>
              <w:rPr>
                <w:rFonts w:ascii="Arial" w:hAnsi="Arial" w:cs="Arial"/>
              </w:rPr>
            </w:pPr>
            <w:r w:rsidRPr="00A64175">
              <w:rPr>
                <w:rFonts w:ascii="Arial" w:hAnsi="Arial" w:cs="Arial"/>
              </w:rPr>
              <w:t>Le document d’information précise l’ensemble des frais, toutes taxes comprises,  supportés par les souscripteurs de parts ou actions de l’OPCI ou par l’OPCI.</w:t>
            </w:r>
          </w:p>
          <w:p w14:paraId="6F8497ED" w14:textId="77777777" w:rsidR="00FB5ACC" w:rsidRPr="00A64175" w:rsidRDefault="00FB5ACC" w:rsidP="00A64175">
            <w:pPr>
              <w:jc w:val="both"/>
              <w:rPr>
                <w:rFonts w:ascii="Arial" w:hAnsi="Arial" w:cs="Arial"/>
              </w:rPr>
            </w:pPr>
          </w:p>
          <w:p w14:paraId="4CC55C9A" w14:textId="77777777" w:rsidR="00FB5ACC" w:rsidRPr="00A64175" w:rsidRDefault="00FB5ACC" w:rsidP="00A64175">
            <w:pPr>
              <w:jc w:val="both"/>
              <w:rPr>
                <w:rFonts w:ascii="Arial" w:hAnsi="Arial" w:cs="Arial"/>
              </w:rPr>
            </w:pPr>
            <w:r w:rsidRPr="00A64175">
              <w:rPr>
                <w:rFonts w:ascii="Arial" w:hAnsi="Arial" w:cs="Arial"/>
              </w:rPr>
              <w:t xml:space="preserve">Lorsqu’un OPCI comprend des compartiments, le document d’information décrit les caractéristiques de l’OPCI et de chacun des compartiments. </w:t>
            </w:r>
          </w:p>
          <w:p w14:paraId="4A7E6360" w14:textId="77777777" w:rsidR="00FB5ACC" w:rsidRPr="00A64175" w:rsidRDefault="00FB5ACC" w:rsidP="00A64175">
            <w:pPr>
              <w:jc w:val="both"/>
              <w:rPr>
                <w:rFonts w:ascii="Arial" w:hAnsi="Arial" w:cs="Arial"/>
              </w:rPr>
            </w:pPr>
          </w:p>
          <w:p w14:paraId="6DB73523" w14:textId="4C920A9A"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31</w:t>
            </w:r>
            <w:r w:rsidR="00FB5ACC" w:rsidRPr="00A64175">
              <w:rPr>
                <w:rFonts w:ascii="Arial" w:hAnsi="Arial" w:cs="Arial"/>
                <w:b/>
              </w:rPr>
              <w:t>. –</w:t>
            </w:r>
            <w:r w:rsidR="00FB5ACC" w:rsidRPr="00A64175">
              <w:rPr>
                <w:rFonts w:ascii="Arial" w:hAnsi="Arial" w:cs="Arial"/>
              </w:rPr>
              <w:t xml:space="preserve"> Le document d'information, la valeur liquidative</w:t>
            </w:r>
            <w:r w:rsidR="002C0927">
              <w:rPr>
                <w:rFonts w:ascii="Arial" w:hAnsi="Arial" w:cs="Arial"/>
              </w:rPr>
              <w:t xml:space="preserve"> et </w:t>
            </w:r>
            <w:r w:rsidR="00FB5ACC" w:rsidRPr="00A64175">
              <w:rPr>
                <w:rFonts w:ascii="Arial" w:hAnsi="Arial" w:cs="Arial"/>
              </w:rPr>
              <w:t>le dernier rapport annuel doivent être publiés sur le site internet de la société de gestion.</w:t>
            </w:r>
          </w:p>
          <w:p w14:paraId="287E62B2" w14:textId="77777777" w:rsidR="00FB5ACC" w:rsidRPr="00A64175" w:rsidRDefault="00FB5ACC" w:rsidP="00A64175">
            <w:pPr>
              <w:jc w:val="both"/>
              <w:rPr>
                <w:rFonts w:ascii="Arial" w:hAnsi="Arial" w:cs="Arial"/>
              </w:rPr>
            </w:pPr>
          </w:p>
          <w:p w14:paraId="139D1E8F" w14:textId="18DAA88E" w:rsidR="00FB5ACC" w:rsidRPr="00A64175" w:rsidRDefault="00BE0D8A" w:rsidP="00A64175">
            <w:pPr>
              <w:jc w:val="both"/>
              <w:rPr>
                <w:rFonts w:ascii="Arial" w:hAnsi="Arial" w:cs="Arial"/>
              </w:rPr>
            </w:pPr>
            <w:r w:rsidRPr="00A64175">
              <w:rPr>
                <w:rFonts w:ascii="Arial" w:hAnsi="Arial" w:cs="Arial"/>
                <w:b/>
                <w:bCs/>
              </w:rPr>
              <w:t>Article 4</w:t>
            </w:r>
            <w:r w:rsidR="00757151">
              <w:rPr>
                <w:rFonts w:ascii="Arial" w:hAnsi="Arial" w:cs="Arial"/>
                <w:b/>
                <w:bCs/>
              </w:rPr>
              <w:t>32</w:t>
            </w:r>
            <w:r w:rsidR="00FB5ACC" w:rsidRPr="00A64175">
              <w:rPr>
                <w:rFonts w:ascii="Arial" w:hAnsi="Arial" w:cs="Arial"/>
                <w:b/>
              </w:rPr>
              <w:t>. –</w:t>
            </w:r>
            <w:r w:rsidR="00FB5ACC" w:rsidRPr="00A64175">
              <w:rPr>
                <w:rFonts w:ascii="Arial" w:hAnsi="Arial" w:cs="Arial"/>
              </w:rPr>
              <w:t xml:space="preserve"> Les OPCI doivent établir un rapport semestriel à la fin du premier semestre. Lorsque l’OPCI comprend des compartiments, des rapports semestriels sont également établis pour chaque compartiment.</w:t>
            </w:r>
          </w:p>
          <w:p w14:paraId="0DAA09E7" w14:textId="77777777" w:rsidR="00FB5ACC" w:rsidRPr="00A64175" w:rsidRDefault="00FB5ACC" w:rsidP="00A64175">
            <w:pPr>
              <w:jc w:val="both"/>
              <w:rPr>
                <w:rFonts w:ascii="Arial" w:hAnsi="Arial" w:cs="Arial"/>
              </w:rPr>
            </w:pPr>
          </w:p>
          <w:p w14:paraId="4F4A8E00" w14:textId="67F26CCC" w:rsidR="00FB5ACC" w:rsidRPr="00A64175" w:rsidRDefault="00FB5ACC" w:rsidP="00A64175">
            <w:pPr>
              <w:jc w:val="both"/>
              <w:rPr>
                <w:rFonts w:ascii="Arial" w:hAnsi="Arial" w:cs="Arial"/>
              </w:rPr>
            </w:pPr>
            <w:r w:rsidRPr="00A64175">
              <w:rPr>
                <w:rFonts w:ascii="Arial" w:hAnsi="Arial" w:cs="Arial"/>
              </w:rPr>
              <w:t xml:space="preserve">Le rapport semestriel est publié au plus tard </w:t>
            </w:r>
            <w:r w:rsidR="002C0927" w:rsidRPr="00A64175">
              <w:rPr>
                <w:rFonts w:ascii="Arial" w:hAnsi="Arial" w:cs="Arial"/>
              </w:rPr>
              <w:t>quarante-cinq</w:t>
            </w:r>
            <w:r w:rsidRPr="00A64175">
              <w:rPr>
                <w:rFonts w:ascii="Arial" w:hAnsi="Arial" w:cs="Arial"/>
              </w:rPr>
              <w:t xml:space="preserve"> (45) jours après la fin du premier semestre.</w:t>
            </w:r>
          </w:p>
          <w:p w14:paraId="7A3680D8" w14:textId="77777777" w:rsidR="00FB5ACC" w:rsidRPr="00A64175" w:rsidRDefault="00FB5ACC" w:rsidP="00A64175">
            <w:pPr>
              <w:jc w:val="both"/>
              <w:rPr>
                <w:rFonts w:ascii="Arial" w:hAnsi="Arial" w:cs="Arial"/>
              </w:rPr>
            </w:pPr>
          </w:p>
          <w:p w14:paraId="17F9DF6C" w14:textId="77777777" w:rsidR="00FB5ACC" w:rsidRPr="00A64175" w:rsidRDefault="00FB5ACC" w:rsidP="00A64175">
            <w:pPr>
              <w:jc w:val="both"/>
              <w:rPr>
                <w:rFonts w:ascii="Arial" w:hAnsi="Arial" w:cs="Arial"/>
              </w:rPr>
            </w:pPr>
          </w:p>
          <w:p w14:paraId="67FCFCF0" w14:textId="77777777" w:rsidR="00FB5ACC" w:rsidRPr="00A64175" w:rsidRDefault="00FB5ACC" w:rsidP="00A64175">
            <w:pPr>
              <w:jc w:val="both"/>
              <w:rPr>
                <w:rFonts w:ascii="Arial" w:hAnsi="Arial" w:cs="Arial"/>
                <w:b/>
              </w:rPr>
            </w:pPr>
            <w:r w:rsidRPr="00A64175">
              <w:rPr>
                <w:rFonts w:ascii="Arial" w:hAnsi="Arial" w:cs="Arial"/>
                <w:b/>
              </w:rPr>
              <w:t xml:space="preserve">Section IV : Gestion des OPCI </w:t>
            </w:r>
          </w:p>
          <w:p w14:paraId="6F8060B2" w14:textId="77777777" w:rsidR="00FB5ACC" w:rsidRPr="00A64175" w:rsidRDefault="00FB5ACC" w:rsidP="00A64175">
            <w:pPr>
              <w:jc w:val="both"/>
              <w:rPr>
                <w:rFonts w:ascii="Arial" w:hAnsi="Arial" w:cs="Arial"/>
              </w:rPr>
            </w:pPr>
          </w:p>
          <w:p w14:paraId="2B0A80E1" w14:textId="77777777" w:rsidR="00FB5ACC" w:rsidRPr="00A64175" w:rsidRDefault="00FB5ACC" w:rsidP="00A64175">
            <w:pPr>
              <w:jc w:val="both"/>
              <w:rPr>
                <w:rFonts w:ascii="Arial" w:hAnsi="Arial" w:cs="Arial"/>
              </w:rPr>
            </w:pPr>
          </w:p>
          <w:p w14:paraId="4CFF0716" w14:textId="178106A9" w:rsidR="00FB5ACC" w:rsidRPr="00A64175" w:rsidRDefault="00BE0D8A" w:rsidP="00A64175">
            <w:pPr>
              <w:jc w:val="both"/>
              <w:rPr>
                <w:rFonts w:ascii="Arial" w:hAnsi="Arial" w:cs="Arial"/>
              </w:rPr>
            </w:pPr>
            <w:r w:rsidRPr="00A64175">
              <w:rPr>
                <w:rFonts w:ascii="Arial" w:hAnsi="Arial" w:cs="Arial"/>
                <w:b/>
                <w:bCs/>
              </w:rPr>
              <w:t xml:space="preserve">Article </w:t>
            </w:r>
            <w:r w:rsidR="00FB5ACC" w:rsidRPr="00A64175">
              <w:rPr>
                <w:rFonts w:ascii="Arial" w:hAnsi="Arial" w:cs="Arial"/>
                <w:b/>
                <w:bCs/>
              </w:rPr>
              <w:t>43</w:t>
            </w:r>
            <w:r w:rsidR="00757151">
              <w:rPr>
                <w:rFonts w:ascii="Arial" w:hAnsi="Arial" w:cs="Arial"/>
                <w:b/>
                <w:bCs/>
              </w:rPr>
              <w:t>3</w:t>
            </w:r>
            <w:r w:rsidR="00FB5ACC" w:rsidRPr="00A64175">
              <w:rPr>
                <w:rFonts w:ascii="Arial" w:hAnsi="Arial" w:cs="Arial"/>
                <w:b/>
              </w:rPr>
              <w:t>. –</w:t>
            </w:r>
            <w:r w:rsidR="00FB5ACC" w:rsidRPr="00A64175">
              <w:rPr>
                <w:rFonts w:ascii="Arial" w:hAnsi="Arial" w:cs="Arial"/>
              </w:rPr>
              <w:t xml:space="preserve"> La gestion des OPCI est assurée par une société de gestion spécialisée, dédiée à l’activité de gestion d’OPCI.</w:t>
            </w:r>
          </w:p>
          <w:p w14:paraId="6EBFBE8A" w14:textId="77777777" w:rsidR="00FB5ACC" w:rsidRPr="00A64175" w:rsidRDefault="00FB5ACC" w:rsidP="00A64175">
            <w:pPr>
              <w:jc w:val="both"/>
              <w:rPr>
                <w:rFonts w:ascii="Arial" w:hAnsi="Arial" w:cs="Arial"/>
              </w:rPr>
            </w:pPr>
          </w:p>
          <w:p w14:paraId="4CFDB562" w14:textId="77777777" w:rsidR="00FB5ACC" w:rsidRPr="00A64175" w:rsidRDefault="00FB5ACC" w:rsidP="00A64175">
            <w:pPr>
              <w:jc w:val="both"/>
              <w:rPr>
                <w:rFonts w:ascii="Arial" w:hAnsi="Arial" w:cs="Arial"/>
              </w:rPr>
            </w:pPr>
            <w:r w:rsidRPr="00A64175">
              <w:rPr>
                <w:rFonts w:ascii="Arial" w:hAnsi="Arial" w:cs="Arial"/>
              </w:rPr>
              <w:t>La société de gestion doit, avant l’exercice de son activité, obtenir un agrément de la COSUMAF.</w:t>
            </w:r>
          </w:p>
          <w:p w14:paraId="3C24572E" w14:textId="77777777" w:rsidR="00FB5ACC" w:rsidRPr="00A64175" w:rsidRDefault="00FB5ACC" w:rsidP="00A64175">
            <w:pPr>
              <w:jc w:val="both"/>
              <w:rPr>
                <w:rFonts w:ascii="Arial" w:hAnsi="Arial" w:cs="Arial"/>
              </w:rPr>
            </w:pPr>
          </w:p>
          <w:p w14:paraId="59314CBC" w14:textId="4BE94847"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4</w:t>
            </w:r>
            <w:r w:rsidR="00FB5ACC" w:rsidRPr="00A64175">
              <w:rPr>
                <w:rFonts w:ascii="Arial" w:hAnsi="Arial" w:cs="Arial"/>
                <w:b/>
              </w:rPr>
              <w:t>. –</w:t>
            </w:r>
            <w:r w:rsidR="00FB5ACC" w:rsidRPr="00A64175">
              <w:rPr>
                <w:rFonts w:ascii="Arial" w:hAnsi="Arial" w:cs="Arial"/>
              </w:rPr>
              <w:t xml:space="preserve"> Seules peuvent exercer en qualité de société de gestion d’OPCI, les sociétés anonymes :</w:t>
            </w:r>
          </w:p>
          <w:p w14:paraId="5359BE02" w14:textId="77777777" w:rsidR="00FB5ACC" w:rsidRPr="00A64175" w:rsidRDefault="00FB5ACC" w:rsidP="00A64175">
            <w:pPr>
              <w:jc w:val="both"/>
              <w:rPr>
                <w:rFonts w:ascii="Arial" w:hAnsi="Arial" w:cs="Arial"/>
              </w:rPr>
            </w:pPr>
          </w:p>
          <w:p w14:paraId="34DB3A47" w14:textId="77777777" w:rsidR="00FB5ACC" w:rsidRPr="00A64175" w:rsidRDefault="00FB5ACC" w:rsidP="00A64175">
            <w:pPr>
              <w:pStyle w:val="Paragraphedeliste"/>
              <w:numPr>
                <w:ilvl w:val="0"/>
                <w:numId w:val="193"/>
              </w:numPr>
              <w:spacing w:before="0" w:beforeAutospacing="0" w:after="0" w:afterAutospacing="0" w:line="240" w:lineRule="auto"/>
            </w:pPr>
            <w:r w:rsidRPr="00A64175">
              <w:t>ayant pour activité principale et habituelle la gestion d’OPCI ainsi que les opérations liées à la gestion desdits OPCI ;</w:t>
            </w:r>
          </w:p>
          <w:p w14:paraId="595790AE" w14:textId="77777777" w:rsidR="00FB5ACC" w:rsidRPr="00A64175" w:rsidRDefault="00FB5ACC" w:rsidP="00A64175">
            <w:pPr>
              <w:pStyle w:val="Paragraphedeliste"/>
              <w:spacing w:before="0" w:beforeAutospacing="0" w:after="0" w:afterAutospacing="0" w:line="240" w:lineRule="auto"/>
            </w:pPr>
          </w:p>
          <w:p w14:paraId="0F5649B7" w14:textId="77777777" w:rsidR="00FB5ACC" w:rsidRPr="00A64175" w:rsidRDefault="00FB5ACC" w:rsidP="00A64175">
            <w:pPr>
              <w:pStyle w:val="Paragraphedeliste"/>
              <w:numPr>
                <w:ilvl w:val="0"/>
                <w:numId w:val="193"/>
              </w:numPr>
              <w:spacing w:before="0" w:beforeAutospacing="0" w:after="0" w:afterAutospacing="0" w:line="240" w:lineRule="auto"/>
            </w:pPr>
            <w:r w:rsidRPr="00A64175">
              <w:t>ayant leur siège social sur le territoire d’un Etat membre de la CEMAC ;</w:t>
            </w:r>
          </w:p>
          <w:p w14:paraId="7C56B789" w14:textId="77777777" w:rsidR="00FB5ACC" w:rsidRPr="00A64175" w:rsidRDefault="00FB5ACC" w:rsidP="00A64175">
            <w:pPr>
              <w:jc w:val="both"/>
              <w:rPr>
                <w:rFonts w:ascii="Arial" w:hAnsi="Arial" w:cs="Arial"/>
              </w:rPr>
            </w:pPr>
          </w:p>
          <w:p w14:paraId="25CBFC9B" w14:textId="77777777" w:rsidR="00FB5ACC" w:rsidRPr="00A64175" w:rsidRDefault="00FB5ACC" w:rsidP="00A64175">
            <w:pPr>
              <w:pStyle w:val="Paragraphedeliste"/>
              <w:numPr>
                <w:ilvl w:val="0"/>
                <w:numId w:val="193"/>
              </w:numPr>
              <w:spacing w:before="0" w:beforeAutospacing="0" w:after="0" w:afterAutospacing="0" w:line="240" w:lineRule="auto"/>
            </w:pPr>
            <w:r w:rsidRPr="00A64175">
              <w:t>justifiant d’un capital social entièrement libéré d’un montant égal ou supérieur à trois cent millions (300 000 000) de francs CFA ;</w:t>
            </w:r>
          </w:p>
          <w:p w14:paraId="1DA68746" w14:textId="77777777" w:rsidR="00FB5ACC" w:rsidRPr="00A64175" w:rsidRDefault="00FB5ACC" w:rsidP="00A64175">
            <w:pPr>
              <w:jc w:val="both"/>
              <w:rPr>
                <w:rFonts w:ascii="Arial" w:hAnsi="Arial" w:cs="Arial"/>
              </w:rPr>
            </w:pPr>
          </w:p>
          <w:p w14:paraId="18A04E6A" w14:textId="77777777" w:rsidR="00FB5ACC" w:rsidRPr="00A64175" w:rsidRDefault="00FB5ACC" w:rsidP="00A64175">
            <w:pPr>
              <w:pStyle w:val="Paragraphedeliste"/>
              <w:numPr>
                <w:ilvl w:val="0"/>
                <w:numId w:val="193"/>
              </w:numPr>
              <w:spacing w:before="0" w:beforeAutospacing="0" w:after="0" w:afterAutospacing="0" w:line="240" w:lineRule="auto"/>
            </w:pPr>
            <w:r w:rsidRPr="00A64175">
              <w:t>justifiant de garanties suffisantes au plan humain, technique, organisationnel et de l’honorabilité de ses dirigeants.</w:t>
            </w:r>
          </w:p>
          <w:p w14:paraId="58ED0502" w14:textId="77777777" w:rsidR="00FB5ACC" w:rsidRPr="00A64175" w:rsidRDefault="00FB5ACC" w:rsidP="00A64175">
            <w:pPr>
              <w:jc w:val="both"/>
              <w:rPr>
                <w:rFonts w:ascii="Arial" w:hAnsi="Arial" w:cs="Arial"/>
                <w:b/>
                <w:bCs/>
              </w:rPr>
            </w:pPr>
          </w:p>
          <w:p w14:paraId="17E60907" w14:textId="4F869F30"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5</w:t>
            </w:r>
            <w:r w:rsidR="00FB5ACC" w:rsidRPr="00A64175">
              <w:rPr>
                <w:rFonts w:ascii="Arial" w:hAnsi="Arial" w:cs="Arial"/>
                <w:b/>
              </w:rPr>
              <w:t>. –</w:t>
            </w:r>
            <w:r w:rsidR="00FB5ACC" w:rsidRPr="00A64175">
              <w:rPr>
                <w:rFonts w:ascii="Arial" w:hAnsi="Arial" w:cs="Arial"/>
              </w:rPr>
              <w:t xml:space="preserve">  Il est interdit à la société de gestion d’utiliser les actifs de l’OPCI pour ses besoins propres.</w:t>
            </w:r>
          </w:p>
          <w:p w14:paraId="6EF50936" w14:textId="77777777" w:rsidR="00FB5ACC" w:rsidRPr="00A64175" w:rsidRDefault="00FB5ACC" w:rsidP="00A64175">
            <w:pPr>
              <w:jc w:val="both"/>
              <w:rPr>
                <w:rFonts w:ascii="Arial" w:hAnsi="Arial" w:cs="Arial"/>
              </w:rPr>
            </w:pPr>
          </w:p>
          <w:p w14:paraId="496F5B3F" w14:textId="7A95D4A4"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6</w:t>
            </w:r>
            <w:r w:rsidR="00FB5ACC" w:rsidRPr="00A64175">
              <w:rPr>
                <w:rFonts w:ascii="Arial" w:hAnsi="Arial" w:cs="Arial"/>
                <w:b/>
              </w:rPr>
              <w:t>. –</w:t>
            </w:r>
            <w:r w:rsidR="00FB5ACC" w:rsidRPr="00A64175">
              <w:rPr>
                <w:rFonts w:ascii="Arial" w:hAnsi="Arial" w:cs="Arial"/>
              </w:rPr>
              <w:t xml:space="preserve"> La société de gestion est tenue d’afficher dans ses locaux, la valeur liquidative d’un OPCI ou d’un compartiment ainsi que les prix de souscription et de rachat des titres.</w:t>
            </w:r>
          </w:p>
          <w:p w14:paraId="500C58D3" w14:textId="77777777" w:rsidR="00FB5ACC" w:rsidRPr="00A64175" w:rsidRDefault="00FB5ACC" w:rsidP="00A64175">
            <w:pPr>
              <w:jc w:val="both"/>
              <w:rPr>
                <w:rFonts w:ascii="Arial" w:hAnsi="Arial" w:cs="Arial"/>
              </w:rPr>
            </w:pPr>
          </w:p>
          <w:p w14:paraId="04B887CC" w14:textId="77777777" w:rsidR="00FB5ACC" w:rsidRPr="00A64175" w:rsidRDefault="00FB5ACC" w:rsidP="00A64175">
            <w:pPr>
              <w:jc w:val="both"/>
              <w:rPr>
                <w:rFonts w:ascii="Arial" w:hAnsi="Arial" w:cs="Arial"/>
              </w:rPr>
            </w:pPr>
            <w:r w:rsidRPr="00A64175">
              <w:rPr>
                <w:rFonts w:ascii="Arial" w:hAnsi="Arial" w:cs="Arial"/>
              </w:rPr>
              <w:t>La société de gestion doit publier ces informations dans un journal d’annonces légales au moins une fois par semestre.</w:t>
            </w:r>
          </w:p>
          <w:p w14:paraId="363E5B3A" w14:textId="77777777" w:rsidR="00FB5ACC" w:rsidRPr="00A64175" w:rsidRDefault="00FB5ACC" w:rsidP="00A64175">
            <w:pPr>
              <w:jc w:val="both"/>
              <w:rPr>
                <w:rFonts w:ascii="Arial" w:hAnsi="Arial" w:cs="Arial"/>
              </w:rPr>
            </w:pPr>
          </w:p>
          <w:p w14:paraId="113E89CE" w14:textId="610BA078"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7</w:t>
            </w:r>
            <w:r w:rsidR="00FB5ACC" w:rsidRPr="00A64175">
              <w:rPr>
                <w:rFonts w:ascii="Arial" w:hAnsi="Arial" w:cs="Arial"/>
                <w:b/>
              </w:rPr>
              <w:t>. –</w:t>
            </w:r>
            <w:r w:rsidR="00FB5ACC" w:rsidRPr="00A64175">
              <w:rPr>
                <w:rFonts w:ascii="Arial" w:hAnsi="Arial" w:cs="Arial"/>
              </w:rPr>
              <w:t xml:space="preserve"> La société de gestion est tenue de mettre à la disposition des porteurs, à son siège social, les comptes annuels, l’inventaire de l’actif, le rapport du conseil d’administration ou, pour les FCPI, le rapport de la société de gestion, les rapports des commissaires aux comptes de l’OPCI. Ces documents sont adressés, à leurs frais, à tous les porteurs qui en font la demande dans un délai de huit (8) jours calendaires suivant la réception de la demande. Sous réserve de l’accord des porteurs, l’envoi peut être effectué par voie électronique.</w:t>
            </w:r>
          </w:p>
          <w:p w14:paraId="27394D20" w14:textId="77777777" w:rsidR="00FB5ACC" w:rsidRPr="00A64175" w:rsidRDefault="00FB5ACC" w:rsidP="00A64175">
            <w:pPr>
              <w:jc w:val="both"/>
              <w:rPr>
                <w:rFonts w:ascii="Arial" w:hAnsi="Arial" w:cs="Arial"/>
              </w:rPr>
            </w:pPr>
          </w:p>
          <w:p w14:paraId="5C507B52" w14:textId="77777777" w:rsidR="00FB5ACC" w:rsidRPr="00A64175" w:rsidRDefault="00FB5ACC" w:rsidP="00A64175">
            <w:pPr>
              <w:jc w:val="both"/>
              <w:rPr>
                <w:rFonts w:ascii="Arial" w:hAnsi="Arial" w:cs="Arial"/>
              </w:rPr>
            </w:pPr>
            <w:r w:rsidRPr="00A64175">
              <w:rPr>
                <w:rFonts w:ascii="Arial" w:hAnsi="Arial" w:cs="Arial"/>
              </w:rPr>
              <w:t>Les comptes annuels de l’OPCI sont présentés conformément au plan comptable en vigueur.</w:t>
            </w:r>
          </w:p>
          <w:p w14:paraId="1697E98F" w14:textId="77777777" w:rsidR="00FB5ACC" w:rsidRPr="00A64175" w:rsidRDefault="00FB5ACC" w:rsidP="00A64175">
            <w:pPr>
              <w:jc w:val="both"/>
              <w:rPr>
                <w:rFonts w:ascii="Arial" w:hAnsi="Arial" w:cs="Arial"/>
              </w:rPr>
            </w:pPr>
          </w:p>
          <w:p w14:paraId="5CE7D496" w14:textId="77777777" w:rsidR="00FB5ACC" w:rsidRPr="00A64175" w:rsidRDefault="00FB5ACC" w:rsidP="00A64175">
            <w:pPr>
              <w:jc w:val="both"/>
              <w:rPr>
                <w:rFonts w:ascii="Arial" w:hAnsi="Arial" w:cs="Arial"/>
              </w:rPr>
            </w:pPr>
          </w:p>
          <w:p w14:paraId="44D35CD4" w14:textId="77777777" w:rsidR="00FB5ACC" w:rsidRPr="00A64175" w:rsidRDefault="00FB5ACC" w:rsidP="00A64175">
            <w:pPr>
              <w:jc w:val="both"/>
              <w:rPr>
                <w:rFonts w:ascii="Arial" w:hAnsi="Arial" w:cs="Arial"/>
                <w:b/>
              </w:rPr>
            </w:pPr>
            <w:r w:rsidRPr="00A64175">
              <w:rPr>
                <w:rFonts w:ascii="Arial" w:hAnsi="Arial" w:cs="Arial"/>
                <w:b/>
              </w:rPr>
              <w:t xml:space="preserve">Section V : Dispositions comptables </w:t>
            </w:r>
          </w:p>
          <w:p w14:paraId="7B9CFECA" w14:textId="77777777" w:rsidR="00FB5ACC" w:rsidRPr="00A64175" w:rsidRDefault="00FB5ACC" w:rsidP="00A64175">
            <w:pPr>
              <w:jc w:val="both"/>
              <w:rPr>
                <w:rFonts w:ascii="Arial" w:hAnsi="Arial" w:cs="Arial"/>
              </w:rPr>
            </w:pPr>
          </w:p>
          <w:p w14:paraId="50E77A0D" w14:textId="77777777" w:rsidR="00FB5ACC" w:rsidRPr="00A64175" w:rsidRDefault="00FB5ACC" w:rsidP="00A64175">
            <w:pPr>
              <w:jc w:val="both"/>
              <w:rPr>
                <w:rFonts w:ascii="Arial" w:hAnsi="Arial" w:cs="Arial"/>
              </w:rPr>
            </w:pPr>
          </w:p>
          <w:p w14:paraId="5B422980" w14:textId="16181667"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8</w:t>
            </w:r>
            <w:r w:rsidR="00FB5ACC" w:rsidRPr="00A64175">
              <w:rPr>
                <w:rFonts w:ascii="Arial" w:hAnsi="Arial" w:cs="Arial"/>
                <w:b/>
              </w:rPr>
              <w:t>. –</w:t>
            </w:r>
            <w:r w:rsidR="00FB5ACC" w:rsidRPr="00A64175">
              <w:rPr>
                <w:rFonts w:ascii="Arial" w:hAnsi="Arial" w:cs="Arial"/>
              </w:rPr>
              <w:t xml:space="preserve"> Le résultat de l’exercice d’un OPCI est égal à la somme des éléments suivants :</w:t>
            </w:r>
          </w:p>
          <w:p w14:paraId="143EF91B" w14:textId="77777777" w:rsidR="00FB5ACC" w:rsidRPr="00A64175" w:rsidRDefault="00FB5ACC" w:rsidP="00A64175">
            <w:pPr>
              <w:jc w:val="both"/>
              <w:rPr>
                <w:rFonts w:ascii="Arial" w:hAnsi="Arial" w:cs="Arial"/>
              </w:rPr>
            </w:pPr>
          </w:p>
          <w:p w14:paraId="4EE73FF9" w14:textId="77777777" w:rsidR="00FB5ACC" w:rsidRPr="00A64175" w:rsidRDefault="00FB5ACC" w:rsidP="00A64175">
            <w:pPr>
              <w:pStyle w:val="Paragraphedeliste"/>
              <w:numPr>
                <w:ilvl w:val="0"/>
                <w:numId w:val="193"/>
              </w:numPr>
              <w:spacing w:before="0" w:beforeAutospacing="0" w:after="0" w:afterAutospacing="0" w:line="240" w:lineRule="auto"/>
            </w:pPr>
            <w:r w:rsidRPr="00A64175">
              <w:t>les produits relatifs aux actifs immobiliers diminués du montant des frais et charges y afférents ;</w:t>
            </w:r>
          </w:p>
          <w:p w14:paraId="188E1205" w14:textId="77777777" w:rsidR="00FB5ACC" w:rsidRPr="00A64175" w:rsidRDefault="00FB5ACC" w:rsidP="00A64175">
            <w:pPr>
              <w:pStyle w:val="Paragraphedeliste"/>
              <w:spacing w:before="0" w:beforeAutospacing="0" w:after="0" w:afterAutospacing="0" w:line="240" w:lineRule="auto"/>
            </w:pPr>
          </w:p>
          <w:p w14:paraId="1D560623" w14:textId="77777777" w:rsidR="00FB5ACC" w:rsidRPr="00A64175" w:rsidRDefault="00FB5ACC" w:rsidP="00A64175">
            <w:pPr>
              <w:pStyle w:val="Paragraphedeliste"/>
              <w:numPr>
                <w:ilvl w:val="0"/>
                <w:numId w:val="193"/>
              </w:numPr>
              <w:spacing w:before="0" w:beforeAutospacing="0" w:after="0" w:afterAutospacing="0" w:line="240" w:lineRule="auto"/>
            </w:pPr>
            <w:r w:rsidRPr="00A64175">
              <w:t>les produits et rémunérations dégagés par la gestion des autres actifs, diminués du montant des frais et charges y afférents ;</w:t>
            </w:r>
          </w:p>
          <w:p w14:paraId="083628A9" w14:textId="77777777" w:rsidR="00FB5ACC" w:rsidRPr="00A64175" w:rsidRDefault="00FB5ACC" w:rsidP="00A64175">
            <w:pPr>
              <w:jc w:val="both"/>
              <w:rPr>
                <w:rFonts w:ascii="Arial" w:hAnsi="Arial" w:cs="Arial"/>
              </w:rPr>
            </w:pPr>
          </w:p>
          <w:p w14:paraId="20C29ADC" w14:textId="77777777" w:rsidR="00FB5ACC" w:rsidRPr="00A64175" w:rsidRDefault="00FB5ACC" w:rsidP="00A64175">
            <w:pPr>
              <w:pStyle w:val="Paragraphedeliste"/>
              <w:numPr>
                <w:ilvl w:val="0"/>
                <w:numId w:val="193"/>
              </w:numPr>
              <w:spacing w:before="0" w:beforeAutospacing="0" w:after="0" w:afterAutospacing="0" w:line="240" w:lineRule="auto"/>
            </w:pPr>
            <w:r w:rsidRPr="00A64175">
              <w:t>des autres produits, diminués du montant des frais et charges y afférents qui ne peuvent être directement rattachés aux actifs immobiliers mentionnés au présent article ou à la gestion des autres actifs.</w:t>
            </w:r>
          </w:p>
          <w:p w14:paraId="64BBBDFD" w14:textId="77777777" w:rsidR="00FB5ACC" w:rsidRPr="00A64175" w:rsidRDefault="00FB5ACC" w:rsidP="00A64175">
            <w:pPr>
              <w:jc w:val="both"/>
              <w:rPr>
                <w:rFonts w:ascii="Arial" w:hAnsi="Arial" w:cs="Arial"/>
              </w:rPr>
            </w:pPr>
          </w:p>
          <w:p w14:paraId="11748B79" w14:textId="35203C18" w:rsidR="00FB5ACC" w:rsidRPr="00A64175" w:rsidRDefault="00BE0D8A" w:rsidP="00A64175">
            <w:pPr>
              <w:jc w:val="both"/>
              <w:rPr>
                <w:rFonts w:ascii="Arial" w:hAnsi="Arial" w:cs="Arial"/>
              </w:rPr>
            </w:pPr>
            <w:r w:rsidRPr="00A64175">
              <w:rPr>
                <w:rFonts w:ascii="Arial" w:hAnsi="Arial" w:cs="Arial"/>
                <w:b/>
                <w:bCs/>
              </w:rPr>
              <w:t>Article 43</w:t>
            </w:r>
            <w:r w:rsidR="00757151">
              <w:rPr>
                <w:rFonts w:ascii="Arial" w:hAnsi="Arial" w:cs="Arial"/>
                <w:b/>
                <w:bCs/>
              </w:rPr>
              <w:t>9</w:t>
            </w:r>
            <w:r w:rsidR="00FB5ACC" w:rsidRPr="00A64175">
              <w:rPr>
                <w:rFonts w:ascii="Arial" w:hAnsi="Arial" w:cs="Arial"/>
                <w:b/>
              </w:rPr>
              <w:t>. –</w:t>
            </w:r>
            <w:r w:rsidR="00FB5ACC" w:rsidRPr="00A64175">
              <w:rPr>
                <w:rFonts w:ascii="Arial" w:hAnsi="Arial" w:cs="Arial"/>
              </w:rPr>
              <w:t xml:space="preserve"> Les sommes distribuables en fin d’exercice par un OPCI ou un compartiment d’OPCI comprennent :</w:t>
            </w:r>
          </w:p>
          <w:p w14:paraId="3F175E66" w14:textId="77777777" w:rsidR="00FB5ACC" w:rsidRPr="00A64175" w:rsidRDefault="00FB5ACC" w:rsidP="00A64175">
            <w:pPr>
              <w:jc w:val="both"/>
              <w:rPr>
                <w:rFonts w:ascii="Arial" w:hAnsi="Arial" w:cs="Arial"/>
              </w:rPr>
            </w:pPr>
          </w:p>
          <w:p w14:paraId="7E8D46CB" w14:textId="77777777" w:rsidR="00FB5ACC" w:rsidRPr="00A64175" w:rsidRDefault="00FB5ACC" w:rsidP="00A64175">
            <w:pPr>
              <w:pStyle w:val="Paragraphedeliste"/>
              <w:numPr>
                <w:ilvl w:val="0"/>
                <w:numId w:val="193"/>
              </w:numPr>
              <w:spacing w:before="0" w:beforeAutospacing="0" w:after="0" w:afterAutospacing="0" w:line="240" w:lineRule="auto"/>
            </w:pPr>
            <w:r w:rsidRPr="00A64175">
              <w:t>le résultat net, augmenté du report à nouveau, majoré ou diminué du solde des comptes de régularisation ;</w:t>
            </w:r>
          </w:p>
          <w:p w14:paraId="0CE1CE7D" w14:textId="77777777" w:rsidR="00FB5ACC" w:rsidRPr="00A64175" w:rsidRDefault="00FB5ACC" w:rsidP="00A64175">
            <w:pPr>
              <w:pStyle w:val="Paragraphedeliste"/>
              <w:spacing w:before="0" w:beforeAutospacing="0" w:after="0" w:afterAutospacing="0" w:line="240" w:lineRule="auto"/>
            </w:pPr>
          </w:p>
          <w:p w14:paraId="4DBB44E3" w14:textId="77777777" w:rsidR="00FB5ACC" w:rsidRPr="00A64175" w:rsidRDefault="00FB5ACC" w:rsidP="00A64175">
            <w:pPr>
              <w:pStyle w:val="Paragraphedeliste"/>
              <w:numPr>
                <w:ilvl w:val="0"/>
                <w:numId w:val="193"/>
              </w:numPr>
              <w:spacing w:before="0" w:beforeAutospacing="0" w:after="0" w:afterAutospacing="0" w:line="240" w:lineRule="auto"/>
            </w:pPr>
            <w:r w:rsidRPr="00A64175">
              <w:t>les plus-values de cession des actifs immobiliers, réalisées au cours de l’exercice, nettes des frais et majorées ou diminuées du solde des comptes de régularisation ;</w:t>
            </w:r>
          </w:p>
          <w:p w14:paraId="244E8A24" w14:textId="77777777" w:rsidR="00FB5ACC" w:rsidRPr="00A64175" w:rsidRDefault="00FB5ACC" w:rsidP="00A64175">
            <w:pPr>
              <w:pStyle w:val="Paragraphedeliste"/>
              <w:spacing w:before="0" w:beforeAutospacing="0" w:after="0" w:afterAutospacing="0" w:line="240" w:lineRule="auto"/>
            </w:pPr>
          </w:p>
          <w:p w14:paraId="74163A1A" w14:textId="77777777" w:rsidR="00FB5ACC" w:rsidRPr="00A64175" w:rsidRDefault="00FB5ACC" w:rsidP="00A64175">
            <w:pPr>
              <w:pStyle w:val="Paragraphedeliste"/>
              <w:numPr>
                <w:ilvl w:val="0"/>
                <w:numId w:val="193"/>
              </w:numPr>
              <w:spacing w:before="0" w:beforeAutospacing="0" w:after="0" w:afterAutospacing="0" w:line="240" w:lineRule="auto"/>
            </w:pPr>
            <w:r w:rsidRPr="00A64175">
              <w:t>les plus-values de cession des autres actifs de l’OPCI ou du compartiment réalisées au cours de l’exercice nettes de frais et diminuées des moins-values nettes de frais réalisées au cours du même exercice et majorées ou diminuées du solde des comptes de régularisation.</w:t>
            </w:r>
          </w:p>
          <w:p w14:paraId="13BFEC09" w14:textId="77777777" w:rsidR="00FB5ACC" w:rsidRPr="00A64175" w:rsidRDefault="00FB5ACC" w:rsidP="00A64175">
            <w:pPr>
              <w:jc w:val="both"/>
              <w:rPr>
                <w:rFonts w:ascii="Arial" w:hAnsi="Arial" w:cs="Arial"/>
              </w:rPr>
            </w:pPr>
          </w:p>
          <w:p w14:paraId="44CEE106" w14:textId="77777777" w:rsidR="00FB5ACC" w:rsidRPr="00A64175" w:rsidRDefault="00FB5ACC" w:rsidP="00A64175">
            <w:pPr>
              <w:jc w:val="both"/>
              <w:rPr>
                <w:rFonts w:ascii="Arial" w:hAnsi="Arial" w:cs="Arial"/>
              </w:rPr>
            </w:pPr>
          </w:p>
          <w:p w14:paraId="4F9B6F28" w14:textId="77777777" w:rsidR="00FB5ACC" w:rsidRPr="00A64175" w:rsidRDefault="00FB5ACC" w:rsidP="00A64175">
            <w:pPr>
              <w:jc w:val="both"/>
              <w:rPr>
                <w:rFonts w:ascii="Arial" w:hAnsi="Arial" w:cs="Arial"/>
                <w:b/>
              </w:rPr>
            </w:pPr>
            <w:r w:rsidRPr="00A64175">
              <w:rPr>
                <w:rFonts w:ascii="Arial" w:hAnsi="Arial" w:cs="Arial"/>
                <w:b/>
              </w:rPr>
              <w:t xml:space="preserve">Section VI : Contrôle des OPCI </w:t>
            </w:r>
          </w:p>
          <w:p w14:paraId="1904326B" w14:textId="77777777" w:rsidR="00FB5ACC" w:rsidRPr="00A64175" w:rsidRDefault="00FB5ACC" w:rsidP="00A64175">
            <w:pPr>
              <w:jc w:val="both"/>
              <w:rPr>
                <w:rFonts w:ascii="Arial" w:hAnsi="Arial" w:cs="Arial"/>
              </w:rPr>
            </w:pPr>
          </w:p>
          <w:p w14:paraId="510EE107" w14:textId="77777777" w:rsidR="00FB5ACC" w:rsidRPr="00A64175" w:rsidRDefault="00FB5ACC" w:rsidP="00A64175">
            <w:pPr>
              <w:jc w:val="both"/>
              <w:rPr>
                <w:rFonts w:ascii="Arial" w:hAnsi="Arial" w:cs="Arial"/>
              </w:rPr>
            </w:pPr>
          </w:p>
          <w:p w14:paraId="42DB9F30" w14:textId="30AE33EB" w:rsidR="00FB5ACC" w:rsidRPr="00A64175" w:rsidRDefault="00BE0D8A" w:rsidP="00A64175">
            <w:pPr>
              <w:jc w:val="both"/>
              <w:rPr>
                <w:rFonts w:ascii="Arial" w:hAnsi="Arial" w:cs="Arial"/>
              </w:rPr>
            </w:pPr>
            <w:r w:rsidRPr="00A64175">
              <w:rPr>
                <w:rFonts w:ascii="Arial" w:hAnsi="Arial" w:cs="Arial"/>
                <w:b/>
                <w:bCs/>
              </w:rPr>
              <w:t>Article 4</w:t>
            </w:r>
            <w:r w:rsidR="00533602">
              <w:rPr>
                <w:rFonts w:ascii="Arial" w:hAnsi="Arial" w:cs="Arial"/>
                <w:b/>
                <w:bCs/>
              </w:rPr>
              <w:t>40</w:t>
            </w:r>
            <w:r w:rsidR="00FB5ACC" w:rsidRPr="00A64175">
              <w:rPr>
                <w:rFonts w:ascii="Arial" w:hAnsi="Arial" w:cs="Arial"/>
                <w:b/>
              </w:rPr>
              <w:t>. –</w:t>
            </w:r>
            <w:r w:rsidR="00FB5ACC" w:rsidRPr="00A64175">
              <w:rPr>
                <w:rFonts w:ascii="Arial" w:hAnsi="Arial" w:cs="Arial"/>
              </w:rPr>
              <w:t xml:space="preserve"> Les OPCI, leur société de gestion, leur dépositaire ainsi que les teneurs de compte de l’OPCI sont soumis au contrôle de la COSUMAF conformément aux dispositions de l’article</w:t>
            </w:r>
            <w:r w:rsidR="00685904" w:rsidRPr="00A64175">
              <w:rPr>
                <w:rFonts w:ascii="Arial" w:hAnsi="Arial" w:cs="Arial"/>
              </w:rPr>
              <w:t xml:space="preserve"> 19 du </w:t>
            </w:r>
            <w:r w:rsidR="00685904" w:rsidRPr="00A64175">
              <w:rPr>
                <w:rFonts w:ascii="Arial" w:hAnsi="Arial" w:cs="Arial"/>
                <w:color w:val="000000"/>
              </w:rPr>
              <w:t>Règlement n°01/22/CEMAC/UMAC/CM/COSUMAF du 21 juillet 2022</w:t>
            </w:r>
            <w:r w:rsidR="00FB5ACC" w:rsidRPr="00A64175">
              <w:rPr>
                <w:rFonts w:ascii="Arial" w:hAnsi="Arial" w:cs="Arial"/>
              </w:rPr>
              <w:t>.</w:t>
            </w:r>
          </w:p>
          <w:p w14:paraId="7E76BF83" w14:textId="77777777" w:rsidR="00FB5ACC" w:rsidRPr="00A64175" w:rsidRDefault="00FB5ACC" w:rsidP="00A64175">
            <w:pPr>
              <w:jc w:val="both"/>
              <w:rPr>
                <w:rFonts w:ascii="Arial" w:hAnsi="Arial" w:cs="Arial"/>
              </w:rPr>
            </w:pPr>
          </w:p>
          <w:p w14:paraId="2C9E04F2" w14:textId="77777777" w:rsidR="00FB5ACC" w:rsidRPr="00A64175" w:rsidRDefault="00FB5ACC" w:rsidP="00A64175">
            <w:pPr>
              <w:jc w:val="both"/>
              <w:rPr>
                <w:rFonts w:ascii="Arial" w:hAnsi="Arial" w:cs="Arial"/>
              </w:rPr>
            </w:pPr>
            <w:r w:rsidRPr="00A64175">
              <w:rPr>
                <w:rFonts w:ascii="Arial" w:hAnsi="Arial" w:cs="Arial"/>
              </w:rPr>
              <w:t>Les contrôles de la COSUMAF sont effectués sur pièces et sur place.</w:t>
            </w:r>
          </w:p>
          <w:p w14:paraId="4530713C" w14:textId="77777777" w:rsidR="00FB5ACC" w:rsidRPr="00A64175" w:rsidRDefault="00FB5ACC" w:rsidP="00A64175">
            <w:pPr>
              <w:jc w:val="both"/>
              <w:rPr>
                <w:rFonts w:ascii="Arial" w:hAnsi="Arial" w:cs="Arial"/>
              </w:rPr>
            </w:pPr>
          </w:p>
          <w:p w14:paraId="6E74E2E9" w14:textId="77777777" w:rsidR="00FB5ACC" w:rsidRPr="00A64175" w:rsidRDefault="00FB5ACC" w:rsidP="00A64175">
            <w:pPr>
              <w:jc w:val="both"/>
              <w:rPr>
                <w:rFonts w:ascii="Arial" w:hAnsi="Arial" w:cs="Arial"/>
              </w:rPr>
            </w:pPr>
            <w:r w:rsidRPr="00A64175">
              <w:rPr>
                <w:rFonts w:ascii="Arial" w:hAnsi="Arial" w:cs="Arial"/>
              </w:rPr>
              <w:t>Une instruction de la COSUMAF précise les modalités de contrôle de l’activité des OPCI et les obligations d’informations périodiques auxquelles sont soumises les structures visées à l’alinéa premier du présent article.</w:t>
            </w:r>
          </w:p>
          <w:p w14:paraId="1531F5DD" w14:textId="77777777" w:rsidR="00FB5ACC" w:rsidRPr="00A64175" w:rsidRDefault="00FB5ACC" w:rsidP="00A64175">
            <w:pPr>
              <w:jc w:val="both"/>
              <w:rPr>
                <w:rFonts w:ascii="Arial" w:hAnsi="Arial" w:cs="Arial"/>
              </w:rPr>
            </w:pPr>
          </w:p>
          <w:p w14:paraId="38B1E472" w14:textId="260A97FD" w:rsidR="00FB5ACC" w:rsidRPr="00A64175" w:rsidRDefault="00685904" w:rsidP="00A64175">
            <w:pPr>
              <w:jc w:val="both"/>
              <w:rPr>
                <w:rFonts w:ascii="Arial" w:hAnsi="Arial" w:cs="Arial"/>
              </w:rPr>
            </w:pPr>
            <w:r w:rsidRPr="00A64175">
              <w:rPr>
                <w:rFonts w:ascii="Arial" w:hAnsi="Arial" w:cs="Arial"/>
                <w:b/>
                <w:bCs/>
              </w:rPr>
              <w:t>Article 4</w:t>
            </w:r>
            <w:r w:rsidR="00533602">
              <w:rPr>
                <w:rFonts w:ascii="Arial" w:hAnsi="Arial" w:cs="Arial"/>
                <w:b/>
                <w:bCs/>
              </w:rPr>
              <w:t>41</w:t>
            </w:r>
            <w:r w:rsidR="00FB5ACC" w:rsidRPr="00A64175">
              <w:rPr>
                <w:rFonts w:ascii="Arial" w:hAnsi="Arial" w:cs="Arial"/>
                <w:b/>
              </w:rPr>
              <w:t>. –</w:t>
            </w:r>
            <w:r w:rsidR="00FB5ACC" w:rsidRPr="00A64175">
              <w:rPr>
                <w:rFonts w:ascii="Arial" w:hAnsi="Arial" w:cs="Arial"/>
              </w:rPr>
              <w:t xml:space="preserve"> La société de gestion est tenue de désigner un ou plusieurs commissaires aux comptes pour chaque OPCI. Les commissaires aux comptes doivent justifier de leur qualité d’experts comptables agréés de la CEMAC et obtenir leur agrément par la COSUMAF.</w:t>
            </w:r>
          </w:p>
          <w:p w14:paraId="1B95B5FE" w14:textId="77777777" w:rsidR="00FB5ACC" w:rsidRPr="00A64175" w:rsidRDefault="00FB5ACC" w:rsidP="00A64175">
            <w:pPr>
              <w:jc w:val="both"/>
              <w:rPr>
                <w:rFonts w:ascii="Arial" w:hAnsi="Arial" w:cs="Arial"/>
              </w:rPr>
            </w:pPr>
          </w:p>
          <w:p w14:paraId="59739D2D" w14:textId="77777777" w:rsidR="00FB5ACC" w:rsidRPr="00A64175" w:rsidRDefault="00FB5ACC" w:rsidP="00A64175">
            <w:pPr>
              <w:jc w:val="both"/>
              <w:rPr>
                <w:rFonts w:ascii="Arial" w:hAnsi="Arial" w:cs="Arial"/>
              </w:rPr>
            </w:pPr>
            <w:r w:rsidRPr="00A64175">
              <w:rPr>
                <w:rFonts w:ascii="Arial" w:hAnsi="Arial" w:cs="Arial"/>
              </w:rPr>
              <w:t>Les commissaires aux comptes assurent le contrôle et le suivi des comptes de l’OPCI ou du compartiment d’OPCI. Ils certifient les comptes et vérifient l’exactitude des informations périodiques produites par l’OPCI.</w:t>
            </w:r>
          </w:p>
          <w:p w14:paraId="4361A143" w14:textId="77777777" w:rsidR="00FB5ACC" w:rsidRPr="00A64175" w:rsidRDefault="00FB5ACC" w:rsidP="00A64175">
            <w:pPr>
              <w:jc w:val="both"/>
              <w:rPr>
                <w:rFonts w:ascii="Arial" w:hAnsi="Arial" w:cs="Arial"/>
              </w:rPr>
            </w:pPr>
          </w:p>
          <w:p w14:paraId="13745FFC" w14:textId="7F7581AC" w:rsidR="00FB5ACC" w:rsidRPr="00A64175" w:rsidRDefault="00685904" w:rsidP="00A64175">
            <w:pPr>
              <w:jc w:val="both"/>
              <w:rPr>
                <w:rFonts w:ascii="Arial" w:hAnsi="Arial" w:cs="Arial"/>
              </w:rPr>
            </w:pPr>
            <w:r w:rsidRPr="00A64175">
              <w:rPr>
                <w:rFonts w:ascii="Arial" w:hAnsi="Arial" w:cs="Arial"/>
                <w:b/>
                <w:bCs/>
              </w:rPr>
              <w:t>Article 4</w:t>
            </w:r>
            <w:r w:rsidR="00533602">
              <w:rPr>
                <w:rFonts w:ascii="Arial" w:hAnsi="Arial" w:cs="Arial"/>
                <w:b/>
                <w:bCs/>
              </w:rPr>
              <w:t>42</w:t>
            </w:r>
            <w:r w:rsidR="00FB5ACC" w:rsidRPr="00A64175">
              <w:rPr>
                <w:rFonts w:ascii="Arial" w:hAnsi="Arial" w:cs="Arial"/>
                <w:b/>
              </w:rPr>
              <w:t>. –</w:t>
            </w:r>
            <w:r w:rsidR="00FB5ACC" w:rsidRPr="00A64175">
              <w:rPr>
                <w:rFonts w:ascii="Arial" w:hAnsi="Arial" w:cs="Arial"/>
              </w:rPr>
              <w:t xml:space="preserve"> Les commissaires aux comptes sont tenus d’informer, sans délai, la société de gestion et la COSUMAF des irrégularités qu’ils relèvent dans le cadre de leur activité.</w:t>
            </w:r>
          </w:p>
          <w:p w14:paraId="755AE61B" w14:textId="77777777" w:rsidR="006D080E" w:rsidRPr="00A64175" w:rsidRDefault="006D080E" w:rsidP="00A64175">
            <w:pPr>
              <w:jc w:val="both"/>
              <w:rPr>
                <w:rFonts w:ascii="Arial" w:hAnsi="Arial" w:cs="Arial"/>
                <w:b/>
                <w:bCs/>
              </w:rPr>
            </w:pPr>
          </w:p>
          <w:p w14:paraId="3B3A8C86" w14:textId="77777777" w:rsidR="006D080E" w:rsidRPr="00A64175" w:rsidRDefault="006D080E" w:rsidP="00A64175">
            <w:pPr>
              <w:jc w:val="both"/>
              <w:rPr>
                <w:rFonts w:ascii="Arial" w:hAnsi="Arial" w:cs="Arial"/>
                <w:b/>
                <w:bCs/>
              </w:rPr>
            </w:pPr>
          </w:p>
          <w:p w14:paraId="502DCE1D" w14:textId="77777777" w:rsidR="006D080E" w:rsidRPr="00A64175" w:rsidRDefault="006D080E" w:rsidP="00A64175">
            <w:pPr>
              <w:jc w:val="both"/>
              <w:rPr>
                <w:rFonts w:ascii="Arial" w:hAnsi="Arial" w:cs="Arial"/>
                <w:b/>
                <w:bCs/>
              </w:rPr>
            </w:pPr>
          </w:p>
          <w:p w14:paraId="08491BC9" w14:textId="77777777" w:rsidR="006D080E" w:rsidRPr="00A64175" w:rsidRDefault="006D080E" w:rsidP="00A64175">
            <w:pPr>
              <w:jc w:val="both"/>
              <w:rPr>
                <w:rFonts w:ascii="Arial" w:hAnsi="Arial" w:cs="Arial"/>
                <w:b/>
                <w:bCs/>
              </w:rPr>
            </w:pPr>
          </w:p>
          <w:p w14:paraId="77BB9B0C" w14:textId="7A9DEFFA" w:rsidR="006D080E" w:rsidRPr="00A64175" w:rsidRDefault="009F78DB" w:rsidP="00A64175">
            <w:pPr>
              <w:jc w:val="both"/>
              <w:rPr>
                <w:rFonts w:ascii="Arial" w:hAnsi="Arial" w:cs="Arial"/>
                <w:b/>
                <w:bCs/>
              </w:rPr>
            </w:pPr>
            <w:r w:rsidRPr="00A64175">
              <w:rPr>
                <w:rFonts w:ascii="Arial" w:hAnsi="Arial" w:cs="Arial"/>
                <w:b/>
                <w:bCs/>
              </w:rPr>
              <w:t>Section II</w:t>
            </w:r>
            <w:r w:rsidR="00FB5ACC" w:rsidRPr="00A64175">
              <w:rPr>
                <w:rFonts w:ascii="Arial" w:hAnsi="Arial" w:cs="Arial"/>
                <w:b/>
                <w:bCs/>
              </w:rPr>
              <w:t>I : ORGANISMES DE CAPITAL INVESTISSEMENT</w:t>
            </w:r>
          </w:p>
          <w:p w14:paraId="733821EE" w14:textId="77777777" w:rsidR="006D080E" w:rsidRPr="00A64175" w:rsidRDefault="006D080E" w:rsidP="00A64175">
            <w:pPr>
              <w:jc w:val="both"/>
              <w:rPr>
                <w:rFonts w:ascii="Arial" w:hAnsi="Arial" w:cs="Arial"/>
                <w:b/>
                <w:bCs/>
              </w:rPr>
            </w:pPr>
          </w:p>
          <w:p w14:paraId="4B7A89FE" w14:textId="77777777" w:rsidR="006D080E" w:rsidRPr="00A64175" w:rsidRDefault="006D080E" w:rsidP="00A64175">
            <w:pPr>
              <w:jc w:val="both"/>
              <w:rPr>
                <w:rFonts w:ascii="Arial" w:hAnsi="Arial" w:cs="Arial"/>
                <w:b/>
                <w:bCs/>
              </w:rPr>
            </w:pPr>
          </w:p>
          <w:p w14:paraId="2055FB2C" w14:textId="77777777" w:rsidR="007204C8" w:rsidRPr="00A64175" w:rsidRDefault="007204C8" w:rsidP="00A64175">
            <w:pPr>
              <w:jc w:val="both"/>
              <w:rPr>
                <w:rFonts w:ascii="Arial" w:hAnsi="Arial" w:cs="Arial"/>
                <w:b/>
              </w:rPr>
            </w:pPr>
            <w:r w:rsidRPr="00A64175">
              <w:rPr>
                <w:rFonts w:ascii="Arial" w:hAnsi="Arial" w:cs="Arial"/>
                <w:b/>
              </w:rPr>
              <w:t xml:space="preserve">CHAPITRE I – CONSTITUTION </w:t>
            </w:r>
          </w:p>
          <w:p w14:paraId="1D917EBC" w14:textId="77777777" w:rsidR="007204C8" w:rsidRPr="00A64175" w:rsidRDefault="007204C8" w:rsidP="00A64175">
            <w:pPr>
              <w:jc w:val="both"/>
              <w:rPr>
                <w:rFonts w:ascii="Arial" w:hAnsi="Arial" w:cs="Arial"/>
              </w:rPr>
            </w:pPr>
          </w:p>
          <w:p w14:paraId="71B7AB2A" w14:textId="77777777" w:rsidR="007204C8" w:rsidRPr="00A64175" w:rsidRDefault="007204C8" w:rsidP="00A64175">
            <w:pPr>
              <w:jc w:val="both"/>
              <w:rPr>
                <w:rFonts w:ascii="Arial" w:hAnsi="Arial" w:cs="Arial"/>
              </w:rPr>
            </w:pPr>
          </w:p>
          <w:p w14:paraId="2E2E654B" w14:textId="59FCAF99"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3</w:t>
            </w:r>
            <w:r w:rsidR="007204C8" w:rsidRPr="00A64175">
              <w:rPr>
                <w:rFonts w:ascii="Arial" w:hAnsi="Arial" w:cs="Arial"/>
                <w:b/>
              </w:rPr>
              <w:t>. –</w:t>
            </w:r>
            <w:r w:rsidR="007204C8" w:rsidRPr="00A64175">
              <w:rPr>
                <w:rFonts w:ascii="Arial" w:hAnsi="Arial" w:cs="Arial"/>
              </w:rPr>
              <w:t xml:space="preserve"> Avant de pouvoir exercer leur activité, les organismes de capital investissement sont tenus de déposer auprès de la COSUMAF un dossier de demande d’agrément. Ce dossier comprend le règlement de gestion de l’organisme et les documents et informations précisés dans une instruction de la COSUMAF.</w:t>
            </w:r>
          </w:p>
          <w:p w14:paraId="44F0AB9D" w14:textId="77777777" w:rsidR="007204C8" w:rsidRPr="00A64175" w:rsidRDefault="007204C8" w:rsidP="00A64175">
            <w:pPr>
              <w:jc w:val="both"/>
              <w:rPr>
                <w:rFonts w:ascii="Arial" w:hAnsi="Arial" w:cs="Arial"/>
              </w:rPr>
            </w:pPr>
          </w:p>
          <w:p w14:paraId="5FF476CE" w14:textId="4DE97432"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4</w:t>
            </w:r>
            <w:r w:rsidR="007204C8" w:rsidRPr="00A64175">
              <w:rPr>
                <w:rFonts w:ascii="Arial" w:hAnsi="Arial" w:cs="Arial"/>
                <w:b/>
              </w:rPr>
              <w:t>. –</w:t>
            </w:r>
            <w:r w:rsidR="007204C8" w:rsidRPr="00A64175">
              <w:rPr>
                <w:rFonts w:ascii="Arial" w:hAnsi="Arial" w:cs="Arial"/>
              </w:rPr>
              <w:t xml:space="preserve"> L’actif d’un organisme de capital investissement comprend :</w:t>
            </w:r>
          </w:p>
          <w:p w14:paraId="407EB5B2" w14:textId="77777777" w:rsidR="007204C8" w:rsidRPr="00A64175" w:rsidRDefault="007204C8" w:rsidP="00A64175">
            <w:pPr>
              <w:jc w:val="both"/>
              <w:rPr>
                <w:rFonts w:ascii="Arial" w:hAnsi="Arial" w:cs="Arial"/>
              </w:rPr>
            </w:pPr>
          </w:p>
          <w:p w14:paraId="580D46FA" w14:textId="77777777" w:rsidR="007204C8" w:rsidRPr="00A64175" w:rsidRDefault="007204C8" w:rsidP="00A64175">
            <w:pPr>
              <w:pStyle w:val="Paragraphedeliste"/>
              <w:numPr>
                <w:ilvl w:val="0"/>
                <w:numId w:val="194"/>
              </w:numPr>
              <w:spacing w:before="0" w:beforeAutospacing="0" w:after="0" w:afterAutospacing="0" w:line="240" w:lineRule="auto"/>
            </w:pPr>
            <w:r w:rsidRPr="00A64175">
              <w:t>des actions et parts sociales émises par les sociétés ayant leur siège social ou leur principal établissement dans les Etats membres de la CEMAC ;</w:t>
            </w:r>
          </w:p>
          <w:p w14:paraId="1068D272" w14:textId="77777777" w:rsidR="007204C8" w:rsidRPr="00A64175" w:rsidRDefault="007204C8" w:rsidP="00A64175">
            <w:pPr>
              <w:pStyle w:val="Paragraphedeliste"/>
              <w:spacing w:before="0" w:beforeAutospacing="0" w:after="0" w:afterAutospacing="0" w:line="240" w:lineRule="auto"/>
            </w:pPr>
          </w:p>
          <w:p w14:paraId="205E08ED" w14:textId="77777777" w:rsidR="007204C8" w:rsidRPr="00A64175" w:rsidRDefault="007204C8" w:rsidP="00A64175">
            <w:pPr>
              <w:pStyle w:val="Paragraphedeliste"/>
              <w:numPr>
                <w:ilvl w:val="0"/>
                <w:numId w:val="194"/>
              </w:numPr>
              <w:spacing w:before="0" w:beforeAutospacing="0" w:after="0" w:afterAutospacing="0" w:line="240" w:lineRule="auto"/>
            </w:pPr>
            <w:r w:rsidRPr="00A64175">
              <w:t>des bons de souscription ou d’attribution de titres de capital émis par les sociétés ayant leur siège social ou leur principal établissement dans les Etats membres de la CEMAC ;</w:t>
            </w:r>
          </w:p>
          <w:p w14:paraId="528937B3" w14:textId="77777777" w:rsidR="007204C8" w:rsidRPr="00A64175" w:rsidRDefault="007204C8" w:rsidP="00A64175">
            <w:pPr>
              <w:jc w:val="both"/>
              <w:rPr>
                <w:rFonts w:ascii="Arial" w:hAnsi="Arial" w:cs="Arial"/>
              </w:rPr>
            </w:pPr>
          </w:p>
          <w:p w14:paraId="752AB26E"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titres de capital ou de créance donnant accès, directement ou indirectement, au capital social de sociétés ayant leur siège social ou leur principal établissement dans les Etats membres de la CEMAC ;</w:t>
            </w:r>
          </w:p>
          <w:p w14:paraId="020C0F17" w14:textId="77777777" w:rsidR="007204C8" w:rsidRPr="00A64175" w:rsidRDefault="007204C8" w:rsidP="00A64175">
            <w:pPr>
              <w:jc w:val="both"/>
              <w:rPr>
                <w:rFonts w:ascii="Arial" w:hAnsi="Arial" w:cs="Arial"/>
              </w:rPr>
            </w:pPr>
          </w:p>
          <w:p w14:paraId="23AB92D7"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titres émis par d’autres organismes de capital investissement agréés par la COSUMAF ;</w:t>
            </w:r>
          </w:p>
          <w:p w14:paraId="082CFF67" w14:textId="77777777" w:rsidR="007204C8" w:rsidRPr="00A64175" w:rsidRDefault="007204C8" w:rsidP="00A64175">
            <w:pPr>
              <w:jc w:val="both"/>
              <w:rPr>
                <w:rFonts w:ascii="Arial" w:hAnsi="Arial" w:cs="Arial"/>
              </w:rPr>
            </w:pPr>
          </w:p>
          <w:p w14:paraId="414ECCDD"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avances en compte courant d’associé, assorties d’un engagement irrévocable de conversion en titres de capital de sociétés ayant leur siège social ou leur principal établissement dans les Etats membres de la CEMAC ;</w:t>
            </w:r>
          </w:p>
          <w:p w14:paraId="071607D7" w14:textId="77777777" w:rsidR="007204C8" w:rsidRPr="00A64175" w:rsidRDefault="007204C8" w:rsidP="00A64175">
            <w:pPr>
              <w:jc w:val="both"/>
              <w:rPr>
                <w:rFonts w:ascii="Arial" w:hAnsi="Arial" w:cs="Arial"/>
              </w:rPr>
            </w:pPr>
          </w:p>
          <w:p w14:paraId="73377681"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avances en compte courant d’associé bloquées pour une période supérieure à deux (2) ans ;</w:t>
            </w:r>
          </w:p>
          <w:p w14:paraId="31CA23EE" w14:textId="77777777" w:rsidR="007204C8" w:rsidRPr="00A64175" w:rsidRDefault="007204C8" w:rsidP="00A64175">
            <w:pPr>
              <w:jc w:val="both"/>
              <w:rPr>
                <w:rFonts w:ascii="Arial" w:hAnsi="Arial" w:cs="Arial"/>
              </w:rPr>
            </w:pPr>
          </w:p>
          <w:p w14:paraId="32D13F0C"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créances dont le remboursement est subordonné au remboursement préalable de tous les autres créanciers ;</w:t>
            </w:r>
          </w:p>
          <w:p w14:paraId="206C842E" w14:textId="77777777" w:rsidR="007204C8" w:rsidRPr="00A64175" w:rsidRDefault="007204C8" w:rsidP="00A64175">
            <w:pPr>
              <w:jc w:val="both"/>
              <w:rPr>
                <w:rFonts w:ascii="Arial" w:hAnsi="Arial" w:cs="Arial"/>
              </w:rPr>
            </w:pPr>
          </w:p>
          <w:p w14:paraId="7E17A3DC" w14:textId="77777777" w:rsidR="007204C8" w:rsidRPr="00A64175" w:rsidRDefault="007204C8" w:rsidP="00A64175">
            <w:pPr>
              <w:pStyle w:val="Paragraphedeliste"/>
              <w:numPr>
                <w:ilvl w:val="0"/>
                <w:numId w:val="194"/>
              </w:numPr>
              <w:spacing w:before="0" w:beforeAutospacing="0" w:after="0" w:afterAutospacing="0" w:line="240" w:lineRule="auto"/>
            </w:pPr>
            <w:r w:rsidRPr="00A64175">
              <w:t>tout titre de créance ne donnant pas accès au capital ;</w:t>
            </w:r>
          </w:p>
          <w:p w14:paraId="6BF6363D" w14:textId="77777777" w:rsidR="007204C8" w:rsidRPr="00A64175" w:rsidRDefault="007204C8" w:rsidP="00A64175">
            <w:pPr>
              <w:jc w:val="both"/>
              <w:rPr>
                <w:rFonts w:ascii="Arial" w:hAnsi="Arial" w:cs="Arial"/>
              </w:rPr>
            </w:pPr>
          </w:p>
          <w:p w14:paraId="5F8BC429" w14:textId="77777777" w:rsidR="007204C8" w:rsidRPr="00A64175" w:rsidRDefault="007204C8" w:rsidP="00A64175">
            <w:pPr>
              <w:pStyle w:val="Paragraphedeliste"/>
              <w:numPr>
                <w:ilvl w:val="0"/>
                <w:numId w:val="194"/>
              </w:numPr>
              <w:spacing w:before="0" w:beforeAutospacing="0" w:after="0" w:afterAutospacing="0" w:line="240" w:lineRule="auto"/>
            </w:pPr>
            <w:r w:rsidRPr="00A64175">
              <w:t>les liquidités sous forme de fonds déposés à vue ou d’avances en compte courant d’associés ;</w:t>
            </w:r>
          </w:p>
          <w:p w14:paraId="0FF1386E" w14:textId="77777777" w:rsidR="007204C8" w:rsidRPr="00A64175" w:rsidRDefault="007204C8" w:rsidP="00A64175">
            <w:pPr>
              <w:jc w:val="both"/>
              <w:rPr>
                <w:rFonts w:ascii="Arial" w:hAnsi="Arial" w:cs="Arial"/>
              </w:rPr>
            </w:pPr>
          </w:p>
          <w:p w14:paraId="340E9E24" w14:textId="77777777" w:rsidR="007204C8" w:rsidRPr="00A64175" w:rsidRDefault="007204C8" w:rsidP="00A64175">
            <w:pPr>
              <w:pStyle w:val="Paragraphedeliste"/>
              <w:numPr>
                <w:ilvl w:val="0"/>
                <w:numId w:val="194"/>
              </w:numPr>
              <w:spacing w:before="0" w:beforeAutospacing="0" w:after="0" w:afterAutospacing="0" w:line="240" w:lineRule="auto"/>
            </w:pPr>
            <w:r w:rsidRPr="00A64175">
              <w:t>tout autre titre financier émis par une société ayant son siège social ou son principal établissement dans les Etats membres de la CEMAC ;</w:t>
            </w:r>
          </w:p>
          <w:p w14:paraId="2FD59E2D" w14:textId="77777777" w:rsidR="007204C8" w:rsidRPr="00A64175" w:rsidRDefault="007204C8" w:rsidP="00A64175">
            <w:pPr>
              <w:pStyle w:val="Paragraphedeliste"/>
              <w:spacing w:before="0" w:beforeAutospacing="0" w:after="0" w:afterAutospacing="0" w:line="240" w:lineRule="auto"/>
            </w:pPr>
          </w:p>
          <w:p w14:paraId="3121E8AF" w14:textId="77777777" w:rsidR="007204C8" w:rsidRPr="00A64175" w:rsidRDefault="007204C8" w:rsidP="00A64175">
            <w:pPr>
              <w:pStyle w:val="Paragraphedeliste"/>
              <w:numPr>
                <w:ilvl w:val="0"/>
                <w:numId w:val="194"/>
              </w:numPr>
              <w:spacing w:before="0" w:beforeAutospacing="0" w:after="0" w:afterAutospacing="0" w:line="240" w:lineRule="auto"/>
            </w:pPr>
            <w:r w:rsidRPr="00A64175">
              <w:t>tout autre actif défini par la COSUMAF.</w:t>
            </w:r>
          </w:p>
          <w:p w14:paraId="7CE84E39" w14:textId="77777777" w:rsidR="007204C8" w:rsidRPr="00A64175" w:rsidRDefault="007204C8" w:rsidP="00A64175">
            <w:pPr>
              <w:jc w:val="both"/>
              <w:rPr>
                <w:rFonts w:ascii="Arial" w:hAnsi="Arial" w:cs="Arial"/>
                <w:b/>
                <w:bCs/>
              </w:rPr>
            </w:pPr>
          </w:p>
          <w:p w14:paraId="770DD9F0" w14:textId="101B866C"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5</w:t>
            </w:r>
            <w:r w:rsidR="007204C8" w:rsidRPr="00A64175">
              <w:rPr>
                <w:rFonts w:ascii="Arial" w:hAnsi="Arial" w:cs="Arial"/>
                <w:b/>
              </w:rPr>
              <w:t>. –</w:t>
            </w:r>
            <w:r w:rsidR="007204C8" w:rsidRPr="00A64175">
              <w:rPr>
                <w:rFonts w:ascii="Arial" w:hAnsi="Arial" w:cs="Arial"/>
              </w:rPr>
              <w:t xml:space="preserve"> L’actif d’un organisme de capital investissement doit être constitué à 60% au moins :</w:t>
            </w:r>
          </w:p>
          <w:p w14:paraId="696EC87E" w14:textId="77777777" w:rsidR="007204C8" w:rsidRPr="00A64175" w:rsidRDefault="007204C8" w:rsidP="00A64175">
            <w:pPr>
              <w:jc w:val="both"/>
              <w:rPr>
                <w:rFonts w:ascii="Arial" w:hAnsi="Arial" w:cs="Arial"/>
              </w:rPr>
            </w:pPr>
          </w:p>
          <w:p w14:paraId="5A0E70CC" w14:textId="77777777" w:rsidR="007204C8" w:rsidRPr="00A64175" w:rsidRDefault="007204C8" w:rsidP="00A64175">
            <w:pPr>
              <w:pStyle w:val="Paragraphedeliste"/>
              <w:numPr>
                <w:ilvl w:val="0"/>
                <w:numId w:val="194"/>
              </w:numPr>
              <w:spacing w:before="0" w:beforeAutospacing="0" w:after="0" w:afterAutospacing="0" w:line="240" w:lineRule="auto"/>
            </w:pPr>
            <w:r w:rsidRPr="00A64175">
              <w:t>des titres de capital, droits, créances, parts sociales, bons de souscription de titres de capital émis par de sociétés ayant leur siège social ou leur principal établissement dans les Etats membres de la CEMAC ;</w:t>
            </w:r>
          </w:p>
          <w:p w14:paraId="770A38F1" w14:textId="77777777" w:rsidR="007204C8" w:rsidRPr="00A64175" w:rsidRDefault="007204C8" w:rsidP="00A64175">
            <w:pPr>
              <w:pStyle w:val="Paragraphedeliste"/>
              <w:spacing w:before="0" w:beforeAutospacing="0" w:after="0" w:afterAutospacing="0" w:line="240" w:lineRule="auto"/>
            </w:pPr>
          </w:p>
          <w:p w14:paraId="5E3778E6" w14:textId="77777777" w:rsidR="007204C8" w:rsidRPr="00A64175" w:rsidRDefault="007204C8" w:rsidP="00A64175">
            <w:pPr>
              <w:pStyle w:val="Paragraphedeliste"/>
              <w:numPr>
                <w:ilvl w:val="0"/>
                <w:numId w:val="195"/>
              </w:numPr>
              <w:spacing w:before="0" w:beforeAutospacing="0" w:after="0" w:afterAutospacing="0" w:line="240" w:lineRule="auto"/>
            </w:pPr>
            <w:r w:rsidRPr="00A64175">
              <w:t xml:space="preserve">des titres de capital ou de créance donnant accès directement ou indirectement au capital de sociétés ayant leur siège social ou leur principal établissement dans les Etats membres de la CEMAC. </w:t>
            </w:r>
          </w:p>
          <w:p w14:paraId="1125F96E" w14:textId="77777777" w:rsidR="007204C8" w:rsidRPr="00A64175" w:rsidRDefault="007204C8" w:rsidP="00A64175">
            <w:pPr>
              <w:jc w:val="both"/>
              <w:rPr>
                <w:rFonts w:ascii="Arial" w:hAnsi="Arial" w:cs="Arial"/>
                <w:b/>
                <w:bCs/>
              </w:rPr>
            </w:pPr>
          </w:p>
          <w:p w14:paraId="78DEBDAF" w14:textId="0B009210"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6</w:t>
            </w:r>
            <w:r w:rsidR="007204C8" w:rsidRPr="00A64175">
              <w:rPr>
                <w:rFonts w:ascii="Arial" w:hAnsi="Arial" w:cs="Arial"/>
                <w:b/>
              </w:rPr>
              <w:t>. –</w:t>
            </w:r>
            <w:r w:rsidR="007204C8" w:rsidRPr="00A64175">
              <w:rPr>
                <w:rFonts w:ascii="Arial" w:hAnsi="Arial" w:cs="Arial"/>
              </w:rPr>
              <w:t xml:space="preserve"> Le montant minimum de l’actif net d’un organisme de capital investissement s’élève à trois cent millions (300 000 000) de francs CFA.</w:t>
            </w:r>
          </w:p>
          <w:p w14:paraId="141FE2C8" w14:textId="77777777" w:rsidR="007204C8" w:rsidRPr="00A64175" w:rsidRDefault="007204C8" w:rsidP="00A64175">
            <w:pPr>
              <w:jc w:val="both"/>
              <w:rPr>
                <w:rFonts w:ascii="Arial" w:hAnsi="Arial" w:cs="Arial"/>
              </w:rPr>
            </w:pPr>
          </w:p>
          <w:p w14:paraId="264BBE0B" w14:textId="77777777" w:rsidR="007204C8" w:rsidRPr="00A64175" w:rsidRDefault="007204C8" w:rsidP="00A64175">
            <w:pPr>
              <w:jc w:val="both"/>
              <w:rPr>
                <w:rFonts w:ascii="Arial" w:hAnsi="Arial" w:cs="Arial"/>
              </w:rPr>
            </w:pPr>
            <w:r w:rsidRPr="00A64175">
              <w:rPr>
                <w:rFonts w:ascii="Arial" w:hAnsi="Arial" w:cs="Arial"/>
              </w:rPr>
              <w:t>Lorsque l’actif de l’organisme de capital investissement demeure pendant vingt-quatre (24) mois consécutifs inférieur au montant minimum fixé au présent article, il est procédé à sa liquidation.</w:t>
            </w:r>
          </w:p>
          <w:p w14:paraId="42C665FE" w14:textId="77777777" w:rsidR="007204C8" w:rsidRPr="00A64175" w:rsidRDefault="007204C8" w:rsidP="00A64175">
            <w:pPr>
              <w:jc w:val="both"/>
              <w:rPr>
                <w:rFonts w:ascii="Arial" w:hAnsi="Arial" w:cs="Arial"/>
              </w:rPr>
            </w:pPr>
          </w:p>
          <w:p w14:paraId="50438B60" w14:textId="77777777" w:rsidR="007204C8" w:rsidRPr="00A64175" w:rsidRDefault="007204C8" w:rsidP="00A64175">
            <w:pPr>
              <w:jc w:val="both"/>
              <w:rPr>
                <w:rFonts w:ascii="Arial" w:hAnsi="Arial" w:cs="Arial"/>
              </w:rPr>
            </w:pPr>
            <w:r w:rsidRPr="00A64175">
              <w:rPr>
                <w:rFonts w:ascii="Arial" w:hAnsi="Arial" w:cs="Arial"/>
              </w:rPr>
              <w:t>Lorsque l’organisme de capital investissement comporte des compartiments, les dispositions du présent article sont applicables à chaque compartiment.</w:t>
            </w:r>
          </w:p>
          <w:p w14:paraId="4A46D45D" w14:textId="77777777" w:rsidR="007204C8" w:rsidRPr="00A64175" w:rsidRDefault="007204C8" w:rsidP="00A64175">
            <w:pPr>
              <w:jc w:val="both"/>
              <w:rPr>
                <w:rFonts w:ascii="Arial" w:hAnsi="Arial" w:cs="Arial"/>
              </w:rPr>
            </w:pPr>
          </w:p>
          <w:p w14:paraId="1A4DE29B" w14:textId="2FF02576"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7</w:t>
            </w:r>
            <w:r w:rsidR="007204C8" w:rsidRPr="00A64175">
              <w:rPr>
                <w:rFonts w:ascii="Arial" w:hAnsi="Arial" w:cs="Arial"/>
                <w:b/>
              </w:rPr>
              <w:t>. –</w:t>
            </w:r>
            <w:r w:rsidR="007204C8" w:rsidRPr="00A64175">
              <w:rPr>
                <w:rFonts w:ascii="Arial" w:hAnsi="Arial" w:cs="Arial"/>
              </w:rPr>
              <w:t xml:space="preserve"> Un organisme de capital investissement ne peut procéder à des emprunts que sous réserve de justifier d’une situation nette positive et d’obtenir l’</w:t>
            </w:r>
            <w:r w:rsidR="009D63C5">
              <w:rPr>
                <w:rFonts w:ascii="Arial" w:hAnsi="Arial" w:cs="Arial"/>
              </w:rPr>
              <w:t xml:space="preserve">autorisation </w:t>
            </w:r>
            <w:r w:rsidR="007204C8" w:rsidRPr="00A64175">
              <w:rPr>
                <w:rFonts w:ascii="Arial" w:hAnsi="Arial" w:cs="Arial"/>
              </w:rPr>
              <w:t>préalable de la COSUMAF.</w:t>
            </w:r>
          </w:p>
          <w:p w14:paraId="38FB2096" w14:textId="77777777" w:rsidR="007204C8" w:rsidRPr="00A64175" w:rsidRDefault="007204C8" w:rsidP="00A64175">
            <w:pPr>
              <w:jc w:val="both"/>
              <w:rPr>
                <w:rFonts w:ascii="Arial" w:hAnsi="Arial" w:cs="Arial"/>
              </w:rPr>
            </w:pPr>
          </w:p>
          <w:p w14:paraId="151DF0E3" w14:textId="2AD9FBCE"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8</w:t>
            </w:r>
            <w:r w:rsidR="007204C8" w:rsidRPr="00A64175">
              <w:rPr>
                <w:rFonts w:ascii="Arial" w:hAnsi="Arial" w:cs="Arial"/>
                <w:b/>
              </w:rPr>
              <w:t>. –</w:t>
            </w:r>
            <w:r w:rsidR="007204C8" w:rsidRPr="00A64175">
              <w:rPr>
                <w:rFonts w:ascii="Arial" w:hAnsi="Arial" w:cs="Arial"/>
              </w:rPr>
              <w:t xml:space="preserve"> Les sociétés de placement en capital constituées sous forme de sociétés anonymes sont autorisées à faire appel public à l’épargne et à solliciter l’admission de leurs actions à la Bourse Régionale.</w:t>
            </w:r>
          </w:p>
          <w:p w14:paraId="38AEF880" w14:textId="77777777" w:rsidR="007204C8" w:rsidRPr="00A64175" w:rsidRDefault="007204C8" w:rsidP="00A64175">
            <w:pPr>
              <w:jc w:val="both"/>
              <w:rPr>
                <w:rFonts w:ascii="Arial" w:hAnsi="Arial" w:cs="Arial"/>
              </w:rPr>
            </w:pPr>
          </w:p>
          <w:p w14:paraId="2B801DA5" w14:textId="77777777" w:rsidR="007204C8" w:rsidRPr="00A64175" w:rsidRDefault="007204C8" w:rsidP="00A64175">
            <w:pPr>
              <w:jc w:val="both"/>
              <w:rPr>
                <w:rFonts w:ascii="Arial" w:hAnsi="Arial" w:cs="Arial"/>
              </w:rPr>
            </w:pPr>
            <w:r w:rsidRPr="00A64175">
              <w:rPr>
                <w:rFonts w:ascii="Arial" w:hAnsi="Arial" w:cs="Arial"/>
              </w:rPr>
              <w:t>Lorsque la société de placement en capital envisage un appel public à l’épargne, la société de gestion établit un document d’information soumis au visa de la COSUMAF. Le document d’information doit être conforme au document d’information-type fixé par instruction de la COSUMAF.</w:t>
            </w:r>
          </w:p>
          <w:p w14:paraId="6CFDFFEE" w14:textId="77777777" w:rsidR="007204C8" w:rsidRPr="00A64175" w:rsidRDefault="007204C8" w:rsidP="00A64175">
            <w:pPr>
              <w:jc w:val="both"/>
              <w:rPr>
                <w:rFonts w:ascii="Arial" w:hAnsi="Arial" w:cs="Arial"/>
              </w:rPr>
            </w:pPr>
          </w:p>
          <w:p w14:paraId="6750481E" w14:textId="77777777" w:rsidR="007204C8" w:rsidRPr="00A64175" w:rsidRDefault="007204C8" w:rsidP="00A64175">
            <w:pPr>
              <w:jc w:val="both"/>
              <w:rPr>
                <w:rFonts w:ascii="Arial" w:hAnsi="Arial" w:cs="Arial"/>
              </w:rPr>
            </w:pPr>
          </w:p>
          <w:p w14:paraId="0DEB8E14" w14:textId="77777777" w:rsidR="007204C8" w:rsidRPr="00A64175" w:rsidRDefault="007204C8" w:rsidP="00A64175">
            <w:pPr>
              <w:jc w:val="both"/>
              <w:rPr>
                <w:rFonts w:ascii="Arial" w:hAnsi="Arial" w:cs="Arial"/>
                <w:b/>
              </w:rPr>
            </w:pPr>
            <w:r w:rsidRPr="00A64175">
              <w:rPr>
                <w:rFonts w:ascii="Arial" w:hAnsi="Arial" w:cs="Arial"/>
                <w:b/>
              </w:rPr>
              <w:t>CHAPITRE II – GESTION ET CONTROLE DE LA GESTION</w:t>
            </w:r>
          </w:p>
          <w:p w14:paraId="20B64D50" w14:textId="77777777" w:rsidR="007204C8" w:rsidRPr="00A64175" w:rsidRDefault="007204C8" w:rsidP="00A64175">
            <w:pPr>
              <w:jc w:val="both"/>
              <w:rPr>
                <w:rFonts w:ascii="Arial" w:hAnsi="Arial" w:cs="Arial"/>
              </w:rPr>
            </w:pPr>
          </w:p>
          <w:p w14:paraId="0CC0CACF" w14:textId="77777777" w:rsidR="007204C8" w:rsidRPr="00A64175" w:rsidRDefault="007204C8" w:rsidP="00A64175">
            <w:pPr>
              <w:jc w:val="both"/>
              <w:rPr>
                <w:rFonts w:ascii="Arial" w:hAnsi="Arial" w:cs="Arial"/>
              </w:rPr>
            </w:pPr>
          </w:p>
          <w:p w14:paraId="5B312B62" w14:textId="079DE2CF" w:rsidR="007204C8" w:rsidRPr="00A64175" w:rsidRDefault="00685904" w:rsidP="00A64175">
            <w:pPr>
              <w:jc w:val="both"/>
              <w:rPr>
                <w:rFonts w:ascii="Arial" w:hAnsi="Arial" w:cs="Arial"/>
              </w:rPr>
            </w:pPr>
            <w:r w:rsidRPr="00A64175">
              <w:rPr>
                <w:rFonts w:ascii="Arial" w:hAnsi="Arial" w:cs="Arial"/>
                <w:b/>
                <w:bCs/>
              </w:rPr>
              <w:t>Article 44</w:t>
            </w:r>
            <w:r w:rsidR="00533602">
              <w:rPr>
                <w:rFonts w:ascii="Arial" w:hAnsi="Arial" w:cs="Arial"/>
                <w:b/>
                <w:bCs/>
              </w:rPr>
              <w:t>9</w:t>
            </w:r>
            <w:r w:rsidR="007204C8" w:rsidRPr="00A64175">
              <w:rPr>
                <w:rFonts w:ascii="Arial" w:hAnsi="Arial" w:cs="Arial"/>
                <w:b/>
              </w:rPr>
              <w:t>. –</w:t>
            </w:r>
            <w:r w:rsidR="007204C8" w:rsidRPr="00A64175">
              <w:rPr>
                <w:rFonts w:ascii="Arial" w:hAnsi="Arial" w:cs="Arial"/>
              </w:rPr>
              <w:t xml:space="preserve"> La société de gestion et le dépositaire doivent, avant d’exercer leur activité, être agréés par la COSUMAF.</w:t>
            </w:r>
          </w:p>
          <w:p w14:paraId="085A33AF" w14:textId="77777777" w:rsidR="007204C8" w:rsidRPr="00A64175" w:rsidRDefault="007204C8" w:rsidP="00A64175">
            <w:pPr>
              <w:jc w:val="both"/>
              <w:rPr>
                <w:rFonts w:ascii="Arial" w:hAnsi="Arial" w:cs="Arial"/>
              </w:rPr>
            </w:pPr>
          </w:p>
          <w:p w14:paraId="077D7554" w14:textId="77777777" w:rsidR="007204C8" w:rsidRPr="00A64175" w:rsidRDefault="007204C8" w:rsidP="00A64175">
            <w:pPr>
              <w:jc w:val="both"/>
              <w:rPr>
                <w:rFonts w:ascii="Arial" w:hAnsi="Arial" w:cs="Arial"/>
              </w:rPr>
            </w:pPr>
            <w:r w:rsidRPr="00A64175">
              <w:rPr>
                <w:rFonts w:ascii="Arial" w:hAnsi="Arial" w:cs="Arial"/>
              </w:rPr>
              <w:t>Les conditions et la procédure d’agrément de ces deux organismes sont fixées par instruction de la COSUMAF.</w:t>
            </w:r>
          </w:p>
          <w:p w14:paraId="730AC631" w14:textId="77777777" w:rsidR="007204C8" w:rsidRPr="00A64175" w:rsidRDefault="007204C8" w:rsidP="00A64175">
            <w:pPr>
              <w:jc w:val="both"/>
              <w:rPr>
                <w:rFonts w:ascii="Arial" w:hAnsi="Arial" w:cs="Arial"/>
              </w:rPr>
            </w:pPr>
          </w:p>
          <w:p w14:paraId="7F624C38" w14:textId="4F12D1ED" w:rsidR="007204C8" w:rsidRPr="00A64175" w:rsidRDefault="00685904" w:rsidP="00A64175">
            <w:pPr>
              <w:jc w:val="both"/>
              <w:rPr>
                <w:rFonts w:ascii="Arial" w:hAnsi="Arial" w:cs="Arial"/>
              </w:rPr>
            </w:pPr>
            <w:r w:rsidRPr="00A64175">
              <w:rPr>
                <w:rFonts w:ascii="Arial" w:hAnsi="Arial" w:cs="Arial"/>
                <w:b/>
                <w:bCs/>
              </w:rPr>
              <w:t>Article 4</w:t>
            </w:r>
            <w:r w:rsidR="00533602">
              <w:rPr>
                <w:rFonts w:ascii="Arial" w:hAnsi="Arial" w:cs="Arial"/>
                <w:b/>
                <w:bCs/>
              </w:rPr>
              <w:t>50</w:t>
            </w:r>
            <w:r w:rsidR="007204C8" w:rsidRPr="00A64175">
              <w:rPr>
                <w:rFonts w:ascii="Arial" w:hAnsi="Arial" w:cs="Arial"/>
                <w:b/>
              </w:rPr>
              <w:t>. –</w:t>
            </w:r>
            <w:r w:rsidR="007204C8" w:rsidRPr="00A64175">
              <w:rPr>
                <w:rFonts w:ascii="Arial" w:hAnsi="Arial" w:cs="Arial"/>
              </w:rPr>
              <w:t xml:space="preserve"> La société de gestion et le dépositaire d’un organisme de capital investissement établissent le règlement de gestion conformément à un règlement-type fixé par instruction de la COSUMAF. Le règlement de gestion précise notamment la politique d’investissement, les modalités de souscription des actions ou parts, les modalités de valorisation des parts ou actions.</w:t>
            </w:r>
          </w:p>
          <w:p w14:paraId="7912FB73" w14:textId="77777777" w:rsidR="007204C8" w:rsidRPr="00A64175" w:rsidRDefault="007204C8" w:rsidP="00A64175">
            <w:pPr>
              <w:jc w:val="both"/>
              <w:rPr>
                <w:rFonts w:ascii="Arial" w:hAnsi="Arial" w:cs="Arial"/>
              </w:rPr>
            </w:pPr>
          </w:p>
          <w:p w14:paraId="68455566" w14:textId="200C49D1" w:rsidR="007204C8" w:rsidRPr="00A64175" w:rsidRDefault="00685904" w:rsidP="00A64175">
            <w:pPr>
              <w:jc w:val="both"/>
              <w:rPr>
                <w:rFonts w:ascii="Arial" w:hAnsi="Arial" w:cs="Arial"/>
              </w:rPr>
            </w:pPr>
            <w:r w:rsidRPr="00A64175">
              <w:rPr>
                <w:rFonts w:ascii="Arial" w:hAnsi="Arial" w:cs="Arial"/>
                <w:b/>
                <w:bCs/>
              </w:rPr>
              <w:t>Article 4</w:t>
            </w:r>
            <w:r w:rsidR="00533602">
              <w:rPr>
                <w:rFonts w:ascii="Arial" w:hAnsi="Arial" w:cs="Arial"/>
                <w:b/>
                <w:bCs/>
              </w:rPr>
              <w:t>51</w:t>
            </w:r>
            <w:r w:rsidR="007204C8" w:rsidRPr="00A64175">
              <w:rPr>
                <w:rFonts w:ascii="Arial" w:hAnsi="Arial" w:cs="Arial"/>
                <w:b/>
              </w:rPr>
              <w:t>. –</w:t>
            </w:r>
            <w:r w:rsidR="007204C8" w:rsidRPr="00A64175">
              <w:rPr>
                <w:rFonts w:ascii="Arial" w:hAnsi="Arial" w:cs="Arial"/>
              </w:rPr>
              <w:t xml:space="preserve"> Lorsque la société de placement en capital est constituée sous forme de société anonyme la société de gestion exerce la direction générale. Lorsque la société de placement en capital est une société par actions simplifiée, la société de gestion exerce la présidence. </w:t>
            </w:r>
          </w:p>
          <w:p w14:paraId="46EA162D" w14:textId="77777777" w:rsidR="007204C8" w:rsidRPr="00A64175" w:rsidRDefault="007204C8" w:rsidP="00A64175">
            <w:pPr>
              <w:jc w:val="both"/>
              <w:rPr>
                <w:rFonts w:ascii="Arial" w:hAnsi="Arial" w:cs="Arial"/>
              </w:rPr>
            </w:pPr>
          </w:p>
          <w:p w14:paraId="1D619A4F" w14:textId="12788CCD" w:rsidR="007204C8" w:rsidRPr="00A64175" w:rsidRDefault="00685904" w:rsidP="00A64175">
            <w:pPr>
              <w:jc w:val="both"/>
              <w:rPr>
                <w:rFonts w:ascii="Arial" w:hAnsi="Arial" w:cs="Arial"/>
              </w:rPr>
            </w:pPr>
            <w:r w:rsidRPr="00A64175">
              <w:rPr>
                <w:rFonts w:ascii="Arial" w:hAnsi="Arial" w:cs="Arial"/>
                <w:b/>
                <w:bCs/>
              </w:rPr>
              <w:t>Article 4</w:t>
            </w:r>
            <w:r w:rsidR="00533602">
              <w:rPr>
                <w:rFonts w:ascii="Arial" w:hAnsi="Arial" w:cs="Arial"/>
                <w:b/>
                <w:bCs/>
              </w:rPr>
              <w:t>52</w:t>
            </w:r>
            <w:r w:rsidR="007204C8" w:rsidRPr="00A64175">
              <w:rPr>
                <w:rFonts w:ascii="Arial" w:hAnsi="Arial" w:cs="Arial"/>
                <w:b/>
              </w:rPr>
              <w:t>. –</w:t>
            </w:r>
            <w:r w:rsidR="007204C8" w:rsidRPr="00A64175">
              <w:rPr>
                <w:rFonts w:ascii="Arial" w:hAnsi="Arial" w:cs="Arial"/>
              </w:rPr>
              <w:t xml:space="preserve"> Pour pouvoir exercer en qualité de société de gestion, les personnes morales requérantes doivent remplir les conditions suivantes :</w:t>
            </w:r>
          </w:p>
          <w:p w14:paraId="446999FF" w14:textId="77777777" w:rsidR="007204C8" w:rsidRPr="00A64175" w:rsidRDefault="007204C8" w:rsidP="00A64175">
            <w:pPr>
              <w:jc w:val="both"/>
              <w:rPr>
                <w:rFonts w:ascii="Arial" w:hAnsi="Arial" w:cs="Arial"/>
              </w:rPr>
            </w:pPr>
          </w:p>
          <w:p w14:paraId="2245A88D" w14:textId="77777777" w:rsidR="007204C8" w:rsidRPr="00A64175" w:rsidRDefault="007204C8" w:rsidP="00A64175">
            <w:pPr>
              <w:pStyle w:val="Paragraphedeliste"/>
              <w:numPr>
                <w:ilvl w:val="0"/>
                <w:numId w:val="195"/>
              </w:numPr>
              <w:spacing w:before="0" w:beforeAutospacing="0" w:after="0" w:afterAutospacing="0" w:line="240" w:lineRule="auto"/>
            </w:pPr>
            <w:r w:rsidRPr="00A64175">
              <w:t>avoir pour activité principale la gestion d’un ou plusieurs organismes de capital investissement ainsi que les opérations qui s’y rapportent et des activités connexes ;</w:t>
            </w:r>
          </w:p>
          <w:p w14:paraId="655FE5B0" w14:textId="77777777" w:rsidR="007204C8" w:rsidRPr="00A64175" w:rsidRDefault="007204C8" w:rsidP="00A64175">
            <w:pPr>
              <w:pStyle w:val="Paragraphedeliste"/>
              <w:spacing w:before="0" w:beforeAutospacing="0" w:after="0" w:afterAutospacing="0" w:line="240" w:lineRule="auto"/>
            </w:pPr>
          </w:p>
          <w:p w14:paraId="2AFB812F" w14:textId="77777777" w:rsidR="007204C8" w:rsidRPr="00A64175" w:rsidRDefault="007204C8" w:rsidP="00A64175">
            <w:pPr>
              <w:pStyle w:val="Paragraphedeliste"/>
              <w:numPr>
                <w:ilvl w:val="0"/>
                <w:numId w:val="195"/>
              </w:numPr>
              <w:spacing w:before="0" w:beforeAutospacing="0" w:after="0" w:afterAutospacing="0" w:line="240" w:lineRule="auto"/>
            </w:pPr>
            <w:r w:rsidRPr="00A64175">
              <w:t>disposer d’un capital social d’un montant égal ou supérieur à deux cent millions (200 000 000) de francs CFA ;</w:t>
            </w:r>
          </w:p>
          <w:p w14:paraId="0D979F4D" w14:textId="77777777" w:rsidR="007204C8" w:rsidRPr="00A64175" w:rsidRDefault="007204C8" w:rsidP="00A64175">
            <w:pPr>
              <w:jc w:val="both"/>
              <w:rPr>
                <w:rFonts w:ascii="Arial" w:hAnsi="Arial" w:cs="Arial"/>
              </w:rPr>
            </w:pPr>
          </w:p>
          <w:p w14:paraId="0CC6FB6F" w14:textId="77777777" w:rsidR="007204C8" w:rsidRPr="00A64175" w:rsidRDefault="007204C8" w:rsidP="00A64175">
            <w:pPr>
              <w:pStyle w:val="Paragraphedeliste"/>
              <w:numPr>
                <w:ilvl w:val="0"/>
                <w:numId w:val="195"/>
              </w:numPr>
              <w:spacing w:before="0" w:beforeAutospacing="0" w:after="0" w:afterAutospacing="0" w:line="240" w:lineRule="auto"/>
            </w:pPr>
            <w:r w:rsidRPr="00A64175">
              <w:t>justifier de fonds propres d’un montant égal ou supérieur à deux cent millions (200 000 000) de francs CFA ;</w:t>
            </w:r>
          </w:p>
          <w:p w14:paraId="48A8761D" w14:textId="77777777" w:rsidR="007204C8" w:rsidRPr="00A64175" w:rsidRDefault="007204C8" w:rsidP="00A64175">
            <w:pPr>
              <w:jc w:val="both"/>
              <w:rPr>
                <w:rFonts w:ascii="Arial" w:hAnsi="Arial" w:cs="Arial"/>
              </w:rPr>
            </w:pPr>
          </w:p>
          <w:p w14:paraId="01C8177F" w14:textId="77777777" w:rsidR="007204C8" w:rsidRPr="00A64175" w:rsidRDefault="007204C8" w:rsidP="00A64175">
            <w:pPr>
              <w:pStyle w:val="Paragraphedeliste"/>
              <w:numPr>
                <w:ilvl w:val="0"/>
                <w:numId w:val="195"/>
              </w:numPr>
              <w:spacing w:before="0" w:beforeAutospacing="0" w:after="0" w:afterAutospacing="0" w:line="240" w:lineRule="auto"/>
            </w:pPr>
            <w:r w:rsidRPr="00A64175">
              <w:t>présenter des garanties suffisantes quant à leur organisation, leurs moyens financiers et techniques et aux compétences professionnelles nécessaires pour pouvoir agir efficacement dans l’intérêt exclusif des porteurs de parts et des actionnaires ;</w:t>
            </w:r>
          </w:p>
          <w:p w14:paraId="743A1842" w14:textId="77777777" w:rsidR="007204C8" w:rsidRPr="00A64175" w:rsidRDefault="007204C8" w:rsidP="00A64175">
            <w:pPr>
              <w:jc w:val="both"/>
              <w:rPr>
                <w:rFonts w:ascii="Arial" w:hAnsi="Arial" w:cs="Arial"/>
              </w:rPr>
            </w:pPr>
          </w:p>
          <w:p w14:paraId="73C193DD" w14:textId="77777777" w:rsidR="007204C8" w:rsidRPr="00A64175" w:rsidRDefault="007204C8" w:rsidP="00A64175">
            <w:pPr>
              <w:pStyle w:val="Paragraphedeliste"/>
              <w:numPr>
                <w:ilvl w:val="0"/>
                <w:numId w:val="195"/>
              </w:numPr>
              <w:spacing w:before="0" w:beforeAutospacing="0" w:after="0" w:afterAutospacing="0" w:line="240" w:lineRule="auto"/>
            </w:pPr>
            <w:r w:rsidRPr="00A64175">
              <w:t>présenter des garanties suffisantes concernant la moralité de leurs dirigeants.</w:t>
            </w:r>
          </w:p>
          <w:p w14:paraId="645267D0" w14:textId="77777777" w:rsidR="007204C8" w:rsidRPr="00A64175" w:rsidRDefault="007204C8" w:rsidP="00A64175">
            <w:pPr>
              <w:jc w:val="both"/>
              <w:rPr>
                <w:rFonts w:ascii="Arial" w:hAnsi="Arial" w:cs="Arial"/>
              </w:rPr>
            </w:pPr>
          </w:p>
          <w:p w14:paraId="4865915F" w14:textId="35BE5EF4" w:rsidR="007204C8" w:rsidRPr="00A64175" w:rsidRDefault="00685904" w:rsidP="00A64175">
            <w:pPr>
              <w:jc w:val="both"/>
              <w:rPr>
                <w:rFonts w:ascii="Arial" w:hAnsi="Arial" w:cs="Arial"/>
              </w:rPr>
            </w:pPr>
            <w:r w:rsidRPr="00A64175">
              <w:rPr>
                <w:rFonts w:ascii="Arial" w:hAnsi="Arial" w:cs="Arial"/>
                <w:b/>
                <w:bCs/>
              </w:rPr>
              <w:t>Article 45</w:t>
            </w:r>
            <w:r w:rsidR="00533602">
              <w:rPr>
                <w:rFonts w:ascii="Arial" w:hAnsi="Arial" w:cs="Arial"/>
                <w:b/>
                <w:bCs/>
              </w:rPr>
              <w:t>3</w:t>
            </w:r>
            <w:r w:rsidR="007204C8" w:rsidRPr="00A64175">
              <w:rPr>
                <w:rFonts w:ascii="Arial" w:hAnsi="Arial" w:cs="Arial"/>
                <w:b/>
              </w:rPr>
              <w:t>. –</w:t>
            </w:r>
            <w:r w:rsidR="007204C8" w:rsidRPr="00A64175">
              <w:rPr>
                <w:rFonts w:ascii="Arial" w:hAnsi="Arial" w:cs="Arial"/>
              </w:rPr>
              <w:t xml:space="preserve"> La société de gestion peut déléguer tout ou partie de la gestion financière d’un organisme de capital investissement à une autre société de gestion agréée sous réserve de justifier des moyens lui permettant d’assumer, sous sa responsabilité, le contrôle de l’exercice des fonctions déléguées.</w:t>
            </w:r>
          </w:p>
          <w:p w14:paraId="7B86B82F" w14:textId="77777777" w:rsidR="007204C8" w:rsidRPr="00A64175" w:rsidRDefault="007204C8" w:rsidP="00A64175">
            <w:pPr>
              <w:jc w:val="both"/>
              <w:rPr>
                <w:rFonts w:ascii="Arial" w:hAnsi="Arial" w:cs="Arial"/>
              </w:rPr>
            </w:pPr>
          </w:p>
          <w:p w14:paraId="7A54D8A2" w14:textId="634D7F3F" w:rsidR="007204C8" w:rsidRPr="00A64175" w:rsidRDefault="00685904" w:rsidP="00A64175">
            <w:pPr>
              <w:jc w:val="both"/>
              <w:rPr>
                <w:rFonts w:ascii="Arial" w:hAnsi="Arial" w:cs="Arial"/>
              </w:rPr>
            </w:pPr>
            <w:r w:rsidRPr="00A64175">
              <w:rPr>
                <w:rFonts w:ascii="Arial" w:hAnsi="Arial" w:cs="Arial"/>
                <w:b/>
                <w:bCs/>
              </w:rPr>
              <w:t>Article 45</w:t>
            </w:r>
            <w:r w:rsidR="00533602">
              <w:rPr>
                <w:rFonts w:ascii="Arial" w:hAnsi="Arial" w:cs="Arial"/>
                <w:b/>
                <w:bCs/>
              </w:rPr>
              <w:t>4</w:t>
            </w:r>
            <w:r w:rsidR="007204C8" w:rsidRPr="00A64175">
              <w:rPr>
                <w:rFonts w:ascii="Arial" w:hAnsi="Arial" w:cs="Arial"/>
                <w:b/>
              </w:rPr>
              <w:t>. –</w:t>
            </w:r>
            <w:r w:rsidR="007204C8" w:rsidRPr="00A64175">
              <w:rPr>
                <w:rFonts w:ascii="Arial" w:hAnsi="Arial" w:cs="Arial"/>
              </w:rPr>
              <w:t xml:space="preserve"> Toute société de placement en capital ainsi que la société de gestion du fonds de placement en capital sont tenues de désigner un commissaire aux comptes pour trois (3) exercices.</w:t>
            </w:r>
          </w:p>
          <w:p w14:paraId="2407BEE8" w14:textId="77777777" w:rsidR="007204C8" w:rsidRPr="00A64175" w:rsidRDefault="007204C8" w:rsidP="00A64175">
            <w:pPr>
              <w:jc w:val="both"/>
              <w:rPr>
                <w:rFonts w:ascii="Arial" w:hAnsi="Arial" w:cs="Arial"/>
              </w:rPr>
            </w:pPr>
          </w:p>
          <w:p w14:paraId="58338E17" w14:textId="77777777" w:rsidR="007204C8" w:rsidRPr="00A64175" w:rsidRDefault="007204C8" w:rsidP="00A64175">
            <w:pPr>
              <w:jc w:val="both"/>
              <w:rPr>
                <w:rFonts w:ascii="Arial" w:hAnsi="Arial" w:cs="Arial"/>
              </w:rPr>
            </w:pPr>
            <w:r w:rsidRPr="00A64175">
              <w:rPr>
                <w:rFonts w:ascii="Arial" w:hAnsi="Arial" w:cs="Arial"/>
              </w:rPr>
              <w:t>Le commissaire aux comptes doit être agréé par la COSUMAF. Il doit justifier de sa qualité d’expert-comptable agréé de la CEMAC.</w:t>
            </w:r>
          </w:p>
          <w:p w14:paraId="4CDEF0F4" w14:textId="77777777" w:rsidR="007204C8" w:rsidRPr="00A64175" w:rsidRDefault="007204C8" w:rsidP="00A64175">
            <w:pPr>
              <w:jc w:val="both"/>
              <w:rPr>
                <w:rFonts w:ascii="Arial" w:hAnsi="Arial" w:cs="Arial"/>
              </w:rPr>
            </w:pPr>
          </w:p>
          <w:p w14:paraId="1FCEB05C" w14:textId="77777777" w:rsidR="007204C8" w:rsidRPr="00A64175" w:rsidRDefault="007204C8" w:rsidP="00A64175">
            <w:pPr>
              <w:jc w:val="both"/>
              <w:rPr>
                <w:rFonts w:ascii="Arial" w:hAnsi="Arial" w:cs="Arial"/>
              </w:rPr>
            </w:pPr>
            <w:r w:rsidRPr="00A64175">
              <w:rPr>
                <w:rFonts w:ascii="Arial" w:hAnsi="Arial" w:cs="Arial"/>
              </w:rPr>
              <w:t>Une instruction de la COSUMAF précise les conditions d’agrément et les obligations professionnelles des commissaires aux comptes d’organismes de capital investissement.</w:t>
            </w:r>
          </w:p>
          <w:p w14:paraId="57508C97" w14:textId="77777777" w:rsidR="007204C8" w:rsidRPr="00A64175" w:rsidRDefault="007204C8" w:rsidP="00A64175">
            <w:pPr>
              <w:widowControl w:val="0"/>
              <w:autoSpaceDE w:val="0"/>
              <w:autoSpaceDN w:val="0"/>
              <w:adjustRightInd w:val="0"/>
              <w:jc w:val="both"/>
              <w:rPr>
                <w:rFonts w:ascii="Arial" w:hAnsi="Arial" w:cs="Arial"/>
                <w:kern w:val="1"/>
              </w:rPr>
            </w:pPr>
          </w:p>
          <w:p w14:paraId="482E6E86" w14:textId="77777777" w:rsidR="007204C8" w:rsidRPr="00A64175" w:rsidRDefault="007204C8" w:rsidP="00A64175">
            <w:pPr>
              <w:widowControl w:val="0"/>
              <w:autoSpaceDE w:val="0"/>
              <w:autoSpaceDN w:val="0"/>
              <w:adjustRightInd w:val="0"/>
              <w:jc w:val="both"/>
              <w:rPr>
                <w:rFonts w:ascii="Arial" w:hAnsi="Arial" w:cs="Arial"/>
                <w:kern w:val="1"/>
              </w:rPr>
            </w:pPr>
          </w:p>
          <w:p w14:paraId="3852D336" w14:textId="77777777" w:rsidR="007204C8" w:rsidRPr="00A64175" w:rsidRDefault="007204C8" w:rsidP="00A64175">
            <w:pPr>
              <w:jc w:val="both"/>
              <w:rPr>
                <w:rFonts w:ascii="Arial" w:hAnsi="Arial" w:cs="Arial"/>
                <w:b/>
              </w:rPr>
            </w:pPr>
            <w:r w:rsidRPr="00A64175">
              <w:rPr>
                <w:rFonts w:ascii="Arial" w:hAnsi="Arial" w:cs="Arial"/>
                <w:b/>
              </w:rPr>
              <w:t>SOUS-TITRE VI – ORGANISMES PROFESSIONNELS  D’INVESTISSEMENT A LONG TERME</w:t>
            </w:r>
          </w:p>
          <w:p w14:paraId="5C7D91DC" w14:textId="77777777" w:rsidR="007204C8" w:rsidRPr="00A64175" w:rsidRDefault="007204C8" w:rsidP="00A64175">
            <w:pPr>
              <w:widowControl w:val="0"/>
              <w:autoSpaceDE w:val="0"/>
              <w:autoSpaceDN w:val="0"/>
              <w:adjustRightInd w:val="0"/>
              <w:jc w:val="both"/>
              <w:rPr>
                <w:rFonts w:ascii="Arial" w:hAnsi="Arial" w:cs="Arial"/>
                <w:kern w:val="1"/>
              </w:rPr>
            </w:pPr>
          </w:p>
          <w:p w14:paraId="41E625A9" w14:textId="77777777" w:rsidR="007204C8" w:rsidRPr="00A64175" w:rsidRDefault="007204C8" w:rsidP="00A64175">
            <w:pPr>
              <w:jc w:val="both"/>
              <w:rPr>
                <w:rFonts w:ascii="Arial" w:hAnsi="Arial" w:cs="Arial"/>
              </w:rPr>
            </w:pPr>
          </w:p>
          <w:p w14:paraId="353F97F1" w14:textId="2F176E1A" w:rsidR="007204C8" w:rsidRPr="00A64175" w:rsidRDefault="00685904" w:rsidP="00A64175">
            <w:pPr>
              <w:jc w:val="both"/>
              <w:rPr>
                <w:rFonts w:ascii="Arial" w:hAnsi="Arial" w:cs="Arial"/>
              </w:rPr>
            </w:pPr>
            <w:r w:rsidRPr="00A64175">
              <w:rPr>
                <w:rFonts w:ascii="Arial" w:hAnsi="Arial" w:cs="Arial"/>
                <w:b/>
              </w:rPr>
              <w:t>Article 45</w:t>
            </w:r>
            <w:r w:rsidR="00533602">
              <w:rPr>
                <w:rFonts w:ascii="Arial" w:hAnsi="Arial" w:cs="Arial"/>
                <w:b/>
              </w:rPr>
              <w:t>5</w:t>
            </w:r>
            <w:r w:rsidR="007204C8" w:rsidRPr="00A64175">
              <w:rPr>
                <w:rFonts w:ascii="Arial" w:hAnsi="Arial" w:cs="Arial"/>
                <w:b/>
              </w:rPr>
              <w:t>. –</w:t>
            </w:r>
            <w:r w:rsidR="007204C8" w:rsidRPr="00A64175">
              <w:rPr>
                <w:rFonts w:ascii="Arial" w:hAnsi="Arial" w:cs="Arial"/>
              </w:rPr>
              <w:t xml:space="preserve"> </w:t>
            </w:r>
            <w:r w:rsidR="007204C8" w:rsidRPr="00A64175">
              <w:rPr>
                <w:rFonts w:ascii="Arial" w:eastAsia="Times New Roman" w:hAnsi="Arial" w:cs="Arial"/>
                <w:lang w:eastAsia="fr-FR"/>
              </w:rPr>
              <w:t xml:space="preserve">Les organismes professionnels d’investissement à long terme (OPI) sont des structures d’investissement fermées regroupant uniquement des investisseurs institutionnels, avec pour objet principal d’apporter des financements de longue durée à divers projets d’infrastructure, au profit de sociétés non cotées ou de petites et moyennes entreprises cotées. </w:t>
            </w:r>
          </w:p>
          <w:p w14:paraId="0D079F15" w14:textId="77777777" w:rsidR="007204C8" w:rsidRPr="00A64175" w:rsidRDefault="007204C8" w:rsidP="00A64175">
            <w:pPr>
              <w:jc w:val="both"/>
              <w:rPr>
                <w:rFonts w:ascii="Arial" w:hAnsi="Arial" w:cs="Arial"/>
                <w:b/>
              </w:rPr>
            </w:pPr>
          </w:p>
          <w:p w14:paraId="63B4C055" w14:textId="30E7A999" w:rsidR="007204C8" w:rsidRPr="00A64175" w:rsidRDefault="00685904" w:rsidP="00A64175">
            <w:pPr>
              <w:jc w:val="both"/>
              <w:rPr>
                <w:rFonts w:ascii="Arial" w:eastAsia="Times New Roman" w:hAnsi="Arial" w:cs="Arial"/>
                <w:lang w:eastAsia="fr-FR"/>
              </w:rPr>
            </w:pPr>
            <w:r w:rsidRPr="00A64175">
              <w:rPr>
                <w:rFonts w:ascii="Arial" w:hAnsi="Arial" w:cs="Arial"/>
                <w:b/>
              </w:rPr>
              <w:t>Article 45</w:t>
            </w:r>
            <w:r w:rsidR="00533602">
              <w:rPr>
                <w:rFonts w:ascii="Arial" w:hAnsi="Arial" w:cs="Arial"/>
                <w:b/>
              </w:rPr>
              <w:t>6</w:t>
            </w:r>
            <w:r w:rsidR="007204C8" w:rsidRPr="00A64175">
              <w:rPr>
                <w:rFonts w:ascii="Arial" w:hAnsi="Arial" w:cs="Arial"/>
                <w:b/>
              </w:rPr>
              <w:t>. –</w:t>
            </w:r>
            <w:r w:rsidR="007204C8" w:rsidRPr="00A64175">
              <w:rPr>
                <w:rFonts w:ascii="Arial" w:hAnsi="Arial" w:cs="Arial"/>
              </w:rPr>
              <w:t xml:space="preserve"> </w:t>
            </w:r>
            <w:r w:rsidR="007204C8" w:rsidRPr="00A64175">
              <w:rPr>
                <w:rFonts w:ascii="Arial" w:eastAsia="Times New Roman" w:hAnsi="Arial" w:cs="Arial"/>
                <w:lang w:eastAsia="fr-FR"/>
              </w:rPr>
              <w:t xml:space="preserve">Les OPI prennent la forme de sociétés professionnelles d’investissement à long terme (SPI) ou de fonds professionnels d’investissement à long terme (FPI). </w:t>
            </w:r>
          </w:p>
          <w:p w14:paraId="2843572B" w14:textId="77777777" w:rsidR="007204C8" w:rsidRPr="00A64175" w:rsidRDefault="007204C8" w:rsidP="00A64175">
            <w:pPr>
              <w:jc w:val="both"/>
              <w:rPr>
                <w:rFonts w:ascii="Arial" w:hAnsi="Arial" w:cs="Arial"/>
              </w:rPr>
            </w:pPr>
            <w:r w:rsidRPr="00A64175">
              <w:rPr>
                <w:rFonts w:ascii="Arial" w:eastAsia="Times New Roman" w:hAnsi="Arial" w:cs="Arial"/>
                <w:lang w:eastAsia="fr-FR"/>
              </w:rPr>
              <w:t>Avant d’exercer leur activité, ils doivent obtenir un agrément auprès de la COSUMAF.</w:t>
            </w:r>
          </w:p>
          <w:p w14:paraId="786E93DC" w14:textId="77777777" w:rsidR="007204C8" w:rsidRPr="00A64175" w:rsidRDefault="007204C8" w:rsidP="00A64175">
            <w:pPr>
              <w:jc w:val="both"/>
              <w:rPr>
                <w:rFonts w:ascii="Arial" w:hAnsi="Arial" w:cs="Arial"/>
                <w:b/>
              </w:rPr>
            </w:pPr>
          </w:p>
          <w:p w14:paraId="3A73E1BE" w14:textId="4262175E" w:rsidR="007204C8" w:rsidRPr="00A64175" w:rsidRDefault="00685904" w:rsidP="00A64175">
            <w:pPr>
              <w:jc w:val="both"/>
              <w:rPr>
                <w:rFonts w:ascii="Arial" w:hAnsi="Arial" w:cs="Arial"/>
              </w:rPr>
            </w:pPr>
            <w:r w:rsidRPr="00A64175">
              <w:rPr>
                <w:rFonts w:ascii="Arial" w:hAnsi="Arial" w:cs="Arial"/>
                <w:b/>
              </w:rPr>
              <w:t>Article 45</w:t>
            </w:r>
            <w:r w:rsidR="00533602">
              <w:rPr>
                <w:rFonts w:ascii="Arial" w:hAnsi="Arial" w:cs="Arial"/>
                <w:b/>
              </w:rPr>
              <w:t>7</w:t>
            </w:r>
            <w:r w:rsidR="007204C8" w:rsidRPr="00A64175">
              <w:rPr>
                <w:rFonts w:ascii="Arial" w:hAnsi="Arial" w:cs="Arial"/>
                <w:b/>
              </w:rPr>
              <w:t>. –</w:t>
            </w:r>
            <w:r w:rsidR="007204C8" w:rsidRPr="00A64175">
              <w:rPr>
                <w:rFonts w:ascii="Arial" w:hAnsi="Arial" w:cs="Arial"/>
              </w:rPr>
              <w:t xml:space="preserve"> Les OPI sont constitués à l’initiative d’une société de gestion, laquelle désigne un établissement dépositaire. Ces deux établissements sont agréés par la COSUMAF.</w:t>
            </w:r>
          </w:p>
          <w:p w14:paraId="0AA7F6B1" w14:textId="77777777" w:rsidR="007204C8" w:rsidRPr="00A64175" w:rsidRDefault="007204C8" w:rsidP="00A64175">
            <w:pPr>
              <w:jc w:val="both"/>
              <w:rPr>
                <w:rFonts w:ascii="Arial" w:hAnsi="Arial" w:cs="Arial"/>
              </w:rPr>
            </w:pPr>
            <w:r w:rsidRPr="00A64175">
              <w:rPr>
                <w:rFonts w:ascii="Arial" w:hAnsi="Arial" w:cs="Arial"/>
              </w:rPr>
              <w:t>La société de gestion établit le règlement de gestion de l’OPI, qu’il soit constitué sous forme de société ou de fonds.</w:t>
            </w:r>
          </w:p>
          <w:p w14:paraId="452B57B5" w14:textId="77777777" w:rsidR="007204C8" w:rsidRPr="00A64175" w:rsidRDefault="007204C8" w:rsidP="00A64175">
            <w:pPr>
              <w:jc w:val="both"/>
              <w:rPr>
                <w:rFonts w:ascii="Arial" w:hAnsi="Arial" w:cs="Arial"/>
                <w:b/>
              </w:rPr>
            </w:pPr>
          </w:p>
          <w:p w14:paraId="68AF8E69" w14:textId="4827413F" w:rsidR="007204C8" w:rsidRPr="00A64175" w:rsidRDefault="00685904" w:rsidP="00A64175">
            <w:pPr>
              <w:jc w:val="both"/>
              <w:rPr>
                <w:rFonts w:ascii="Arial" w:eastAsia="Times New Roman" w:hAnsi="Arial" w:cs="Arial"/>
                <w:lang w:eastAsia="fr-FR"/>
              </w:rPr>
            </w:pPr>
            <w:r w:rsidRPr="00A64175">
              <w:rPr>
                <w:rFonts w:ascii="Arial" w:hAnsi="Arial" w:cs="Arial"/>
                <w:b/>
              </w:rPr>
              <w:t>Article 45</w:t>
            </w:r>
            <w:r w:rsidR="00533602">
              <w:rPr>
                <w:rFonts w:ascii="Arial" w:hAnsi="Arial" w:cs="Arial"/>
                <w:b/>
              </w:rPr>
              <w:t>8</w:t>
            </w:r>
            <w:r w:rsidR="007204C8" w:rsidRPr="00A64175">
              <w:rPr>
                <w:rFonts w:ascii="Arial" w:hAnsi="Arial" w:cs="Arial"/>
                <w:b/>
              </w:rPr>
              <w:t>. –</w:t>
            </w:r>
            <w:r w:rsidR="007204C8" w:rsidRPr="00A64175">
              <w:rPr>
                <w:rFonts w:ascii="Arial" w:hAnsi="Arial" w:cs="Arial"/>
              </w:rPr>
              <w:t xml:space="preserve"> </w:t>
            </w:r>
            <w:r w:rsidR="007204C8" w:rsidRPr="00A64175">
              <w:rPr>
                <w:rFonts w:ascii="Arial" w:eastAsia="Times New Roman" w:hAnsi="Arial" w:cs="Arial"/>
                <w:lang w:eastAsia="fr-FR"/>
              </w:rPr>
              <w:t xml:space="preserve">Les SPI se constituent soit en société anonyme soit en société par actions simplifiée. </w:t>
            </w:r>
          </w:p>
          <w:p w14:paraId="2AD08D1A" w14:textId="77777777" w:rsidR="007204C8" w:rsidRPr="00A64175" w:rsidRDefault="007204C8" w:rsidP="00A64175">
            <w:pPr>
              <w:jc w:val="both"/>
              <w:rPr>
                <w:rFonts w:ascii="Arial" w:hAnsi="Arial" w:cs="Arial"/>
                <w:b/>
              </w:rPr>
            </w:pPr>
          </w:p>
          <w:p w14:paraId="31F72F22" w14:textId="24FEEE65" w:rsidR="007204C8" w:rsidRPr="00A64175" w:rsidRDefault="00685904" w:rsidP="00A64175">
            <w:pPr>
              <w:jc w:val="both"/>
              <w:rPr>
                <w:rFonts w:ascii="Arial" w:hAnsi="Arial" w:cs="Arial"/>
              </w:rPr>
            </w:pPr>
            <w:r w:rsidRPr="00A64175">
              <w:rPr>
                <w:rFonts w:ascii="Arial" w:hAnsi="Arial" w:cs="Arial"/>
                <w:b/>
              </w:rPr>
              <w:t>Article 45</w:t>
            </w:r>
            <w:r w:rsidR="00533602">
              <w:rPr>
                <w:rFonts w:ascii="Arial" w:hAnsi="Arial" w:cs="Arial"/>
                <w:b/>
              </w:rPr>
              <w:t>9</w:t>
            </w:r>
            <w:r w:rsidR="007204C8" w:rsidRPr="00A64175">
              <w:rPr>
                <w:rFonts w:ascii="Arial" w:hAnsi="Arial" w:cs="Arial"/>
                <w:b/>
              </w:rPr>
              <w:t>. –</w:t>
            </w:r>
            <w:r w:rsidR="007204C8" w:rsidRPr="00A64175">
              <w:rPr>
                <w:rFonts w:ascii="Arial" w:hAnsi="Arial" w:cs="Arial"/>
              </w:rPr>
              <w:t xml:space="preserve"> </w:t>
            </w:r>
            <w:r w:rsidR="007204C8" w:rsidRPr="00A64175">
              <w:rPr>
                <w:rFonts w:ascii="Arial" w:eastAsia="Times New Roman" w:hAnsi="Arial" w:cs="Arial"/>
                <w:lang w:eastAsia="fr-FR"/>
              </w:rPr>
              <w:t>Les OPI sont créés par constitution d’une structure nouvelle ou par transformation d’un fonds ou d’une structure existante.</w:t>
            </w:r>
          </w:p>
          <w:p w14:paraId="1DC1E9D3" w14:textId="77777777" w:rsidR="007204C8" w:rsidRPr="00A64175" w:rsidRDefault="007204C8" w:rsidP="00A64175">
            <w:pPr>
              <w:jc w:val="both"/>
              <w:rPr>
                <w:rFonts w:ascii="Arial" w:hAnsi="Arial" w:cs="Arial"/>
                <w:b/>
              </w:rPr>
            </w:pPr>
          </w:p>
          <w:p w14:paraId="72D7EEC9" w14:textId="630C70BB" w:rsidR="007204C8" w:rsidRPr="00A64175" w:rsidRDefault="00685904" w:rsidP="00A64175">
            <w:pPr>
              <w:jc w:val="both"/>
              <w:rPr>
                <w:rFonts w:ascii="Arial" w:hAnsi="Arial" w:cs="Arial"/>
              </w:rPr>
            </w:pPr>
            <w:r w:rsidRPr="00A64175">
              <w:rPr>
                <w:rFonts w:ascii="Arial" w:hAnsi="Arial" w:cs="Arial"/>
                <w:b/>
              </w:rPr>
              <w:t>Article 4</w:t>
            </w:r>
            <w:r w:rsidR="00533602">
              <w:rPr>
                <w:rFonts w:ascii="Arial" w:hAnsi="Arial" w:cs="Arial"/>
                <w:b/>
              </w:rPr>
              <w:t>60</w:t>
            </w:r>
            <w:r w:rsidR="007204C8" w:rsidRPr="00A64175">
              <w:rPr>
                <w:rFonts w:ascii="Arial" w:hAnsi="Arial" w:cs="Arial"/>
                <w:b/>
              </w:rPr>
              <w:t>. –</w:t>
            </w:r>
            <w:r w:rsidR="007204C8" w:rsidRPr="00A64175">
              <w:rPr>
                <w:rFonts w:ascii="Arial" w:hAnsi="Arial" w:cs="Arial"/>
              </w:rPr>
              <w:t xml:space="preserve"> Le règlement de gestion d’un OPI décrit son statut juridiqu</w:t>
            </w:r>
            <w:r w:rsidR="00E347C2" w:rsidRPr="00A64175">
              <w:rPr>
                <w:rFonts w:ascii="Arial" w:hAnsi="Arial" w:cs="Arial"/>
              </w:rPr>
              <w:t>e et ses règles</w:t>
            </w:r>
            <w:r w:rsidR="007204C8" w:rsidRPr="00A64175">
              <w:rPr>
                <w:rFonts w:ascii="Arial" w:hAnsi="Arial" w:cs="Arial"/>
              </w:rPr>
              <w:t xml:space="preserve"> de fonctionnement. Il constitue le document de référence régissant les droits et obligations de la société de gestion, du dépositaire et des investisseurs.</w:t>
            </w:r>
          </w:p>
          <w:p w14:paraId="33341327" w14:textId="77777777" w:rsidR="007204C8" w:rsidRPr="00A64175" w:rsidRDefault="007204C8" w:rsidP="00A64175">
            <w:pPr>
              <w:jc w:val="both"/>
              <w:rPr>
                <w:rFonts w:ascii="Arial" w:hAnsi="Arial" w:cs="Arial"/>
                <w:b/>
              </w:rPr>
            </w:pPr>
          </w:p>
          <w:p w14:paraId="60F08124" w14:textId="6F4DA02E" w:rsidR="007204C8" w:rsidRPr="00A64175" w:rsidRDefault="00685904" w:rsidP="00A64175">
            <w:pPr>
              <w:jc w:val="both"/>
              <w:rPr>
                <w:rFonts w:ascii="Arial" w:hAnsi="Arial" w:cs="Arial"/>
              </w:rPr>
            </w:pPr>
            <w:r w:rsidRPr="00A64175">
              <w:rPr>
                <w:rFonts w:ascii="Arial" w:hAnsi="Arial" w:cs="Arial"/>
                <w:b/>
              </w:rPr>
              <w:t>Article 4</w:t>
            </w:r>
            <w:r w:rsidR="00533602">
              <w:rPr>
                <w:rFonts w:ascii="Arial" w:hAnsi="Arial" w:cs="Arial"/>
                <w:b/>
              </w:rPr>
              <w:t>61</w:t>
            </w:r>
            <w:r w:rsidR="007204C8" w:rsidRPr="00A64175">
              <w:rPr>
                <w:rFonts w:ascii="Arial" w:hAnsi="Arial" w:cs="Arial"/>
                <w:b/>
              </w:rPr>
              <w:t>. –</w:t>
            </w:r>
            <w:r w:rsidR="007204C8" w:rsidRPr="00A64175">
              <w:rPr>
                <w:rFonts w:ascii="Arial" w:hAnsi="Arial" w:cs="Arial"/>
              </w:rPr>
              <w:t xml:space="preserve"> </w:t>
            </w:r>
            <w:r w:rsidR="007204C8" w:rsidRPr="00A64175">
              <w:rPr>
                <w:rFonts w:ascii="Arial" w:eastAsia="Times New Roman" w:hAnsi="Arial" w:cs="Arial"/>
                <w:lang w:eastAsia="fr-FR"/>
              </w:rPr>
              <w:t>Les OPI doivent désigner un établissement dépositaire chargé de la garde de leurs actifs. Cet établissement est également tenu de contrôler l’inventaire de l’actif, de s’assurer de la centralisation des ordres de souscription et de rachat des titres et de la qualité d’investisseur qualifié de chaque souscripteur ou acquéreur de titres.</w:t>
            </w:r>
          </w:p>
          <w:p w14:paraId="6FCF8E4A" w14:textId="77777777" w:rsidR="007204C8" w:rsidRPr="00A64175" w:rsidRDefault="007204C8" w:rsidP="00A64175">
            <w:pPr>
              <w:jc w:val="both"/>
              <w:rPr>
                <w:rFonts w:ascii="Arial" w:hAnsi="Arial" w:cs="Arial"/>
                <w:b/>
              </w:rPr>
            </w:pPr>
          </w:p>
          <w:p w14:paraId="4CA79D2F" w14:textId="77777777" w:rsidR="00E347C2" w:rsidRPr="00A64175" w:rsidRDefault="00E347C2" w:rsidP="00A64175">
            <w:pPr>
              <w:pStyle w:val="Paragraphedeliste"/>
              <w:spacing w:before="0" w:beforeAutospacing="0" w:afterAutospacing="0"/>
            </w:pPr>
          </w:p>
          <w:p w14:paraId="6AFCC337" w14:textId="1006F448" w:rsidR="007204C8" w:rsidRPr="00A64175" w:rsidRDefault="00685904" w:rsidP="00A64175">
            <w:pPr>
              <w:jc w:val="both"/>
              <w:rPr>
                <w:rFonts w:ascii="Arial" w:hAnsi="Arial" w:cs="Arial"/>
              </w:rPr>
            </w:pPr>
            <w:r w:rsidRPr="00A64175">
              <w:rPr>
                <w:rFonts w:ascii="Arial" w:hAnsi="Arial" w:cs="Arial"/>
                <w:b/>
              </w:rPr>
              <w:t>Article 4</w:t>
            </w:r>
            <w:r w:rsidR="00533602">
              <w:rPr>
                <w:rFonts w:ascii="Arial" w:hAnsi="Arial" w:cs="Arial"/>
                <w:b/>
              </w:rPr>
              <w:t>62</w:t>
            </w:r>
            <w:r w:rsidR="007204C8" w:rsidRPr="00A64175">
              <w:rPr>
                <w:rFonts w:ascii="Arial" w:hAnsi="Arial" w:cs="Arial"/>
                <w:b/>
              </w:rPr>
              <w:t>. –</w:t>
            </w:r>
            <w:r w:rsidR="007204C8" w:rsidRPr="00A64175">
              <w:rPr>
                <w:rFonts w:ascii="Arial" w:hAnsi="Arial" w:cs="Arial"/>
              </w:rPr>
              <w:t xml:space="preserve"> Les actifs éligibles à l’investissement des OPI sont :</w:t>
            </w:r>
          </w:p>
          <w:p w14:paraId="7DDA0452" w14:textId="77777777" w:rsidR="007204C8" w:rsidRPr="00A64175" w:rsidRDefault="007204C8" w:rsidP="00A64175">
            <w:pPr>
              <w:pStyle w:val="Paragraphedeliste"/>
              <w:numPr>
                <w:ilvl w:val="0"/>
                <w:numId w:val="45"/>
              </w:numPr>
              <w:spacing w:before="0" w:beforeAutospacing="0" w:afterAutospacing="0"/>
            </w:pPr>
            <w:r w:rsidRPr="00A64175">
              <w:t xml:space="preserve">les instruments de capitaux propres ou de quasi-capitaux propres émis par des </w:t>
            </w:r>
            <w:r w:rsidRPr="00A64175">
              <w:rPr>
                <w:rFonts w:eastAsia="Times New Roman"/>
                <w:lang w:eastAsia="fr-FR"/>
              </w:rPr>
              <w:t>sociétés non cotées ou des petites et moyennes entreprises cotées qui ne sont pas des entreprises financières ;</w:t>
            </w:r>
          </w:p>
          <w:p w14:paraId="2FE4BAFF" w14:textId="77777777" w:rsidR="007204C8" w:rsidRPr="00A64175" w:rsidRDefault="007204C8" w:rsidP="00A64175">
            <w:pPr>
              <w:pStyle w:val="Paragraphedeliste"/>
              <w:numPr>
                <w:ilvl w:val="0"/>
                <w:numId w:val="45"/>
              </w:numPr>
              <w:spacing w:before="0" w:beforeAutospacing="0" w:afterAutospacing="0"/>
            </w:pPr>
            <w:r w:rsidRPr="00A64175">
              <w:rPr>
                <w:rFonts w:eastAsia="Times New Roman"/>
                <w:lang w:eastAsia="fr-FR"/>
              </w:rPr>
              <w:t>les instruments de dette émis par des sociétés non cotées ou des petites et moyennes entreprises cotées qui ne sont pas des entreprises financières ;</w:t>
            </w:r>
          </w:p>
          <w:p w14:paraId="74E69031" w14:textId="77777777" w:rsidR="007204C8" w:rsidRPr="00A64175" w:rsidRDefault="007204C8" w:rsidP="00A64175">
            <w:pPr>
              <w:pStyle w:val="Paragraphedeliste"/>
              <w:numPr>
                <w:ilvl w:val="0"/>
                <w:numId w:val="45"/>
              </w:numPr>
              <w:spacing w:before="0" w:beforeAutospacing="0" w:afterAutospacing="0"/>
            </w:pPr>
            <w:r w:rsidRPr="00A64175">
              <w:rPr>
                <w:rFonts w:eastAsia="Times New Roman"/>
                <w:lang w:eastAsia="fr-FR"/>
              </w:rPr>
              <w:t>des actifs physiques constituant des infrastructures de transport (portuaire, ferroviaire, aéroports, autoroutes), de production ou distribution d’énergie durable, des infrastructures sociales (logements ou hôpitaux), infrastructures de communication (réseaux), infrastructures de traitement des eaux, de gestion et recyclage des déchets, etc.</w:t>
            </w:r>
          </w:p>
          <w:p w14:paraId="5545E2AC" w14:textId="77777777" w:rsidR="00E347C2" w:rsidRPr="00A64175" w:rsidRDefault="00E347C2" w:rsidP="00A64175">
            <w:pPr>
              <w:pStyle w:val="Paragraphedeliste"/>
              <w:spacing w:before="0" w:beforeAutospacing="0" w:afterAutospacing="0"/>
            </w:pPr>
          </w:p>
          <w:p w14:paraId="4C36938C" w14:textId="358136BF" w:rsidR="007204C8" w:rsidRPr="00A64175" w:rsidRDefault="00685904" w:rsidP="00A64175">
            <w:pPr>
              <w:jc w:val="both"/>
              <w:rPr>
                <w:rFonts w:ascii="Arial" w:hAnsi="Arial" w:cs="Arial"/>
              </w:rPr>
            </w:pPr>
            <w:r w:rsidRPr="00A64175">
              <w:rPr>
                <w:rFonts w:ascii="Arial" w:hAnsi="Arial" w:cs="Arial"/>
                <w:b/>
              </w:rPr>
              <w:t>Article 46</w:t>
            </w:r>
            <w:r w:rsidR="00533602">
              <w:rPr>
                <w:rFonts w:ascii="Arial" w:hAnsi="Arial" w:cs="Arial"/>
                <w:b/>
              </w:rPr>
              <w:t>3</w:t>
            </w:r>
            <w:r w:rsidR="007204C8" w:rsidRPr="00A64175">
              <w:rPr>
                <w:rFonts w:ascii="Arial" w:hAnsi="Arial" w:cs="Arial"/>
                <w:b/>
              </w:rPr>
              <w:t>. –</w:t>
            </w:r>
            <w:r w:rsidR="007204C8" w:rsidRPr="00A64175">
              <w:rPr>
                <w:rFonts w:ascii="Arial" w:hAnsi="Arial" w:cs="Arial"/>
              </w:rPr>
              <w:t xml:space="preserve"> Les OPI doivent investir au moins 70% de leur capital dans des actifs éligibles à l’investissement </w:t>
            </w:r>
            <w:r w:rsidRPr="00A64175">
              <w:rPr>
                <w:rFonts w:ascii="Arial" w:hAnsi="Arial" w:cs="Arial"/>
              </w:rPr>
              <w:t xml:space="preserve">visé à </w:t>
            </w:r>
            <w:r w:rsidRPr="00C21CF0">
              <w:rPr>
                <w:rFonts w:ascii="Arial" w:hAnsi="Arial" w:cs="Arial"/>
              </w:rPr>
              <w:t xml:space="preserve">l’article </w:t>
            </w:r>
            <w:r w:rsidR="005A196A" w:rsidRPr="00C21CF0">
              <w:rPr>
                <w:rFonts w:ascii="Arial" w:hAnsi="Arial" w:cs="Arial"/>
              </w:rPr>
              <w:t xml:space="preserve">462 </w:t>
            </w:r>
            <w:r w:rsidR="007204C8" w:rsidRPr="00C21CF0">
              <w:rPr>
                <w:rFonts w:ascii="Arial" w:hAnsi="Arial" w:cs="Arial"/>
              </w:rPr>
              <w:t xml:space="preserve"> du</w:t>
            </w:r>
            <w:r w:rsidRPr="00C21CF0">
              <w:rPr>
                <w:rFonts w:ascii="Arial" w:hAnsi="Arial" w:cs="Arial"/>
              </w:rPr>
              <w:t xml:space="preserve"> présent r</w:t>
            </w:r>
            <w:r w:rsidR="007204C8" w:rsidRPr="00C21CF0">
              <w:rPr>
                <w:rFonts w:ascii="Arial" w:hAnsi="Arial" w:cs="Arial"/>
              </w:rPr>
              <w:t>èglement</w:t>
            </w:r>
            <w:r w:rsidRPr="00C21CF0">
              <w:rPr>
                <w:rFonts w:ascii="Arial" w:hAnsi="Arial" w:cs="Arial"/>
              </w:rPr>
              <w:t xml:space="preserve"> général</w:t>
            </w:r>
            <w:r w:rsidR="007204C8" w:rsidRPr="00C21CF0">
              <w:rPr>
                <w:rFonts w:ascii="Arial" w:hAnsi="Arial" w:cs="Arial"/>
              </w:rPr>
              <w:t>.</w:t>
            </w:r>
          </w:p>
          <w:p w14:paraId="7515CF13" w14:textId="77777777" w:rsidR="00E347C2" w:rsidRPr="00A64175" w:rsidRDefault="00E347C2" w:rsidP="00A64175">
            <w:pPr>
              <w:jc w:val="both"/>
              <w:rPr>
                <w:rFonts w:ascii="Arial" w:hAnsi="Arial" w:cs="Arial"/>
              </w:rPr>
            </w:pPr>
          </w:p>
          <w:p w14:paraId="64C7437D" w14:textId="391E010C" w:rsidR="007204C8" w:rsidRPr="00A64175" w:rsidRDefault="00685904" w:rsidP="00A64175">
            <w:pPr>
              <w:jc w:val="both"/>
              <w:rPr>
                <w:rFonts w:ascii="Arial" w:hAnsi="Arial" w:cs="Arial"/>
              </w:rPr>
            </w:pPr>
            <w:r w:rsidRPr="00A64175">
              <w:rPr>
                <w:rFonts w:ascii="Arial" w:hAnsi="Arial" w:cs="Arial"/>
                <w:b/>
              </w:rPr>
              <w:t>Article 46</w:t>
            </w:r>
            <w:r w:rsidR="00533602">
              <w:rPr>
                <w:rFonts w:ascii="Arial" w:hAnsi="Arial" w:cs="Arial"/>
                <w:b/>
              </w:rPr>
              <w:t>4</w:t>
            </w:r>
            <w:r w:rsidR="007204C8" w:rsidRPr="00A64175">
              <w:rPr>
                <w:rFonts w:ascii="Arial" w:hAnsi="Arial" w:cs="Arial"/>
                <w:b/>
              </w:rPr>
              <w:t>. –</w:t>
            </w:r>
            <w:r w:rsidR="007204C8" w:rsidRPr="00A64175">
              <w:rPr>
                <w:rFonts w:ascii="Arial" w:hAnsi="Arial" w:cs="Arial"/>
              </w:rPr>
              <w:t xml:space="preserve"> Les OPI veillent à assurer une bonne diversification de leur portefeuille.</w:t>
            </w:r>
          </w:p>
          <w:p w14:paraId="48AB1D22" w14:textId="77777777" w:rsidR="00E347C2" w:rsidRPr="00A64175" w:rsidRDefault="00E347C2" w:rsidP="00A64175">
            <w:pPr>
              <w:jc w:val="both"/>
              <w:rPr>
                <w:rFonts w:ascii="Arial" w:hAnsi="Arial" w:cs="Arial"/>
              </w:rPr>
            </w:pPr>
          </w:p>
          <w:p w14:paraId="4B750640" w14:textId="77777777" w:rsidR="007204C8" w:rsidRPr="00A64175" w:rsidRDefault="007204C8" w:rsidP="00A64175">
            <w:pPr>
              <w:jc w:val="both"/>
              <w:rPr>
                <w:rFonts w:ascii="Arial" w:hAnsi="Arial" w:cs="Arial"/>
              </w:rPr>
            </w:pPr>
            <w:r w:rsidRPr="00A64175">
              <w:rPr>
                <w:rFonts w:ascii="Arial" w:hAnsi="Arial" w:cs="Arial"/>
              </w:rPr>
              <w:t>Un OPI n’investit pas :</w:t>
            </w:r>
          </w:p>
          <w:p w14:paraId="67896C81" w14:textId="77777777" w:rsidR="00E347C2" w:rsidRPr="00A64175" w:rsidRDefault="00E347C2" w:rsidP="00A64175">
            <w:pPr>
              <w:jc w:val="both"/>
              <w:rPr>
                <w:rFonts w:ascii="Arial" w:hAnsi="Arial" w:cs="Arial"/>
              </w:rPr>
            </w:pPr>
          </w:p>
          <w:p w14:paraId="637D980B" w14:textId="1E7B4155" w:rsidR="007204C8" w:rsidRPr="00A64175" w:rsidRDefault="00EA157C" w:rsidP="00A64175">
            <w:pPr>
              <w:pStyle w:val="Paragraphedeliste"/>
              <w:numPr>
                <w:ilvl w:val="0"/>
                <w:numId w:val="45"/>
              </w:numPr>
              <w:spacing w:before="0" w:beforeAutospacing="0" w:afterAutospacing="0"/>
            </w:pPr>
            <w:r w:rsidRPr="00A64175">
              <w:t>plus d’un certain pourcentage</w:t>
            </w:r>
            <w:r w:rsidR="007204C8" w:rsidRPr="00A64175">
              <w:t xml:space="preserve"> de son capital dans un seul et même actif physique :</w:t>
            </w:r>
          </w:p>
          <w:p w14:paraId="643ED32F" w14:textId="13E8E553" w:rsidR="007204C8" w:rsidRPr="00A64175" w:rsidRDefault="00EA157C" w:rsidP="00A64175">
            <w:pPr>
              <w:pStyle w:val="Paragraphedeliste"/>
              <w:numPr>
                <w:ilvl w:val="0"/>
                <w:numId w:val="45"/>
              </w:numPr>
              <w:spacing w:before="0" w:beforeAutospacing="0" w:afterAutospacing="0"/>
            </w:pPr>
            <w:r w:rsidRPr="00A64175">
              <w:t>plus d’un certain pourcentage</w:t>
            </w:r>
            <w:r w:rsidR="007204C8" w:rsidRPr="00A64175">
              <w:t xml:space="preserve"> de son capital en instruments émis par une seule et même entreprise éligible ;</w:t>
            </w:r>
          </w:p>
          <w:p w14:paraId="59388F35" w14:textId="39B7F54B" w:rsidR="007204C8" w:rsidRPr="00A64175" w:rsidRDefault="00EA157C" w:rsidP="00A64175">
            <w:pPr>
              <w:pStyle w:val="Paragraphedeliste"/>
              <w:numPr>
                <w:ilvl w:val="0"/>
                <w:numId w:val="45"/>
              </w:numPr>
              <w:spacing w:before="0" w:beforeAutospacing="0" w:afterAutospacing="0"/>
            </w:pPr>
            <w:r w:rsidRPr="00A64175">
              <w:t>plus d’un certain pourcentage</w:t>
            </w:r>
            <w:r w:rsidR="007204C8" w:rsidRPr="00A64175">
              <w:t xml:space="preserve"> de son capital en parts ou actions d’un seul et même OPI.</w:t>
            </w:r>
          </w:p>
          <w:p w14:paraId="3AB3685D" w14:textId="7C65EC2D" w:rsidR="007204C8" w:rsidRPr="00A64175" w:rsidRDefault="00EA157C" w:rsidP="00A64175">
            <w:pPr>
              <w:jc w:val="both"/>
              <w:rPr>
                <w:rFonts w:ascii="Arial" w:hAnsi="Arial" w:cs="Arial"/>
              </w:rPr>
            </w:pPr>
            <w:r w:rsidRPr="00A64175">
              <w:rPr>
                <w:rFonts w:ascii="Arial" w:hAnsi="Arial" w:cs="Arial"/>
              </w:rPr>
              <w:t>Les pourcentages de capital visés au présent article sont précisés par instruction.</w:t>
            </w:r>
          </w:p>
          <w:p w14:paraId="614A0F3E" w14:textId="77777777" w:rsidR="00EA157C" w:rsidRPr="00A64175" w:rsidRDefault="00EA157C" w:rsidP="00A64175">
            <w:pPr>
              <w:jc w:val="both"/>
              <w:rPr>
                <w:rFonts w:ascii="Arial" w:hAnsi="Arial" w:cs="Arial"/>
              </w:rPr>
            </w:pPr>
          </w:p>
          <w:p w14:paraId="60B61000" w14:textId="77777777" w:rsidR="00E347C2" w:rsidRPr="00A64175" w:rsidRDefault="00E347C2" w:rsidP="00A64175">
            <w:pPr>
              <w:jc w:val="both"/>
              <w:rPr>
                <w:rFonts w:ascii="Arial" w:hAnsi="Arial" w:cs="Arial"/>
                <w:b/>
              </w:rPr>
            </w:pPr>
          </w:p>
          <w:p w14:paraId="69DADBFD" w14:textId="4F1B0406" w:rsidR="007204C8" w:rsidRPr="00A64175" w:rsidRDefault="00685904" w:rsidP="00A64175">
            <w:pPr>
              <w:jc w:val="both"/>
              <w:rPr>
                <w:rFonts w:ascii="Arial" w:hAnsi="Arial" w:cs="Arial"/>
              </w:rPr>
            </w:pPr>
            <w:r w:rsidRPr="00A64175">
              <w:rPr>
                <w:rFonts w:ascii="Arial" w:hAnsi="Arial" w:cs="Arial"/>
                <w:b/>
              </w:rPr>
              <w:t>Article 46</w:t>
            </w:r>
            <w:r w:rsidR="00533602">
              <w:rPr>
                <w:rFonts w:ascii="Arial" w:hAnsi="Arial" w:cs="Arial"/>
                <w:b/>
              </w:rPr>
              <w:t>5</w:t>
            </w:r>
            <w:r w:rsidR="007204C8" w:rsidRPr="00A64175">
              <w:rPr>
                <w:rFonts w:ascii="Arial" w:hAnsi="Arial" w:cs="Arial"/>
                <w:b/>
              </w:rPr>
              <w:t>. –</w:t>
            </w:r>
            <w:r w:rsidR="007204C8" w:rsidRPr="00A64175">
              <w:rPr>
                <w:rFonts w:ascii="Arial" w:hAnsi="Arial" w:cs="Arial"/>
              </w:rPr>
              <w:t xml:space="preserve"> Les OPI peuvent être réservés à un nombre limité d’investisseurs professionnels ayant la qualité d’investisseurs qualifiés. Ce nombre ne peut pas être inférieur à vingt (20).</w:t>
            </w:r>
          </w:p>
          <w:p w14:paraId="766924BD" w14:textId="77777777" w:rsidR="007204C8" w:rsidRPr="00A64175" w:rsidRDefault="007204C8" w:rsidP="00A64175">
            <w:pPr>
              <w:jc w:val="both"/>
              <w:rPr>
                <w:rFonts w:ascii="Arial" w:hAnsi="Arial" w:cs="Arial"/>
                <w:b/>
              </w:rPr>
            </w:pPr>
          </w:p>
          <w:p w14:paraId="0FB77B73" w14:textId="77777777" w:rsidR="007204C8" w:rsidRPr="00A64175" w:rsidRDefault="007204C8" w:rsidP="00A64175">
            <w:pPr>
              <w:jc w:val="both"/>
              <w:rPr>
                <w:rFonts w:ascii="Arial" w:hAnsi="Arial" w:cs="Arial"/>
                <w:b/>
              </w:rPr>
            </w:pPr>
          </w:p>
          <w:p w14:paraId="0C365CCB" w14:textId="5A762BC6" w:rsidR="007204C8" w:rsidRPr="00A64175" w:rsidRDefault="00685904" w:rsidP="00A64175">
            <w:pPr>
              <w:jc w:val="both"/>
              <w:rPr>
                <w:rFonts w:ascii="Arial" w:hAnsi="Arial" w:cs="Arial"/>
              </w:rPr>
            </w:pPr>
            <w:r w:rsidRPr="00A64175">
              <w:rPr>
                <w:rFonts w:ascii="Arial" w:hAnsi="Arial" w:cs="Arial"/>
                <w:b/>
              </w:rPr>
              <w:t>Article 46</w:t>
            </w:r>
            <w:r w:rsidR="00533602">
              <w:rPr>
                <w:rFonts w:ascii="Arial" w:hAnsi="Arial" w:cs="Arial"/>
                <w:b/>
              </w:rPr>
              <w:t>6</w:t>
            </w:r>
            <w:r w:rsidR="007204C8" w:rsidRPr="00A64175">
              <w:rPr>
                <w:rFonts w:ascii="Arial" w:hAnsi="Arial" w:cs="Arial"/>
                <w:b/>
              </w:rPr>
              <w:t>. –</w:t>
            </w:r>
            <w:r w:rsidR="007204C8" w:rsidRPr="00A64175">
              <w:rPr>
                <w:rFonts w:ascii="Arial" w:hAnsi="Arial" w:cs="Arial"/>
              </w:rPr>
              <w:t xml:space="preserve"> </w:t>
            </w:r>
            <w:r w:rsidR="00E347C2" w:rsidRPr="00A64175">
              <w:rPr>
                <w:rFonts w:ascii="Arial" w:hAnsi="Arial" w:cs="Arial"/>
              </w:rPr>
              <w:t>Une instruction</w:t>
            </w:r>
            <w:r w:rsidR="007204C8" w:rsidRPr="00A64175">
              <w:rPr>
                <w:rFonts w:ascii="Arial" w:hAnsi="Arial" w:cs="Arial"/>
              </w:rPr>
              <w:t xml:space="preserve"> de la COSUMAF précise notamment :</w:t>
            </w:r>
          </w:p>
          <w:p w14:paraId="4390B2D5" w14:textId="77777777" w:rsidR="00E347C2" w:rsidRPr="00A64175" w:rsidRDefault="00E347C2" w:rsidP="00A64175">
            <w:pPr>
              <w:jc w:val="both"/>
              <w:rPr>
                <w:rFonts w:ascii="Arial" w:hAnsi="Arial" w:cs="Arial"/>
              </w:rPr>
            </w:pPr>
          </w:p>
          <w:p w14:paraId="131083D1" w14:textId="6C1DC3B4" w:rsidR="00E347C2" w:rsidRPr="00A64175" w:rsidRDefault="00E347C2" w:rsidP="00A64175">
            <w:pPr>
              <w:pStyle w:val="Paragraphedeliste"/>
              <w:numPr>
                <w:ilvl w:val="0"/>
                <w:numId w:val="45"/>
              </w:numPr>
              <w:spacing w:before="0" w:beforeAutospacing="0" w:afterAutospacing="0"/>
            </w:pPr>
            <w:r w:rsidRPr="00A64175">
              <w:t>les modalités de constitution des OPI ;</w:t>
            </w:r>
          </w:p>
          <w:p w14:paraId="1C929018" w14:textId="77777777" w:rsidR="007204C8" w:rsidRPr="00A64175" w:rsidRDefault="007204C8" w:rsidP="00A64175">
            <w:pPr>
              <w:pStyle w:val="Paragraphedeliste"/>
              <w:numPr>
                <w:ilvl w:val="0"/>
                <w:numId w:val="45"/>
              </w:numPr>
              <w:spacing w:before="0" w:beforeAutospacing="0" w:afterAutospacing="0"/>
            </w:pPr>
            <w:r w:rsidRPr="00A64175">
              <w:t>les conditions et la procédure d’agrément des OPI, de leur établissement gestionnaire et de leur établissement dépositaire ;</w:t>
            </w:r>
          </w:p>
          <w:p w14:paraId="3DAEB2F9" w14:textId="77777777" w:rsidR="007204C8" w:rsidRPr="00A64175" w:rsidRDefault="007204C8" w:rsidP="00A64175">
            <w:pPr>
              <w:pStyle w:val="Paragraphedeliste"/>
              <w:numPr>
                <w:ilvl w:val="0"/>
                <w:numId w:val="45"/>
              </w:numPr>
              <w:spacing w:before="0" w:beforeAutospacing="0" w:afterAutospacing="0"/>
            </w:pPr>
            <w:r w:rsidRPr="00A64175">
              <w:t>les règles de fonctionnement des OPI ;</w:t>
            </w:r>
          </w:p>
          <w:p w14:paraId="7214D485" w14:textId="77777777" w:rsidR="007204C8" w:rsidRPr="00A64175" w:rsidRDefault="007204C8" w:rsidP="00A64175">
            <w:pPr>
              <w:pStyle w:val="Paragraphedeliste"/>
              <w:numPr>
                <w:ilvl w:val="0"/>
                <w:numId w:val="45"/>
              </w:numPr>
              <w:spacing w:before="0" w:beforeAutospacing="0" w:afterAutospacing="0"/>
            </w:pPr>
            <w:r w:rsidRPr="00A64175">
              <w:t>les modalités de mise en place de compartiments ;</w:t>
            </w:r>
          </w:p>
          <w:p w14:paraId="2429D8E5" w14:textId="4CE9C1E8" w:rsidR="007204C8" w:rsidRPr="00A64175" w:rsidRDefault="007204C8" w:rsidP="00A64175">
            <w:pPr>
              <w:pStyle w:val="Paragraphedeliste"/>
              <w:numPr>
                <w:ilvl w:val="0"/>
                <w:numId w:val="45"/>
              </w:numPr>
              <w:spacing w:before="0" w:beforeAutospacing="0" w:afterAutospacing="0"/>
            </w:pPr>
            <w:r w:rsidRPr="00A64175">
              <w:t>le contenu du règlement de gestion</w:t>
            </w:r>
            <w:r w:rsidR="00E347C2" w:rsidRPr="00A64175">
              <w:t xml:space="preserve"> ou des statuts</w:t>
            </w:r>
            <w:r w:rsidRPr="00A64175">
              <w:t> ;</w:t>
            </w:r>
          </w:p>
          <w:p w14:paraId="7472964A" w14:textId="77918D19" w:rsidR="007204C8" w:rsidRPr="00A64175" w:rsidRDefault="00E347C2" w:rsidP="00A64175">
            <w:pPr>
              <w:pStyle w:val="Paragraphedeliste"/>
              <w:numPr>
                <w:ilvl w:val="0"/>
                <w:numId w:val="45"/>
              </w:numPr>
              <w:spacing w:before="0" w:beforeAutospacing="0" w:afterAutospacing="0"/>
            </w:pPr>
            <w:r w:rsidRPr="00A64175">
              <w:t>le montant minimum de</w:t>
            </w:r>
            <w:r w:rsidR="007204C8" w:rsidRPr="00A64175">
              <w:t xml:space="preserve"> </w:t>
            </w:r>
            <w:r w:rsidRPr="00A64175">
              <w:t>l’actif</w:t>
            </w:r>
            <w:r w:rsidR="007204C8" w:rsidRPr="00A64175">
              <w:t xml:space="preserve"> des OPI.</w:t>
            </w:r>
          </w:p>
          <w:p w14:paraId="6AFC9190" w14:textId="77777777" w:rsidR="007204C8" w:rsidRPr="00A64175" w:rsidRDefault="007204C8" w:rsidP="00A64175">
            <w:pPr>
              <w:jc w:val="both"/>
              <w:rPr>
                <w:rFonts w:ascii="Arial" w:hAnsi="Arial" w:cs="Arial"/>
              </w:rPr>
            </w:pPr>
          </w:p>
          <w:p w14:paraId="370CA9B8" w14:textId="77777777" w:rsidR="006D080E" w:rsidRDefault="006D080E" w:rsidP="00A64175">
            <w:pPr>
              <w:jc w:val="both"/>
              <w:rPr>
                <w:rFonts w:ascii="Arial" w:hAnsi="Arial" w:cs="Arial"/>
                <w:b/>
                <w:bCs/>
              </w:rPr>
            </w:pPr>
          </w:p>
          <w:p w14:paraId="42773226" w14:textId="77777777" w:rsidR="00F34DD2" w:rsidRPr="00A64175" w:rsidRDefault="00F34DD2" w:rsidP="00A64175">
            <w:pPr>
              <w:jc w:val="both"/>
              <w:rPr>
                <w:rFonts w:ascii="Arial" w:hAnsi="Arial" w:cs="Arial"/>
                <w:b/>
                <w:bCs/>
              </w:rPr>
            </w:pPr>
          </w:p>
          <w:p w14:paraId="7BD7C684" w14:textId="77777777" w:rsidR="006D080E" w:rsidRPr="00A64175" w:rsidRDefault="006D080E" w:rsidP="00A64175">
            <w:pPr>
              <w:jc w:val="both"/>
              <w:rPr>
                <w:rFonts w:ascii="Arial" w:hAnsi="Arial" w:cs="Arial"/>
                <w:b/>
                <w:bCs/>
              </w:rPr>
            </w:pPr>
          </w:p>
          <w:p w14:paraId="46B5151A" w14:textId="77777777" w:rsidR="007058CC" w:rsidRPr="00A64175" w:rsidRDefault="007058CC" w:rsidP="00A64175">
            <w:pPr>
              <w:jc w:val="both"/>
              <w:rPr>
                <w:rFonts w:ascii="Arial" w:hAnsi="Arial" w:cs="Arial"/>
                <w:b/>
                <w:bCs/>
              </w:rPr>
            </w:pPr>
            <w:r w:rsidRPr="00A64175">
              <w:rPr>
                <w:rFonts w:ascii="Arial" w:hAnsi="Arial" w:cs="Arial"/>
                <w:b/>
                <w:bCs/>
              </w:rPr>
              <w:t>CHAPI</w:t>
            </w:r>
            <w:r w:rsidR="00FB5ACC" w:rsidRPr="00A64175">
              <w:rPr>
                <w:rFonts w:ascii="Arial" w:hAnsi="Arial" w:cs="Arial"/>
                <w:b/>
                <w:bCs/>
              </w:rPr>
              <w:t>TRE IV : SOCIETES DE GESTION D’OPC</w:t>
            </w:r>
          </w:p>
          <w:p w14:paraId="4C22BE4D" w14:textId="4409CAC7" w:rsidR="00FB5ACC" w:rsidRPr="00A64175" w:rsidRDefault="00FB5ACC" w:rsidP="00A64175">
            <w:pPr>
              <w:jc w:val="both"/>
              <w:rPr>
                <w:rFonts w:ascii="Arial" w:hAnsi="Arial" w:cs="Arial"/>
                <w:b/>
              </w:rPr>
            </w:pPr>
          </w:p>
        </w:tc>
      </w:tr>
      <w:tr w:rsidR="007058CC" w:rsidRPr="00A64175" w14:paraId="54F44758" w14:textId="77777777" w:rsidTr="000E7336">
        <w:trPr>
          <w:trHeight w:val="391"/>
          <w:jc w:val="center"/>
        </w:trPr>
        <w:tc>
          <w:tcPr>
            <w:tcW w:w="10316" w:type="dxa"/>
            <w:shd w:val="clear" w:color="auto" w:fill="auto"/>
          </w:tcPr>
          <w:p w14:paraId="1E64D1B2" w14:textId="0D479494" w:rsidR="007058CC" w:rsidRPr="00810824" w:rsidRDefault="007058CC" w:rsidP="00A64175">
            <w:pPr>
              <w:jc w:val="both"/>
              <w:rPr>
                <w:rFonts w:ascii="Arial" w:hAnsi="Arial" w:cs="Arial"/>
                <w:b/>
                <w:bCs/>
              </w:rPr>
            </w:pPr>
            <w:r w:rsidRPr="00810824">
              <w:rPr>
                <w:rFonts w:ascii="Arial" w:hAnsi="Arial" w:cs="Arial"/>
                <w:b/>
                <w:bCs/>
              </w:rPr>
              <w:t xml:space="preserve">Section I : Agrément </w:t>
            </w:r>
          </w:p>
          <w:p w14:paraId="082C9E26" w14:textId="77777777" w:rsidR="00F17EB0" w:rsidRPr="00810824" w:rsidRDefault="00F17EB0" w:rsidP="00A64175">
            <w:pPr>
              <w:jc w:val="both"/>
              <w:rPr>
                <w:rFonts w:ascii="Arial" w:hAnsi="Arial" w:cs="Arial"/>
                <w:b/>
                <w:bCs/>
              </w:rPr>
            </w:pPr>
          </w:p>
          <w:p w14:paraId="32BBBBFF" w14:textId="4075436F" w:rsidR="00F17EB0" w:rsidRPr="00F35098" w:rsidRDefault="0054122B" w:rsidP="00A64175">
            <w:pPr>
              <w:jc w:val="both"/>
              <w:rPr>
                <w:rFonts w:ascii="Arial" w:hAnsi="Arial" w:cs="Arial"/>
                <w:bCs/>
              </w:rPr>
            </w:pPr>
            <w:r>
              <w:rPr>
                <w:rFonts w:ascii="Arial" w:hAnsi="Arial" w:cs="Arial"/>
                <w:bCs/>
              </w:rPr>
              <w:t>Sous-section I : C</w:t>
            </w:r>
            <w:r w:rsidR="00F17EB0" w:rsidRPr="00F35098">
              <w:rPr>
                <w:rFonts w:ascii="Arial" w:hAnsi="Arial" w:cs="Arial"/>
                <w:bCs/>
              </w:rPr>
              <w:t>onditions d’agrément</w:t>
            </w:r>
          </w:p>
          <w:p w14:paraId="1CCD67AB" w14:textId="77777777" w:rsidR="005058F9" w:rsidRPr="00810824" w:rsidRDefault="005058F9" w:rsidP="00A64175">
            <w:pPr>
              <w:jc w:val="both"/>
              <w:rPr>
                <w:rFonts w:ascii="Arial" w:hAnsi="Arial" w:cs="Arial"/>
                <w:b/>
                <w:bCs/>
              </w:rPr>
            </w:pPr>
          </w:p>
          <w:p w14:paraId="3EDD9F31" w14:textId="77777777" w:rsidR="00660A24" w:rsidRDefault="009C69F6" w:rsidP="00A64175">
            <w:pPr>
              <w:jc w:val="both"/>
              <w:rPr>
                <w:rFonts w:ascii="Arial" w:hAnsi="Arial" w:cs="Arial"/>
                <w:b/>
              </w:rPr>
            </w:pPr>
            <w:r w:rsidRPr="00810824">
              <w:rPr>
                <w:rFonts w:ascii="Arial" w:hAnsi="Arial" w:cs="Arial"/>
                <w:b/>
              </w:rPr>
              <w:t>Article 467</w:t>
            </w:r>
            <w:r w:rsidR="00810824" w:rsidRPr="00810824">
              <w:rPr>
                <w:rFonts w:ascii="Arial" w:hAnsi="Arial" w:cs="Arial"/>
                <w:b/>
              </w:rPr>
              <w:t xml:space="preserve">.- </w:t>
            </w:r>
          </w:p>
          <w:p w14:paraId="0F0EC1F9" w14:textId="5730DE3C" w:rsidR="005058F9" w:rsidRPr="00810824" w:rsidRDefault="005058F9" w:rsidP="00A64175">
            <w:pPr>
              <w:jc w:val="both"/>
              <w:rPr>
                <w:rFonts w:ascii="Arial" w:hAnsi="Arial" w:cs="Arial"/>
                <w:b/>
              </w:rPr>
            </w:pPr>
            <w:r w:rsidRPr="00810824">
              <w:rPr>
                <w:rFonts w:ascii="Arial" w:hAnsi="Arial" w:cs="Arial"/>
              </w:rPr>
              <w:t>Avant de délivrer un agrément, la COSUMAF s'assure que la personne morale qui sollicite un agrément présente des garanties suffisantes en ce qui concerne son organisation, ses moyens humains, techniques et financiers, l'</w:t>
            </w:r>
            <w:r w:rsidR="00B53518" w:rsidRPr="00810824">
              <w:rPr>
                <w:rFonts w:ascii="Arial" w:hAnsi="Arial" w:cs="Arial"/>
              </w:rPr>
              <w:t>honorabilité, la compétence et l</w:t>
            </w:r>
            <w:r w:rsidRPr="00810824">
              <w:rPr>
                <w:rFonts w:ascii="Arial" w:hAnsi="Arial" w:cs="Arial"/>
              </w:rPr>
              <w:t>'expérience de ses dirigeants.</w:t>
            </w:r>
          </w:p>
          <w:p w14:paraId="2241A857" w14:textId="77777777" w:rsidR="005058F9" w:rsidRPr="00810824" w:rsidRDefault="005058F9" w:rsidP="00A64175">
            <w:pPr>
              <w:jc w:val="both"/>
              <w:rPr>
                <w:rFonts w:ascii="Arial" w:hAnsi="Arial" w:cs="Arial"/>
              </w:rPr>
            </w:pPr>
          </w:p>
          <w:p w14:paraId="08CA8FEC" w14:textId="0A5E7943" w:rsidR="00660A24" w:rsidRDefault="009C69F6" w:rsidP="00A64175">
            <w:pPr>
              <w:jc w:val="both"/>
              <w:rPr>
                <w:rFonts w:ascii="Arial" w:hAnsi="Arial" w:cs="Arial"/>
                <w:b/>
              </w:rPr>
            </w:pPr>
            <w:r w:rsidRPr="00810824">
              <w:rPr>
                <w:rFonts w:ascii="Arial" w:hAnsi="Arial" w:cs="Arial"/>
                <w:b/>
              </w:rPr>
              <w:t>Article 468</w:t>
            </w:r>
            <w:r w:rsidR="00810824" w:rsidRPr="00810824">
              <w:rPr>
                <w:rFonts w:ascii="Arial" w:hAnsi="Arial" w:cs="Arial"/>
                <w:b/>
              </w:rPr>
              <w:t xml:space="preserve">. </w:t>
            </w:r>
            <w:r w:rsidR="00660A24">
              <w:rPr>
                <w:rFonts w:ascii="Arial" w:hAnsi="Arial" w:cs="Arial"/>
                <w:b/>
              </w:rPr>
              <w:t>–</w:t>
            </w:r>
          </w:p>
          <w:p w14:paraId="4C0313C9" w14:textId="5E000854" w:rsidR="005058F9" w:rsidRPr="00810824" w:rsidRDefault="005058F9" w:rsidP="00A64175">
            <w:pPr>
              <w:jc w:val="both"/>
              <w:rPr>
                <w:rFonts w:ascii="Arial" w:hAnsi="Arial" w:cs="Arial"/>
                <w:b/>
              </w:rPr>
            </w:pPr>
            <w:r w:rsidRPr="00810824">
              <w:rPr>
                <w:rFonts w:ascii="Arial" w:hAnsi="Arial" w:cs="Arial"/>
              </w:rPr>
              <w:t>Toute entité sollicitant un agrément en quali</w:t>
            </w:r>
            <w:r w:rsidR="00647A43" w:rsidRPr="00810824">
              <w:rPr>
                <w:rFonts w:ascii="Arial" w:hAnsi="Arial" w:cs="Arial"/>
              </w:rPr>
              <w:t>té de société de gestion d’O</w:t>
            </w:r>
            <w:r w:rsidR="00B53518" w:rsidRPr="00810824">
              <w:rPr>
                <w:rFonts w:ascii="Arial" w:hAnsi="Arial" w:cs="Arial"/>
              </w:rPr>
              <w:t xml:space="preserve">PC </w:t>
            </w:r>
            <w:r w:rsidRPr="00810824">
              <w:rPr>
                <w:rFonts w:ascii="Arial" w:hAnsi="Arial" w:cs="Arial"/>
              </w:rPr>
              <w:t xml:space="preserve">doit notamment remplir les conditions suivantes : </w:t>
            </w:r>
          </w:p>
          <w:p w14:paraId="69B66838" w14:textId="77777777" w:rsidR="00814DC2" w:rsidRPr="00810824" w:rsidRDefault="00814DC2" w:rsidP="00A64175">
            <w:pPr>
              <w:jc w:val="both"/>
              <w:rPr>
                <w:rFonts w:ascii="Arial" w:hAnsi="Arial" w:cs="Arial"/>
              </w:rPr>
            </w:pPr>
          </w:p>
          <w:p w14:paraId="7AC00FF4" w14:textId="749739B1" w:rsidR="005058F9" w:rsidRPr="00810824" w:rsidRDefault="005058F9" w:rsidP="00A64175">
            <w:pPr>
              <w:jc w:val="both"/>
              <w:rPr>
                <w:rFonts w:ascii="Arial" w:hAnsi="Arial" w:cs="Arial"/>
              </w:rPr>
            </w:pPr>
            <w:r w:rsidRPr="00810824">
              <w:rPr>
                <w:rFonts w:ascii="Arial" w:hAnsi="Arial" w:cs="Arial"/>
              </w:rPr>
              <w:t>- Etre constituée sous la forme d'une société anonyme et avoir pour objet unique la gestion d'un ou plusieurs organ</w:t>
            </w:r>
            <w:r w:rsidR="00810824" w:rsidRPr="00810824">
              <w:rPr>
                <w:rFonts w:ascii="Arial" w:hAnsi="Arial" w:cs="Arial"/>
              </w:rPr>
              <w:t xml:space="preserve">ismes de placement collectif; </w:t>
            </w:r>
          </w:p>
          <w:p w14:paraId="688D3C1A" w14:textId="77777777" w:rsidR="00810824" w:rsidRPr="00810824" w:rsidRDefault="00810824" w:rsidP="00A64175">
            <w:pPr>
              <w:jc w:val="both"/>
              <w:rPr>
                <w:rFonts w:ascii="Arial" w:hAnsi="Arial" w:cs="Arial"/>
              </w:rPr>
            </w:pPr>
          </w:p>
          <w:p w14:paraId="332B55B3" w14:textId="013298D5" w:rsidR="005058F9" w:rsidRPr="00810824" w:rsidRDefault="007954DA" w:rsidP="00A64175">
            <w:pPr>
              <w:jc w:val="both"/>
              <w:rPr>
                <w:rFonts w:ascii="Arial" w:hAnsi="Arial" w:cs="Arial"/>
              </w:rPr>
            </w:pPr>
            <w:r w:rsidRPr="00810824">
              <w:rPr>
                <w:rFonts w:ascii="Arial" w:hAnsi="Arial" w:cs="Arial"/>
              </w:rPr>
              <w:t xml:space="preserve">- </w:t>
            </w:r>
            <w:r w:rsidR="005058F9" w:rsidRPr="00810824">
              <w:rPr>
                <w:rFonts w:ascii="Arial" w:hAnsi="Arial" w:cs="Arial"/>
              </w:rPr>
              <w:t xml:space="preserve">Avoir son siège social dans un Etat membre de la CEMAC ; </w:t>
            </w:r>
          </w:p>
          <w:p w14:paraId="0E1BB129" w14:textId="77777777" w:rsidR="00810824" w:rsidRPr="00810824" w:rsidRDefault="00810824" w:rsidP="00A64175">
            <w:pPr>
              <w:jc w:val="both"/>
              <w:rPr>
                <w:rFonts w:ascii="Arial" w:hAnsi="Arial" w:cs="Arial"/>
              </w:rPr>
            </w:pPr>
          </w:p>
          <w:p w14:paraId="730E61FF" w14:textId="5D9F92D5" w:rsidR="005058F9" w:rsidRPr="00810824" w:rsidRDefault="005058F9" w:rsidP="00A64175">
            <w:pPr>
              <w:jc w:val="both"/>
              <w:rPr>
                <w:rFonts w:ascii="Arial" w:hAnsi="Arial" w:cs="Arial"/>
              </w:rPr>
            </w:pPr>
            <w:r w:rsidRPr="00810824">
              <w:rPr>
                <w:rFonts w:ascii="Arial" w:hAnsi="Arial" w:cs="Arial"/>
              </w:rPr>
              <w:t>- Justifier d'un capital social minimum de trois cent millions (300 000 000) de francs CFA entièrement libéré à la constitution et de fonds propres nets égaux ou supérieurs à ce montant ;</w:t>
            </w:r>
          </w:p>
          <w:p w14:paraId="576818A2" w14:textId="77777777" w:rsidR="00810824" w:rsidRPr="00810824" w:rsidRDefault="00810824" w:rsidP="00A64175">
            <w:pPr>
              <w:jc w:val="both"/>
              <w:rPr>
                <w:rFonts w:ascii="Arial" w:hAnsi="Arial" w:cs="Arial"/>
              </w:rPr>
            </w:pPr>
          </w:p>
          <w:p w14:paraId="0A9372E8" w14:textId="16F1A2B9" w:rsidR="005058F9" w:rsidRPr="00810824" w:rsidRDefault="005058F9" w:rsidP="00A64175">
            <w:pPr>
              <w:jc w:val="both"/>
              <w:rPr>
                <w:rFonts w:ascii="Arial" w:hAnsi="Arial" w:cs="Arial"/>
              </w:rPr>
            </w:pPr>
            <w:r w:rsidRPr="00810824">
              <w:rPr>
                <w:rFonts w:ascii="Arial" w:hAnsi="Arial" w:cs="Arial"/>
              </w:rPr>
              <w:t xml:space="preserve"> - Satisfaire aux exigences définies par la COSUMAF concernant I</w:t>
            </w:r>
            <w:r w:rsidR="002C0927" w:rsidRPr="00810824">
              <w:rPr>
                <w:rFonts w:ascii="Arial" w:hAnsi="Arial" w:cs="Arial"/>
              </w:rPr>
              <w:t xml:space="preserve">’ </w:t>
            </w:r>
            <w:r w:rsidRPr="00810824">
              <w:rPr>
                <w:rFonts w:ascii="Arial" w:hAnsi="Arial" w:cs="Arial"/>
              </w:rPr>
              <w:t>agrément des dirigeants des structures agréées du marché.</w:t>
            </w:r>
          </w:p>
          <w:p w14:paraId="3D4DA147" w14:textId="77777777" w:rsidR="00A9424D" w:rsidRPr="00810824" w:rsidRDefault="00A9424D" w:rsidP="00A64175">
            <w:pPr>
              <w:jc w:val="both"/>
              <w:rPr>
                <w:rFonts w:ascii="Arial" w:hAnsi="Arial" w:cs="Arial"/>
              </w:rPr>
            </w:pPr>
          </w:p>
          <w:p w14:paraId="655EBBCE" w14:textId="77777777" w:rsidR="00660A24" w:rsidRDefault="00343562" w:rsidP="00011755">
            <w:pPr>
              <w:jc w:val="both"/>
              <w:rPr>
                <w:rFonts w:ascii="Arial" w:hAnsi="Arial" w:cs="Arial"/>
              </w:rPr>
            </w:pPr>
            <w:r w:rsidRPr="00810824">
              <w:rPr>
                <w:rFonts w:ascii="Arial" w:hAnsi="Arial" w:cs="Arial"/>
                <w:b/>
              </w:rPr>
              <w:t xml:space="preserve">Article </w:t>
            </w:r>
            <w:r w:rsidR="009C69F6" w:rsidRPr="00810824">
              <w:rPr>
                <w:rFonts w:ascii="Arial" w:hAnsi="Arial" w:cs="Arial"/>
                <w:b/>
              </w:rPr>
              <w:t>469</w:t>
            </w:r>
            <w:r w:rsidR="00810824" w:rsidRPr="00810824">
              <w:rPr>
                <w:rFonts w:ascii="Arial" w:hAnsi="Arial" w:cs="Arial"/>
              </w:rPr>
              <w:t>.-</w:t>
            </w:r>
            <w:r w:rsidR="009C69F6" w:rsidRPr="00810824">
              <w:rPr>
                <w:rFonts w:ascii="Arial" w:hAnsi="Arial" w:cs="Arial"/>
              </w:rPr>
              <w:t xml:space="preserve"> </w:t>
            </w:r>
          </w:p>
          <w:p w14:paraId="2D2B9899" w14:textId="7E57BE13" w:rsidR="00011755" w:rsidRDefault="00343562" w:rsidP="00011755">
            <w:pPr>
              <w:jc w:val="both"/>
              <w:rPr>
                <w:rFonts w:ascii="Arial" w:hAnsi="Arial" w:cs="Arial"/>
              </w:rPr>
            </w:pPr>
            <w:r w:rsidRPr="00810824">
              <w:rPr>
                <w:rFonts w:ascii="Arial" w:hAnsi="Arial" w:cs="Arial"/>
              </w:rPr>
              <w:t>Pour pouvoir être agréée en qualité de société de gestion d’OPC, l'entité requérante doit adresser à</w:t>
            </w:r>
            <w:r w:rsidR="00304D46" w:rsidRPr="00810824">
              <w:rPr>
                <w:rFonts w:ascii="Arial" w:hAnsi="Arial" w:cs="Arial"/>
              </w:rPr>
              <w:t xml:space="preserve"> </w:t>
            </w:r>
            <w:r w:rsidRPr="00810824">
              <w:rPr>
                <w:rFonts w:ascii="Arial" w:hAnsi="Arial" w:cs="Arial"/>
              </w:rPr>
              <w:t>la COSUMAF un dossier d'agrément comprenant un programme d’activité, des documents et renseignements précisés dans une Instruction de la COSUMAF.</w:t>
            </w:r>
          </w:p>
          <w:p w14:paraId="5263E313" w14:textId="77777777" w:rsidR="00011755" w:rsidRDefault="00011755" w:rsidP="00011755">
            <w:pPr>
              <w:jc w:val="both"/>
              <w:rPr>
                <w:rFonts w:ascii="Arial" w:hAnsi="Arial" w:cs="Arial"/>
              </w:rPr>
            </w:pPr>
          </w:p>
          <w:p w14:paraId="402C8815" w14:textId="7C89ED5C" w:rsidR="00343562" w:rsidRDefault="00343562" w:rsidP="00011755">
            <w:pPr>
              <w:jc w:val="both"/>
              <w:rPr>
                <w:rFonts w:ascii="Arial" w:eastAsia="Times New Roman" w:hAnsi="Arial" w:cs="Arial"/>
                <w:lang w:eastAsia="fr-FR"/>
              </w:rPr>
            </w:pPr>
            <w:r w:rsidRPr="00810824">
              <w:rPr>
                <w:rFonts w:ascii="Arial" w:hAnsi="Arial" w:cs="Arial"/>
              </w:rPr>
              <w:t>Le programme d’activité</w:t>
            </w:r>
            <w:r w:rsidRPr="00810824">
              <w:rPr>
                <w:rFonts w:ascii="Arial" w:eastAsia="Times New Roman" w:hAnsi="Arial" w:cs="Arial"/>
                <w:lang w:eastAsia="fr-FR"/>
              </w:rPr>
              <w:t xml:space="preserve"> visé au présent article détaille chacun des services que la Société de Gestion d’OPC entend fournir, les conditions dans lesquelles elle envisage de fournir lesdits</w:t>
            </w:r>
            <w:r w:rsidR="006F605C" w:rsidRPr="00810824">
              <w:rPr>
                <w:rFonts w:ascii="Arial" w:eastAsia="Times New Roman" w:hAnsi="Arial" w:cs="Arial"/>
                <w:lang w:eastAsia="fr-FR"/>
              </w:rPr>
              <w:t xml:space="preserve"> services, la nature des </w:t>
            </w:r>
            <w:r w:rsidRPr="00810824">
              <w:rPr>
                <w:rFonts w:ascii="Arial" w:eastAsia="Times New Roman" w:hAnsi="Arial" w:cs="Arial"/>
                <w:lang w:eastAsia="fr-FR"/>
              </w:rPr>
              <w:t>opérations envisagées et la structure de son organisation.</w:t>
            </w:r>
          </w:p>
          <w:p w14:paraId="52B75F6C" w14:textId="77777777" w:rsidR="00BC5DCD" w:rsidRPr="00011755" w:rsidRDefault="00BC5DCD" w:rsidP="00011755">
            <w:pPr>
              <w:jc w:val="both"/>
              <w:rPr>
                <w:rFonts w:ascii="Arial" w:hAnsi="Arial" w:cs="Arial"/>
              </w:rPr>
            </w:pPr>
          </w:p>
          <w:p w14:paraId="2963AF74" w14:textId="7C6A5AA7" w:rsidR="00F17EB0" w:rsidRPr="00F35098" w:rsidRDefault="00327C65" w:rsidP="00A64175">
            <w:pPr>
              <w:jc w:val="both"/>
              <w:rPr>
                <w:rFonts w:ascii="Arial" w:hAnsi="Arial" w:cs="Arial"/>
              </w:rPr>
            </w:pPr>
            <w:r>
              <w:rPr>
                <w:rFonts w:ascii="Arial" w:hAnsi="Arial" w:cs="Arial"/>
              </w:rPr>
              <w:t xml:space="preserve">Sous-section 2 </w:t>
            </w:r>
            <w:r w:rsidR="00F35098">
              <w:rPr>
                <w:rFonts w:ascii="Arial" w:hAnsi="Arial" w:cs="Arial"/>
              </w:rPr>
              <w:t xml:space="preserve"> P</w:t>
            </w:r>
            <w:r w:rsidR="00F17EB0" w:rsidRPr="00F35098">
              <w:rPr>
                <w:rFonts w:ascii="Arial" w:hAnsi="Arial" w:cs="Arial"/>
              </w:rPr>
              <w:t>rocédure d’agrément</w:t>
            </w:r>
          </w:p>
          <w:p w14:paraId="55B37E8B" w14:textId="77777777" w:rsidR="00E0570D" w:rsidRPr="00F17EB0" w:rsidRDefault="00E0570D" w:rsidP="00A64175">
            <w:pPr>
              <w:jc w:val="both"/>
              <w:rPr>
                <w:rFonts w:ascii="Arial" w:hAnsi="Arial" w:cs="Arial"/>
                <w:b/>
                <w:bCs/>
              </w:rPr>
            </w:pPr>
          </w:p>
          <w:p w14:paraId="0723E2DB" w14:textId="77777777" w:rsidR="00660A24" w:rsidRDefault="009C69F6" w:rsidP="00E0570D">
            <w:pPr>
              <w:jc w:val="both"/>
              <w:rPr>
                <w:rFonts w:ascii="Arial" w:hAnsi="Arial" w:cs="Arial"/>
                <w:b/>
              </w:rPr>
            </w:pPr>
            <w:r w:rsidRPr="009C69F6">
              <w:rPr>
                <w:rFonts w:ascii="Arial" w:hAnsi="Arial" w:cs="Arial"/>
                <w:b/>
              </w:rPr>
              <w:t>Article 470</w:t>
            </w:r>
            <w:r w:rsidR="00F35098">
              <w:rPr>
                <w:rFonts w:ascii="Arial" w:hAnsi="Arial" w:cs="Arial"/>
                <w:b/>
              </w:rPr>
              <w:t xml:space="preserve">.- </w:t>
            </w:r>
          </w:p>
          <w:p w14:paraId="418E8001" w14:textId="06C29A18" w:rsidR="00E0570D" w:rsidRPr="00F35098" w:rsidRDefault="00E0570D" w:rsidP="00E0570D">
            <w:pPr>
              <w:jc w:val="both"/>
              <w:rPr>
                <w:rFonts w:ascii="Arial" w:hAnsi="Arial" w:cs="Arial"/>
                <w:b/>
              </w:rPr>
            </w:pPr>
            <w:r w:rsidRPr="00DB26E6">
              <w:rPr>
                <w:rFonts w:ascii="Arial" w:hAnsi="Arial" w:cs="Arial"/>
              </w:rPr>
              <w:t>Lorsqu'elle reçoit le dossier de demande d'agrément de la société requérante, la COSUMAF délivre un récépissé, dûment daté et signé, attestant du dépôt du dossier complet. La demande est alors enregistrée. La COSUMAF procède ensuite à I ‘instruction de la demande.</w:t>
            </w:r>
          </w:p>
          <w:p w14:paraId="12B69DB9" w14:textId="77777777" w:rsidR="00E0570D" w:rsidRPr="00DB26E6" w:rsidRDefault="00E0570D" w:rsidP="00E0570D">
            <w:pPr>
              <w:jc w:val="both"/>
              <w:rPr>
                <w:rFonts w:ascii="Arial" w:hAnsi="Arial" w:cs="Arial"/>
              </w:rPr>
            </w:pPr>
          </w:p>
          <w:p w14:paraId="729E3679" w14:textId="77777777" w:rsidR="00660A24" w:rsidRDefault="009C69F6" w:rsidP="00E0570D">
            <w:pPr>
              <w:jc w:val="both"/>
              <w:rPr>
                <w:rFonts w:ascii="Arial" w:hAnsi="Arial" w:cs="Arial"/>
                <w:b/>
              </w:rPr>
            </w:pPr>
            <w:r w:rsidRPr="009C69F6">
              <w:rPr>
                <w:rFonts w:ascii="Arial" w:hAnsi="Arial" w:cs="Arial"/>
                <w:b/>
              </w:rPr>
              <w:t>Article 471</w:t>
            </w:r>
            <w:r w:rsidR="00F35098">
              <w:rPr>
                <w:rFonts w:ascii="Arial" w:hAnsi="Arial" w:cs="Arial"/>
                <w:b/>
              </w:rPr>
              <w:t>.-</w:t>
            </w:r>
          </w:p>
          <w:p w14:paraId="6111DBF2" w14:textId="3A9CC328" w:rsidR="006A07EE" w:rsidRPr="00F35098" w:rsidRDefault="00F35098" w:rsidP="00E0570D">
            <w:pPr>
              <w:jc w:val="both"/>
              <w:rPr>
                <w:rFonts w:ascii="Arial" w:hAnsi="Arial" w:cs="Arial"/>
                <w:b/>
              </w:rPr>
            </w:pPr>
            <w:r>
              <w:rPr>
                <w:rFonts w:ascii="Arial" w:hAnsi="Arial" w:cs="Arial"/>
                <w:b/>
              </w:rPr>
              <w:t xml:space="preserve"> </w:t>
            </w:r>
            <w:r w:rsidR="00647A43" w:rsidRPr="00DB26E6">
              <w:rPr>
                <w:rFonts w:ascii="Arial" w:hAnsi="Arial" w:cs="Arial"/>
              </w:rPr>
              <w:t xml:space="preserve">La COSUMAF donne suite à la demande d'agrément dans un délai qui ne peut excéder soixante (60) jours à compter de la date de réception du dossier complet. Ce délai est suspendu jusqu'à la production de documents et informations complémentaires que pourra exiger la COSUMAF. </w:t>
            </w:r>
          </w:p>
          <w:p w14:paraId="13649E5F" w14:textId="77777777" w:rsidR="006A07EE" w:rsidRDefault="006A07EE" w:rsidP="00E0570D">
            <w:pPr>
              <w:jc w:val="both"/>
              <w:rPr>
                <w:rFonts w:ascii="Arial" w:hAnsi="Arial" w:cs="Arial"/>
              </w:rPr>
            </w:pPr>
          </w:p>
          <w:p w14:paraId="12D16E73" w14:textId="052FBCA4" w:rsidR="00E0570D" w:rsidRPr="00DB26E6" w:rsidRDefault="00647A43" w:rsidP="00E0570D">
            <w:pPr>
              <w:jc w:val="both"/>
              <w:rPr>
                <w:rFonts w:ascii="Arial" w:hAnsi="Arial" w:cs="Arial"/>
              </w:rPr>
            </w:pPr>
            <w:r w:rsidRPr="00DB26E6">
              <w:rPr>
                <w:rFonts w:ascii="Arial" w:hAnsi="Arial" w:cs="Arial"/>
              </w:rPr>
              <w:t>La décision d'octroi ou de refus d'agrément prise par la COSUMAF est notifiée au requérant par lettre avec accusé de réception. Les décisions de refus d’agrément sont motivées.</w:t>
            </w:r>
          </w:p>
          <w:p w14:paraId="2B2E27BD" w14:textId="77777777" w:rsidR="00B440FE" w:rsidRPr="00DB26E6" w:rsidRDefault="00B440FE" w:rsidP="00E0570D">
            <w:pPr>
              <w:jc w:val="both"/>
              <w:rPr>
                <w:rFonts w:ascii="Arial" w:hAnsi="Arial" w:cs="Arial"/>
              </w:rPr>
            </w:pPr>
          </w:p>
          <w:p w14:paraId="2AF7B178" w14:textId="77777777" w:rsidR="00660A24" w:rsidRDefault="009C69F6" w:rsidP="00E0570D">
            <w:pPr>
              <w:jc w:val="both"/>
              <w:rPr>
                <w:rFonts w:ascii="Arial" w:hAnsi="Arial" w:cs="Arial"/>
                <w:b/>
              </w:rPr>
            </w:pPr>
            <w:r w:rsidRPr="009C69F6">
              <w:rPr>
                <w:rFonts w:ascii="Arial" w:hAnsi="Arial" w:cs="Arial"/>
                <w:b/>
              </w:rPr>
              <w:t>Article 472</w:t>
            </w:r>
            <w:r w:rsidR="00F35098">
              <w:rPr>
                <w:rFonts w:ascii="Arial" w:hAnsi="Arial" w:cs="Arial"/>
                <w:b/>
              </w:rPr>
              <w:t xml:space="preserve">.- </w:t>
            </w:r>
          </w:p>
          <w:p w14:paraId="161C5E3C" w14:textId="7B601D8F" w:rsidR="006A07EE" w:rsidRPr="00F35098" w:rsidRDefault="00B440FE" w:rsidP="00E0570D">
            <w:pPr>
              <w:jc w:val="both"/>
              <w:rPr>
                <w:rFonts w:ascii="Arial" w:hAnsi="Arial" w:cs="Arial"/>
                <w:b/>
              </w:rPr>
            </w:pPr>
            <w:r w:rsidRPr="00DB26E6">
              <w:rPr>
                <w:rFonts w:ascii="Arial" w:hAnsi="Arial" w:cs="Arial"/>
              </w:rPr>
              <w:t>La décision d'agrément est individuelle, in</w:t>
            </w:r>
            <w:r w:rsidR="007954DA" w:rsidRPr="007954DA">
              <w:rPr>
                <w:rFonts w:ascii="Arial" w:hAnsi="Arial" w:cs="Arial"/>
              </w:rPr>
              <w:t>aliénable et intransmissible et</w:t>
            </w:r>
            <w:r w:rsidRPr="00DB26E6">
              <w:rPr>
                <w:rFonts w:ascii="Arial" w:hAnsi="Arial" w:cs="Arial"/>
              </w:rPr>
              <w:t xml:space="preserve"> précise l'étendue des activités autorisée</w:t>
            </w:r>
            <w:r w:rsidR="007954DA">
              <w:rPr>
                <w:rFonts w:ascii="Arial" w:hAnsi="Arial" w:cs="Arial"/>
              </w:rPr>
              <w:t xml:space="preserve">s. </w:t>
            </w:r>
          </w:p>
          <w:p w14:paraId="1894597E" w14:textId="77777777" w:rsidR="006A07EE" w:rsidRDefault="006A07EE" w:rsidP="00E0570D">
            <w:pPr>
              <w:jc w:val="both"/>
              <w:rPr>
                <w:rFonts w:ascii="Arial" w:hAnsi="Arial" w:cs="Arial"/>
              </w:rPr>
            </w:pPr>
          </w:p>
          <w:p w14:paraId="24B75A46" w14:textId="5957CE5B" w:rsidR="00B440FE" w:rsidRPr="00DB26E6" w:rsidRDefault="007954DA" w:rsidP="00E0570D">
            <w:pPr>
              <w:jc w:val="both"/>
              <w:rPr>
                <w:rFonts w:ascii="Arial" w:hAnsi="Arial" w:cs="Arial"/>
              </w:rPr>
            </w:pPr>
            <w:r>
              <w:rPr>
                <w:rFonts w:ascii="Arial" w:hAnsi="Arial" w:cs="Arial"/>
              </w:rPr>
              <w:t>La décision d'agrément fait l</w:t>
            </w:r>
            <w:r w:rsidR="00B440FE" w:rsidRPr="00DB26E6">
              <w:rPr>
                <w:rFonts w:ascii="Arial" w:hAnsi="Arial" w:cs="Arial"/>
              </w:rPr>
              <w:t>'objet d'un avis publié dans les conditions déterminées par la COSUMAF.</w:t>
            </w:r>
          </w:p>
          <w:p w14:paraId="29E4657D" w14:textId="77777777" w:rsidR="00B440FE" w:rsidRPr="00DB26E6" w:rsidRDefault="00B440FE" w:rsidP="00E0570D">
            <w:pPr>
              <w:jc w:val="both"/>
              <w:rPr>
                <w:rFonts w:ascii="Arial" w:hAnsi="Arial" w:cs="Arial"/>
              </w:rPr>
            </w:pPr>
          </w:p>
          <w:p w14:paraId="315AF667" w14:textId="77777777" w:rsidR="00660A24" w:rsidRDefault="009C69F6" w:rsidP="00E0570D">
            <w:pPr>
              <w:jc w:val="both"/>
              <w:rPr>
                <w:rFonts w:ascii="Arial" w:hAnsi="Arial" w:cs="Arial"/>
                <w:b/>
              </w:rPr>
            </w:pPr>
            <w:r w:rsidRPr="009C69F6">
              <w:rPr>
                <w:rFonts w:ascii="Arial" w:hAnsi="Arial" w:cs="Arial"/>
                <w:b/>
              </w:rPr>
              <w:t>Article 473</w:t>
            </w:r>
            <w:r w:rsidR="00F35098">
              <w:rPr>
                <w:rFonts w:ascii="Arial" w:hAnsi="Arial" w:cs="Arial"/>
                <w:b/>
              </w:rPr>
              <w:t xml:space="preserve">.- </w:t>
            </w:r>
          </w:p>
          <w:p w14:paraId="24A2325E" w14:textId="09ABA636" w:rsidR="007B3697" w:rsidRDefault="00B440FE" w:rsidP="00E0570D">
            <w:pPr>
              <w:jc w:val="both"/>
              <w:rPr>
                <w:rFonts w:ascii="Arial" w:hAnsi="Arial" w:cs="Arial"/>
              </w:rPr>
            </w:pPr>
            <w:r w:rsidRPr="00DB26E6">
              <w:rPr>
                <w:rFonts w:ascii="Arial" w:hAnsi="Arial" w:cs="Arial"/>
              </w:rPr>
              <w:t xml:space="preserve">La COSUMAF peut retirer à tout moment son agrément en cas de violation des dispositions législatives et réglementaires. </w:t>
            </w:r>
          </w:p>
          <w:p w14:paraId="554B90B8" w14:textId="77777777" w:rsidR="00011755" w:rsidRPr="00F35098" w:rsidRDefault="00011755" w:rsidP="00E0570D">
            <w:pPr>
              <w:jc w:val="both"/>
              <w:rPr>
                <w:rFonts w:ascii="Arial" w:hAnsi="Arial" w:cs="Arial"/>
                <w:b/>
              </w:rPr>
            </w:pPr>
          </w:p>
          <w:p w14:paraId="19142276" w14:textId="77777777" w:rsidR="00660A24" w:rsidRDefault="009C69F6" w:rsidP="00E0570D">
            <w:pPr>
              <w:jc w:val="both"/>
              <w:rPr>
                <w:rFonts w:ascii="Arial" w:hAnsi="Arial" w:cs="Arial"/>
                <w:b/>
              </w:rPr>
            </w:pPr>
            <w:r w:rsidRPr="009C69F6">
              <w:rPr>
                <w:rFonts w:ascii="Arial" w:hAnsi="Arial" w:cs="Arial"/>
                <w:b/>
              </w:rPr>
              <w:t>Article 474</w:t>
            </w:r>
            <w:r w:rsidR="00F35098">
              <w:rPr>
                <w:rFonts w:ascii="Arial" w:hAnsi="Arial" w:cs="Arial"/>
                <w:b/>
              </w:rPr>
              <w:t xml:space="preserve">.- </w:t>
            </w:r>
          </w:p>
          <w:p w14:paraId="7D72F56B" w14:textId="347ACF3A" w:rsidR="007B3697" w:rsidRPr="00F35098" w:rsidRDefault="007B3697" w:rsidP="00E0570D">
            <w:pPr>
              <w:jc w:val="both"/>
              <w:rPr>
                <w:rFonts w:ascii="Arial" w:hAnsi="Arial" w:cs="Arial"/>
                <w:b/>
              </w:rPr>
            </w:pPr>
            <w:r w:rsidRPr="00DB26E6">
              <w:rPr>
                <w:rFonts w:ascii="Arial" w:hAnsi="Arial" w:cs="Arial"/>
              </w:rPr>
              <w:t>La</w:t>
            </w:r>
            <w:r w:rsidR="00F35098">
              <w:rPr>
                <w:rFonts w:ascii="Arial" w:hAnsi="Arial" w:cs="Arial"/>
              </w:rPr>
              <w:t xml:space="preserve"> </w:t>
            </w:r>
            <w:r w:rsidRPr="00DB26E6">
              <w:rPr>
                <w:rFonts w:ascii="Arial" w:hAnsi="Arial" w:cs="Arial"/>
              </w:rPr>
              <w:t>décision de retrait d'agrément est motivée. Cette décision précise les conditions de mise en œuvre du retrait d'agrément.</w:t>
            </w:r>
          </w:p>
          <w:p w14:paraId="74457D8F" w14:textId="77777777" w:rsidR="005058F9" w:rsidRDefault="005058F9" w:rsidP="00A64175">
            <w:pPr>
              <w:jc w:val="both"/>
              <w:rPr>
                <w:rFonts w:ascii="Arial" w:hAnsi="Arial" w:cs="Arial"/>
                <w:b/>
              </w:rPr>
            </w:pPr>
          </w:p>
          <w:p w14:paraId="42807423" w14:textId="77777777" w:rsidR="00327C65" w:rsidRPr="00F17EB0" w:rsidRDefault="00327C65" w:rsidP="00A64175">
            <w:pPr>
              <w:jc w:val="both"/>
              <w:rPr>
                <w:rFonts w:ascii="Arial" w:hAnsi="Arial" w:cs="Arial"/>
                <w:b/>
              </w:rPr>
            </w:pPr>
          </w:p>
        </w:tc>
      </w:tr>
      <w:tr w:rsidR="007058CC" w:rsidRPr="00A64175" w14:paraId="55DA7E9F" w14:textId="77777777" w:rsidTr="000E7336">
        <w:trPr>
          <w:trHeight w:val="391"/>
          <w:jc w:val="center"/>
        </w:trPr>
        <w:tc>
          <w:tcPr>
            <w:tcW w:w="10316" w:type="dxa"/>
            <w:shd w:val="clear" w:color="auto" w:fill="auto"/>
          </w:tcPr>
          <w:p w14:paraId="28EEBAFB" w14:textId="1FE39E7B" w:rsidR="007058CC" w:rsidRDefault="00BC5DCD" w:rsidP="00A64175">
            <w:pPr>
              <w:jc w:val="both"/>
              <w:rPr>
                <w:rFonts w:ascii="Arial" w:hAnsi="Arial" w:cs="Arial"/>
                <w:bCs/>
                <w:i/>
                <w:iCs/>
              </w:rPr>
            </w:pPr>
            <w:r>
              <w:rPr>
                <w:rFonts w:ascii="Arial" w:hAnsi="Arial" w:cs="Arial"/>
                <w:bCs/>
                <w:i/>
                <w:iCs/>
              </w:rPr>
              <w:t>Sous-section</w:t>
            </w:r>
            <w:r w:rsidR="00327C65">
              <w:rPr>
                <w:rFonts w:ascii="Arial" w:hAnsi="Arial" w:cs="Arial"/>
                <w:bCs/>
                <w:i/>
                <w:iCs/>
              </w:rPr>
              <w:t xml:space="preserve"> 3</w:t>
            </w:r>
            <w:r w:rsidR="007058CC" w:rsidRPr="00F17EB0">
              <w:rPr>
                <w:rFonts w:ascii="Arial" w:hAnsi="Arial" w:cs="Arial"/>
                <w:bCs/>
                <w:i/>
                <w:iCs/>
              </w:rPr>
              <w:t> : Code de bonne conduite des SGP</w:t>
            </w:r>
          </w:p>
          <w:p w14:paraId="3A61D2A3" w14:textId="7B3C01F9" w:rsidR="00327C65" w:rsidRPr="00F17EB0" w:rsidRDefault="00327C65" w:rsidP="00A64175">
            <w:pPr>
              <w:jc w:val="both"/>
              <w:rPr>
                <w:rFonts w:ascii="Arial" w:hAnsi="Arial" w:cs="Arial"/>
                <w:bCs/>
                <w:i/>
                <w:iCs/>
              </w:rPr>
            </w:pPr>
          </w:p>
        </w:tc>
      </w:tr>
      <w:tr w:rsidR="007058CC" w:rsidRPr="00A64175" w14:paraId="7B913A8B" w14:textId="77777777" w:rsidTr="000E7336">
        <w:trPr>
          <w:trHeight w:val="391"/>
          <w:jc w:val="center"/>
        </w:trPr>
        <w:tc>
          <w:tcPr>
            <w:tcW w:w="10316" w:type="dxa"/>
            <w:shd w:val="clear" w:color="auto" w:fill="auto"/>
          </w:tcPr>
          <w:p w14:paraId="3A387793" w14:textId="123E9C48" w:rsidR="007058CC" w:rsidRPr="00A64175" w:rsidRDefault="00685904" w:rsidP="00A64175">
            <w:pPr>
              <w:jc w:val="both"/>
              <w:rPr>
                <w:rFonts w:ascii="Arial" w:hAnsi="Arial" w:cs="Arial"/>
                <w:b/>
              </w:rPr>
            </w:pPr>
            <w:r w:rsidRPr="00A64175">
              <w:rPr>
                <w:rFonts w:ascii="Arial" w:hAnsi="Arial" w:cs="Arial"/>
                <w:b/>
              </w:rPr>
              <w:t>Article</w:t>
            </w:r>
            <w:r w:rsidR="009C69F6">
              <w:rPr>
                <w:rFonts w:ascii="Arial" w:hAnsi="Arial" w:cs="Arial"/>
                <w:b/>
              </w:rPr>
              <w:t xml:space="preserve"> 475</w:t>
            </w:r>
            <w:r w:rsidR="007058CC" w:rsidRPr="00A64175">
              <w:rPr>
                <w:rFonts w:ascii="Arial" w:hAnsi="Arial" w:cs="Arial"/>
                <w:b/>
              </w:rPr>
              <w:t xml:space="preserve"> -</w:t>
            </w:r>
          </w:p>
          <w:p w14:paraId="235005C4" w14:textId="77777777" w:rsidR="007058CC" w:rsidRPr="00A64175" w:rsidRDefault="007058CC" w:rsidP="00A64175">
            <w:pPr>
              <w:jc w:val="both"/>
              <w:rPr>
                <w:rFonts w:ascii="Arial" w:hAnsi="Arial" w:cs="Arial"/>
              </w:rPr>
            </w:pPr>
            <w:r w:rsidRPr="00A64175">
              <w:rPr>
                <w:rFonts w:ascii="Arial" w:hAnsi="Arial" w:cs="Arial"/>
              </w:rPr>
              <w:t>Une association professionnelle élabore un code de bonne conduite destiné à s'appliquer aux sociétés de gestion ou à une catégorie de société de gestion.</w:t>
            </w:r>
          </w:p>
          <w:p w14:paraId="4FF9EEFE" w14:textId="77777777" w:rsidR="007058CC" w:rsidRPr="00A64175" w:rsidRDefault="007058CC" w:rsidP="00A64175">
            <w:pPr>
              <w:shd w:val="clear" w:color="auto" w:fill="FFFFFF"/>
              <w:spacing w:after="150"/>
              <w:jc w:val="both"/>
              <w:rPr>
                <w:rFonts w:ascii="Arial" w:hAnsi="Arial" w:cs="Arial"/>
              </w:rPr>
            </w:pPr>
            <w:r w:rsidRPr="00A64175">
              <w:rPr>
                <w:rFonts w:ascii="Arial" w:hAnsi="Arial" w:cs="Arial"/>
              </w:rPr>
              <w:t>La COSUMAF s'assure de la compatibilité de ses dispositions avec celles du présent règlement.</w:t>
            </w:r>
          </w:p>
          <w:p w14:paraId="4252685B" w14:textId="77777777" w:rsidR="007058CC" w:rsidRPr="00A64175" w:rsidRDefault="007058CC" w:rsidP="00A64175">
            <w:pPr>
              <w:shd w:val="clear" w:color="auto" w:fill="FFFFFF"/>
              <w:spacing w:after="150"/>
              <w:jc w:val="both"/>
              <w:rPr>
                <w:rFonts w:ascii="Arial" w:hAnsi="Arial" w:cs="Arial"/>
              </w:rPr>
            </w:pPr>
            <w:r w:rsidRPr="00A64175">
              <w:rPr>
                <w:rFonts w:ascii="Arial" w:hAnsi="Arial" w:cs="Arial"/>
              </w:rPr>
              <w:t>L'association professionnelle peut demander à la COSUMAF d'approuver tout ou partie de ce code en qualité de règles professionnelles.</w:t>
            </w:r>
          </w:p>
          <w:p w14:paraId="6E7A3BFB" w14:textId="77777777" w:rsidR="007058CC" w:rsidRPr="00A64175" w:rsidRDefault="007058CC" w:rsidP="00A64175">
            <w:pPr>
              <w:jc w:val="both"/>
              <w:rPr>
                <w:rFonts w:ascii="Arial" w:hAnsi="Arial" w:cs="Arial"/>
              </w:rPr>
            </w:pPr>
            <w:r w:rsidRPr="00A64175">
              <w:rPr>
                <w:rFonts w:ascii="Arial" w:hAnsi="Arial" w:cs="Arial"/>
              </w:rPr>
              <w:t>Quand la COSUMAF estime opportun d'appliquer à l'ensemble des sociétés de gestion tout ou partie des dispositions du code en cause, elle fait connaître cette décision en la publiant sur son site.</w:t>
            </w:r>
          </w:p>
          <w:p w14:paraId="625BEC9D" w14:textId="77777777" w:rsidR="007058CC" w:rsidRPr="00A64175" w:rsidRDefault="007058CC" w:rsidP="00A64175">
            <w:pPr>
              <w:jc w:val="both"/>
              <w:rPr>
                <w:rFonts w:ascii="Arial" w:hAnsi="Arial" w:cs="Arial"/>
                <w:b/>
              </w:rPr>
            </w:pPr>
          </w:p>
        </w:tc>
      </w:tr>
      <w:tr w:rsidR="007058CC" w:rsidRPr="00A64175" w14:paraId="58F60F7A" w14:textId="77777777" w:rsidTr="000E7336">
        <w:trPr>
          <w:trHeight w:val="1563"/>
          <w:jc w:val="center"/>
        </w:trPr>
        <w:tc>
          <w:tcPr>
            <w:tcW w:w="10316" w:type="dxa"/>
            <w:shd w:val="clear" w:color="auto" w:fill="auto"/>
          </w:tcPr>
          <w:p w14:paraId="0D7FDBD6" w14:textId="21CDCDB5" w:rsidR="007058CC" w:rsidRPr="00A64175" w:rsidRDefault="00685904" w:rsidP="00A64175">
            <w:pPr>
              <w:jc w:val="both"/>
              <w:rPr>
                <w:rFonts w:ascii="Arial" w:hAnsi="Arial" w:cs="Arial"/>
                <w:b/>
              </w:rPr>
            </w:pPr>
            <w:r w:rsidRPr="00A64175">
              <w:rPr>
                <w:rFonts w:ascii="Arial" w:hAnsi="Arial" w:cs="Arial"/>
                <w:b/>
              </w:rPr>
              <w:t>Article</w:t>
            </w:r>
            <w:r w:rsidR="00A00FEE">
              <w:rPr>
                <w:rFonts w:ascii="Arial" w:hAnsi="Arial" w:cs="Arial"/>
                <w:b/>
              </w:rPr>
              <w:t xml:space="preserve"> 476</w:t>
            </w:r>
            <w:r w:rsidR="007058CC" w:rsidRPr="00A64175">
              <w:rPr>
                <w:rFonts w:ascii="Arial" w:hAnsi="Arial" w:cs="Arial"/>
                <w:b/>
              </w:rPr>
              <w:t xml:space="preserve"> </w:t>
            </w:r>
            <w:r w:rsidRPr="00A64175">
              <w:rPr>
                <w:rFonts w:ascii="Arial" w:hAnsi="Arial" w:cs="Arial"/>
                <w:b/>
              </w:rPr>
              <w:t>–</w:t>
            </w:r>
            <w:r w:rsidR="007058CC" w:rsidRPr="00A64175">
              <w:rPr>
                <w:rFonts w:ascii="Arial" w:hAnsi="Arial" w:cs="Arial"/>
                <w:b/>
              </w:rPr>
              <w:t xml:space="preserve"> </w:t>
            </w:r>
          </w:p>
          <w:p w14:paraId="5ECFE5B6" w14:textId="77777777" w:rsidR="00685904" w:rsidRPr="00A64175" w:rsidRDefault="00685904" w:rsidP="00A64175">
            <w:pPr>
              <w:jc w:val="both"/>
              <w:rPr>
                <w:rFonts w:ascii="Arial" w:hAnsi="Arial" w:cs="Arial"/>
                <w:b/>
              </w:rPr>
            </w:pPr>
          </w:p>
          <w:p w14:paraId="7D216599" w14:textId="3C108D5C" w:rsidR="007058CC" w:rsidRPr="00A64175" w:rsidRDefault="007058CC" w:rsidP="00A64175">
            <w:pPr>
              <w:pStyle w:val="Paragraphedeliste"/>
              <w:numPr>
                <w:ilvl w:val="0"/>
                <w:numId w:val="183"/>
              </w:numPr>
              <w:spacing w:before="0" w:beforeAutospacing="0" w:after="0" w:afterAutospacing="0" w:line="240" w:lineRule="auto"/>
              <w:rPr>
                <w:bCs/>
              </w:rPr>
            </w:pPr>
            <w:r w:rsidRPr="00A64175">
              <w:rPr>
                <w:bCs/>
              </w:rPr>
              <w:t>Lors de leur agrément les sociétés de gestion contribuent aux frais d’agrément. Le montant de cette contributi</w:t>
            </w:r>
            <w:r w:rsidR="00685904" w:rsidRPr="00A64175">
              <w:rPr>
                <w:bCs/>
              </w:rPr>
              <w:t>on est précisé dans une instruction</w:t>
            </w:r>
            <w:r w:rsidRPr="00A64175">
              <w:rPr>
                <w:bCs/>
              </w:rPr>
              <w:t xml:space="preserve"> de la COSUMAF.</w:t>
            </w:r>
          </w:p>
          <w:p w14:paraId="05439C04" w14:textId="77777777" w:rsidR="007058CC" w:rsidRPr="00A64175" w:rsidRDefault="007058CC" w:rsidP="00A64175">
            <w:pPr>
              <w:jc w:val="both"/>
              <w:rPr>
                <w:rFonts w:ascii="Arial" w:hAnsi="Arial" w:cs="Arial"/>
                <w:bCs/>
              </w:rPr>
            </w:pPr>
          </w:p>
          <w:p w14:paraId="0DC4FBA1" w14:textId="62C2BDBC" w:rsidR="007058CC" w:rsidRPr="00A64175" w:rsidRDefault="007058CC" w:rsidP="00A64175">
            <w:pPr>
              <w:pStyle w:val="Paragraphedeliste"/>
              <w:numPr>
                <w:ilvl w:val="0"/>
                <w:numId w:val="183"/>
              </w:numPr>
              <w:suppressAutoHyphens w:val="0"/>
              <w:spacing w:before="0" w:beforeAutospacing="0" w:after="0" w:afterAutospacing="0" w:line="240" w:lineRule="auto"/>
              <w:textAlignment w:val="auto"/>
              <w:rPr>
                <w:b/>
              </w:rPr>
            </w:pPr>
            <w:r w:rsidRPr="00A64175">
              <w:rPr>
                <w:bCs/>
              </w:rPr>
              <w:t>Les sociétés de gestion versent à la COSUMAF une redevance annuelle en fonction de leurs encours sous gestion. Le montant de</w:t>
            </w:r>
            <w:r w:rsidR="00685904" w:rsidRPr="00A64175">
              <w:rPr>
                <w:bCs/>
              </w:rPr>
              <w:t xml:space="preserve"> cette redevance est fixé dans une instruction </w:t>
            </w:r>
            <w:r w:rsidRPr="00A64175">
              <w:rPr>
                <w:bCs/>
              </w:rPr>
              <w:t>de la COSUMAF.</w:t>
            </w:r>
          </w:p>
        </w:tc>
      </w:tr>
      <w:tr w:rsidR="007058CC" w:rsidRPr="00A64175" w14:paraId="71A99449" w14:textId="77777777" w:rsidTr="000E7336">
        <w:trPr>
          <w:jc w:val="center"/>
        </w:trPr>
        <w:tc>
          <w:tcPr>
            <w:tcW w:w="10316" w:type="dxa"/>
            <w:shd w:val="clear" w:color="auto" w:fill="auto"/>
          </w:tcPr>
          <w:p w14:paraId="72BC99CD" w14:textId="77777777" w:rsidR="007058CC" w:rsidRPr="00A64175" w:rsidRDefault="007058CC" w:rsidP="00A64175">
            <w:pPr>
              <w:contextualSpacing/>
              <w:jc w:val="both"/>
              <w:rPr>
                <w:rFonts w:ascii="Arial" w:hAnsi="Arial" w:cs="Arial"/>
                <w:b/>
                <w:bCs/>
              </w:rPr>
            </w:pPr>
          </w:p>
          <w:p w14:paraId="1724C3E3" w14:textId="77777777" w:rsidR="00327C65" w:rsidRDefault="00327C65" w:rsidP="00A64175">
            <w:pPr>
              <w:contextualSpacing/>
              <w:jc w:val="both"/>
              <w:rPr>
                <w:rFonts w:ascii="Arial" w:hAnsi="Arial" w:cs="Arial"/>
                <w:b/>
                <w:bCs/>
              </w:rPr>
            </w:pPr>
          </w:p>
          <w:p w14:paraId="48654F8C" w14:textId="77777777" w:rsidR="007058CC" w:rsidRPr="00A64175" w:rsidRDefault="007058CC" w:rsidP="00A64175">
            <w:pPr>
              <w:contextualSpacing/>
              <w:jc w:val="both"/>
              <w:rPr>
                <w:rFonts w:ascii="Arial" w:hAnsi="Arial" w:cs="Arial"/>
                <w:b/>
                <w:bCs/>
              </w:rPr>
            </w:pPr>
            <w:r w:rsidRPr="00A64175">
              <w:rPr>
                <w:rFonts w:ascii="Arial" w:hAnsi="Arial" w:cs="Arial"/>
                <w:b/>
                <w:bCs/>
              </w:rPr>
              <w:t>Section II : Conditions d’exercice</w:t>
            </w:r>
          </w:p>
        </w:tc>
      </w:tr>
      <w:tr w:rsidR="007058CC" w:rsidRPr="00A64175" w14:paraId="4183727E" w14:textId="77777777" w:rsidTr="000E7336">
        <w:trPr>
          <w:jc w:val="center"/>
        </w:trPr>
        <w:tc>
          <w:tcPr>
            <w:tcW w:w="10316" w:type="dxa"/>
            <w:shd w:val="clear" w:color="auto" w:fill="auto"/>
          </w:tcPr>
          <w:p w14:paraId="7A818169" w14:textId="77777777" w:rsidR="007058CC" w:rsidRPr="00A64175" w:rsidRDefault="007058CC" w:rsidP="00A64175">
            <w:pPr>
              <w:contextualSpacing/>
              <w:jc w:val="both"/>
              <w:rPr>
                <w:rFonts w:ascii="Arial" w:hAnsi="Arial" w:cs="Arial"/>
                <w:b/>
                <w:bCs/>
              </w:rPr>
            </w:pPr>
          </w:p>
          <w:p w14:paraId="554E8CFC" w14:textId="39FBE4A2" w:rsidR="007058CC" w:rsidRPr="00A64175" w:rsidRDefault="00327C65" w:rsidP="00A64175">
            <w:pPr>
              <w:contextualSpacing/>
              <w:jc w:val="both"/>
              <w:rPr>
                <w:rFonts w:ascii="Arial" w:hAnsi="Arial" w:cs="Arial"/>
                <w:i/>
                <w:iCs/>
              </w:rPr>
            </w:pPr>
            <w:r>
              <w:rPr>
                <w:rFonts w:ascii="Arial" w:hAnsi="Arial" w:cs="Arial"/>
                <w:i/>
                <w:iCs/>
              </w:rPr>
              <w:t>Sous-section 1</w:t>
            </w:r>
            <w:r w:rsidR="007058CC" w:rsidRPr="00A64175">
              <w:rPr>
                <w:rFonts w:ascii="Arial" w:hAnsi="Arial" w:cs="Arial"/>
                <w:i/>
                <w:iCs/>
              </w:rPr>
              <w:t xml:space="preserve"> – Gestion de la liquidité</w:t>
            </w:r>
          </w:p>
        </w:tc>
      </w:tr>
      <w:tr w:rsidR="007058CC" w:rsidRPr="00A64175" w14:paraId="209094E9" w14:textId="77777777" w:rsidTr="000E7336">
        <w:trPr>
          <w:jc w:val="center"/>
        </w:trPr>
        <w:tc>
          <w:tcPr>
            <w:tcW w:w="10316" w:type="dxa"/>
            <w:shd w:val="clear" w:color="auto" w:fill="auto"/>
          </w:tcPr>
          <w:p w14:paraId="6ACC2888" w14:textId="77777777" w:rsidR="007058CC" w:rsidRPr="00A64175" w:rsidRDefault="007058CC" w:rsidP="00A64175">
            <w:pPr>
              <w:contextualSpacing/>
              <w:jc w:val="both"/>
              <w:rPr>
                <w:rFonts w:ascii="Arial" w:hAnsi="Arial" w:cs="Arial"/>
                <w:b/>
                <w:bCs/>
              </w:rPr>
            </w:pPr>
          </w:p>
          <w:p w14:paraId="353BE4AA" w14:textId="08041A5B" w:rsidR="007058CC" w:rsidRPr="00A64175" w:rsidRDefault="00685904"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477 </w:t>
            </w:r>
            <w:r w:rsidR="007058CC" w:rsidRPr="00A64175">
              <w:rPr>
                <w:rFonts w:ascii="Arial" w:hAnsi="Arial" w:cs="Arial"/>
                <w:b/>
                <w:bCs/>
              </w:rPr>
              <w:t xml:space="preserve"> - </w:t>
            </w:r>
          </w:p>
          <w:p w14:paraId="55C01FF4" w14:textId="77777777" w:rsidR="007058CC" w:rsidRPr="00A64175" w:rsidRDefault="007058CC" w:rsidP="00A64175">
            <w:pPr>
              <w:contextualSpacing/>
              <w:jc w:val="both"/>
              <w:rPr>
                <w:rFonts w:ascii="Arial" w:hAnsi="Arial" w:cs="Arial"/>
                <w:b/>
                <w:bCs/>
              </w:rPr>
            </w:pPr>
          </w:p>
          <w:p w14:paraId="4696B772" w14:textId="73B55FED" w:rsidR="007058CC" w:rsidRPr="00A64175" w:rsidRDefault="007058CC" w:rsidP="00A64175">
            <w:pPr>
              <w:contextualSpacing/>
              <w:jc w:val="both"/>
              <w:rPr>
                <w:rFonts w:ascii="Arial" w:eastAsia="Times New Roman" w:hAnsi="Arial" w:cs="Arial"/>
                <w:lang w:eastAsia="fr-FR"/>
              </w:rPr>
            </w:pPr>
            <w:r w:rsidRPr="00A64175">
              <w:rPr>
                <w:rFonts w:ascii="Arial" w:eastAsia="Times New Roman" w:hAnsi="Arial" w:cs="Arial"/>
                <w:lang w:eastAsia="fr-FR"/>
              </w:rPr>
              <w:t xml:space="preserve">Le gestionnaire est en mesure de démontrer à la COSUMAF qu’un système de gestion de la liquidité́ approprié et des procédures efficaces ont été mis en place et tiennent compte de la stratégie d’investissement, du profil de liquidité́ et de la politique de remboursement de chaque OPC. </w:t>
            </w:r>
          </w:p>
          <w:p w14:paraId="1F086828" w14:textId="77777777" w:rsidR="007058CC" w:rsidRPr="00A64175" w:rsidRDefault="007058CC" w:rsidP="00A64175">
            <w:pPr>
              <w:contextualSpacing/>
              <w:jc w:val="both"/>
              <w:rPr>
                <w:rFonts w:ascii="Arial" w:hAnsi="Arial" w:cs="Arial"/>
                <w:b/>
                <w:bCs/>
              </w:rPr>
            </w:pPr>
          </w:p>
        </w:tc>
      </w:tr>
      <w:tr w:rsidR="007058CC" w:rsidRPr="00A64175" w14:paraId="2358FF1E" w14:textId="77777777" w:rsidTr="000E7336">
        <w:trPr>
          <w:jc w:val="center"/>
        </w:trPr>
        <w:tc>
          <w:tcPr>
            <w:tcW w:w="10316" w:type="dxa"/>
            <w:shd w:val="clear" w:color="auto" w:fill="auto"/>
          </w:tcPr>
          <w:p w14:paraId="65AD61F8" w14:textId="75D2349A" w:rsidR="007058CC" w:rsidRPr="00A64175" w:rsidRDefault="00685904"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478 </w:t>
            </w:r>
            <w:r w:rsidR="007058CC" w:rsidRPr="00A64175">
              <w:rPr>
                <w:rFonts w:ascii="Arial" w:hAnsi="Arial" w:cs="Arial"/>
                <w:b/>
                <w:bCs/>
              </w:rPr>
              <w:t xml:space="preserve"> </w:t>
            </w:r>
            <w:r w:rsidRPr="00A64175">
              <w:rPr>
                <w:rFonts w:ascii="Arial" w:hAnsi="Arial" w:cs="Arial"/>
                <w:b/>
                <w:bCs/>
              </w:rPr>
              <w:t>–</w:t>
            </w:r>
            <w:r w:rsidR="007058CC" w:rsidRPr="00A64175">
              <w:rPr>
                <w:rFonts w:ascii="Arial" w:hAnsi="Arial" w:cs="Arial"/>
                <w:b/>
                <w:bCs/>
              </w:rPr>
              <w:t xml:space="preserve"> </w:t>
            </w:r>
          </w:p>
          <w:p w14:paraId="1B5FBB66" w14:textId="77777777" w:rsidR="00685904" w:rsidRPr="00A64175" w:rsidRDefault="00685904" w:rsidP="00A64175">
            <w:pPr>
              <w:contextualSpacing/>
              <w:jc w:val="both"/>
              <w:rPr>
                <w:rFonts w:ascii="Arial" w:hAnsi="Arial" w:cs="Arial"/>
                <w:b/>
                <w:bCs/>
              </w:rPr>
            </w:pPr>
          </w:p>
          <w:p w14:paraId="47945131" w14:textId="1F9E38EB" w:rsidR="007058CC" w:rsidRPr="00A64175" w:rsidRDefault="007058CC" w:rsidP="00A64175">
            <w:pPr>
              <w:pStyle w:val="Paragraphedeliste"/>
              <w:numPr>
                <w:ilvl w:val="2"/>
                <w:numId w:val="124"/>
              </w:numPr>
              <w:spacing w:before="0" w:beforeAutospacing="0" w:after="0" w:afterAutospacing="0" w:line="240" w:lineRule="auto"/>
              <w:ind w:left="459"/>
              <w:contextualSpacing/>
              <w:rPr>
                <w:rFonts w:eastAsia="Times New Roman"/>
                <w:lang w:eastAsia="fr-FR"/>
              </w:rPr>
            </w:pPr>
            <w:r w:rsidRPr="00A64175">
              <w:rPr>
                <w:rFonts w:eastAsia="Times New Roman"/>
                <w:lang w:eastAsia="fr-FR"/>
              </w:rPr>
              <w:t>Le système de gestion de la liquidité et les procédures</w:t>
            </w:r>
            <w:r w:rsidR="00685904" w:rsidRPr="00A64175">
              <w:rPr>
                <w:rFonts w:eastAsia="Times New Roman"/>
                <w:lang w:eastAsia="fr-FR"/>
              </w:rPr>
              <w:t xml:space="preserve"> mises en place</w:t>
            </w:r>
            <w:r w:rsidR="00A62E7D" w:rsidRPr="00A64175">
              <w:rPr>
                <w:rFonts w:eastAsia="Times New Roman"/>
                <w:lang w:eastAsia="fr-FR"/>
              </w:rPr>
              <w:t>,</w:t>
            </w:r>
            <w:r w:rsidRPr="00A64175">
              <w:rPr>
                <w:rFonts w:eastAsia="Times New Roman"/>
                <w:lang w:eastAsia="fr-FR"/>
              </w:rPr>
              <w:t xml:space="preserve"> garantissent, au moins, que : </w:t>
            </w:r>
          </w:p>
          <w:p w14:paraId="1FFBA66F" w14:textId="77777777" w:rsidR="007058CC" w:rsidRPr="00A64175" w:rsidRDefault="007058CC" w:rsidP="00A64175">
            <w:pPr>
              <w:pStyle w:val="Paragraphedeliste"/>
              <w:ind w:left="459"/>
              <w:contextualSpacing/>
              <w:rPr>
                <w:rFonts w:eastAsia="Times New Roman"/>
                <w:lang w:eastAsia="fr-FR"/>
              </w:rPr>
            </w:pPr>
          </w:p>
          <w:p w14:paraId="142CBDCE" w14:textId="77777777" w:rsidR="007058CC" w:rsidRPr="00A64175" w:rsidRDefault="007058CC" w:rsidP="00A64175">
            <w:pPr>
              <w:pStyle w:val="Paragraphedeliste"/>
              <w:numPr>
                <w:ilvl w:val="0"/>
                <w:numId w:val="176"/>
              </w:numPr>
              <w:spacing w:after="0" w:afterAutospacing="0" w:line="240" w:lineRule="auto"/>
              <w:contextualSpacing/>
              <w:rPr>
                <w:rFonts w:eastAsia="Times New Roman"/>
                <w:lang w:eastAsia="fr-FR"/>
              </w:rPr>
            </w:pPr>
            <w:r w:rsidRPr="00A64175">
              <w:rPr>
                <w:rFonts w:eastAsia="Times New Roman"/>
                <w:lang w:eastAsia="fr-FR"/>
              </w:rPr>
              <w:t xml:space="preserve">La société de gestion ou la société d’investissement maintient dans l’OPC un niveau de liquidité́ approprié au regard de ses obligations sous-jacentes, déterminé́ sur la base d’une évaluation de la liquidité relative des actifs de l’OPC sur le marché, compte tenu du temps nécessaire à leur liquidation, du prix ou de la valeur qui peut en être obtenu, ainsi que de leur sensibilité́ à d’autres risques et facteurs du marché́ ; </w:t>
            </w:r>
          </w:p>
          <w:p w14:paraId="137A3445" w14:textId="77777777" w:rsidR="007058CC" w:rsidRPr="00A64175" w:rsidRDefault="007058CC" w:rsidP="00A64175">
            <w:pPr>
              <w:pStyle w:val="Paragraphedeliste"/>
              <w:ind w:left="1440"/>
              <w:contextualSpacing/>
              <w:rPr>
                <w:rFonts w:eastAsia="Times New Roman"/>
                <w:lang w:eastAsia="fr-FR"/>
              </w:rPr>
            </w:pPr>
          </w:p>
          <w:p w14:paraId="523409E4" w14:textId="77777777" w:rsidR="007058CC" w:rsidRPr="00A64175" w:rsidRDefault="007058CC" w:rsidP="00A64175">
            <w:pPr>
              <w:pStyle w:val="Paragraphedeliste"/>
              <w:numPr>
                <w:ilvl w:val="0"/>
                <w:numId w:val="176"/>
              </w:numPr>
              <w:spacing w:after="0" w:afterAutospacing="0" w:line="240" w:lineRule="auto"/>
              <w:contextualSpacing/>
              <w:rPr>
                <w:rFonts w:eastAsia="Times New Roman"/>
                <w:lang w:eastAsia="fr-FR"/>
              </w:rPr>
            </w:pPr>
            <w:r w:rsidRPr="00A64175">
              <w:t>A société de gestion</w:t>
            </w:r>
            <w:r w:rsidRPr="00A64175">
              <w:rPr>
                <w:rFonts w:eastAsia="Times New Roman"/>
                <w:lang w:eastAsia="fr-FR"/>
              </w:rPr>
              <w:t xml:space="preserve"> ou la société d’investissement </w:t>
            </w:r>
            <w:r w:rsidRPr="00A64175">
              <w:t>suit l’évolution du profil de liquidité́ du portefeuille d’actifs de l’OPC, en prenant en considération la contribution marginale des actifs qui pourraient avoir une incidence substantielle sur la liquidité́, ainsi que les passifs et engagements substantiels, éventuels ou non, que l’OPC pourrait détenir en rapport avec ses obligations sous-jacentes. À cette fin, la société de gestion</w:t>
            </w:r>
            <w:r w:rsidRPr="00A64175">
              <w:rPr>
                <w:rFonts w:eastAsia="Times New Roman"/>
                <w:lang w:eastAsia="fr-FR"/>
              </w:rPr>
              <w:t xml:space="preserve"> ou la société d’investissement </w:t>
            </w:r>
            <w:r w:rsidRPr="00A64175">
              <w:t xml:space="preserve">tient compte du profil de la base d’investisseurs de l’OPC, à savoir le type </w:t>
            </w:r>
            <w:r w:rsidRPr="00A64175">
              <w:rPr>
                <w:rFonts w:eastAsia="Times New Roman"/>
                <w:lang w:eastAsia="fr-FR"/>
              </w:rPr>
              <w:t xml:space="preserve">d’investisseurs, la taille relative des investissements et les conditions de remboursement auxquels ces derniers sont soumis ; </w:t>
            </w:r>
          </w:p>
          <w:p w14:paraId="316C4CF7" w14:textId="77777777" w:rsidR="007058CC" w:rsidRPr="00A64175" w:rsidRDefault="007058CC" w:rsidP="00A64175">
            <w:pPr>
              <w:pStyle w:val="Paragraphedeliste"/>
              <w:ind w:left="1440"/>
              <w:contextualSpacing/>
              <w:rPr>
                <w:rFonts w:eastAsia="Times New Roman"/>
                <w:lang w:eastAsia="fr-FR"/>
              </w:rPr>
            </w:pPr>
          </w:p>
          <w:p w14:paraId="22D1711B" w14:textId="77777777" w:rsidR="007058CC" w:rsidRPr="00A64175" w:rsidRDefault="007058CC" w:rsidP="00A64175">
            <w:pPr>
              <w:pStyle w:val="Paragraphedeliste"/>
              <w:numPr>
                <w:ilvl w:val="0"/>
                <w:numId w:val="176"/>
              </w:numPr>
              <w:spacing w:after="0" w:afterAutospacing="0" w:line="240" w:lineRule="auto"/>
              <w:contextualSpacing/>
              <w:rPr>
                <w:rFonts w:eastAsia="Times New Roman"/>
                <w:lang w:eastAsia="fr-FR"/>
              </w:rPr>
            </w:pPr>
            <w:r w:rsidRPr="00A64175">
              <w:rPr>
                <w:rFonts w:eastAsia="Times New Roman"/>
                <w:lang w:eastAsia="fr-FR"/>
              </w:rPr>
              <w:t xml:space="preserve">Lorsque l’OPC investit dans d’autres organismes de placement collectif, la société de gestion ou la société d’investissement contrôle l’approche adoptée par les sociétés de gestion de ces organismes en matière de gestion de la liquidité́, notamment en réalisant des examens périodiques des conditions de remboursement desdits organismes. </w:t>
            </w:r>
          </w:p>
          <w:p w14:paraId="57ECD653" w14:textId="77777777" w:rsidR="007058CC" w:rsidRPr="00A64175" w:rsidRDefault="007058CC" w:rsidP="00A64175">
            <w:pPr>
              <w:pStyle w:val="Paragraphedeliste"/>
              <w:ind w:left="1440"/>
              <w:contextualSpacing/>
              <w:rPr>
                <w:rFonts w:eastAsia="Times New Roman"/>
                <w:lang w:eastAsia="fr-FR"/>
              </w:rPr>
            </w:pPr>
          </w:p>
          <w:p w14:paraId="33E70CDD" w14:textId="77777777" w:rsidR="007058CC" w:rsidRPr="00A64175" w:rsidRDefault="007058CC" w:rsidP="00A64175">
            <w:pPr>
              <w:pStyle w:val="Paragraphedeliste"/>
              <w:numPr>
                <w:ilvl w:val="0"/>
                <w:numId w:val="176"/>
              </w:numPr>
              <w:spacing w:after="0" w:afterAutospacing="0" w:line="240" w:lineRule="auto"/>
              <w:contextualSpacing/>
              <w:rPr>
                <w:rFonts w:eastAsia="Times New Roman"/>
                <w:lang w:eastAsia="fr-FR"/>
              </w:rPr>
            </w:pPr>
            <w:r w:rsidRPr="00A64175">
              <w:rPr>
                <w:rFonts w:eastAsia="Times New Roman"/>
                <w:lang w:eastAsia="fr-FR"/>
              </w:rPr>
              <w:t>La société de gestion ou la société d’investissement met en œuvre et maintient opérationnelles des dispositions et des procédures appropriées de mesure de la liquidité́ lui permettant d’évaluer les risques quantitatifs et qualitatifs que comportent les positions et les investissements prévus qui ont une incidence substantielle sur le profil de liquidité́ du portefeuille de l’OPC, afin que leur effet global sur ce profil soit mesuré de façon adéquate. Les procédures utilisées permettent à la société de gestion ou la société d’investissement d’avoir une connaissance et une compréhension adéquates de la liquidité́ des actifs dans lesquels l’OPC a investi ou entend investir, notamment en ce qui concerne, le cas échéant, le volume des transactions et la sensibilité́ des prix, ou les écarts entre prix acheteurs et vendeurs des différents actifs dans des conditions normales et exceptionnelles de liquidité ;</w:t>
            </w:r>
          </w:p>
          <w:p w14:paraId="41E5448A" w14:textId="28ED689B" w:rsidR="007058CC" w:rsidRPr="00A64175" w:rsidRDefault="007058CC" w:rsidP="00A64175">
            <w:pPr>
              <w:pStyle w:val="NormalWeb"/>
              <w:numPr>
                <w:ilvl w:val="0"/>
                <w:numId w:val="176"/>
              </w:numPr>
              <w:spacing w:after="0" w:afterAutospacing="0"/>
              <w:contextualSpacing/>
              <w:jc w:val="both"/>
              <w:rPr>
                <w:rFonts w:ascii="Arial" w:hAnsi="Arial" w:cs="Arial"/>
                <w:sz w:val="22"/>
                <w:szCs w:val="22"/>
              </w:rPr>
            </w:pPr>
            <w:r w:rsidRPr="00A64175">
              <w:rPr>
                <w:rFonts w:ascii="Arial" w:hAnsi="Arial" w:cs="Arial"/>
                <w:sz w:val="22"/>
                <w:szCs w:val="22"/>
              </w:rPr>
              <w:t>La société de gestion ou la société d’investissement étudie et met en œuvre les outils et dispositions nécessaires à la gestion du risque de liquidité́ de chaque OPC qu’elle gère. La société de gestion ou la société d’investissement détermine les circonstances dans lesquelles ces outils et dispositions peuvent être utilisés, tant dans des circonstances normales que dans des circonstances exceptionnelles, compte tenu, pour chaque OPC géré, du principe de traitement équitable de tous les investisseurs. La société de gestion ou la société d’investissement ne peut recourir à ces outils et dispositions que dans lesdites circonstances et à condition que les informations app</w:t>
            </w:r>
            <w:r w:rsidR="00A62E7D" w:rsidRPr="00A64175">
              <w:rPr>
                <w:rFonts w:ascii="Arial" w:hAnsi="Arial" w:cs="Arial"/>
                <w:sz w:val="22"/>
                <w:szCs w:val="22"/>
              </w:rPr>
              <w:t>ropriées aient été communiquées.</w:t>
            </w:r>
          </w:p>
          <w:p w14:paraId="13833C33" w14:textId="77777777" w:rsidR="007058CC" w:rsidRPr="00A64175" w:rsidRDefault="007058CC" w:rsidP="00A64175">
            <w:pPr>
              <w:pStyle w:val="NormalWeb"/>
              <w:spacing w:after="0" w:afterAutospacing="0"/>
              <w:contextualSpacing/>
              <w:jc w:val="both"/>
              <w:rPr>
                <w:rFonts w:ascii="Arial" w:hAnsi="Arial" w:cs="Arial"/>
                <w:sz w:val="22"/>
                <w:szCs w:val="22"/>
              </w:rPr>
            </w:pPr>
          </w:p>
          <w:p w14:paraId="2CA930BE" w14:textId="77777777" w:rsidR="007058CC" w:rsidRPr="00A64175" w:rsidRDefault="007058CC" w:rsidP="00A64175">
            <w:pPr>
              <w:pStyle w:val="NormalWeb"/>
              <w:numPr>
                <w:ilvl w:val="1"/>
                <w:numId w:val="120"/>
              </w:numPr>
              <w:spacing w:after="0" w:afterAutospacing="0"/>
              <w:ind w:left="459"/>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consigne par écrit ses politiques et procédures de gestion de la liquidité visées au paragraphe 1, les réexamine au moins une fois par an et les met à jour en cas de changements ou de nouvelles dispositions. </w:t>
            </w:r>
          </w:p>
          <w:p w14:paraId="71BFB60C" w14:textId="77777777" w:rsidR="007058CC" w:rsidRPr="00A64175" w:rsidRDefault="007058CC" w:rsidP="00A64175">
            <w:pPr>
              <w:pStyle w:val="NormalWeb"/>
              <w:spacing w:after="0" w:afterAutospacing="0"/>
              <w:ind w:left="459"/>
              <w:contextualSpacing/>
              <w:jc w:val="both"/>
              <w:rPr>
                <w:rFonts w:ascii="Arial" w:hAnsi="Arial" w:cs="Arial"/>
                <w:sz w:val="22"/>
                <w:szCs w:val="22"/>
              </w:rPr>
            </w:pPr>
          </w:p>
          <w:p w14:paraId="62B7E012" w14:textId="77777777" w:rsidR="007058CC" w:rsidRPr="00A64175" w:rsidRDefault="007058CC" w:rsidP="00A64175">
            <w:pPr>
              <w:pStyle w:val="NormalWeb"/>
              <w:numPr>
                <w:ilvl w:val="1"/>
                <w:numId w:val="120"/>
              </w:numPr>
              <w:spacing w:after="0" w:afterAutospacing="0"/>
              <w:ind w:left="425"/>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prévoit, dans son système et ses procédures de gestion de la liquidité visés au paragraphe 1, des mesures d’intervention par paliers appropriées visant à remédier aux problèmes de liquidité́ ou à d’autres situations critiques dans lesquelles l’OPC se trouve ou risque de se trouver. </w:t>
            </w:r>
          </w:p>
          <w:p w14:paraId="431BFA2A" w14:textId="77777777" w:rsidR="007058CC" w:rsidRPr="00A64175" w:rsidRDefault="007058CC" w:rsidP="00A64175">
            <w:pPr>
              <w:jc w:val="both"/>
              <w:rPr>
                <w:rFonts w:ascii="Arial" w:hAnsi="Arial" w:cs="Arial"/>
                <w:bCs/>
              </w:rPr>
            </w:pPr>
          </w:p>
        </w:tc>
      </w:tr>
      <w:tr w:rsidR="007058CC" w:rsidRPr="00A64175" w14:paraId="692CFBD5" w14:textId="77777777" w:rsidTr="000E7336">
        <w:trPr>
          <w:jc w:val="center"/>
        </w:trPr>
        <w:tc>
          <w:tcPr>
            <w:tcW w:w="10316" w:type="dxa"/>
            <w:shd w:val="clear" w:color="auto" w:fill="auto"/>
          </w:tcPr>
          <w:p w14:paraId="283FDDEB" w14:textId="37CA7F44" w:rsidR="007058CC" w:rsidRPr="00A64175" w:rsidRDefault="00A62E7D"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Article</w:t>
            </w:r>
            <w:r w:rsidR="00A00FEE">
              <w:rPr>
                <w:rFonts w:ascii="Arial" w:eastAsia="Times New Roman" w:hAnsi="Arial" w:cs="Arial"/>
                <w:b/>
                <w:bCs/>
                <w:lang w:eastAsia="fr-FR"/>
              </w:rPr>
              <w:t xml:space="preserve"> 479</w:t>
            </w:r>
            <w:r w:rsidR="007058CC" w:rsidRPr="00A64175">
              <w:rPr>
                <w:rFonts w:ascii="Arial" w:eastAsia="Times New Roman" w:hAnsi="Arial" w:cs="Arial"/>
                <w:b/>
                <w:bCs/>
                <w:lang w:eastAsia="fr-FR"/>
              </w:rPr>
              <w:t xml:space="preserve">– </w:t>
            </w:r>
          </w:p>
          <w:p w14:paraId="353146CE" w14:textId="77777777" w:rsidR="007058CC" w:rsidRPr="00A64175" w:rsidRDefault="007058CC" w:rsidP="00A64175">
            <w:pPr>
              <w:contextualSpacing/>
              <w:jc w:val="both"/>
              <w:rPr>
                <w:rFonts w:ascii="Arial" w:eastAsia="Times New Roman" w:hAnsi="Arial" w:cs="Arial"/>
                <w:b/>
                <w:bCs/>
                <w:lang w:eastAsia="fr-FR"/>
              </w:rPr>
            </w:pPr>
          </w:p>
          <w:p w14:paraId="3E761CC9" w14:textId="25F7F266" w:rsidR="007058CC" w:rsidRPr="00A64175" w:rsidRDefault="007058CC" w:rsidP="00A64175">
            <w:pPr>
              <w:pStyle w:val="Paragraphedeliste"/>
              <w:numPr>
                <w:ilvl w:val="0"/>
                <w:numId w:val="187"/>
              </w:numPr>
              <w:spacing w:before="0" w:beforeAutospacing="0" w:after="0" w:afterAutospacing="0" w:line="240" w:lineRule="auto"/>
              <w:ind w:left="457"/>
              <w:contextualSpacing/>
              <w:rPr>
                <w:rFonts w:eastAsia="Times New Roman"/>
                <w:b/>
                <w:bCs/>
                <w:lang w:eastAsia="fr-FR"/>
              </w:rPr>
            </w:pPr>
            <w:r w:rsidRPr="00A64175">
              <w:t>Si nécessaire, eu égard à la nature, à la taille et à la complexité́ de chaque OPC qu’elle gère, la société de gestion ou la société d’investissement met en œuvre et maintient opérationnelles des limites adéquates concernant la liquidité́ ou l’illiquidité de l’OPC, qui sont compatibles avec les obligations sous-jacentes et la politique de remboursement de ce dernier et conformes aux prescriptions</w:t>
            </w:r>
            <w:r w:rsidR="00A62E7D" w:rsidRPr="00A64175">
              <w:t xml:space="preserve"> réglementaires </w:t>
            </w:r>
            <w:r w:rsidRPr="00A64175">
              <w:t xml:space="preserve">relatives aux limites de risque qualitatives et quantitatives. </w:t>
            </w:r>
          </w:p>
          <w:p w14:paraId="543B1D97" w14:textId="77777777" w:rsidR="007058CC" w:rsidRPr="00A64175" w:rsidRDefault="007058CC" w:rsidP="00A64175">
            <w:pPr>
              <w:pStyle w:val="NormalWeb"/>
              <w:numPr>
                <w:ilvl w:val="0"/>
                <w:numId w:val="126"/>
              </w:numPr>
              <w:spacing w:after="0" w:afterAutospacing="0"/>
              <w:ind w:left="741"/>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contrôle le respect de ces limites et, lorsque celles-ci sont dépassées ou susceptibles d’être dépassées, détermine les mesures requises (ou nécessaires). Pour définir ces mesures, la société de gestion ou la société d’investissement examine le caractère approprié des politiques et procédures de gestion de la liquidité́, celui du profil de liquidité́ des actifs de l’OPC, ainsi que les effets induits par des niveaux atypiques de demandes de remboursement. </w:t>
            </w:r>
          </w:p>
          <w:p w14:paraId="7AEB0A23"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25F0CA37" w14:textId="77777777" w:rsidR="007058CC" w:rsidRPr="00A64175" w:rsidRDefault="007058CC" w:rsidP="00A64175">
            <w:pPr>
              <w:pStyle w:val="NormalWeb"/>
              <w:numPr>
                <w:ilvl w:val="2"/>
                <w:numId w:val="124"/>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effectue régulièrement des simulations de crise, dans des conditions normales et exceptionnelles de liquidité́, qui lui permettent d’évaluer le risque de liquidité́ de chaque OPC qu’elle gère. Les simulations de crise : </w:t>
            </w:r>
          </w:p>
          <w:p w14:paraId="218A703B"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57004F83" w14:textId="77777777" w:rsidR="007058CC" w:rsidRPr="00A64175" w:rsidRDefault="007058CC" w:rsidP="00A64175">
            <w:pPr>
              <w:pStyle w:val="NormalWeb"/>
              <w:numPr>
                <w:ilvl w:val="1"/>
                <w:numId w:val="125"/>
              </w:numPr>
              <w:spacing w:after="0" w:afterAutospacing="0"/>
              <w:ind w:left="851" w:hanging="357"/>
              <w:contextualSpacing/>
              <w:jc w:val="both"/>
              <w:rPr>
                <w:rFonts w:ascii="Arial" w:hAnsi="Arial" w:cs="Arial"/>
                <w:sz w:val="22"/>
                <w:szCs w:val="22"/>
              </w:rPr>
            </w:pPr>
            <w:r w:rsidRPr="00A64175">
              <w:rPr>
                <w:rFonts w:ascii="Arial" w:hAnsi="Arial" w:cs="Arial"/>
                <w:sz w:val="22"/>
                <w:szCs w:val="22"/>
              </w:rPr>
              <w:t xml:space="preserve">Sont réalisées sur la base d’informations quantitatives ou, si cela n’est pas approprié́, qualitatives, qui sont fiables et à jour ; </w:t>
            </w:r>
          </w:p>
          <w:p w14:paraId="41F74AC1" w14:textId="77777777" w:rsidR="007058CC" w:rsidRPr="00A64175" w:rsidRDefault="007058CC" w:rsidP="00A64175">
            <w:pPr>
              <w:pStyle w:val="NormalWeb"/>
              <w:spacing w:after="0" w:afterAutospacing="0"/>
              <w:ind w:left="851"/>
              <w:contextualSpacing/>
              <w:jc w:val="both"/>
              <w:rPr>
                <w:rFonts w:ascii="Arial" w:hAnsi="Arial" w:cs="Arial"/>
                <w:sz w:val="22"/>
                <w:szCs w:val="22"/>
              </w:rPr>
            </w:pPr>
          </w:p>
          <w:p w14:paraId="46FB92BF" w14:textId="77777777" w:rsidR="007058CC" w:rsidRPr="00A64175" w:rsidRDefault="007058CC" w:rsidP="00A64175">
            <w:pPr>
              <w:pStyle w:val="NormalWeb"/>
              <w:numPr>
                <w:ilvl w:val="1"/>
                <w:numId w:val="125"/>
              </w:numPr>
              <w:spacing w:after="0" w:afterAutospacing="0"/>
              <w:ind w:left="851" w:hanging="357"/>
              <w:contextualSpacing/>
              <w:jc w:val="both"/>
              <w:rPr>
                <w:rFonts w:ascii="Arial" w:hAnsi="Arial" w:cs="Arial"/>
                <w:sz w:val="22"/>
                <w:szCs w:val="22"/>
              </w:rPr>
            </w:pPr>
            <w:r w:rsidRPr="00A64175">
              <w:rPr>
                <w:rFonts w:ascii="Arial" w:hAnsi="Arial" w:cs="Arial"/>
                <w:sz w:val="22"/>
                <w:szCs w:val="22"/>
              </w:rPr>
              <w:t xml:space="preserve">Simulent, le cas échéant, un manque de liquidité́ des actifs de l’OPC et des demandes atypiques de remboursement ; </w:t>
            </w:r>
          </w:p>
          <w:p w14:paraId="3C3991EA" w14:textId="77777777" w:rsidR="007058CC" w:rsidRPr="00A64175" w:rsidRDefault="007058CC" w:rsidP="00A64175">
            <w:pPr>
              <w:pStyle w:val="NormalWeb"/>
              <w:spacing w:after="0" w:afterAutospacing="0"/>
              <w:ind w:left="851"/>
              <w:contextualSpacing/>
              <w:jc w:val="both"/>
              <w:rPr>
                <w:rFonts w:ascii="Arial" w:hAnsi="Arial" w:cs="Arial"/>
                <w:sz w:val="22"/>
                <w:szCs w:val="22"/>
              </w:rPr>
            </w:pPr>
          </w:p>
          <w:p w14:paraId="079F8066" w14:textId="77777777" w:rsidR="007058CC" w:rsidRPr="00A64175" w:rsidRDefault="007058CC" w:rsidP="00A64175">
            <w:pPr>
              <w:pStyle w:val="NormalWeb"/>
              <w:numPr>
                <w:ilvl w:val="1"/>
                <w:numId w:val="125"/>
              </w:numPr>
              <w:spacing w:after="0" w:afterAutospacing="0"/>
              <w:ind w:left="851" w:hanging="357"/>
              <w:contextualSpacing/>
              <w:jc w:val="both"/>
              <w:rPr>
                <w:rFonts w:ascii="Arial" w:hAnsi="Arial" w:cs="Arial"/>
                <w:sz w:val="22"/>
                <w:szCs w:val="22"/>
              </w:rPr>
            </w:pPr>
            <w:r w:rsidRPr="00A64175">
              <w:rPr>
                <w:rFonts w:ascii="Arial" w:hAnsi="Arial" w:cs="Arial"/>
                <w:sz w:val="22"/>
                <w:szCs w:val="22"/>
              </w:rPr>
              <w:t xml:space="preserve">Incluent les risques de marché et toutes les conséquences qui peuvent en résulter, notamment sur les appels de marge, les exigences de collatéral et les lignes de crédit ; </w:t>
            </w:r>
          </w:p>
          <w:p w14:paraId="0D0D79FC" w14:textId="77777777" w:rsidR="007058CC" w:rsidRPr="00A64175" w:rsidRDefault="007058CC" w:rsidP="00A64175">
            <w:pPr>
              <w:pStyle w:val="NormalWeb"/>
              <w:spacing w:after="0" w:afterAutospacing="0"/>
              <w:ind w:left="851"/>
              <w:contextualSpacing/>
              <w:jc w:val="both"/>
              <w:rPr>
                <w:rFonts w:ascii="Arial" w:hAnsi="Arial" w:cs="Arial"/>
                <w:sz w:val="22"/>
                <w:szCs w:val="22"/>
              </w:rPr>
            </w:pPr>
          </w:p>
          <w:p w14:paraId="590D8379" w14:textId="77777777" w:rsidR="007058CC" w:rsidRPr="00A64175" w:rsidRDefault="007058CC" w:rsidP="00A64175">
            <w:pPr>
              <w:pStyle w:val="NormalWeb"/>
              <w:numPr>
                <w:ilvl w:val="1"/>
                <w:numId w:val="125"/>
              </w:numPr>
              <w:spacing w:after="0" w:afterAutospacing="0"/>
              <w:ind w:left="851" w:hanging="357"/>
              <w:contextualSpacing/>
              <w:jc w:val="both"/>
              <w:rPr>
                <w:rFonts w:ascii="Arial" w:hAnsi="Arial" w:cs="Arial"/>
                <w:sz w:val="22"/>
                <w:szCs w:val="22"/>
              </w:rPr>
            </w:pPr>
            <w:r w:rsidRPr="00A64175">
              <w:rPr>
                <w:rFonts w:ascii="Arial" w:hAnsi="Arial" w:cs="Arial"/>
                <w:sz w:val="22"/>
                <w:szCs w:val="22"/>
              </w:rPr>
              <w:t xml:space="preserve">Rendent compte de la sensibilité́ des évaluations aux conditions de crise ; </w:t>
            </w:r>
          </w:p>
          <w:p w14:paraId="7679AB5F" w14:textId="77777777" w:rsidR="007058CC" w:rsidRPr="00A64175" w:rsidRDefault="007058CC" w:rsidP="00A64175">
            <w:pPr>
              <w:pStyle w:val="NormalWeb"/>
              <w:spacing w:after="0" w:afterAutospacing="0"/>
              <w:ind w:left="851"/>
              <w:contextualSpacing/>
              <w:jc w:val="both"/>
              <w:rPr>
                <w:rFonts w:ascii="Arial" w:hAnsi="Arial" w:cs="Arial"/>
                <w:sz w:val="22"/>
                <w:szCs w:val="22"/>
              </w:rPr>
            </w:pPr>
          </w:p>
          <w:p w14:paraId="34B0435D" w14:textId="77777777" w:rsidR="007058CC" w:rsidRPr="00A64175" w:rsidRDefault="007058CC" w:rsidP="00A64175">
            <w:pPr>
              <w:pStyle w:val="NormalWeb"/>
              <w:numPr>
                <w:ilvl w:val="1"/>
                <w:numId w:val="125"/>
              </w:numPr>
              <w:spacing w:after="0" w:afterAutospacing="0"/>
              <w:ind w:left="851" w:hanging="357"/>
              <w:contextualSpacing/>
              <w:jc w:val="both"/>
              <w:rPr>
                <w:rFonts w:ascii="Arial" w:hAnsi="Arial" w:cs="Arial"/>
                <w:sz w:val="22"/>
                <w:szCs w:val="22"/>
              </w:rPr>
            </w:pPr>
            <w:r w:rsidRPr="00A64175">
              <w:rPr>
                <w:rFonts w:ascii="Arial" w:hAnsi="Arial" w:cs="Arial"/>
                <w:sz w:val="22"/>
                <w:szCs w:val="22"/>
              </w:rPr>
              <w:t xml:space="preserve">Sont réalisées selon une fréquence appropriée à la nature de l’OPC, et une fois par an au moins, compte tenu de la stratégie d’investissement, du profil de liquidité́, du type d’investisseurs et de la politique de remboursement de ce dernier. </w:t>
            </w:r>
          </w:p>
          <w:p w14:paraId="69151755" w14:textId="77777777" w:rsidR="007058CC" w:rsidRPr="00A64175" w:rsidRDefault="007058CC" w:rsidP="00A64175">
            <w:pPr>
              <w:jc w:val="both"/>
              <w:rPr>
                <w:rFonts w:ascii="Arial" w:hAnsi="Arial" w:cs="Arial"/>
                <w:bCs/>
              </w:rPr>
            </w:pPr>
          </w:p>
        </w:tc>
      </w:tr>
      <w:tr w:rsidR="007058CC" w:rsidRPr="00A64175" w14:paraId="427BFA1E" w14:textId="77777777" w:rsidTr="000E7336">
        <w:trPr>
          <w:jc w:val="center"/>
        </w:trPr>
        <w:tc>
          <w:tcPr>
            <w:tcW w:w="10316" w:type="dxa"/>
            <w:shd w:val="clear" w:color="auto" w:fill="auto"/>
          </w:tcPr>
          <w:p w14:paraId="6E7824B7" w14:textId="77777777" w:rsidR="007058CC" w:rsidRPr="00A64175" w:rsidRDefault="007058CC" w:rsidP="00A64175">
            <w:pPr>
              <w:contextualSpacing/>
              <w:jc w:val="both"/>
              <w:rPr>
                <w:rFonts w:ascii="Arial" w:hAnsi="Arial" w:cs="Arial"/>
                <w:i/>
                <w:iCs/>
              </w:rPr>
            </w:pPr>
          </w:p>
          <w:p w14:paraId="12257812" w14:textId="140B0126" w:rsidR="007058CC" w:rsidRPr="00A64175" w:rsidRDefault="00327C65" w:rsidP="00A64175">
            <w:pPr>
              <w:contextualSpacing/>
              <w:jc w:val="both"/>
              <w:rPr>
                <w:rFonts w:ascii="Arial" w:hAnsi="Arial" w:cs="Arial"/>
                <w:i/>
                <w:iCs/>
              </w:rPr>
            </w:pPr>
            <w:r>
              <w:rPr>
                <w:rFonts w:ascii="Arial" w:hAnsi="Arial" w:cs="Arial"/>
                <w:i/>
                <w:iCs/>
              </w:rPr>
              <w:t>Sous-section 2</w:t>
            </w:r>
            <w:r w:rsidR="007058CC" w:rsidRPr="00A64175">
              <w:rPr>
                <w:rFonts w:ascii="Arial" w:hAnsi="Arial" w:cs="Arial"/>
                <w:i/>
                <w:iCs/>
              </w:rPr>
              <w:t xml:space="preserve"> - Évaluation</w:t>
            </w:r>
          </w:p>
        </w:tc>
      </w:tr>
      <w:tr w:rsidR="007058CC" w:rsidRPr="00A64175" w14:paraId="166DF25D" w14:textId="77777777" w:rsidTr="000E7336">
        <w:trPr>
          <w:jc w:val="center"/>
        </w:trPr>
        <w:tc>
          <w:tcPr>
            <w:tcW w:w="10316" w:type="dxa"/>
            <w:shd w:val="clear" w:color="auto" w:fill="auto"/>
          </w:tcPr>
          <w:p w14:paraId="293737DA" w14:textId="77777777" w:rsidR="007058CC" w:rsidRPr="00A64175" w:rsidRDefault="007058CC" w:rsidP="00A64175">
            <w:pPr>
              <w:contextualSpacing/>
              <w:jc w:val="both"/>
              <w:rPr>
                <w:rFonts w:ascii="Arial" w:hAnsi="Arial" w:cs="Arial"/>
                <w:b/>
                <w:bCs/>
              </w:rPr>
            </w:pPr>
          </w:p>
          <w:p w14:paraId="46666FB3" w14:textId="15F573EA" w:rsidR="007058CC" w:rsidRPr="00A64175" w:rsidRDefault="00084050" w:rsidP="00A64175">
            <w:pPr>
              <w:contextualSpacing/>
              <w:jc w:val="both"/>
              <w:rPr>
                <w:rFonts w:ascii="Arial" w:hAnsi="Arial" w:cs="Arial"/>
                <w:b/>
                <w:bCs/>
              </w:rPr>
            </w:pPr>
            <w:r w:rsidRPr="00A64175">
              <w:rPr>
                <w:rFonts w:ascii="Arial" w:hAnsi="Arial" w:cs="Arial"/>
                <w:b/>
                <w:bCs/>
              </w:rPr>
              <w:t>Article</w:t>
            </w:r>
            <w:r w:rsidR="00A00FEE">
              <w:rPr>
                <w:rFonts w:ascii="Arial" w:hAnsi="Arial" w:cs="Arial"/>
                <w:b/>
                <w:bCs/>
              </w:rPr>
              <w:t xml:space="preserve"> 480</w:t>
            </w:r>
            <w:r w:rsidR="007058CC" w:rsidRPr="00A64175">
              <w:rPr>
                <w:rFonts w:ascii="Arial" w:hAnsi="Arial" w:cs="Arial"/>
                <w:b/>
                <w:bCs/>
              </w:rPr>
              <w:t xml:space="preserve"> -</w:t>
            </w:r>
          </w:p>
          <w:p w14:paraId="62D80722" w14:textId="77777777" w:rsidR="007058CC" w:rsidRPr="00A64175" w:rsidRDefault="007058CC" w:rsidP="00A64175">
            <w:pPr>
              <w:pStyle w:val="NormalWeb"/>
              <w:numPr>
                <w:ilvl w:val="0"/>
                <w:numId w:val="127"/>
              </w:numPr>
              <w:spacing w:after="0" w:afterAutospacing="0"/>
              <w:ind w:left="283" w:hanging="357"/>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établit, maintient opérationnelles, met en œuvre et réexamine, pour chaque OPC qu’elle gère, des politiques et procédures écrites qui permettent un processus d’évaluation solide, transparent, complet et dûment documenté. Les politiques et les procédures d’évaluation abordent tous les aspects importants du processus d’évaluation pour l’OPC concerné et des procédures et contrôles en la matière. </w:t>
            </w:r>
          </w:p>
          <w:p w14:paraId="14968CC7" w14:textId="77777777" w:rsidR="007058CC" w:rsidRPr="00A64175" w:rsidRDefault="007058CC" w:rsidP="00A64175">
            <w:pPr>
              <w:pStyle w:val="NormalWeb"/>
              <w:spacing w:after="0" w:afterAutospacing="0"/>
              <w:ind w:left="283"/>
              <w:contextualSpacing/>
              <w:jc w:val="both"/>
              <w:rPr>
                <w:rFonts w:ascii="Arial" w:hAnsi="Arial" w:cs="Arial"/>
                <w:sz w:val="22"/>
                <w:szCs w:val="22"/>
              </w:rPr>
            </w:pPr>
          </w:p>
          <w:p w14:paraId="6EA37792" w14:textId="77777777" w:rsidR="007058CC" w:rsidRPr="00A64175" w:rsidRDefault="007058CC" w:rsidP="00A64175">
            <w:pPr>
              <w:pStyle w:val="NormalWeb"/>
              <w:spacing w:after="0" w:afterAutospacing="0"/>
              <w:ind w:left="283"/>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veille à ce que des méthodes d’évaluation justes, adéquates et transparentes soient appliquées pour les OPC qu’elle gère. Les politiques d’évaluation déterminent les méthodes d’évaluation utilisées pour chaque type d’actifs dans lequel l’OPC pourrait investir conformément au règlement général de la COSUMAF et à ses règles et documents constitutifs, tandis que les procédures mettent en œuvre ces méthodes. La société de gestion ou la société d’investissement n’investit pas pour la première fois dans un type donné d’actifs avant qu’une ou plusieurs méthodes d’évaluation appropriées n’aient été déterminées pour ce type d’actifs précis. </w:t>
            </w:r>
          </w:p>
          <w:p w14:paraId="102F0E9C" w14:textId="77777777" w:rsidR="007058CC" w:rsidRPr="00A64175" w:rsidRDefault="007058CC" w:rsidP="00A64175">
            <w:pPr>
              <w:pStyle w:val="NormalWeb"/>
              <w:spacing w:after="0" w:afterAutospacing="0"/>
              <w:contextualSpacing/>
              <w:jc w:val="both"/>
              <w:rPr>
                <w:rFonts w:ascii="Arial" w:hAnsi="Arial" w:cs="Arial"/>
                <w:sz w:val="22"/>
                <w:szCs w:val="22"/>
              </w:rPr>
            </w:pPr>
          </w:p>
          <w:p w14:paraId="78501FCE" w14:textId="77777777" w:rsidR="007058CC" w:rsidRPr="00A64175" w:rsidRDefault="007058CC" w:rsidP="00A64175">
            <w:pPr>
              <w:pStyle w:val="NormalWeb"/>
              <w:spacing w:after="0" w:afterAutospacing="0"/>
              <w:ind w:left="283"/>
              <w:contextualSpacing/>
              <w:jc w:val="both"/>
              <w:rPr>
                <w:rFonts w:ascii="Arial" w:hAnsi="Arial" w:cs="Arial"/>
                <w:sz w:val="22"/>
                <w:szCs w:val="22"/>
              </w:rPr>
            </w:pPr>
            <w:r w:rsidRPr="00A64175">
              <w:rPr>
                <w:rFonts w:ascii="Arial" w:hAnsi="Arial" w:cs="Arial"/>
                <w:sz w:val="22"/>
                <w:szCs w:val="22"/>
              </w:rPr>
              <w:t>Les politiques et procédures qui établissent les méthodes d’évaluation incluent des données, modèles et critères de sélection des sources de prix et de données de marché. Elles prévoient que les prix sont obtenus auprès de sources indépendantes chaque fois que cela est possible et approprié. Le processus de sélection d’une méthode donnée comprend une évaluation des méthodes disponibles, compte tenu de leur sensibilité́ aux modifications des variables et de la façon dont les différentes stratégies déterminent la valeur relative des actifs du portefeuille.</w:t>
            </w:r>
          </w:p>
          <w:p w14:paraId="34E11753" w14:textId="77777777" w:rsidR="007058CC" w:rsidRPr="00A64175" w:rsidRDefault="007058CC" w:rsidP="00A64175">
            <w:pPr>
              <w:pStyle w:val="NormalWeb"/>
              <w:spacing w:after="0" w:afterAutospacing="0"/>
              <w:ind w:left="283"/>
              <w:contextualSpacing/>
              <w:jc w:val="both"/>
              <w:rPr>
                <w:rFonts w:ascii="Arial" w:hAnsi="Arial" w:cs="Arial"/>
                <w:sz w:val="22"/>
                <w:szCs w:val="22"/>
              </w:rPr>
            </w:pPr>
          </w:p>
          <w:p w14:paraId="3A489DCD" w14:textId="77777777" w:rsidR="007058CC" w:rsidRPr="00A64175" w:rsidRDefault="007058CC" w:rsidP="00A64175">
            <w:pPr>
              <w:pStyle w:val="NormalWeb"/>
              <w:numPr>
                <w:ilvl w:val="0"/>
                <w:numId w:val="127"/>
              </w:numPr>
              <w:spacing w:after="0" w:afterAutospacing="0"/>
              <w:ind w:left="283" w:hanging="357"/>
              <w:contextualSpacing/>
              <w:jc w:val="both"/>
              <w:rPr>
                <w:rFonts w:ascii="Arial" w:hAnsi="Arial" w:cs="Arial"/>
                <w:sz w:val="22"/>
                <w:szCs w:val="22"/>
              </w:rPr>
            </w:pPr>
            <w:r w:rsidRPr="00A64175">
              <w:rPr>
                <w:rFonts w:ascii="Arial" w:hAnsi="Arial" w:cs="Arial"/>
                <w:sz w:val="22"/>
                <w:szCs w:val="22"/>
              </w:rPr>
              <w:t xml:space="preserve"> Les politiques d’évaluation définissent les obligations, les rôles et les responsabilités incombant à toutes les parties concernées par le processus d’évaluation, y compris les instances dirigeantes du gestionnaire. Les procédures d’évaluation traduisent l’organisation définie par ces politiques. </w:t>
            </w:r>
          </w:p>
          <w:p w14:paraId="0EDA825D" w14:textId="77777777" w:rsidR="007058CC" w:rsidRPr="00A64175" w:rsidRDefault="007058CC" w:rsidP="00A64175">
            <w:pPr>
              <w:pStyle w:val="NormalWeb"/>
              <w:spacing w:after="0" w:afterAutospacing="0"/>
              <w:ind w:left="283"/>
              <w:contextualSpacing/>
              <w:jc w:val="both"/>
              <w:rPr>
                <w:rFonts w:ascii="Arial" w:hAnsi="Arial" w:cs="Arial"/>
                <w:sz w:val="22"/>
                <w:szCs w:val="22"/>
              </w:rPr>
            </w:pPr>
          </w:p>
          <w:p w14:paraId="6FC7E8CC" w14:textId="77777777" w:rsidR="007058CC" w:rsidRPr="00A64175" w:rsidRDefault="007058CC" w:rsidP="00A64175">
            <w:pPr>
              <w:pStyle w:val="NormalWeb"/>
              <w:numPr>
                <w:ilvl w:val="0"/>
                <w:numId w:val="127"/>
              </w:numPr>
              <w:spacing w:after="0" w:afterAutospacing="0"/>
              <w:ind w:left="284"/>
              <w:contextualSpacing/>
              <w:jc w:val="both"/>
              <w:rPr>
                <w:rFonts w:ascii="Arial" w:hAnsi="Arial" w:cs="Arial"/>
                <w:sz w:val="22"/>
                <w:szCs w:val="22"/>
              </w:rPr>
            </w:pPr>
            <w:r w:rsidRPr="00A64175">
              <w:rPr>
                <w:rFonts w:ascii="Arial" w:hAnsi="Arial" w:cs="Arial"/>
                <w:sz w:val="22"/>
                <w:szCs w:val="22"/>
              </w:rPr>
              <w:t xml:space="preserve">Les politiques et procédures d’évaluation abordent au moins les points suivants : </w:t>
            </w:r>
          </w:p>
          <w:p w14:paraId="633AD118" w14:textId="77777777" w:rsidR="007058CC" w:rsidRPr="00A64175" w:rsidRDefault="007058CC" w:rsidP="00A64175">
            <w:pPr>
              <w:pStyle w:val="NormalWeb"/>
              <w:spacing w:after="0" w:afterAutospacing="0"/>
              <w:contextualSpacing/>
              <w:jc w:val="both"/>
              <w:rPr>
                <w:rFonts w:ascii="Arial" w:hAnsi="Arial" w:cs="Arial"/>
                <w:sz w:val="22"/>
                <w:szCs w:val="22"/>
              </w:rPr>
            </w:pPr>
          </w:p>
          <w:p w14:paraId="627470A4"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la compétence et l’indépendance des membres du personnel qui réalisent effectivement l’évaluation des actifs; </w:t>
            </w:r>
          </w:p>
          <w:p w14:paraId="28122523"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les stratégies d’investissement spécifiques de l’OPC et les actifs dans lesquels il pourrait investir; </w:t>
            </w:r>
          </w:p>
          <w:p w14:paraId="5B277639"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Les contrôles appliqués à la sélection des données, sources et méthodes utilisées pour l’évaluation ; </w:t>
            </w:r>
          </w:p>
          <w:p w14:paraId="13EF3FA0"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Les canaux d’intervention par paliers prévus pour remédier aux différences de valeur d’actifs ; </w:t>
            </w:r>
          </w:p>
          <w:p w14:paraId="5C68AB93"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L’évaluation des ajustements éventuels liés à la taille et à la liquiditéś des positions ou, le cas échéant, à des changements dans les conditions de marché ; </w:t>
            </w:r>
          </w:p>
          <w:p w14:paraId="368B0710"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Le moment approprié de clôture des livres de comptes aux fins de l’évaluation ; </w:t>
            </w:r>
          </w:p>
          <w:p w14:paraId="0E9AB06E" w14:textId="77777777" w:rsidR="007058CC" w:rsidRPr="00A64175" w:rsidRDefault="007058CC" w:rsidP="00A64175">
            <w:pPr>
              <w:pStyle w:val="NormalWeb"/>
              <w:numPr>
                <w:ilvl w:val="1"/>
                <w:numId w:val="128"/>
              </w:numPr>
              <w:spacing w:after="0" w:afterAutospacing="0"/>
              <w:contextualSpacing/>
              <w:jc w:val="both"/>
              <w:rPr>
                <w:rFonts w:ascii="Arial" w:hAnsi="Arial" w:cs="Arial"/>
                <w:sz w:val="22"/>
                <w:szCs w:val="22"/>
              </w:rPr>
            </w:pPr>
            <w:r w:rsidRPr="00A64175">
              <w:rPr>
                <w:rFonts w:ascii="Arial" w:hAnsi="Arial" w:cs="Arial"/>
                <w:sz w:val="22"/>
                <w:szCs w:val="22"/>
              </w:rPr>
              <w:t xml:space="preserve">La fréquence appropriée d’évaluation des actifs. </w:t>
            </w:r>
          </w:p>
          <w:p w14:paraId="5F6F279A" w14:textId="77777777" w:rsidR="007058CC" w:rsidRPr="00A64175" w:rsidRDefault="007058CC" w:rsidP="00A64175">
            <w:pPr>
              <w:pStyle w:val="NormalWeb"/>
              <w:spacing w:after="0" w:afterAutospacing="0"/>
              <w:ind w:left="720"/>
              <w:contextualSpacing/>
              <w:jc w:val="both"/>
              <w:rPr>
                <w:rFonts w:ascii="Arial" w:hAnsi="Arial" w:cs="Arial"/>
                <w:sz w:val="22"/>
                <w:szCs w:val="22"/>
              </w:rPr>
            </w:pPr>
          </w:p>
          <w:p w14:paraId="464F2F43" w14:textId="77777777" w:rsidR="007058CC" w:rsidRPr="00A64175" w:rsidRDefault="007058CC" w:rsidP="00A64175">
            <w:pPr>
              <w:pStyle w:val="NormalWeb"/>
              <w:numPr>
                <w:ilvl w:val="0"/>
                <w:numId w:val="127"/>
              </w:numPr>
              <w:spacing w:after="0" w:afterAutospacing="0"/>
              <w:ind w:left="283" w:hanging="357"/>
              <w:contextualSpacing/>
              <w:jc w:val="both"/>
              <w:rPr>
                <w:rFonts w:ascii="Arial" w:hAnsi="Arial" w:cs="Arial"/>
                <w:sz w:val="22"/>
                <w:szCs w:val="22"/>
              </w:rPr>
            </w:pPr>
            <w:r w:rsidRPr="00A64175">
              <w:rPr>
                <w:rFonts w:ascii="Arial" w:hAnsi="Arial" w:cs="Arial"/>
                <w:sz w:val="22"/>
                <w:szCs w:val="22"/>
              </w:rPr>
              <w:t>Lorsqu’un expert externe en évaluation est désigné, les politiques et procédures d’évaluation instaurent un processus d’échange d’informations entre le gestionnaire et cet expert, pour veiller à ce que toutes les informations nécessaires à l’exécution de la tâche d’évaluation soient transmises.</w:t>
            </w:r>
          </w:p>
          <w:p w14:paraId="66D501E4" w14:textId="77777777" w:rsidR="007058CC" w:rsidRPr="00A64175" w:rsidRDefault="007058CC" w:rsidP="00A64175">
            <w:pPr>
              <w:pStyle w:val="NormalWeb"/>
              <w:spacing w:after="0" w:afterAutospacing="0"/>
              <w:ind w:left="283"/>
              <w:contextualSpacing/>
              <w:jc w:val="both"/>
              <w:rPr>
                <w:rFonts w:ascii="Arial" w:hAnsi="Arial" w:cs="Arial"/>
                <w:sz w:val="22"/>
                <w:szCs w:val="22"/>
              </w:rPr>
            </w:pPr>
          </w:p>
          <w:p w14:paraId="14B67EE4" w14:textId="77777777" w:rsidR="007058CC" w:rsidRPr="00A64175" w:rsidRDefault="007058CC" w:rsidP="00A64175">
            <w:pPr>
              <w:pStyle w:val="NormalWeb"/>
              <w:numPr>
                <w:ilvl w:val="0"/>
                <w:numId w:val="127"/>
              </w:numPr>
              <w:spacing w:after="0" w:afterAutospacing="0"/>
              <w:ind w:left="283" w:hanging="357"/>
              <w:contextualSpacing/>
              <w:jc w:val="both"/>
              <w:rPr>
                <w:rFonts w:ascii="Arial" w:hAnsi="Arial" w:cs="Arial"/>
                <w:sz w:val="22"/>
                <w:szCs w:val="22"/>
              </w:rPr>
            </w:pPr>
            <w:r w:rsidRPr="00A64175">
              <w:rPr>
                <w:rFonts w:ascii="Arial" w:hAnsi="Arial" w:cs="Arial"/>
                <w:sz w:val="22"/>
                <w:szCs w:val="22"/>
              </w:rPr>
              <w:t>Les politiques et procédures d’évaluation prévoient que la société de gestion ou la société d’investissement effectue un contrôle diligent des tiers désignés pour fournir des services d’évaluation, préalablement à leur mission puis de façon périodique.</w:t>
            </w:r>
          </w:p>
          <w:p w14:paraId="382EBC5B" w14:textId="77777777" w:rsidR="007058CC" w:rsidRPr="00A64175" w:rsidRDefault="007058CC" w:rsidP="00A64175">
            <w:pPr>
              <w:pStyle w:val="NormalWeb"/>
              <w:spacing w:after="0" w:afterAutospacing="0"/>
              <w:contextualSpacing/>
              <w:jc w:val="both"/>
              <w:rPr>
                <w:rFonts w:ascii="Arial" w:hAnsi="Arial" w:cs="Arial"/>
                <w:sz w:val="22"/>
                <w:szCs w:val="22"/>
              </w:rPr>
            </w:pPr>
          </w:p>
          <w:p w14:paraId="73FCCC7E" w14:textId="22FFF7F1" w:rsidR="007058CC" w:rsidRPr="00A64175" w:rsidRDefault="007058CC" w:rsidP="00A64175">
            <w:pPr>
              <w:pStyle w:val="NormalWeb"/>
              <w:numPr>
                <w:ilvl w:val="0"/>
                <w:numId w:val="127"/>
              </w:numPr>
              <w:spacing w:after="0" w:afterAutospacing="0"/>
              <w:ind w:left="283" w:hanging="357"/>
              <w:contextualSpacing/>
              <w:jc w:val="both"/>
              <w:rPr>
                <w:rFonts w:ascii="Arial" w:hAnsi="Arial" w:cs="Arial"/>
                <w:sz w:val="22"/>
                <w:szCs w:val="22"/>
              </w:rPr>
            </w:pPr>
            <w:r w:rsidRPr="00A64175">
              <w:rPr>
                <w:rFonts w:ascii="Arial" w:hAnsi="Arial" w:cs="Arial"/>
                <w:sz w:val="22"/>
                <w:szCs w:val="22"/>
              </w:rPr>
              <w:t xml:space="preserve">Lorsque l’évaluation est réalisée par la société de gestion ou la société d’investissement elle- même, les politiques décrivent les mesures de protection mises en place pour garantir l’indépendance de la tâche d’évaluation sur </w:t>
            </w:r>
            <w:r w:rsidR="00084050" w:rsidRPr="00A64175">
              <w:rPr>
                <w:rFonts w:ascii="Arial" w:hAnsi="Arial" w:cs="Arial"/>
                <w:sz w:val="22"/>
                <w:szCs w:val="22"/>
              </w:rPr>
              <w:t>le plan fonctionnel</w:t>
            </w:r>
            <w:r w:rsidRPr="00A64175">
              <w:rPr>
                <w:rFonts w:ascii="Arial" w:hAnsi="Arial" w:cs="Arial"/>
                <w:sz w:val="22"/>
                <w:szCs w:val="22"/>
              </w:rPr>
              <w:t xml:space="preserve">. Ces mesures de protection visent notamment à prévenir ou à limiter l’exercice par toute personne d’une influence inappropriée sur la façon dont une autre personne mène des activités d’évaluation. </w:t>
            </w:r>
          </w:p>
          <w:p w14:paraId="443DEB05" w14:textId="77777777" w:rsidR="007058CC" w:rsidRPr="00A64175" w:rsidRDefault="007058CC" w:rsidP="00A64175">
            <w:pPr>
              <w:contextualSpacing/>
              <w:jc w:val="both"/>
              <w:rPr>
                <w:rFonts w:ascii="Arial" w:hAnsi="Arial" w:cs="Arial"/>
                <w:b/>
                <w:bCs/>
              </w:rPr>
            </w:pPr>
          </w:p>
        </w:tc>
      </w:tr>
      <w:tr w:rsidR="007058CC" w:rsidRPr="00A64175" w14:paraId="29D3178A" w14:textId="77777777" w:rsidTr="000E7336">
        <w:trPr>
          <w:jc w:val="center"/>
        </w:trPr>
        <w:tc>
          <w:tcPr>
            <w:tcW w:w="10316" w:type="dxa"/>
            <w:shd w:val="clear" w:color="auto" w:fill="auto"/>
          </w:tcPr>
          <w:p w14:paraId="12F7A192" w14:textId="5376C70E" w:rsidR="007058CC" w:rsidRPr="00A64175" w:rsidRDefault="007058CC" w:rsidP="00A64175">
            <w:pPr>
              <w:contextualSpacing/>
              <w:jc w:val="both"/>
              <w:rPr>
                <w:rFonts w:ascii="Arial" w:hAnsi="Arial" w:cs="Arial"/>
                <w:b/>
                <w:bCs/>
              </w:rPr>
            </w:pPr>
            <w:r w:rsidRPr="00A64175">
              <w:rPr>
                <w:rFonts w:ascii="Arial" w:hAnsi="Arial" w:cs="Arial"/>
                <w:b/>
                <w:bCs/>
              </w:rPr>
              <w:t>Article</w:t>
            </w:r>
            <w:r w:rsidR="00084050" w:rsidRPr="00A64175">
              <w:rPr>
                <w:rFonts w:ascii="Arial" w:hAnsi="Arial" w:cs="Arial"/>
                <w:b/>
                <w:bCs/>
              </w:rPr>
              <w:t xml:space="preserve"> </w:t>
            </w:r>
            <w:r w:rsidR="00A00FEE">
              <w:rPr>
                <w:rFonts w:ascii="Arial" w:hAnsi="Arial" w:cs="Arial"/>
                <w:b/>
                <w:bCs/>
              </w:rPr>
              <w:t xml:space="preserve">481 </w:t>
            </w:r>
            <w:r w:rsidRPr="00A64175">
              <w:rPr>
                <w:rFonts w:ascii="Arial" w:hAnsi="Arial" w:cs="Arial"/>
                <w:b/>
                <w:bCs/>
              </w:rPr>
              <w:t xml:space="preserve"> - </w:t>
            </w:r>
          </w:p>
          <w:p w14:paraId="40FE11F7" w14:textId="77777777" w:rsidR="007058CC" w:rsidRPr="00A64175" w:rsidRDefault="007058CC" w:rsidP="00A64175">
            <w:pPr>
              <w:pStyle w:val="NormalWeb"/>
              <w:numPr>
                <w:ilvl w:val="0"/>
                <w:numId w:val="129"/>
              </w:numPr>
              <w:spacing w:after="0" w:afterAutospacing="0"/>
              <w:contextualSpacing/>
              <w:jc w:val="both"/>
              <w:rPr>
                <w:rFonts w:ascii="Arial" w:hAnsi="Arial" w:cs="Arial"/>
                <w:sz w:val="22"/>
                <w:szCs w:val="22"/>
              </w:rPr>
            </w:pPr>
            <w:r w:rsidRPr="00A64175">
              <w:rPr>
                <w:rFonts w:ascii="Arial" w:hAnsi="Arial" w:cs="Arial"/>
                <w:sz w:val="22"/>
                <w:szCs w:val="22"/>
              </w:rPr>
              <w:t xml:space="preserve">Si un modèle est utilisé pour l’évaluation des actifs d’un OPC, les politiques et procédures d’évaluation comportent une explication et une justification de ce modèle et de ses principales caractéristiques. Les raisons du choix de ce modèle, les données sous-jacentes, les hypothèses utilisées dans le modèle et les raisons justifiant leur choix ainsi que les limites de l’évaluation basée sur un modèle sont documentées de façon appropriée. </w:t>
            </w:r>
          </w:p>
          <w:p w14:paraId="6E0405D9" w14:textId="77777777" w:rsidR="007058CC" w:rsidRPr="00A64175" w:rsidRDefault="007058CC" w:rsidP="00A64175">
            <w:pPr>
              <w:pStyle w:val="NormalWeb"/>
              <w:spacing w:after="0" w:afterAutospacing="0"/>
              <w:ind w:left="360"/>
              <w:contextualSpacing/>
              <w:jc w:val="both"/>
              <w:rPr>
                <w:rFonts w:ascii="Arial" w:hAnsi="Arial" w:cs="Arial"/>
                <w:sz w:val="22"/>
                <w:szCs w:val="22"/>
              </w:rPr>
            </w:pPr>
          </w:p>
          <w:p w14:paraId="2B613CDC" w14:textId="77777777" w:rsidR="007058CC" w:rsidRPr="00A64175" w:rsidRDefault="007058CC" w:rsidP="00A64175">
            <w:pPr>
              <w:pStyle w:val="NormalWeb"/>
              <w:numPr>
                <w:ilvl w:val="0"/>
                <w:numId w:val="129"/>
              </w:numPr>
              <w:spacing w:after="0" w:afterAutospacing="0"/>
              <w:contextualSpacing/>
              <w:jc w:val="both"/>
              <w:rPr>
                <w:rFonts w:ascii="Arial" w:hAnsi="Arial" w:cs="Arial"/>
                <w:sz w:val="22"/>
                <w:szCs w:val="22"/>
              </w:rPr>
            </w:pPr>
            <w:r w:rsidRPr="00A64175">
              <w:rPr>
                <w:rFonts w:ascii="Arial" w:hAnsi="Arial" w:cs="Arial"/>
                <w:sz w:val="22"/>
                <w:szCs w:val="22"/>
              </w:rPr>
              <w:t xml:space="preserve">Les politiques et procédures d’évaluation prévoient que préalablement à son utilisation, le modèle est validé par une personne qui possède une expertise suffisante et n’a pas participé́ à sa construction. Le processus de validation est documenté de façon appropriée. </w:t>
            </w:r>
          </w:p>
          <w:p w14:paraId="4C689478" w14:textId="77777777" w:rsidR="007058CC" w:rsidRPr="00A64175" w:rsidRDefault="007058CC" w:rsidP="00A64175">
            <w:pPr>
              <w:pStyle w:val="NormalWeb"/>
              <w:spacing w:after="0" w:afterAutospacing="0"/>
              <w:contextualSpacing/>
              <w:jc w:val="both"/>
              <w:rPr>
                <w:rFonts w:ascii="Arial" w:hAnsi="Arial" w:cs="Arial"/>
                <w:sz w:val="22"/>
                <w:szCs w:val="22"/>
              </w:rPr>
            </w:pPr>
          </w:p>
          <w:p w14:paraId="6314A38C" w14:textId="77777777" w:rsidR="007058CC" w:rsidRPr="00A64175" w:rsidRDefault="007058CC" w:rsidP="00A64175">
            <w:pPr>
              <w:pStyle w:val="NormalWeb"/>
              <w:numPr>
                <w:ilvl w:val="0"/>
                <w:numId w:val="129"/>
              </w:numPr>
              <w:spacing w:after="0" w:afterAutospacing="0"/>
              <w:contextualSpacing/>
              <w:jc w:val="both"/>
              <w:rPr>
                <w:rFonts w:ascii="Arial" w:hAnsi="Arial" w:cs="Arial"/>
                <w:sz w:val="22"/>
                <w:szCs w:val="22"/>
              </w:rPr>
            </w:pPr>
            <w:r w:rsidRPr="00A64175">
              <w:rPr>
                <w:rFonts w:ascii="Arial" w:hAnsi="Arial" w:cs="Arial"/>
                <w:sz w:val="22"/>
                <w:szCs w:val="22"/>
              </w:rPr>
              <w:t xml:space="preserve">Le modèle est soumis à l’approbation préalable des instances dirigeantes de la société de gestion ou la société d’investissement. La COSUMAF peut exiger que le modèle soit vérifié́ par un expert externe en évaluation ou par un contrôleur des comptes. </w:t>
            </w:r>
          </w:p>
        </w:tc>
      </w:tr>
      <w:tr w:rsidR="007058CC" w:rsidRPr="00A64175" w14:paraId="7146EF39" w14:textId="77777777" w:rsidTr="000E7336">
        <w:trPr>
          <w:jc w:val="center"/>
        </w:trPr>
        <w:tc>
          <w:tcPr>
            <w:tcW w:w="10316" w:type="dxa"/>
            <w:shd w:val="clear" w:color="auto" w:fill="auto"/>
          </w:tcPr>
          <w:p w14:paraId="223ACF45" w14:textId="77777777" w:rsidR="007058CC" w:rsidRPr="00A64175" w:rsidRDefault="007058CC" w:rsidP="00A64175">
            <w:pPr>
              <w:pStyle w:val="NormalWeb"/>
              <w:spacing w:after="0" w:afterAutospacing="0"/>
              <w:contextualSpacing/>
              <w:jc w:val="both"/>
              <w:rPr>
                <w:rFonts w:ascii="Arial" w:hAnsi="Arial" w:cs="Arial"/>
                <w:b/>
                <w:bCs/>
                <w:sz w:val="22"/>
                <w:szCs w:val="22"/>
              </w:rPr>
            </w:pPr>
          </w:p>
          <w:p w14:paraId="452E3E24" w14:textId="04D048FC" w:rsidR="007058CC" w:rsidRPr="00A64175" w:rsidRDefault="00084050" w:rsidP="00A64175">
            <w:pPr>
              <w:pStyle w:val="NormalWeb"/>
              <w:spacing w:after="0" w:afterAutospacing="0"/>
              <w:contextualSpacing/>
              <w:jc w:val="both"/>
              <w:rPr>
                <w:rFonts w:ascii="Arial" w:hAnsi="Arial" w:cs="Arial"/>
                <w:b/>
                <w:bCs/>
                <w:sz w:val="22"/>
                <w:szCs w:val="22"/>
              </w:rPr>
            </w:pPr>
            <w:r w:rsidRPr="00A64175">
              <w:rPr>
                <w:rFonts w:ascii="Arial" w:hAnsi="Arial" w:cs="Arial"/>
                <w:b/>
                <w:bCs/>
                <w:sz w:val="22"/>
                <w:szCs w:val="22"/>
              </w:rPr>
              <w:t xml:space="preserve">Article </w:t>
            </w:r>
            <w:r w:rsidR="00A00FEE">
              <w:rPr>
                <w:rFonts w:ascii="Arial" w:hAnsi="Arial" w:cs="Arial"/>
                <w:b/>
                <w:bCs/>
                <w:sz w:val="22"/>
                <w:szCs w:val="22"/>
              </w:rPr>
              <w:t xml:space="preserve">482 </w:t>
            </w:r>
            <w:r w:rsidR="007058CC" w:rsidRPr="00A64175">
              <w:rPr>
                <w:rFonts w:ascii="Arial" w:hAnsi="Arial" w:cs="Arial"/>
                <w:b/>
                <w:bCs/>
                <w:sz w:val="22"/>
                <w:szCs w:val="22"/>
              </w:rPr>
              <w:t xml:space="preserve"> - </w:t>
            </w:r>
          </w:p>
          <w:p w14:paraId="1A12CE23" w14:textId="77777777" w:rsidR="007058CC" w:rsidRPr="00A64175" w:rsidRDefault="007058CC" w:rsidP="00A64175">
            <w:pPr>
              <w:pStyle w:val="NormalWeb"/>
              <w:spacing w:after="0" w:afterAutospacing="0"/>
              <w:contextualSpacing/>
              <w:jc w:val="both"/>
              <w:rPr>
                <w:rFonts w:ascii="Arial" w:hAnsi="Arial" w:cs="Arial"/>
                <w:sz w:val="22"/>
                <w:szCs w:val="22"/>
              </w:rPr>
            </w:pPr>
          </w:p>
          <w:p w14:paraId="5E7ACD22" w14:textId="77777777" w:rsidR="007058CC" w:rsidRPr="00A64175" w:rsidRDefault="007058CC" w:rsidP="00A64175">
            <w:pPr>
              <w:pStyle w:val="NormalWeb"/>
              <w:numPr>
                <w:ilvl w:val="2"/>
                <w:numId w:val="125"/>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La société de gestion ou la société d’investissement veille à ce que les politiques et procédures d’évaluation ainsi que les méthodes d’évaluation choisies soient appliquées de manière cohérente. </w:t>
            </w:r>
          </w:p>
          <w:p w14:paraId="281C88F0"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69BE3521" w14:textId="77777777" w:rsidR="007058CC" w:rsidRPr="00A64175" w:rsidRDefault="007058CC" w:rsidP="00A64175">
            <w:pPr>
              <w:pStyle w:val="NormalWeb"/>
              <w:numPr>
                <w:ilvl w:val="2"/>
                <w:numId w:val="125"/>
              </w:numPr>
              <w:spacing w:after="0" w:afterAutospacing="0"/>
              <w:ind w:left="426"/>
              <w:contextualSpacing/>
              <w:jc w:val="both"/>
              <w:rPr>
                <w:rFonts w:ascii="Arial" w:hAnsi="Arial" w:cs="Arial"/>
                <w:sz w:val="22"/>
                <w:szCs w:val="22"/>
              </w:rPr>
            </w:pPr>
            <w:r w:rsidRPr="00A64175">
              <w:rPr>
                <w:rFonts w:ascii="Arial" w:hAnsi="Arial" w:cs="Arial"/>
                <w:sz w:val="22"/>
                <w:szCs w:val="22"/>
              </w:rPr>
              <w:t>Les politiques et procédures d’évaluation et les méthodes choisies s’appliquent à tous les actifs d’un OPC, compte tenu de la stratégie d’investissement, du type d’actif et, le cas échéant, de l’existence de différents experts externes en évaluation.</w:t>
            </w:r>
          </w:p>
          <w:p w14:paraId="410919F1"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534FC0F" w14:textId="77777777" w:rsidR="007058CC" w:rsidRPr="00A64175" w:rsidRDefault="007058CC" w:rsidP="00A64175">
            <w:pPr>
              <w:pStyle w:val="NormalWeb"/>
              <w:numPr>
                <w:ilvl w:val="2"/>
                <w:numId w:val="125"/>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Lorsque aucune mise à jour n’est requise, les politiques et procédures sont appliquées de façon cohérente dans le temps et les sources et règles utilisées pour l’évaluation restent cohérentes. </w:t>
            </w:r>
          </w:p>
          <w:p w14:paraId="2CB68632" w14:textId="77777777" w:rsidR="007058CC" w:rsidRPr="00A64175" w:rsidRDefault="007058CC" w:rsidP="00A64175">
            <w:pPr>
              <w:jc w:val="both"/>
              <w:rPr>
                <w:rFonts w:ascii="Arial" w:hAnsi="Arial" w:cs="Arial"/>
                <w:b/>
              </w:rPr>
            </w:pPr>
            <w:r w:rsidRPr="00A64175">
              <w:rPr>
                <w:rFonts w:ascii="Arial" w:hAnsi="Arial" w:cs="Arial"/>
              </w:rPr>
              <w:t>Les procédures d’évaluation et les méthodes choisies s’appliquent de façon cohérente à tous les OPC gérés par une même société de gestion, compte tenu des stratégies d’investissement, des types d’actifs détenus par les OPC et, le cas échéant, de l’existence de différents experts externes en évaluation.</w:t>
            </w:r>
          </w:p>
        </w:tc>
      </w:tr>
      <w:tr w:rsidR="007058CC" w:rsidRPr="00A64175" w14:paraId="2644647D" w14:textId="77777777" w:rsidTr="000E7336">
        <w:trPr>
          <w:trHeight w:val="3366"/>
          <w:jc w:val="center"/>
        </w:trPr>
        <w:tc>
          <w:tcPr>
            <w:tcW w:w="10316" w:type="dxa"/>
            <w:shd w:val="clear" w:color="auto" w:fill="auto"/>
          </w:tcPr>
          <w:p w14:paraId="49544D5A" w14:textId="77777777" w:rsidR="007058CC" w:rsidRPr="00A64175" w:rsidRDefault="007058CC" w:rsidP="00A64175">
            <w:pPr>
              <w:pStyle w:val="NormalWeb"/>
              <w:spacing w:after="0" w:afterAutospacing="0"/>
              <w:contextualSpacing/>
              <w:jc w:val="both"/>
              <w:rPr>
                <w:rFonts w:ascii="Arial" w:hAnsi="Arial" w:cs="Arial"/>
                <w:b/>
                <w:bCs/>
                <w:sz w:val="22"/>
                <w:szCs w:val="22"/>
              </w:rPr>
            </w:pPr>
          </w:p>
          <w:p w14:paraId="4228420C" w14:textId="1242DD9D" w:rsidR="007058CC" w:rsidRPr="00A64175" w:rsidRDefault="00084050" w:rsidP="00A64175">
            <w:pPr>
              <w:pStyle w:val="NormalWeb"/>
              <w:spacing w:after="0" w:afterAutospacing="0"/>
              <w:contextualSpacing/>
              <w:jc w:val="both"/>
              <w:rPr>
                <w:rFonts w:ascii="Arial" w:hAnsi="Arial" w:cs="Arial"/>
                <w:b/>
                <w:bCs/>
                <w:sz w:val="22"/>
                <w:szCs w:val="22"/>
              </w:rPr>
            </w:pPr>
            <w:r w:rsidRPr="00A64175">
              <w:rPr>
                <w:rFonts w:ascii="Arial" w:hAnsi="Arial" w:cs="Arial"/>
                <w:b/>
                <w:bCs/>
                <w:sz w:val="22"/>
                <w:szCs w:val="22"/>
              </w:rPr>
              <w:t xml:space="preserve">Article </w:t>
            </w:r>
            <w:r w:rsidR="00A00FEE">
              <w:rPr>
                <w:rFonts w:ascii="Arial" w:hAnsi="Arial" w:cs="Arial"/>
                <w:b/>
                <w:bCs/>
                <w:sz w:val="22"/>
                <w:szCs w:val="22"/>
              </w:rPr>
              <w:t xml:space="preserve">483 </w:t>
            </w:r>
            <w:r w:rsidR="007058CC" w:rsidRPr="00A64175">
              <w:rPr>
                <w:rFonts w:ascii="Arial" w:hAnsi="Arial" w:cs="Arial"/>
                <w:b/>
                <w:bCs/>
                <w:sz w:val="22"/>
                <w:szCs w:val="22"/>
              </w:rPr>
              <w:t xml:space="preserve"> -</w:t>
            </w:r>
          </w:p>
          <w:p w14:paraId="1D7AA3B9" w14:textId="77777777" w:rsidR="007058CC" w:rsidRPr="00A64175" w:rsidRDefault="007058CC" w:rsidP="00A64175">
            <w:pPr>
              <w:pStyle w:val="NormalWeb"/>
              <w:spacing w:after="0" w:afterAutospacing="0"/>
              <w:contextualSpacing/>
              <w:jc w:val="both"/>
              <w:rPr>
                <w:rFonts w:ascii="Arial" w:hAnsi="Arial" w:cs="Arial"/>
                <w:b/>
                <w:bCs/>
                <w:sz w:val="22"/>
                <w:szCs w:val="22"/>
              </w:rPr>
            </w:pPr>
          </w:p>
          <w:p w14:paraId="04E7B020" w14:textId="77777777" w:rsidR="007058CC" w:rsidRPr="00A64175" w:rsidRDefault="007058CC" w:rsidP="00A64175">
            <w:pPr>
              <w:pStyle w:val="NormalWeb"/>
              <w:numPr>
                <w:ilvl w:val="0"/>
                <w:numId w:val="130"/>
              </w:numPr>
              <w:spacing w:after="0" w:afterAutospacing="0"/>
              <w:ind w:left="425" w:hanging="357"/>
              <w:contextualSpacing/>
              <w:jc w:val="both"/>
              <w:rPr>
                <w:rFonts w:ascii="Arial" w:hAnsi="Arial" w:cs="Arial"/>
                <w:sz w:val="22"/>
                <w:szCs w:val="22"/>
              </w:rPr>
            </w:pPr>
            <w:r w:rsidRPr="00A64175">
              <w:rPr>
                <w:rFonts w:ascii="Arial" w:hAnsi="Arial" w:cs="Arial"/>
                <w:sz w:val="22"/>
                <w:szCs w:val="22"/>
              </w:rPr>
              <w:t xml:space="preserve">Les politiques d’évaluation prévoient un réexamen périodique des politiques et procédures, y compris des méthodes d’évaluation. Ce réexamen est effectué́ au moins une fois par an et avant que le OPC ne se lance dans une nouvelle stratégie d’investissement ou n’investisse dans un nouveau type d’actif non couvert par la politique d’évaluation en vigueur. </w:t>
            </w:r>
          </w:p>
          <w:p w14:paraId="475C6CC7" w14:textId="77777777" w:rsidR="007058CC" w:rsidRPr="00A64175" w:rsidRDefault="007058CC" w:rsidP="00A64175">
            <w:pPr>
              <w:pStyle w:val="NormalWeb"/>
              <w:spacing w:after="0" w:afterAutospacing="0"/>
              <w:ind w:left="425"/>
              <w:contextualSpacing/>
              <w:jc w:val="both"/>
              <w:rPr>
                <w:rFonts w:ascii="Arial" w:hAnsi="Arial" w:cs="Arial"/>
                <w:sz w:val="22"/>
                <w:szCs w:val="22"/>
              </w:rPr>
            </w:pPr>
          </w:p>
          <w:p w14:paraId="3FC5EE20" w14:textId="77777777" w:rsidR="007058CC" w:rsidRPr="00A64175" w:rsidRDefault="007058CC" w:rsidP="00A64175">
            <w:pPr>
              <w:pStyle w:val="NormalWeb"/>
              <w:numPr>
                <w:ilvl w:val="0"/>
                <w:numId w:val="130"/>
              </w:numPr>
              <w:spacing w:after="0" w:afterAutospacing="0"/>
              <w:ind w:left="425" w:hanging="357"/>
              <w:contextualSpacing/>
              <w:jc w:val="both"/>
              <w:rPr>
                <w:rFonts w:ascii="Arial" w:hAnsi="Arial" w:cs="Arial"/>
                <w:sz w:val="22"/>
                <w:szCs w:val="22"/>
              </w:rPr>
            </w:pPr>
            <w:r w:rsidRPr="00A64175">
              <w:rPr>
                <w:rFonts w:ascii="Arial" w:hAnsi="Arial" w:cs="Arial"/>
                <w:sz w:val="22"/>
                <w:szCs w:val="22"/>
              </w:rPr>
              <w:t xml:space="preserve">Les politiques et procédures d’évaluation décrivent comment et dans quelles circonstances il convient de modifier les politiques d’évaluation, y compris les méthodes d’évaluation. Les recommandations de modification des politiques et procédures sont adressées aux instances dirigeantes, par lesquelles tout changement doit être examiné et approuvé. </w:t>
            </w:r>
          </w:p>
          <w:p w14:paraId="274D27AE" w14:textId="77777777" w:rsidR="007058CC" w:rsidRPr="00A64175" w:rsidRDefault="007058CC" w:rsidP="00A64175">
            <w:pPr>
              <w:pStyle w:val="NormalWeb"/>
              <w:spacing w:after="0" w:afterAutospacing="0"/>
              <w:contextualSpacing/>
              <w:jc w:val="both"/>
              <w:rPr>
                <w:rFonts w:ascii="Arial" w:hAnsi="Arial" w:cs="Arial"/>
                <w:sz w:val="22"/>
                <w:szCs w:val="22"/>
              </w:rPr>
            </w:pPr>
          </w:p>
          <w:p w14:paraId="55F800D2" w14:textId="5431C77C" w:rsidR="007058CC" w:rsidRPr="00A64175" w:rsidRDefault="007058CC" w:rsidP="00A64175">
            <w:pPr>
              <w:pStyle w:val="NormalWeb"/>
              <w:numPr>
                <w:ilvl w:val="0"/>
                <w:numId w:val="130"/>
              </w:numPr>
              <w:spacing w:after="0" w:afterAutospacing="0"/>
              <w:ind w:left="425" w:hanging="357"/>
              <w:contextualSpacing/>
              <w:jc w:val="both"/>
              <w:rPr>
                <w:rFonts w:ascii="Arial" w:hAnsi="Arial" w:cs="Arial"/>
                <w:sz w:val="22"/>
                <w:szCs w:val="22"/>
              </w:rPr>
            </w:pPr>
            <w:r w:rsidRPr="00A64175">
              <w:rPr>
                <w:rFonts w:ascii="Arial" w:hAnsi="Arial" w:cs="Arial"/>
                <w:sz w:val="22"/>
                <w:szCs w:val="22"/>
              </w:rPr>
              <w:t xml:space="preserve">La fonction de gestion des risques visée à </w:t>
            </w:r>
            <w:r w:rsidR="00084050" w:rsidRPr="00A64175">
              <w:rPr>
                <w:rFonts w:ascii="Arial" w:hAnsi="Arial" w:cs="Arial"/>
                <w:sz w:val="22"/>
                <w:szCs w:val="22"/>
              </w:rPr>
              <w:t xml:space="preserve">l’article 209 du </w:t>
            </w:r>
            <w:r w:rsidR="00084050" w:rsidRPr="00A64175">
              <w:rPr>
                <w:rFonts w:ascii="Arial" w:hAnsi="Arial" w:cs="Arial"/>
                <w:color w:val="000000"/>
                <w:sz w:val="22"/>
                <w:szCs w:val="22"/>
              </w:rPr>
              <w:t>Règlement n°01/22/CEMAC/UMAC/CM/COSUMAF du 21 juillet 2022</w:t>
            </w:r>
            <w:r w:rsidRPr="00A64175">
              <w:rPr>
                <w:rFonts w:ascii="Arial" w:hAnsi="Arial" w:cs="Arial"/>
                <w:sz w:val="22"/>
                <w:szCs w:val="22"/>
              </w:rPr>
              <w:t xml:space="preserve"> examine les politiques et procédures adoptées pour l’évaluation des actifs et, le cas échéant, apporte l’aide nécessaire en la matière.</w:t>
            </w:r>
          </w:p>
        </w:tc>
      </w:tr>
      <w:tr w:rsidR="007058CC" w:rsidRPr="00A64175" w14:paraId="014BA949" w14:textId="77777777" w:rsidTr="000E7336">
        <w:trPr>
          <w:jc w:val="center"/>
        </w:trPr>
        <w:tc>
          <w:tcPr>
            <w:tcW w:w="10316" w:type="dxa"/>
            <w:shd w:val="clear" w:color="auto" w:fill="auto"/>
          </w:tcPr>
          <w:p w14:paraId="28CFCDFA" w14:textId="77777777" w:rsidR="007058CC" w:rsidRPr="00A64175" w:rsidRDefault="007058CC" w:rsidP="00A64175">
            <w:pPr>
              <w:contextualSpacing/>
              <w:jc w:val="both"/>
              <w:rPr>
                <w:rFonts w:ascii="Arial" w:hAnsi="Arial" w:cs="Arial"/>
                <w:b/>
                <w:bCs/>
              </w:rPr>
            </w:pPr>
          </w:p>
          <w:p w14:paraId="471DBCFF" w14:textId="6BE61BD6" w:rsidR="007058CC" w:rsidRPr="00A64175" w:rsidRDefault="00084050"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484 </w:t>
            </w:r>
            <w:r w:rsidR="007058CC" w:rsidRPr="00A64175">
              <w:rPr>
                <w:rFonts w:ascii="Arial" w:hAnsi="Arial" w:cs="Arial"/>
                <w:b/>
                <w:bCs/>
              </w:rPr>
              <w:t xml:space="preserve"> - </w:t>
            </w:r>
          </w:p>
          <w:p w14:paraId="5AE85FEC" w14:textId="77777777" w:rsidR="007058CC" w:rsidRPr="00A64175" w:rsidRDefault="007058CC" w:rsidP="00A64175">
            <w:pPr>
              <w:pStyle w:val="NormalWeb"/>
              <w:numPr>
                <w:ilvl w:val="0"/>
                <w:numId w:val="131"/>
              </w:numPr>
              <w:spacing w:after="0" w:afterAutospacing="0"/>
              <w:ind w:left="426" w:hanging="357"/>
              <w:contextualSpacing/>
              <w:jc w:val="both"/>
              <w:rPr>
                <w:rFonts w:ascii="Arial" w:hAnsi="Arial" w:cs="Arial"/>
                <w:sz w:val="22"/>
                <w:szCs w:val="22"/>
              </w:rPr>
            </w:pPr>
            <w:r w:rsidRPr="00A64175">
              <w:rPr>
                <w:rFonts w:ascii="Arial" w:hAnsi="Arial" w:cs="Arial"/>
                <w:sz w:val="22"/>
                <w:szCs w:val="22"/>
              </w:rPr>
              <w:t>La société de gestion ou la société d’investissement veille à ce que tous les actifs détenus par l’OPC soient évalués correctement, à leur juste valeur. La société de gestion ou la société d’investissement consigne par écrit, pour chaque type d’actifs, les modalités selon lesquelles il détermine si chaque actif est évalué́ correctement et à sa juste valeur. La société de gestion ou la société d’investissement est en mesure de démontrer, à tout moment, que les portefeuilles des OPC qu’elle gère sont évalués correctement.</w:t>
            </w:r>
          </w:p>
          <w:p w14:paraId="1FB4C00C"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743841A1" w14:textId="77777777" w:rsidR="007058CC" w:rsidRPr="00A64175" w:rsidRDefault="007058CC" w:rsidP="00A64175">
            <w:pPr>
              <w:pStyle w:val="NormalWeb"/>
              <w:numPr>
                <w:ilvl w:val="0"/>
                <w:numId w:val="131"/>
              </w:numPr>
              <w:spacing w:after="0" w:afterAutospacing="0"/>
              <w:ind w:left="426" w:hanging="357"/>
              <w:contextualSpacing/>
              <w:jc w:val="both"/>
              <w:rPr>
                <w:rFonts w:ascii="Arial" w:hAnsi="Arial" w:cs="Arial"/>
                <w:sz w:val="22"/>
                <w:szCs w:val="22"/>
              </w:rPr>
            </w:pPr>
            <w:r w:rsidRPr="00A64175">
              <w:rPr>
                <w:rFonts w:ascii="Arial" w:hAnsi="Arial" w:cs="Arial"/>
                <w:sz w:val="22"/>
                <w:szCs w:val="22"/>
              </w:rPr>
              <w:t>Les politiques et procédures d’évaluation prévoient un processus de réexamen de la valeur d’actifs lorsqu’il existe un risque significatif d’évaluation incorrecte, c’est-à-dire notamment dans les cas suivants :</w:t>
            </w:r>
          </w:p>
          <w:p w14:paraId="2D3AC350"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4263976C" w14:textId="77777777" w:rsidR="007058CC" w:rsidRPr="00A64175" w:rsidRDefault="007058CC" w:rsidP="00A64175">
            <w:pPr>
              <w:pStyle w:val="NormalWeb"/>
              <w:numPr>
                <w:ilvl w:val="1"/>
                <w:numId w:val="132"/>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L’évaluation est fondée sur des prix qui ne peuvent être obtenus qu’auprès d’une seule contrepartie ou d’un seul courtier ; </w:t>
            </w:r>
          </w:p>
          <w:p w14:paraId="01B4EF64"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5508B0D" w14:textId="77777777" w:rsidR="007058CC" w:rsidRPr="00A64175" w:rsidRDefault="007058CC" w:rsidP="00A64175">
            <w:pPr>
              <w:pStyle w:val="NormalWeb"/>
              <w:numPr>
                <w:ilvl w:val="1"/>
                <w:numId w:val="132"/>
              </w:numPr>
              <w:spacing w:after="0" w:afterAutospacing="0"/>
              <w:ind w:left="426"/>
              <w:contextualSpacing/>
              <w:jc w:val="both"/>
              <w:rPr>
                <w:rFonts w:ascii="Arial" w:hAnsi="Arial" w:cs="Arial"/>
                <w:sz w:val="22"/>
                <w:szCs w:val="22"/>
              </w:rPr>
            </w:pPr>
            <w:r w:rsidRPr="00A64175">
              <w:rPr>
                <w:rFonts w:ascii="Arial" w:hAnsi="Arial" w:cs="Arial"/>
                <w:sz w:val="22"/>
                <w:szCs w:val="22"/>
              </w:rPr>
              <w:t>L’évaluation est fondée sur des prix de marché non liquides ;</w:t>
            </w:r>
          </w:p>
          <w:p w14:paraId="4DF31C49" w14:textId="77777777" w:rsidR="007058CC" w:rsidRPr="00A64175" w:rsidRDefault="007058CC" w:rsidP="00A64175">
            <w:pPr>
              <w:pStyle w:val="NormalWeb"/>
              <w:spacing w:after="0" w:afterAutospacing="0"/>
              <w:ind w:left="426"/>
              <w:contextualSpacing/>
              <w:jc w:val="both"/>
              <w:rPr>
                <w:rFonts w:ascii="Arial" w:hAnsi="Arial" w:cs="Arial"/>
                <w:sz w:val="22"/>
                <w:szCs w:val="22"/>
              </w:rPr>
            </w:pPr>
            <w:r w:rsidRPr="00A64175">
              <w:rPr>
                <w:rFonts w:ascii="Arial" w:hAnsi="Arial" w:cs="Arial"/>
                <w:sz w:val="22"/>
                <w:szCs w:val="22"/>
              </w:rPr>
              <w:t xml:space="preserve"> </w:t>
            </w:r>
          </w:p>
          <w:p w14:paraId="0290ED99" w14:textId="77777777" w:rsidR="007058CC" w:rsidRPr="00A64175" w:rsidRDefault="007058CC" w:rsidP="00A64175">
            <w:pPr>
              <w:pStyle w:val="NormalWeb"/>
              <w:numPr>
                <w:ilvl w:val="1"/>
                <w:numId w:val="132"/>
              </w:numPr>
              <w:spacing w:after="0" w:afterAutospacing="0"/>
              <w:ind w:left="426"/>
              <w:contextualSpacing/>
              <w:jc w:val="both"/>
              <w:rPr>
                <w:rFonts w:ascii="Arial" w:hAnsi="Arial" w:cs="Arial"/>
                <w:sz w:val="22"/>
                <w:szCs w:val="22"/>
              </w:rPr>
            </w:pPr>
            <w:r w:rsidRPr="00A64175">
              <w:rPr>
                <w:rFonts w:ascii="Arial" w:hAnsi="Arial" w:cs="Arial"/>
                <w:sz w:val="22"/>
                <w:szCs w:val="22"/>
              </w:rPr>
              <w:t>L’évaluation est influencée par des parties liées à la société de gestion ou la société d’investissement ;</w:t>
            </w:r>
          </w:p>
          <w:p w14:paraId="0CF7A83A" w14:textId="77777777" w:rsidR="007058CC" w:rsidRPr="00A64175" w:rsidRDefault="007058CC" w:rsidP="00A64175">
            <w:pPr>
              <w:pStyle w:val="NormalWeb"/>
              <w:spacing w:after="0" w:afterAutospacing="0"/>
              <w:ind w:left="426"/>
              <w:contextualSpacing/>
              <w:jc w:val="both"/>
              <w:rPr>
                <w:rFonts w:ascii="Arial" w:hAnsi="Arial" w:cs="Arial"/>
                <w:sz w:val="22"/>
                <w:szCs w:val="22"/>
              </w:rPr>
            </w:pPr>
            <w:r w:rsidRPr="00A64175">
              <w:rPr>
                <w:rFonts w:ascii="Arial" w:hAnsi="Arial" w:cs="Arial"/>
                <w:sz w:val="22"/>
                <w:szCs w:val="22"/>
              </w:rPr>
              <w:t xml:space="preserve"> </w:t>
            </w:r>
          </w:p>
          <w:p w14:paraId="13FD81E8" w14:textId="77777777" w:rsidR="007058CC" w:rsidRPr="00A64175" w:rsidRDefault="007058CC" w:rsidP="00A64175">
            <w:pPr>
              <w:pStyle w:val="NormalWeb"/>
              <w:numPr>
                <w:ilvl w:val="1"/>
                <w:numId w:val="132"/>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L’évaluation est influencée par d’autres entités qui pourraient avoir un intérêt financier dans la performance de l’OPC ; </w:t>
            </w:r>
          </w:p>
          <w:p w14:paraId="7F6D5AAA"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213C21F6" w14:textId="77777777" w:rsidR="007058CC" w:rsidRPr="00A64175" w:rsidRDefault="007058CC" w:rsidP="00A64175">
            <w:pPr>
              <w:pStyle w:val="NormalWeb"/>
              <w:numPr>
                <w:ilvl w:val="1"/>
                <w:numId w:val="132"/>
              </w:numPr>
              <w:spacing w:after="0" w:afterAutospacing="0"/>
              <w:ind w:left="426"/>
              <w:contextualSpacing/>
              <w:jc w:val="both"/>
              <w:rPr>
                <w:rFonts w:ascii="Arial" w:hAnsi="Arial" w:cs="Arial"/>
                <w:sz w:val="22"/>
                <w:szCs w:val="22"/>
              </w:rPr>
            </w:pPr>
            <w:r w:rsidRPr="00A64175">
              <w:rPr>
                <w:rFonts w:ascii="Arial" w:hAnsi="Arial" w:cs="Arial"/>
                <w:sz w:val="22"/>
                <w:szCs w:val="22"/>
              </w:rPr>
              <w:t>L’évaluation est fondée sur des prix fournis par la contrepartie qui est l’initiateur de l’instrument, en particulier lorsqu’elle finance aussi la position de l’OPC sur cet instrument ;</w:t>
            </w:r>
          </w:p>
          <w:p w14:paraId="1AEF8F58" w14:textId="77777777" w:rsidR="007058CC" w:rsidRPr="00A64175" w:rsidRDefault="007058CC" w:rsidP="00A64175">
            <w:pPr>
              <w:pStyle w:val="NormalWeb"/>
              <w:spacing w:after="0" w:afterAutospacing="0"/>
              <w:contextualSpacing/>
              <w:jc w:val="both"/>
              <w:rPr>
                <w:rFonts w:ascii="Arial" w:hAnsi="Arial" w:cs="Arial"/>
                <w:sz w:val="22"/>
                <w:szCs w:val="22"/>
              </w:rPr>
            </w:pPr>
          </w:p>
          <w:p w14:paraId="735AE68D" w14:textId="77777777" w:rsidR="007058CC" w:rsidRPr="00A64175" w:rsidRDefault="007058CC" w:rsidP="00A64175">
            <w:pPr>
              <w:pStyle w:val="NormalWeb"/>
              <w:numPr>
                <w:ilvl w:val="0"/>
                <w:numId w:val="131"/>
              </w:numPr>
              <w:spacing w:after="0" w:afterAutospacing="0"/>
              <w:ind w:left="426"/>
              <w:contextualSpacing/>
              <w:jc w:val="both"/>
              <w:rPr>
                <w:rFonts w:ascii="Arial" w:hAnsi="Arial" w:cs="Arial"/>
                <w:b/>
                <w:sz w:val="22"/>
                <w:szCs w:val="22"/>
              </w:rPr>
            </w:pPr>
            <w:r w:rsidRPr="00A64175">
              <w:rPr>
                <w:rFonts w:ascii="Arial" w:hAnsi="Arial" w:cs="Arial"/>
                <w:sz w:val="22"/>
                <w:szCs w:val="22"/>
              </w:rPr>
              <w:t xml:space="preserve">Les politiques et procédures d’évaluation décrivent le processus de réexamen, qui comprend des vérifications et contrôles suffisants et appropriés portant sur le caractère raisonnable de chaque évaluation. Le caractère raisonnable est évalué́ en fonction de l’existence d’un degré́ d’objectivité́ approprié. </w:t>
            </w:r>
          </w:p>
        </w:tc>
      </w:tr>
      <w:tr w:rsidR="007058CC" w:rsidRPr="00A64175" w14:paraId="10609576" w14:textId="77777777" w:rsidTr="000E7336">
        <w:trPr>
          <w:jc w:val="center"/>
        </w:trPr>
        <w:tc>
          <w:tcPr>
            <w:tcW w:w="10316" w:type="dxa"/>
            <w:shd w:val="clear" w:color="auto" w:fill="auto"/>
          </w:tcPr>
          <w:p w14:paraId="4EAA04F3" w14:textId="77777777" w:rsidR="007058CC" w:rsidRPr="00A64175" w:rsidRDefault="007058CC" w:rsidP="00A64175">
            <w:pPr>
              <w:contextualSpacing/>
              <w:jc w:val="both"/>
              <w:rPr>
                <w:rFonts w:ascii="Arial" w:hAnsi="Arial" w:cs="Arial"/>
                <w:b/>
                <w:bCs/>
              </w:rPr>
            </w:pPr>
          </w:p>
          <w:p w14:paraId="06CB6F92" w14:textId="48C8C2F2" w:rsidR="007058CC" w:rsidRPr="00A64175" w:rsidRDefault="00327C65" w:rsidP="00A64175">
            <w:pPr>
              <w:contextualSpacing/>
              <w:jc w:val="both"/>
              <w:rPr>
                <w:rFonts w:ascii="Arial" w:hAnsi="Arial" w:cs="Arial"/>
                <w:i/>
                <w:iCs/>
              </w:rPr>
            </w:pPr>
            <w:r>
              <w:rPr>
                <w:rFonts w:ascii="Arial" w:hAnsi="Arial" w:cs="Arial"/>
                <w:i/>
                <w:iCs/>
              </w:rPr>
              <w:t>Sous-section 3</w:t>
            </w:r>
            <w:r w:rsidR="007058CC" w:rsidRPr="00A64175">
              <w:rPr>
                <w:rFonts w:ascii="Arial" w:hAnsi="Arial" w:cs="Arial"/>
                <w:i/>
                <w:iCs/>
              </w:rPr>
              <w:t xml:space="preserve"> </w:t>
            </w:r>
            <w:r w:rsidR="00084050" w:rsidRPr="00A64175">
              <w:rPr>
                <w:rFonts w:ascii="Arial" w:hAnsi="Arial" w:cs="Arial"/>
                <w:i/>
                <w:iCs/>
              </w:rPr>
              <w:t>–</w:t>
            </w:r>
            <w:r w:rsidR="007058CC" w:rsidRPr="00A64175">
              <w:rPr>
                <w:rFonts w:ascii="Arial" w:hAnsi="Arial" w:cs="Arial"/>
                <w:i/>
                <w:iCs/>
              </w:rPr>
              <w:t xml:space="preserve"> Délégation</w:t>
            </w:r>
          </w:p>
          <w:p w14:paraId="6B8CB74A" w14:textId="62A35B23" w:rsidR="00084050" w:rsidRPr="00A64175" w:rsidRDefault="00084050" w:rsidP="00A64175">
            <w:pPr>
              <w:contextualSpacing/>
              <w:jc w:val="both"/>
              <w:rPr>
                <w:rFonts w:ascii="Arial" w:hAnsi="Arial" w:cs="Arial"/>
                <w:iCs/>
              </w:rPr>
            </w:pPr>
          </w:p>
        </w:tc>
      </w:tr>
      <w:tr w:rsidR="007058CC" w:rsidRPr="00A64175" w14:paraId="0A82AA6D" w14:textId="77777777" w:rsidTr="000E7336">
        <w:trPr>
          <w:jc w:val="center"/>
        </w:trPr>
        <w:tc>
          <w:tcPr>
            <w:tcW w:w="10316" w:type="dxa"/>
            <w:shd w:val="clear" w:color="auto" w:fill="auto"/>
          </w:tcPr>
          <w:p w14:paraId="645281D8" w14:textId="459C8652" w:rsidR="007058CC" w:rsidRPr="00A64175" w:rsidRDefault="00084050"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485 </w:t>
            </w:r>
            <w:r w:rsidR="007058CC" w:rsidRPr="00A64175">
              <w:rPr>
                <w:rFonts w:ascii="Arial" w:hAnsi="Arial" w:cs="Arial"/>
                <w:b/>
                <w:bCs/>
              </w:rPr>
              <w:t xml:space="preserve"> - </w:t>
            </w:r>
          </w:p>
          <w:p w14:paraId="4C4C1B3A" w14:textId="77777777" w:rsidR="007058CC" w:rsidRPr="00A64175" w:rsidRDefault="007058CC" w:rsidP="00A64175">
            <w:pPr>
              <w:contextualSpacing/>
              <w:jc w:val="both"/>
              <w:rPr>
                <w:rFonts w:ascii="Arial" w:hAnsi="Arial" w:cs="Arial"/>
                <w:b/>
                <w:bCs/>
              </w:rPr>
            </w:pPr>
          </w:p>
          <w:p w14:paraId="1EBD5F28" w14:textId="77777777" w:rsidR="007058CC" w:rsidRPr="00A64175" w:rsidRDefault="007058CC" w:rsidP="00A64175">
            <w:pPr>
              <w:contextualSpacing/>
              <w:jc w:val="both"/>
              <w:rPr>
                <w:rFonts w:ascii="Arial" w:hAnsi="Arial" w:cs="Arial"/>
              </w:rPr>
            </w:pPr>
            <w:r w:rsidRPr="00A64175">
              <w:rPr>
                <w:rFonts w:ascii="Arial" w:hAnsi="Arial" w:cs="Arial"/>
              </w:rPr>
              <w:t>Lorsqu’il délègue l’exercice d’une ou plusieurs fonctions pour son compte, la société de gestion ou la société d’investissement respecte notamment les principes généraux suivants :</w:t>
            </w:r>
          </w:p>
          <w:p w14:paraId="61F84843"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La structure de délégation ne permet pas de contourner les responsabilités de la société de gestion ou la société d’investissement ; </w:t>
            </w:r>
          </w:p>
          <w:p w14:paraId="0CF91E2A" w14:textId="77777777" w:rsidR="007058CC" w:rsidRPr="00A64175" w:rsidRDefault="007058CC" w:rsidP="00A64175">
            <w:pPr>
              <w:pStyle w:val="Paragraphedeliste"/>
              <w:ind w:left="714"/>
              <w:contextualSpacing/>
            </w:pPr>
          </w:p>
          <w:p w14:paraId="4C06F358"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La délégation n’entraîne pas de modification des obligations du gestionnaire envers l’OPC et ses investisseurs ; </w:t>
            </w:r>
          </w:p>
          <w:p w14:paraId="41B258C0" w14:textId="77777777" w:rsidR="007058CC" w:rsidRPr="00A64175" w:rsidRDefault="007058CC" w:rsidP="00A64175">
            <w:pPr>
              <w:pStyle w:val="Paragraphedeliste"/>
              <w:contextualSpacing/>
            </w:pPr>
          </w:p>
          <w:p w14:paraId="72039929"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Il n’est pas porté atteinte aux conditions que doit respecter la société de gestion </w:t>
            </w:r>
            <w:r w:rsidRPr="00A64175">
              <w:rPr>
                <w:rFonts w:eastAsia="Times New Roman"/>
                <w:lang w:eastAsia="fr-FR"/>
              </w:rPr>
              <w:t>ou la société d’investissement</w:t>
            </w:r>
            <w:r w:rsidRPr="00A64175">
              <w:t xml:space="preserve"> pour être autorisé à exercer des activités conformément au règlement ministériel ; </w:t>
            </w:r>
          </w:p>
          <w:p w14:paraId="0F17AAD1" w14:textId="77777777" w:rsidR="007058CC" w:rsidRPr="00A64175" w:rsidRDefault="007058CC" w:rsidP="00A64175">
            <w:pPr>
              <w:pStyle w:val="Paragraphedeliste"/>
              <w:contextualSpacing/>
            </w:pPr>
          </w:p>
          <w:p w14:paraId="1A00BD37"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La délégation revêt la forme d’un accord écrit entre la société de gestion</w:t>
            </w:r>
            <w:r w:rsidRPr="00A64175">
              <w:rPr>
                <w:rFonts w:eastAsia="Times New Roman"/>
                <w:lang w:eastAsia="fr-FR"/>
              </w:rPr>
              <w:t xml:space="preserve"> ou la société d’investissement</w:t>
            </w:r>
            <w:r w:rsidRPr="00A64175">
              <w:t xml:space="preserve"> et le délégataire ; </w:t>
            </w:r>
          </w:p>
          <w:p w14:paraId="29679DAE" w14:textId="77777777" w:rsidR="007058CC" w:rsidRPr="00A64175" w:rsidRDefault="007058CC" w:rsidP="00A64175">
            <w:pPr>
              <w:pStyle w:val="Paragraphedeliste"/>
              <w:contextualSpacing/>
            </w:pPr>
          </w:p>
          <w:p w14:paraId="0718E69E"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La société de gestion </w:t>
            </w:r>
            <w:r w:rsidRPr="00A64175">
              <w:rPr>
                <w:rFonts w:eastAsia="Times New Roman"/>
                <w:lang w:eastAsia="fr-FR"/>
              </w:rPr>
              <w:t>ou la société d’investissement</w:t>
            </w:r>
            <w:r w:rsidRPr="00A64175">
              <w:t xml:space="preserve"> veille à ce que le délégataire exerce les fonctions déléguées de façon efficace et conforme au règlement ministériel et aux exigences règlementaires ; il doit mettre en place des méthodes et des procédures pour examiner en permanence les services fournis par le délégataire. La société de gestion</w:t>
            </w:r>
            <w:r w:rsidRPr="00A64175">
              <w:rPr>
                <w:rFonts w:eastAsia="Times New Roman"/>
                <w:lang w:eastAsia="fr-FR"/>
              </w:rPr>
              <w:t xml:space="preserve"> ou la société d’investissement</w:t>
            </w:r>
            <w:r w:rsidRPr="00A64175">
              <w:t xml:space="preserve"> prend des mesures appropriées s’il apparait que le délégataire ne peut pas s’acquitter de ses tâches de manière efficace ou conforme au règlement ministériel et aux exigences règlementaires ; </w:t>
            </w:r>
          </w:p>
          <w:p w14:paraId="6153FD09" w14:textId="77777777" w:rsidR="007058CC" w:rsidRPr="00A64175" w:rsidRDefault="007058CC" w:rsidP="00A64175">
            <w:pPr>
              <w:pStyle w:val="Paragraphedeliste"/>
              <w:contextualSpacing/>
            </w:pPr>
          </w:p>
          <w:p w14:paraId="6E1F209A"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La société de gestion</w:t>
            </w:r>
            <w:r w:rsidRPr="00A64175">
              <w:rPr>
                <w:rFonts w:eastAsia="Times New Roman"/>
                <w:lang w:eastAsia="fr-FR"/>
              </w:rPr>
              <w:t xml:space="preserve"> ou la société d’investissement</w:t>
            </w:r>
            <w:r w:rsidRPr="00A64175">
              <w:t xml:space="preserve"> surveille efficacement les fonctions déléguées et gère les risques liés à la délégation. À ces fins, elle dispose en permanence de l’expertise et des ressources suffisantes pour surveiller les fonctions déléguées. La société de gestion </w:t>
            </w:r>
            <w:r w:rsidRPr="00A64175">
              <w:rPr>
                <w:rFonts w:eastAsia="Times New Roman"/>
                <w:lang w:eastAsia="fr-FR"/>
              </w:rPr>
              <w:t>ou la société d’investissement</w:t>
            </w:r>
            <w:r w:rsidRPr="00A64175">
              <w:t xml:space="preserve"> inscrit dans l’accord son droit d’information, d’inspection, d’admission et d’accès, ainsi que son droit de donner des instructions au délégataire et d’exercer un suivi à son égard. La société de gestion veille également à ce que le délégataire assure une surveillance appropriée de l’exercice des fonctions déléguées et gère de façon adéquate les risques liés à la délégation ; </w:t>
            </w:r>
          </w:p>
          <w:p w14:paraId="3B32A816" w14:textId="77777777" w:rsidR="007058CC" w:rsidRPr="00A64175" w:rsidRDefault="007058CC" w:rsidP="00A64175">
            <w:pPr>
              <w:pStyle w:val="Paragraphedeliste"/>
              <w:contextualSpacing/>
            </w:pPr>
          </w:p>
          <w:p w14:paraId="21671C73"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La société de gestion </w:t>
            </w:r>
            <w:r w:rsidRPr="00A64175">
              <w:rPr>
                <w:rFonts w:eastAsia="Times New Roman"/>
                <w:lang w:eastAsia="fr-FR"/>
              </w:rPr>
              <w:t>ou la société d’investissement</w:t>
            </w:r>
            <w:r w:rsidRPr="00A64175">
              <w:t xml:space="preserve"> veille à ce que la continuité́ et la qualité́ des fonctions déléguées ou de l’exercice délégué́ de fonctions soient maintenues y compris si la délégation prend fin, soit en transférant les fonctions déléguées ou l’exercice délégué́ de fonctions à une autre tierce partie, soit en s’acquittant elle-même de ces fonctions ou de cet exercice ; </w:t>
            </w:r>
          </w:p>
          <w:p w14:paraId="0BBB340F" w14:textId="77777777" w:rsidR="007058CC" w:rsidRPr="00A64175" w:rsidRDefault="007058CC" w:rsidP="00A64175">
            <w:pPr>
              <w:pStyle w:val="Paragraphedeliste"/>
              <w:contextualSpacing/>
            </w:pPr>
          </w:p>
          <w:p w14:paraId="27C8D37B"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 xml:space="preserve">Les droits et obligations respectifs de la société de gestion </w:t>
            </w:r>
            <w:r w:rsidRPr="00A64175">
              <w:rPr>
                <w:rFonts w:eastAsia="Times New Roman"/>
                <w:lang w:eastAsia="fr-FR"/>
              </w:rPr>
              <w:t>ou la société d’investissement</w:t>
            </w:r>
            <w:r w:rsidRPr="00A64175">
              <w:t xml:space="preserve"> et du délégataire sont définis clairement et inscrits dans l’accord. En particulier, la société de gestion </w:t>
            </w:r>
            <w:r w:rsidRPr="00A64175">
              <w:rPr>
                <w:rFonts w:eastAsia="Times New Roman"/>
                <w:lang w:eastAsia="fr-FR"/>
              </w:rPr>
              <w:t>ou la société d’investissement</w:t>
            </w:r>
            <w:r w:rsidRPr="00A64175">
              <w:t xml:space="preserve"> veille à ce que le contrat garantisse son droit de donner des instructions et son droit de résiliation, son droit à l’information et ses droits d’inspection et d’accès aux livres comptables et aux locaux. L’accord établit qu’une sous-délégation ne peut avoir lieu qu’avec le consentement de la société de gestion</w:t>
            </w:r>
            <w:r w:rsidRPr="00A64175">
              <w:rPr>
                <w:rFonts w:eastAsia="Times New Roman"/>
                <w:lang w:eastAsia="fr-FR"/>
              </w:rPr>
              <w:t xml:space="preserve"> ou la société d’investissement ;</w:t>
            </w:r>
            <w:r w:rsidRPr="00A64175">
              <w:t xml:space="preserve"> </w:t>
            </w:r>
          </w:p>
          <w:p w14:paraId="5E65D9B8" w14:textId="77777777" w:rsidR="007058CC" w:rsidRPr="00A64175" w:rsidRDefault="007058CC" w:rsidP="00A64175">
            <w:pPr>
              <w:pStyle w:val="Paragraphedeliste"/>
              <w:contextualSpacing/>
            </w:pPr>
          </w:p>
          <w:p w14:paraId="045E3EFD"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t>Lorsqu’elle concerne la gestion de portefeuilles, la délégation est conforme à la politique d’investissement de l’OPC. Le délégataire reçoit des instructions de la société de gestion</w:t>
            </w:r>
            <w:r w:rsidRPr="00A64175">
              <w:rPr>
                <w:rFonts w:eastAsia="Times New Roman"/>
                <w:lang w:eastAsia="fr-FR"/>
              </w:rPr>
              <w:t xml:space="preserve"> ou la société d’investissement</w:t>
            </w:r>
            <w:r w:rsidRPr="00A64175">
              <w:t xml:space="preserve"> quant à la mise en œuvre de la politique d’investissement, et la société de gestion</w:t>
            </w:r>
            <w:r w:rsidRPr="00A64175">
              <w:rPr>
                <w:rFonts w:eastAsia="Times New Roman"/>
                <w:lang w:eastAsia="fr-FR"/>
              </w:rPr>
              <w:t xml:space="preserve"> ou la société d’investissement</w:t>
            </w:r>
            <w:r w:rsidRPr="00A64175">
              <w:t xml:space="preserve"> contrôle le respect de ces instructions en permanence ; </w:t>
            </w:r>
          </w:p>
          <w:p w14:paraId="2EA32CE7" w14:textId="77777777" w:rsidR="007058CC" w:rsidRPr="00A64175" w:rsidRDefault="007058CC" w:rsidP="00A64175">
            <w:pPr>
              <w:pStyle w:val="Paragraphedeliste"/>
              <w:contextualSpacing/>
              <w:rPr>
                <w:lang w:eastAsia="fr-FR"/>
              </w:rPr>
            </w:pPr>
          </w:p>
          <w:p w14:paraId="44FE6E36"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rPr>
                <w:lang w:eastAsia="fr-FR"/>
              </w:rPr>
              <w:t>La société de gestion</w:t>
            </w:r>
            <w:r w:rsidRPr="00A64175">
              <w:rPr>
                <w:rFonts w:eastAsia="Times New Roman"/>
                <w:lang w:eastAsia="fr-FR"/>
              </w:rPr>
              <w:t xml:space="preserve"> ou la société d’investissement</w:t>
            </w:r>
            <w:r w:rsidRPr="00A64175">
              <w:rPr>
                <w:lang w:eastAsia="fr-FR"/>
              </w:rPr>
              <w:t xml:space="preserve"> veille à ce que le délégataire l’informe de toute évolution qui pourrait avoir une incidence substantielle sur son aptitude à exercer les fonctions déléguées avec efficacité́ et dans le respect des exigences règlementaires ;</w:t>
            </w:r>
          </w:p>
          <w:p w14:paraId="6FD6F4B7" w14:textId="77777777" w:rsidR="007058CC" w:rsidRPr="00A64175" w:rsidRDefault="007058CC" w:rsidP="00A64175">
            <w:pPr>
              <w:pStyle w:val="Paragraphedeliste"/>
              <w:contextualSpacing/>
              <w:rPr>
                <w:lang w:eastAsia="fr-FR"/>
              </w:rPr>
            </w:pPr>
          </w:p>
          <w:p w14:paraId="24770E49" w14:textId="77777777" w:rsidR="007058CC" w:rsidRPr="00A64175" w:rsidRDefault="007058CC" w:rsidP="00A64175">
            <w:pPr>
              <w:pStyle w:val="Paragraphedeliste"/>
              <w:numPr>
                <w:ilvl w:val="0"/>
                <w:numId w:val="133"/>
              </w:numPr>
              <w:spacing w:after="0" w:afterAutospacing="0" w:line="240" w:lineRule="auto"/>
              <w:ind w:left="714" w:hanging="357"/>
              <w:contextualSpacing/>
            </w:pPr>
            <w:r w:rsidRPr="00A64175">
              <w:rPr>
                <w:lang w:eastAsia="fr-FR"/>
              </w:rPr>
              <w:t xml:space="preserve">La société de gestion </w:t>
            </w:r>
            <w:r w:rsidRPr="00A64175">
              <w:rPr>
                <w:rFonts w:eastAsia="Times New Roman"/>
                <w:lang w:eastAsia="fr-FR"/>
              </w:rPr>
              <w:t>ou la société d’investissement</w:t>
            </w:r>
            <w:r w:rsidRPr="00A64175">
              <w:rPr>
                <w:lang w:eastAsia="fr-FR"/>
              </w:rPr>
              <w:t xml:space="preserve"> veille à ce que le délégataire protège toute information confidentielle relative à la société de gestion </w:t>
            </w:r>
            <w:r w:rsidRPr="00A64175">
              <w:rPr>
                <w:rFonts w:eastAsia="Times New Roman"/>
                <w:lang w:eastAsia="fr-FR"/>
              </w:rPr>
              <w:t>ou la société d’investissement</w:t>
            </w:r>
            <w:r w:rsidRPr="00A64175">
              <w:rPr>
                <w:lang w:eastAsia="fr-FR"/>
              </w:rPr>
              <w:t xml:space="preserve">, à l’OPC concerné par la délégation ou aux investisseurs de l’OPC ; </w:t>
            </w:r>
          </w:p>
          <w:p w14:paraId="066BDF77" w14:textId="77777777" w:rsidR="007058CC" w:rsidRPr="00A64175" w:rsidRDefault="007058CC" w:rsidP="00A64175">
            <w:pPr>
              <w:pStyle w:val="Paragraphedeliste"/>
              <w:contextualSpacing/>
              <w:rPr>
                <w:lang w:eastAsia="fr-FR"/>
              </w:rPr>
            </w:pPr>
          </w:p>
          <w:p w14:paraId="73687CA5" w14:textId="77777777" w:rsidR="007058CC" w:rsidRPr="00A64175" w:rsidRDefault="007058CC" w:rsidP="00A64175">
            <w:pPr>
              <w:pStyle w:val="Paragraphedeliste"/>
              <w:numPr>
                <w:ilvl w:val="0"/>
                <w:numId w:val="133"/>
              </w:numPr>
              <w:spacing w:after="0" w:afterAutospacing="0" w:line="240" w:lineRule="auto"/>
              <w:ind w:left="714" w:hanging="357"/>
              <w:contextualSpacing/>
              <w:rPr>
                <w:b/>
              </w:rPr>
            </w:pPr>
            <w:r w:rsidRPr="00A64175">
              <w:rPr>
                <w:lang w:eastAsia="fr-FR"/>
              </w:rPr>
              <w:t xml:space="preserve">La société de gestion </w:t>
            </w:r>
            <w:r w:rsidRPr="00A64175">
              <w:rPr>
                <w:rFonts w:eastAsia="Times New Roman"/>
                <w:lang w:eastAsia="fr-FR"/>
              </w:rPr>
              <w:t>ou la société d’investissement</w:t>
            </w:r>
            <w:r w:rsidRPr="00A64175">
              <w:rPr>
                <w:lang w:eastAsia="fr-FR"/>
              </w:rPr>
              <w:t xml:space="preserve"> veille à ce que le délégataire établisse, mette en œuvre et maintienne opérationnel, compte tenu des types de fonctions déléguées, un plan d’urgence prévoyant le rétablissement de l’activité́ en cas de sinistre et un contrôle périodique des capacités de sauvegarde. </w:t>
            </w:r>
          </w:p>
        </w:tc>
      </w:tr>
      <w:tr w:rsidR="007058CC" w:rsidRPr="00A64175" w14:paraId="19D4F8A8" w14:textId="77777777" w:rsidTr="000E7336">
        <w:trPr>
          <w:jc w:val="center"/>
        </w:trPr>
        <w:tc>
          <w:tcPr>
            <w:tcW w:w="10316" w:type="dxa"/>
            <w:shd w:val="clear" w:color="auto" w:fill="auto"/>
          </w:tcPr>
          <w:p w14:paraId="51D0BB0A" w14:textId="77777777" w:rsidR="007058CC" w:rsidRPr="00A64175" w:rsidRDefault="007058CC" w:rsidP="00A64175">
            <w:pPr>
              <w:contextualSpacing/>
              <w:jc w:val="both"/>
              <w:rPr>
                <w:rFonts w:ascii="Arial" w:hAnsi="Arial" w:cs="Arial"/>
                <w:b/>
                <w:bCs/>
              </w:rPr>
            </w:pPr>
          </w:p>
          <w:p w14:paraId="4FA44540" w14:textId="142B4397" w:rsidR="007058CC" w:rsidRPr="00A64175" w:rsidRDefault="00316C10"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486 </w:t>
            </w:r>
            <w:r w:rsidR="007058CC" w:rsidRPr="00A64175">
              <w:rPr>
                <w:rFonts w:ascii="Arial" w:hAnsi="Arial" w:cs="Arial"/>
                <w:b/>
                <w:bCs/>
              </w:rPr>
              <w:t xml:space="preserve"> - </w:t>
            </w:r>
          </w:p>
          <w:p w14:paraId="6C018130" w14:textId="630DE86A" w:rsidR="007058CC" w:rsidRPr="00A64175" w:rsidRDefault="007058CC" w:rsidP="00A64175">
            <w:pPr>
              <w:pStyle w:val="NormalWeb"/>
              <w:numPr>
                <w:ilvl w:val="1"/>
                <w:numId w:val="133"/>
              </w:numPr>
              <w:spacing w:after="0" w:afterAutospacing="0"/>
              <w:ind w:left="426"/>
              <w:contextualSpacing/>
              <w:jc w:val="both"/>
              <w:rPr>
                <w:rFonts w:ascii="Arial" w:hAnsi="Arial" w:cs="Arial"/>
                <w:sz w:val="22"/>
                <w:szCs w:val="22"/>
              </w:rPr>
            </w:pPr>
            <w:r w:rsidRPr="00A64175">
              <w:rPr>
                <w:rFonts w:ascii="Arial" w:hAnsi="Arial" w:cs="Arial"/>
                <w:sz w:val="22"/>
                <w:szCs w:val="22"/>
              </w:rPr>
              <w:t>La société de gestion ou la société d’investissement communique à la COSUMAF les raisons objectives qui motivent la délégation ; celles-ci sont décrites, expliquées et justifiées en détail. Pour déterminer si l’ensemble de la structure de délégation est motivé objectivement au sens de l’article</w:t>
            </w:r>
            <w:r w:rsidR="00316C10" w:rsidRPr="00A64175">
              <w:rPr>
                <w:rFonts w:ascii="Arial" w:hAnsi="Arial" w:cs="Arial"/>
                <w:sz w:val="22"/>
                <w:szCs w:val="22"/>
              </w:rPr>
              <w:t xml:space="preserve"> 211 du </w:t>
            </w:r>
            <w:r w:rsidR="00316C10" w:rsidRPr="00A64175">
              <w:rPr>
                <w:rFonts w:ascii="Arial" w:hAnsi="Arial" w:cs="Arial"/>
                <w:color w:val="000000"/>
                <w:sz w:val="22"/>
                <w:szCs w:val="22"/>
              </w:rPr>
              <w:t>Règlement n°01/22/CEMAC/UMAC/CM/COSUMAF du 21 juillet 2022</w:t>
            </w:r>
            <w:r w:rsidRPr="00A64175">
              <w:rPr>
                <w:rFonts w:ascii="Arial" w:hAnsi="Arial" w:cs="Arial"/>
                <w:sz w:val="22"/>
                <w:szCs w:val="22"/>
              </w:rPr>
              <w:t xml:space="preserve">, il est tenu compte des critères suivants : </w:t>
            </w:r>
          </w:p>
          <w:p w14:paraId="10C5FF95"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6EAB566" w14:textId="77777777" w:rsidR="007058CC" w:rsidRPr="00A64175" w:rsidRDefault="007058CC" w:rsidP="00A64175">
            <w:pPr>
              <w:pStyle w:val="NormalWeb"/>
              <w:numPr>
                <w:ilvl w:val="1"/>
                <w:numId w:val="134"/>
              </w:numPr>
              <w:spacing w:after="0" w:afterAutospacing="0"/>
              <w:ind w:left="714" w:hanging="357"/>
              <w:contextualSpacing/>
              <w:jc w:val="both"/>
              <w:rPr>
                <w:rFonts w:ascii="Arial" w:hAnsi="Arial" w:cs="Arial"/>
                <w:sz w:val="22"/>
                <w:szCs w:val="22"/>
              </w:rPr>
            </w:pPr>
            <w:r w:rsidRPr="00A64175">
              <w:rPr>
                <w:rFonts w:ascii="Arial" w:hAnsi="Arial" w:cs="Arial"/>
                <w:sz w:val="22"/>
                <w:szCs w:val="22"/>
              </w:rPr>
              <w:t xml:space="preserve">Optimalisation des fonctions et des processus d’entreprise ; </w:t>
            </w:r>
          </w:p>
          <w:p w14:paraId="453DBB5C" w14:textId="77777777" w:rsidR="007058CC" w:rsidRPr="00A64175" w:rsidRDefault="007058CC" w:rsidP="00A64175">
            <w:pPr>
              <w:pStyle w:val="NormalWeb"/>
              <w:spacing w:after="0" w:afterAutospacing="0"/>
              <w:ind w:left="714"/>
              <w:contextualSpacing/>
              <w:jc w:val="both"/>
              <w:rPr>
                <w:rFonts w:ascii="Arial" w:hAnsi="Arial" w:cs="Arial"/>
                <w:sz w:val="22"/>
                <w:szCs w:val="22"/>
              </w:rPr>
            </w:pPr>
          </w:p>
          <w:p w14:paraId="6C497FD3" w14:textId="77777777" w:rsidR="007058CC" w:rsidRPr="00A64175" w:rsidRDefault="007058CC" w:rsidP="00A64175">
            <w:pPr>
              <w:pStyle w:val="NormalWeb"/>
              <w:numPr>
                <w:ilvl w:val="1"/>
                <w:numId w:val="134"/>
              </w:numPr>
              <w:spacing w:after="0" w:afterAutospacing="0"/>
              <w:ind w:left="714" w:hanging="357"/>
              <w:contextualSpacing/>
              <w:jc w:val="both"/>
              <w:rPr>
                <w:rFonts w:ascii="Arial" w:hAnsi="Arial" w:cs="Arial"/>
                <w:sz w:val="22"/>
                <w:szCs w:val="22"/>
              </w:rPr>
            </w:pPr>
            <w:r w:rsidRPr="00A64175">
              <w:rPr>
                <w:rFonts w:ascii="Arial" w:hAnsi="Arial" w:cs="Arial"/>
                <w:sz w:val="22"/>
                <w:szCs w:val="22"/>
              </w:rPr>
              <w:t xml:space="preserve">Réalisation d’économies ; </w:t>
            </w:r>
          </w:p>
          <w:p w14:paraId="5AB9C5D3" w14:textId="77777777" w:rsidR="007058CC" w:rsidRPr="00A64175" w:rsidRDefault="007058CC" w:rsidP="00A64175">
            <w:pPr>
              <w:pStyle w:val="NormalWeb"/>
              <w:spacing w:after="0" w:afterAutospacing="0"/>
              <w:contextualSpacing/>
              <w:jc w:val="both"/>
              <w:rPr>
                <w:rFonts w:ascii="Arial" w:hAnsi="Arial" w:cs="Arial"/>
                <w:sz w:val="22"/>
                <w:szCs w:val="22"/>
              </w:rPr>
            </w:pPr>
          </w:p>
          <w:p w14:paraId="23E71961" w14:textId="77777777" w:rsidR="007058CC" w:rsidRPr="00A64175" w:rsidRDefault="007058CC" w:rsidP="00A64175">
            <w:pPr>
              <w:pStyle w:val="NormalWeb"/>
              <w:numPr>
                <w:ilvl w:val="1"/>
                <w:numId w:val="134"/>
              </w:numPr>
              <w:spacing w:after="0" w:afterAutospacing="0"/>
              <w:ind w:left="714" w:hanging="357"/>
              <w:contextualSpacing/>
              <w:jc w:val="both"/>
              <w:rPr>
                <w:rFonts w:ascii="Arial" w:hAnsi="Arial" w:cs="Arial"/>
                <w:sz w:val="22"/>
                <w:szCs w:val="22"/>
              </w:rPr>
            </w:pPr>
            <w:r w:rsidRPr="00A64175">
              <w:rPr>
                <w:rFonts w:ascii="Arial" w:hAnsi="Arial" w:cs="Arial"/>
                <w:sz w:val="22"/>
                <w:szCs w:val="22"/>
              </w:rPr>
              <w:t xml:space="preserve">Expertise du délégataire en matière d’administration ou de marchés ou investissements spécifiques ; </w:t>
            </w:r>
          </w:p>
          <w:p w14:paraId="73C55D06" w14:textId="77777777" w:rsidR="007058CC" w:rsidRPr="00A64175" w:rsidRDefault="007058CC" w:rsidP="00A64175">
            <w:pPr>
              <w:pStyle w:val="NormalWeb"/>
              <w:spacing w:after="0" w:afterAutospacing="0"/>
              <w:contextualSpacing/>
              <w:jc w:val="both"/>
              <w:rPr>
                <w:rFonts w:ascii="Arial" w:hAnsi="Arial" w:cs="Arial"/>
                <w:sz w:val="22"/>
                <w:szCs w:val="22"/>
              </w:rPr>
            </w:pPr>
          </w:p>
          <w:p w14:paraId="758EB79F" w14:textId="77777777" w:rsidR="007058CC" w:rsidRPr="00A64175" w:rsidRDefault="007058CC" w:rsidP="00A64175">
            <w:pPr>
              <w:pStyle w:val="NormalWeb"/>
              <w:numPr>
                <w:ilvl w:val="1"/>
                <w:numId w:val="134"/>
              </w:numPr>
              <w:spacing w:after="0" w:afterAutospacing="0"/>
              <w:ind w:left="714" w:hanging="357"/>
              <w:contextualSpacing/>
              <w:jc w:val="both"/>
              <w:rPr>
                <w:rFonts w:ascii="Arial" w:hAnsi="Arial" w:cs="Arial"/>
                <w:sz w:val="22"/>
                <w:szCs w:val="22"/>
              </w:rPr>
            </w:pPr>
            <w:r w:rsidRPr="00A64175">
              <w:rPr>
                <w:rFonts w:ascii="Arial" w:hAnsi="Arial" w:cs="Arial"/>
                <w:sz w:val="22"/>
                <w:szCs w:val="22"/>
              </w:rPr>
              <w:t xml:space="preserve"> Accès du délégataire aux capacités mondiales de négociation. </w:t>
            </w:r>
          </w:p>
          <w:p w14:paraId="7F27461E" w14:textId="77777777" w:rsidR="007058CC" w:rsidRPr="00A64175" w:rsidRDefault="007058CC" w:rsidP="00A64175">
            <w:pPr>
              <w:pStyle w:val="NormalWeb"/>
              <w:spacing w:after="0" w:afterAutospacing="0"/>
              <w:contextualSpacing/>
              <w:jc w:val="both"/>
              <w:rPr>
                <w:rFonts w:ascii="Arial" w:hAnsi="Arial" w:cs="Arial"/>
                <w:sz w:val="22"/>
                <w:szCs w:val="22"/>
              </w:rPr>
            </w:pPr>
          </w:p>
          <w:p w14:paraId="20B9FABD" w14:textId="77777777" w:rsidR="007058CC" w:rsidRPr="00A64175" w:rsidRDefault="007058CC" w:rsidP="00A64175">
            <w:pPr>
              <w:pStyle w:val="NormalWeb"/>
              <w:numPr>
                <w:ilvl w:val="1"/>
                <w:numId w:val="133"/>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À la demande de la COSUMAF, la société de gestion ou la société d’investissement fournit des explications supplémentaires et des documents prouvant que l’ensemble de sa structure de délégation est motivé objectivement. </w:t>
            </w:r>
          </w:p>
        </w:tc>
      </w:tr>
      <w:tr w:rsidR="007058CC" w:rsidRPr="00A64175" w14:paraId="221C697D" w14:textId="77777777" w:rsidTr="000E7336">
        <w:trPr>
          <w:jc w:val="center"/>
        </w:trPr>
        <w:tc>
          <w:tcPr>
            <w:tcW w:w="10316" w:type="dxa"/>
            <w:shd w:val="clear" w:color="auto" w:fill="auto"/>
          </w:tcPr>
          <w:p w14:paraId="1A541043" w14:textId="77777777" w:rsidR="007058CC" w:rsidRPr="00A64175" w:rsidRDefault="007058CC" w:rsidP="00A64175">
            <w:pPr>
              <w:contextualSpacing/>
              <w:jc w:val="both"/>
              <w:rPr>
                <w:rFonts w:ascii="Arial" w:hAnsi="Arial" w:cs="Arial"/>
                <w:b/>
                <w:bCs/>
              </w:rPr>
            </w:pPr>
          </w:p>
          <w:p w14:paraId="26009BE7" w14:textId="01BCA193" w:rsidR="007058CC" w:rsidRPr="00A64175" w:rsidRDefault="00316C10" w:rsidP="00A64175">
            <w:pPr>
              <w:contextualSpacing/>
              <w:jc w:val="both"/>
              <w:rPr>
                <w:rFonts w:ascii="Arial" w:hAnsi="Arial" w:cs="Arial"/>
                <w:b/>
                <w:bCs/>
              </w:rPr>
            </w:pPr>
            <w:r w:rsidRPr="00A64175">
              <w:rPr>
                <w:rFonts w:ascii="Arial" w:hAnsi="Arial" w:cs="Arial"/>
                <w:b/>
                <w:bCs/>
              </w:rPr>
              <w:t xml:space="preserve">Article </w:t>
            </w:r>
            <w:r w:rsidR="00A00FEE">
              <w:rPr>
                <w:rFonts w:ascii="Arial" w:hAnsi="Arial" w:cs="Arial"/>
                <w:b/>
                <w:bCs/>
              </w:rPr>
              <w:t xml:space="preserve">487 </w:t>
            </w:r>
            <w:r w:rsidR="007058CC" w:rsidRPr="00A64175">
              <w:rPr>
                <w:rFonts w:ascii="Arial" w:hAnsi="Arial" w:cs="Arial"/>
                <w:b/>
                <w:bCs/>
              </w:rPr>
              <w:t>-</w:t>
            </w:r>
          </w:p>
          <w:p w14:paraId="0069C44A" w14:textId="77777777" w:rsidR="007058CC" w:rsidRPr="00A64175" w:rsidRDefault="007058CC" w:rsidP="00A64175">
            <w:pPr>
              <w:pStyle w:val="NormalWeb"/>
              <w:numPr>
                <w:ilvl w:val="0"/>
                <w:numId w:val="135"/>
              </w:numPr>
              <w:spacing w:after="0" w:afterAutospacing="0"/>
              <w:ind w:left="426" w:hanging="357"/>
              <w:contextualSpacing/>
              <w:jc w:val="both"/>
              <w:rPr>
                <w:rFonts w:ascii="Arial" w:hAnsi="Arial" w:cs="Arial"/>
                <w:sz w:val="22"/>
                <w:szCs w:val="22"/>
              </w:rPr>
            </w:pPr>
            <w:r w:rsidRPr="00A64175">
              <w:rPr>
                <w:rFonts w:ascii="Arial" w:hAnsi="Arial" w:cs="Arial"/>
                <w:sz w:val="22"/>
                <w:szCs w:val="22"/>
              </w:rPr>
              <w:t>Le délégataire dispose de ressources suffisantes et emploie un personnel suffisamment nombreux disposant des compétences, des connaissances et de l’expertise requises pour s’acquitter correctement des tâches qui lui sont déléguées, et dispose d’une structure organisationnelle appropriée qui concourt à l’exécution des tâches déléguées.</w:t>
            </w:r>
          </w:p>
          <w:p w14:paraId="749BF66A"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E492ECE" w14:textId="77777777" w:rsidR="007058CC" w:rsidRPr="00A64175" w:rsidRDefault="007058CC" w:rsidP="00A64175">
            <w:pPr>
              <w:pStyle w:val="NormalWeb"/>
              <w:numPr>
                <w:ilvl w:val="0"/>
                <w:numId w:val="135"/>
              </w:numPr>
              <w:spacing w:after="0" w:afterAutospacing="0"/>
              <w:ind w:left="426" w:hanging="357"/>
              <w:contextualSpacing/>
              <w:jc w:val="both"/>
              <w:rPr>
                <w:rFonts w:ascii="Arial" w:hAnsi="Arial" w:cs="Arial"/>
                <w:sz w:val="22"/>
                <w:szCs w:val="22"/>
              </w:rPr>
            </w:pPr>
            <w:r w:rsidRPr="00A64175">
              <w:rPr>
                <w:rFonts w:ascii="Arial" w:hAnsi="Arial" w:cs="Arial"/>
                <w:sz w:val="22"/>
                <w:szCs w:val="22"/>
              </w:rPr>
              <w:t xml:space="preserve">Les personnes qui dirigent de fait les activités déléguées par la société de gestion ou la société d’investissement disposent d’une expérience suffisante, des connaissances théoriques appropriées et de l’expérience pratique qui convient au regard des fonctions concernées. Leur formation professionnelle et la nature des fonctions qu’elles ont exercées dans le passé sont adaptées à la conduite des activités. </w:t>
            </w:r>
          </w:p>
          <w:p w14:paraId="78956515"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653C513" w14:textId="77777777" w:rsidR="007058CC" w:rsidRPr="00A64175" w:rsidRDefault="007058CC" w:rsidP="00A64175">
            <w:pPr>
              <w:pStyle w:val="NormalWeb"/>
              <w:numPr>
                <w:ilvl w:val="0"/>
                <w:numId w:val="135"/>
              </w:numPr>
              <w:spacing w:after="0" w:afterAutospacing="0"/>
              <w:ind w:left="426" w:hanging="357"/>
              <w:contextualSpacing/>
              <w:jc w:val="both"/>
              <w:rPr>
                <w:rFonts w:ascii="Arial" w:hAnsi="Arial" w:cs="Arial"/>
                <w:sz w:val="22"/>
                <w:szCs w:val="22"/>
              </w:rPr>
            </w:pPr>
            <w:r w:rsidRPr="00A64175">
              <w:rPr>
                <w:rFonts w:ascii="Arial" w:hAnsi="Arial" w:cs="Arial"/>
                <w:sz w:val="22"/>
                <w:szCs w:val="22"/>
              </w:rPr>
              <w:t xml:space="preserve">Les personnes qui dirigent de fait les activités du délégataire ne sont pas considérées comme ayant une réputation suffisamment bonne si elles ont des antécédents négatifs pertinents tant pour l’évaluation de leur bonne réputation que pour la bonne exécution des tâches déléguées, ou s’il existe d’autres informations pertinentes dommageables pour leur réputation. Un antécédent négatif peut consister, entre autres choses, en une infraction pénale, une procédure judiciaire ou une sanction administrative en rapport avec les tâches déléguées à exécuter. Une attention spéciale est apportée aux infractions liées aux activités financières, y compris, mais non exclusivement, au non-respect des obligations en matière de prévention du blanchiment de capitaux, de l’escroquerie, de la fraude ou de la criminalité́ financière, de la faillite ou de l’insolvabilité́. Les autres informations pertinentes sont notamment celles qui indiquent que la personne en question n’est pas fiable ou honnête. </w:t>
            </w:r>
          </w:p>
          <w:p w14:paraId="26BC39DA"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1E0432C5" w14:textId="77777777" w:rsidR="007058CC" w:rsidRPr="00A64175" w:rsidRDefault="007058CC" w:rsidP="00A64175">
            <w:pPr>
              <w:pStyle w:val="NormalWeb"/>
              <w:numPr>
                <w:ilvl w:val="0"/>
                <w:numId w:val="135"/>
              </w:numPr>
              <w:spacing w:after="0" w:afterAutospacing="0"/>
              <w:ind w:left="426" w:hanging="357"/>
              <w:contextualSpacing/>
              <w:jc w:val="both"/>
              <w:rPr>
                <w:rFonts w:ascii="Arial" w:hAnsi="Arial" w:cs="Arial"/>
                <w:sz w:val="22"/>
                <w:szCs w:val="22"/>
              </w:rPr>
            </w:pPr>
            <w:r w:rsidRPr="00A64175">
              <w:rPr>
                <w:rFonts w:ascii="Arial" w:hAnsi="Arial" w:cs="Arial"/>
                <w:sz w:val="22"/>
                <w:szCs w:val="22"/>
              </w:rPr>
              <w:t>Lorsque le délégataire est soumis à une supervision de la COSUMAF ou de la Banque des États De l’Afrique Centrale pour ses services professionnels, les critères visés au premier alinéa sont réputés être satisfaits, sauf preuve du contraire, lorsque la COSUMAF ou la Banque des États De l’Afrique Centrale concernée a examiné le respect des critères d’honorabilité dans le cadre de la procédure d’agrément.</w:t>
            </w:r>
          </w:p>
        </w:tc>
      </w:tr>
      <w:tr w:rsidR="007058CC" w:rsidRPr="00A64175" w14:paraId="2FE7D662" w14:textId="77777777" w:rsidTr="000E7336">
        <w:trPr>
          <w:jc w:val="center"/>
        </w:trPr>
        <w:tc>
          <w:tcPr>
            <w:tcW w:w="10316" w:type="dxa"/>
            <w:shd w:val="clear" w:color="auto" w:fill="auto"/>
          </w:tcPr>
          <w:p w14:paraId="3707A38C" w14:textId="77777777" w:rsidR="007058CC" w:rsidRPr="00A64175" w:rsidRDefault="007058CC" w:rsidP="00A64175">
            <w:pPr>
              <w:pStyle w:val="NormalWeb"/>
              <w:spacing w:after="0" w:afterAutospacing="0"/>
              <w:contextualSpacing/>
              <w:jc w:val="both"/>
              <w:rPr>
                <w:rFonts w:ascii="Arial" w:hAnsi="Arial" w:cs="Arial"/>
                <w:b/>
                <w:bCs/>
                <w:sz w:val="22"/>
                <w:szCs w:val="22"/>
              </w:rPr>
            </w:pPr>
          </w:p>
          <w:p w14:paraId="6FCFB440" w14:textId="602B4F0E" w:rsidR="007058CC" w:rsidRPr="00327C65" w:rsidRDefault="00316C10" w:rsidP="00327C65">
            <w:pPr>
              <w:pStyle w:val="NormalWeb"/>
              <w:spacing w:after="0" w:afterAutospacing="0"/>
              <w:contextualSpacing/>
              <w:jc w:val="both"/>
              <w:rPr>
                <w:rFonts w:ascii="Arial" w:hAnsi="Arial" w:cs="Arial"/>
                <w:b/>
                <w:bCs/>
                <w:sz w:val="22"/>
                <w:szCs w:val="22"/>
              </w:rPr>
            </w:pPr>
            <w:r w:rsidRPr="00327C65">
              <w:rPr>
                <w:rFonts w:ascii="Arial" w:hAnsi="Arial" w:cs="Arial"/>
                <w:b/>
                <w:bCs/>
                <w:sz w:val="22"/>
                <w:szCs w:val="22"/>
              </w:rPr>
              <w:t xml:space="preserve">Article </w:t>
            </w:r>
            <w:r w:rsidR="00A00FEE" w:rsidRPr="00327C65">
              <w:rPr>
                <w:rFonts w:ascii="Arial" w:hAnsi="Arial" w:cs="Arial"/>
                <w:b/>
                <w:bCs/>
                <w:sz w:val="22"/>
                <w:szCs w:val="22"/>
              </w:rPr>
              <w:t xml:space="preserve">488 </w:t>
            </w:r>
            <w:r w:rsidR="007058CC" w:rsidRPr="00327C65">
              <w:rPr>
                <w:rFonts w:ascii="Arial" w:hAnsi="Arial" w:cs="Arial"/>
                <w:b/>
                <w:bCs/>
                <w:sz w:val="22"/>
                <w:szCs w:val="22"/>
              </w:rPr>
              <w:t xml:space="preserve"> - </w:t>
            </w:r>
            <w:r w:rsidR="007058CC" w:rsidRPr="00327C65">
              <w:rPr>
                <w:rFonts w:ascii="Arial" w:eastAsia="Times New Roman" w:hAnsi="Arial" w:cs="Arial"/>
                <w:sz w:val="22"/>
                <w:szCs w:val="22"/>
                <w:lang w:eastAsia="fr-FR"/>
              </w:rPr>
              <w:t>Les articles</w:t>
            </w:r>
            <w:r w:rsidRPr="00327C65">
              <w:rPr>
                <w:rFonts w:ascii="Arial" w:eastAsia="Times New Roman" w:hAnsi="Arial" w:cs="Arial"/>
                <w:sz w:val="22"/>
                <w:szCs w:val="22"/>
                <w:lang w:eastAsia="fr-FR"/>
              </w:rPr>
              <w:t xml:space="preserve"> </w:t>
            </w:r>
            <w:r w:rsidR="00A00FEE" w:rsidRPr="00327C65">
              <w:rPr>
                <w:rFonts w:ascii="Arial" w:eastAsia="Times New Roman" w:hAnsi="Arial" w:cs="Arial"/>
                <w:sz w:val="22"/>
                <w:szCs w:val="22"/>
                <w:lang w:eastAsia="fr-FR"/>
              </w:rPr>
              <w:t>485</w:t>
            </w:r>
            <w:r w:rsidR="005A196A" w:rsidRPr="00327C65">
              <w:rPr>
                <w:rFonts w:ascii="Arial" w:eastAsia="Times New Roman" w:hAnsi="Arial" w:cs="Arial"/>
                <w:sz w:val="22"/>
                <w:szCs w:val="22"/>
                <w:lang w:eastAsia="fr-FR"/>
              </w:rPr>
              <w:t xml:space="preserve"> </w:t>
            </w:r>
            <w:r w:rsidRPr="00327C65">
              <w:rPr>
                <w:rFonts w:ascii="Arial" w:eastAsia="Times New Roman" w:hAnsi="Arial" w:cs="Arial"/>
                <w:sz w:val="22"/>
                <w:szCs w:val="22"/>
                <w:lang w:eastAsia="fr-FR"/>
              </w:rPr>
              <w:t xml:space="preserve"> à </w:t>
            </w:r>
            <w:r w:rsidR="00A00FEE" w:rsidRPr="00327C65">
              <w:rPr>
                <w:rFonts w:ascii="Arial" w:eastAsia="Times New Roman" w:hAnsi="Arial" w:cs="Arial"/>
                <w:sz w:val="22"/>
                <w:szCs w:val="22"/>
                <w:lang w:eastAsia="fr-FR"/>
              </w:rPr>
              <w:t>487</w:t>
            </w:r>
            <w:r w:rsidR="005A196A" w:rsidRPr="00327C65">
              <w:rPr>
                <w:rFonts w:ascii="Arial" w:eastAsia="Times New Roman" w:hAnsi="Arial" w:cs="Arial"/>
                <w:sz w:val="22"/>
                <w:szCs w:val="22"/>
                <w:lang w:eastAsia="fr-FR"/>
              </w:rPr>
              <w:t xml:space="preserve"> </w:t>
            </w:r>
            <w:r w:rsidRPr="00327C65">
              <w:rPr>
                <w:rFonts w:ascii="Arial" w:eastAsia="Times New Roman" w:hAnsi="Arial" w:cs="Arial"/>
                <w:sz w:val="22"/>
                <w:szCs w:val="22"/>
                <w:lang w:eastAsia="fr-FR"/>
              </w:rPr>
              <w:t xml:space="preserve"> du présent règlement général</w:t>
            </w:r>
            <w:r w:rsidR="007058CC" w:rsidRPr="00327C65">
              <w:rPr>
                <w:rFonts w:ascii="Arial" w:eastAsia="Times New Roman" w:hAnsi="Arial" w:cs="Arial"/>
                <w:sz w:val="22"/>
                <w:szCs w:val="22"/>
                <w:lang w:eastAsia="fr-FR"/>
              </w:rPr>
              <w:t xml:space="preserve"> s’appliquent en cas de délégation de la gestion de portefeuilles ou de la gestion des risques. </w:t>
            </w:r>
          </w:p>
          <w:p w14:paraId="0E42F16A" w14:textId="77777777" w:rsidR="007058CC" w:rsidRPr="006060D7" w:rsidRDefault="007058CC" w:rsidP="006060D7">
            <w:pPr>
              <w:contextualSpacing/>
              <w:rPr>
                <w:rFonts w:eastAsia="Times New Roman"/>
                <w:lang w:eastAsia="fr-FR"/>
              </w:rPr>
            </w:pPr>
          </w:p>
          <w:p w14:paraId="6B7984C8" w14:textId="31B1B7F7" w:rsidR="007058CC" w:rsidRPr="00A64175" w:rsidRDefault="007058CC" w:rsidP="00A64175">
            <w:pPr>
              <w:spacing w:before="100" w:beforeAutospacing="1"/>
              <w:ind w:left="426"/>
              <w:contextualSpacing/>
              <w:jc w:val="both"/>
              <w:rPr>
                <w:rFonts w:ascii="Arial" w:eastAsia="Times New Roman" w:hAnsi="Arial" w:cs="Arial"/>
                <w:lang w:eastAsia="fr-FR"/>
              </w:rPr>
            </w:pPr>
            <w:r w:rsidRPr="00A64175">
              <w:rPr>
                <w:rFonts w:ascii="Arial" w:eastAsia="Times New Roman" w:hAnsi="Arial" w:cs="Arial"/>
                <w:lang w:eastAsia="fr-FR"/>
              </w:rPr>
              <w:t xml:space="preserve"> </w:t>
            </w:r>
          </w:p>
        </w:tc>
      </w:tr>
      <w:tr w:rsidR="007058CC" w:rsidRPr="00327C65" w14:paraId="574A3D2D" w14:textId="77777777" w:rsidTr="000E7336">
        <w:trPr>
          <w:trHeight w:val="283"/>
          <w:jc w:val="center"/>
        </w:trPr>
        <w:tc>
          <w:tcPr>
            <w:tcW w:w="10316" w:type="dxa"/>
            <w:shd w:val="clear" w:color="auto" w:fill="auto"/>
          </w:tcPr>
          <w:p w14:paraId="38134BA8" w14:textId="62EA049C" w:rsidR="007058CC" w:rsidRPr="00327C65" w:rsidRDefault="00327C65" w:rsidP="00A64175">
            <w:pPr>
              <w:spacing w:before="100" w:beforeAutospacing="1"/>
              <w:contextualSpacing/>
              <w:jc w:val="both"/>
              <w:rPr>
                <w:rFonts w:ascii="Arial" w:hAnsi="Arial" w:cs="Arial"/>
              </w:rPr>
            </w:pPr>
            <w:r w:rsidRPr="00327C65">
              <w:rPr>
                <w:rFonts w:ascii="Arial" w:hAnsi="Arial" w:cs="Arial"/>
              </w:rPr>
              <w:t>Sous-section 4</w:t>
            </w:r>
            <w:r w:rsidR="007058CC" w:rsidRPr="00327C65">
              <w:rPr>
                <w:rFonts w:ascii="Arial" w:hAnsi="Arial" w:cs="Arial"/>
              </w:rPr>
              <w:t xml:space="preserve"> – Information à communiquer à la COSUMAF</w:t>
            </w:r>
          </w:p>
        </w:tc>
      </w:tr>
      <w:tr w:rsidR="007058CC" w:rsidRPr="00A64175" w14:paraId="1D6F7970" w14:textId="77777777" w:rsidTr="000E7336">
        <w:trPr>
          <w:trHeight w:val="589"/>
          <w:jc w:val="center"/>
        </w:trPr>
        <w:tc>
          <w:tcPr>
            <w:tcW w:w="10316" w:type="dxa"/>
            <w:shd w:val="clear" w:color="auto" w:fill="auto"/>
          </w:tcPr>
          <w:p w14:paraId="38B73E2D" w14:textId="77777777" w:rsidR="00220187" w:rsidRPr="00A64175" w:rsidRDefault="00220187" w:rsidP="00A64175">
            <w:pPr>
              <w:spacing w:before="100" w:beforeAutospacing="1"/>
              <w:contextualSpacing/>
              <w:jc w:val="both"/>
              <w:rPr>
                <w:rFonts w:ascii="Arial" w:hAnsi="Arial" w:cs="Arial"/>
                <w:b/>
              </w:rPr>
            </w:pPr>
          </w:p>
          <w:p w14:paraId="0158F399" w14:textId="77777777" w:rsidR="007058CC" w:rsidRDefault="00316C10" w:rsidP="00A64175">
            <w:pPr>
              <w:spacing w:before="100" w:beforeAutospacing="1"/>
              <w:contextualSpacing/>
              <w:jc w:val="both"/>
              <w:rPr>
                <w:rFonts w:ascii="Arial" w:hAnsi="Arial" w:cs="Arial"/>
                <w:bCs/>
              </w:rPr>
            </w:pPr>
            <w:r w:rsidRPr="00A64175">
              <w:rPr>
                <w:rFonts w:ascii="Arial" w:hAnsi="Arial" w:cs="Arial"/>
                <w:b/>
              </w:rPr>
              <w:t>Article</w:t>
            </w:r>
            <w:r w:rsidR="008C52D6">
              <w:rPr>
                <w:rFonts w:ascii="Arial" w:hAnsi="Arial" w:cs="Arial"/>
                <w:b/>
              </w:rPr>
              <w:t xml:space="preserve"> 489</w:t>
            </w:r>
            <w:r w:rsidR="007058CC" w:rsidRPr="00A64175">
              <w:rPr>
                <w:rFonts w:ascii="Arial" w:hAnsi="Arial" w:cs="Arial"/>
                <w:b/>
              </w:rPr>
              <w:t xml:space="preserve"> - </w:t>
            </w:r>
            <w:r w:rsidR="007058CC" w:rsidRPr="00A64175">
              <w:rPr>
                <w:rFonts w:ascii="Arial" w:hAnsi="Arial" w:cs="Arial"/>
                <w:bCs/>
              </w:rPr>
              <w:t xml:space="preserve">Les informations visées à </w:t>
            </w:r>
            <w:r w:rsidRPr="00A64175">
              <w:rPr>
                <w:rFonts w:ascii="Arial" w:hAnsi="Arial" w:cs="Arial"/>
                <w:bCs/>
              </w:rPr>
              <w:t>l’article 199</w:t>
            </w:r>
            <w:r w:rsidRPr="00A64175">
              <w:rPr>
                <w:rFonts w:ascii="Arial" w:hAnsi="Arial" w:cs="Arial"/>
              </w:rPr>
              <w:t xml:space="preserve"> du </w:t>
            </w:r>
            <w:r w:rsidRPr="00A64175">
              <w:rPr>
                <w:rFonts w:ascii="Arial" w:hAnsi="Arial" w:cs="Arial"/>
                <w:color w:val="000000"/>
              </w:rPr>
              <w:t>Règlement n°01/22/CEMAC/UMAC/CM/COSUMAF du 21 juillet 2022</w:t>
            </w:r>
            <w:r w:rsidR="007058CC" w:rsidRPr="00A64175">
              <w:rPr>
                <w:rFonts w:ascii="Arial" w:hAnsi="Arial" w:cs="Arial"/>
                <w:bCs/>
              </w:rPr>
              <w:t xml:space="preserve"> sont précisées dans une instruction de la COSUMAF.</w:t>
            </w:r>
          </w:p>
          <w:p w14:paraId="393410A6" w14:textId="0CEBC9D6" w:rsidR="006060D7" w:rsidRPr="00A64175" w:rsidRDefault="006060D7" w:rsidP="00A64175">
            <w:pPr>
              <w:spacing w:before="100" w:beforeAutospacing="1"/>
              <w:contextualSpacing/>
              <w:jc w:val="both"/>
              <w:rPr>
                <w:rFonts w:ascii="Arial" w:hAnsi="Arial" w:cs="Arial"/>
                <w:b/>
              </w:rPr>
            </w:pPr>
          </w:p>
        </w:tc>
      </w:tr>
      <w:tr w:rsidR="007058CC" w:rsidRPr="00A64175" w14:paraId="464CF91B" w14:textId="77777777" w:rsidTr="000E7336">
        <w:trPr>
          <w:jc w:val="center"/>
        </w:trPr>
        <w:tc>
          <w:tcPr>
            <w:tcW w:w="10316" w:type="dxa"/>
            <w:shd w:val="clear" w:color="auto" w:fill="auto"/>
          </w:tcPr>
          <w:p w14:paraId="58927BF4" w14:textId="77777777" w:rsidR="007058CC" w:rsidRPr="00A64175" w:rsidRDefault="007058CC" w:rsidP="00A64175">
            <w:pPr>
              <w:contextualSpacing/>
              <w:jc w:val="both"/>
              <w:rPr>
                <w:rFonts w:ascii="Arial" w:hAnsi="Arial" w:cs="Arial"/>
                <w:b/>
                <w:bCs/>
              </w:rPr>
            </w:pPr>
          </w:p>
          <w:p w14:paraId="7BC0F7F8" w14:textId="77777777" w:rsidR="007058CC" w:rsidRDefault="007058CC" w:rsidP="00A64175">
            <w:pPr>
              <w:contextualSpacing/>
              <w:jc w:val="both"/>
              <w:rPr>
                <w:rFonts w:ascii="Arial" w:hAnsi="Arial" w:cs="Arial"/>
                <w:b/>
                <w:bCs/>
              </w:rPr>
            </w:pPr>
            <w:r w:rsidRPr="00A64175">
              <w:rPr>
                <w:rFonts w:ascii="Arial" w:hAnsi="Arial" w:cs="Arial"/>
                <w:b/>
                <w:bCs/>
              </w:rPr>
              <w:t xml:space="preserve">CHAPITRE V </w:t>
            </w:r>
            <w:r w:rsidR="00763AE9">
              <w:rPr>
                <w:rFonts w:ascii="Arial" w:hAnsi="Arial" w:cs="Arial"/>
                <w:b/>
                <w:bCs/>
              </w:rPr>
              <w:t>–</w:t>
            </w:r>
            <w:r w:rsidRPr="00A64175">
              <w:rPr>
                <w:rFonts w:ascii="Arial" w:hAnsi="Arial" w:cs="Arial"/>
                <w:b/>
                <w:bCs/>
              </w:rPr>
              <w:t xml:space="preserve"> Dépositaire</w:t>
            </w:r>
            <w:r w:rsidR="00763AE9">
              <w:rPr>
                <w:rFonts w:ascii="Arial" w:hAnsi="Arial" w:cs="Arial"/>
                <w:b/>
                <w:bCs/>
              </w:rPr>
              <w:t>s d’organismes de placement collectif</w:t>
            </w:r>
          </w:p>
          <w:p w14:paraId="06AA1750" w14:textId="3EFA5F58" w:rsidR="00327C65" w:rsidRPr="00A64175" w:rsidRDefault="00327C65" w:rsidP="00A64175">
            <w:pPr>
              <w:contextualSpacing/>
              <w:jc w:val="both"/>
              <w:rPr>
                <w:rFonts w:ascii="Arial" w:hAnsi="Arial" w:cs="Arial"/>
                <w:b/>
                <w:bCs/>
              </w:rPr>
            </w:pPr>
          </w:p>
        </w:tc>
      </w:tr>
      <w:tr w:rsidR="007058CC" w:rsidRPr="00A64175" w14:paraId="4023BD1F" w14:textId="77777777" w:rsidTr="000E7336">
        <w:trPr>
          <w:jc w:val="center"/>
        </w:trPr>
        <w:tc>
          <w:tcPr>
            <w:tcW w:w="10316" w:type="dxa"/>
            <w:shd w:val="clear" w:color="auto" w:fill="auto"/>
          </w:tcPr>
          <w:p w14:paraId="11FD5E9F" w14:textId="7A1CD3E8" w:rsidR="007058CC" w:rsidRPr="00A64175" w:rsidRDefault="007058CC" w:rsidP="00A64175">
            <w:pPr>
              <w:contextualSpacing/>
              <w:jc w:val="both"/>
              <w:rPr>
                <w:rFonts w:ascii="Arial" w:hAnsi="Arial" w:cs="Arial"/>
                <w:b/>
                <w:bCs/>
              </w:rPr>
            </w:pPr>
            <w:r w:rsidRPr="00A64175">
              <w:rPr>
                <w:rFonts w:ascii="Arial" w:hAnsi="Arial" w:cs="Arial"/>
                <w:b/>
                <w:bCs/>
              </w:rPr>
              <w:t xml:space="preserve">Section I : </w:t>
            </w:r>
            <w:r w:rsidR="00744A50">
              <w:rPr>
                <w:rFonts w:ascii="Arial" w:hAnsi="Arial" w:cs="Arial"/>
                <w:b/>
                <w:bCs/>
              </w:rPr>
              <w:t>C</w:t>
            </w:r>
            <w:r w:rsidRPr="00A64175">
              <w:rPr>
                <w:rFonts w:ascii="Arial" w:hAnsi="Arial" w:cs="Arial"/>
                <w:b/>
                <w:bCs/>
              </w:rPr>
              <w:t>ontrat</w:t>
            </w:r>
            <w:r w:rsidR="00744A50">
              <w:rPr>
                <w:rFonts w:ascii="Arial" w:hAnsi="Arial" w:cs="Arial"/>
                <w:b/>
                <w:bCs/>
              </w:rPr>
              <w:t xml:space="preserve"> de désignation du Dépositaire</w:t>
            </w:r>
          </w:p>
        </w:tc>
      </w:tr>
      <w:tr w:rsidR="007058CC" w:rsidRPr="00A64175" w14:paraId="649894F6" w14:textId="77777777" w:rsidTr="000E7336">
        <w:trPr>
          <w:jc w:val="center"/>
        </w:trPr>
        <w:tc>
          <w:tcPr>
            <w:tcW w:w="10316" w:type="dxa"/>
            <w:shd w:val="clear" w:color="auto" w:fill="auto"/>
          </w:tcPr>
          <w:p w14:paraId="361B336A" w14:textId="77777777" w:rsidR="007058CC" w:rsidRPr="00A64175" w:rsidRDefault="007058CC" w:rsidP="00A64175">
            <w:pPr>
              <w:contextualSpacing/>
              <w:jc w:val="both"/>
              <w:rPr>
                <w:rFonts w:ascii="Arial" w:hAnsi="Arial" w:cs="Arial"/>
                <w:b/>
                <w:bCs/>
              </w:rPr>
            </w:pPr>
          </w:p>
          <w:p w14:paraId="4C904B97" w14:textId="056631D8" w:rsidR="007058CC" w:rsidRPr="00A64175" w:rsidRDefault="007118AC" w:rsidP="00A64175">
            <w:pPr>
              <w:contextualSpacing/>
              <w:jc w:val="both"/>
              <w:rPr>
                <w:rFonts w:ascii="Arial" w:hAnsi="Arial" w:cs="Arial"/>
                <w:b/>
                <w:bCs/>
              </w:rPr>
            </w:pPr>
            <w:r w:rsidRPr="00A64175">
              <w:rPr>
                <w:rFonts w:ascii="Arial" w:hAnsi="Arial" w:cs="Arial"/>
                <w:b/>
                <w:bCs/>
              </w:rPr>
              <w:t xml:space="preserve">Article </w:t>
            </w:r>
            <w:r w:rsidR="008C52D6">
              <w:rPr>
                <w:rFonts w:ascii="Arial" w:hAnsi="Arial" w:cs="Arial"/>
                <w:b/>
                <w:bCs/>
              </w:rPr>
              <w:t xml:space="preserve">490 </w:t>
            </w:r>
            <w:r w:rsidR="007058CC" w:rsidRPr="00A64175">
              <w:rPr>
                <w:rFonts w:ascii="Arial" w:hAnsi="Arial" w:cs="Arial"/>
                <w:b/>
                <w:bCs/>
              </w:rPr>
              <w:t xml:space="preserve"> - </w:t>
            </w:r>
          </w:p>
          <w:p w14:paraId="56B0B0C7" w14:textId="1BB874ED" w:rsidR="007058CC" w:rsidRPr="00A64175" w:rsidRDefault="007058CC" w:rsidP="00A64175">
            <w:pPr>
              <w:pStyle w:val="NormalWeb"/>
              <w:numPr>
                <w:ilvl w:val="0"/>
                <w:numId w:val="142"/>
              </w:numPr>
              <w:spacing w:after="0" w:afterAutospacing="0"/>
              <w:ind w:left="426" w:hanging="357"/>
              <w:contextualSpacing/>
              <w:jc w:val="both"/>
              <w:rPr>
                <w:rFonts w:ascii="Arial" w:hAnsi="Arial" w:cs="Arial"/>
                <w:sz w:val="22"/>
                <w:szCs w:val="22"/>
              </w:rPr>
            </w:pPr>
            <w:r w:rsidRPr="00A64175">
              <w:rPr>
                <w:rFonts w:ascii="Arial" w:hAnsi="Arial" w:cs="Arial"/>
                <w:sz w:val="22"/>
                <w:szCs w:val="22"/>
              </w:rPr>
              <w:t>Un contrat en vertu duquel le déposita</w:t>
            </w:r>
            <w:r w:rsidR="007118AC" w:rsidRPr="00A64175">
              <w:rPr>
                <w:rFonts w:ascii="Arial" w:hAnsi="Arial" w:cs="Arial"/>
                <w:sz w:val="22"/>
                <w:szCs w:val="22"/>
              </w:rPr>
              <w:t xml:space="preserve">ire est désigné conformément aux dispositions de l’article 214 du </w:t>
            </w:r>
            <w:r w:rsidR="007118AC" w:rsidRPr="00A64175">
              <w:rPr>
                <w:rFonts w:ascii="Arial" w:hAnsi="Arial" w:cs="Arial"/>
                <w:color w:val="000000"/>
                <w:sz w:val="22"/>
                <w:szCs w:val="22"/>
              </w:rPr>
              <w:t xml:space="preserve">Règlement n°01/22/CEMAC/UMAC/CM/COSUMAF du 21 juillet </w:t>
            </w:r>
            <w:r w:rsidR="00C42049" w:rsidRPr="00A64175">
              <w:rPr>
                <w:rFonts w:ascii="Arial" w:hAnsi="Arial" w:cs="Arial"/>
                <w:color w:val="000000"/>
                <w:sz w:val="22"/>
                <w:szCs w:val="22"/>
              </w:rPr>
              <w:t>2022</w:t>
            </w:r>
            <w:r w:rsidR="00C42049" w:rsidRPr="00A64175">
              <w:rPr>
                <w:rFonts w:ascii="Arial" w:hAnsi="Arial" w:cs="Arial"/>
                <w:sz w:val="22"/>
                <w:szCs w:val="22"/>
              </w:rPr>
              <w:t>,</w:t>
            </w:r>
            <w:r w:rsidRPr="00A64175">
              <w:rPr>
                <w:rFonts w:ascii="Arial" w:hAnsi="Arial" w:cs="Arial"/>
                <w:sz w:val="22"/>
                <w:szCs w:val="22"/>
              </w:rPr>
              <w:t xml:space="preserve"> est établi entre, d’une part, le dépositaire et, d’autre part, la société de gestion et/ou l’OPC ; il comporte au moins les éléments suivants :</w:t>
            </w:r>
          </w:p>
          <w:p w14:paraId="537AA2BA"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22C18AA5" w14:textId="4A79176B"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Une description des services à fournir par le dépositaire et des procédures à adopter pour chaque type d’actifs dans lesquels l’OPC pourrait investir ; </w:t>
            </w:r>
          </w:p>
          <w:p w14:paraId="75F0A3F2" w14:textId="77777777" w:rsidR="007058CC" w:rsidRPr="00A64175" w:rsidRDefault="007058CC" w:rsidP="00A64175">
            <w:pPr>
              <w:pStyle w:val="NormalWeb"/>
              <w:spacing w:after="0" w:afterAutospacing="0"/>
              <w:ind w:left="1440"/>
              <w:contextualSpacing/>
              <w:jc w:val="both"/>
              <w:rPr>
                <w:rFonts w:ascii="Arial" w:hAnsi="Arial" w:cs="Arial"/>
                <w:sz w:val="22"/>
                <w:szCs w:val="22"/>
              </w:rPr>
            </w:pPr>
          </w:p>
          <w:p w14:paraId="2BCE6A1C" w14:textId="7E526B90"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Une description de la manière dont les fonctions de garde et de surveillance seront exercées, en fonction des types d’actifs dans lesquels l’OPC prévoit d’investir.; </w:t>
            </w:r>
          </w:p>
          <w:p w14:paraId="28C97CEE" w14:textId="77777777" w:rsidR="007058CC" w:rsidRPr="00A64175" w:rsidRDefault="007058CC" w:rsidP="00A64175">
            <w:pPr>
              <w:pStyle w:val="NormalWeb"/>
              <w:spacing w:after="0" w:afterAutospacing="0"/>
              <w:contextualSpacing/>
              <w:jc w:val="both"/>
              <w:rPr>
                <w:rFonts w:ascii="Arial" w:hAnsi="Arial" w:cs="Arial"/>
                <w:sz w:val="22"/>
                <w:szCs w:val="22"/>
              </w:rPr>
            </w:pPr>
          </w:p>
          <w:p w14:paraId="54CA783F"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Une déclaration indiquant que la responsabilité́ du dépositaire n’est pas modifiée en cas de délégation des fonctions de conservation ;</w:t>
            </w:r>
          </w:p>
          <w:p w14:paraId="7673F528" w14:textId="77777777" w:rsidR="007058CC" w:rsidRPr="00A64175" w:rsidRDefault="007058CC" w:rsidP="00A64175">
            <w:pPr>
              <w:pStyle w:val="NormalWeb"/>
              <w:spacing w:after="0" w:afterAutospacing="0"/>
              <w:contextualSpacing/>
              <w:jc w:val="both"/>
              <w:rPr>
                <w:rFonts w:ascii="Arial" w:hAnsi="Arial" w:cs="Arial"/>
                <w:sz w:val="22"/>
                <w:szCs w:val="22"/>
              </w:rPr>
            </w:pPr>
          </w:p>
          <w:p w14:paraId="5990EB6D"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La durée de validité́ et les conditions de modification et de résiliation du contrat, y compris les situations qui pourraient entrainer la résiliation du contrat et les détails de la procédure de résiliation, ainsi que, le cas échéant, les procédures à respecter par le dépositaire pour transmettre toutes les informations pertinentes à son successeur ; </w:t>
            </w:r>
          </w:p>
          <w:p w14:paraId="27A4A405" w14:textId="77777777" w:rsidR="007058CC" w:rsidRPr="00A64175" w:rsidRDefault="007058CC" w:rsidP="00A64175">
            <w:pPr>
              <w:pStyle w:val="NormalWeb"/>
              <w:spacing w:after="0" w:afterAutospacing="0"/>
              <w:contextualSpacing/>
              <w:jc w:val="both"/>
              <w:rPr>
                <w:rFonts w:ascii="Arial" w:hAnsi="Arial" w:cs="Arial"/>
                <w:sz w:val="22"/>
                <w:szCs w:val="22"/>
              </w:rPr>
            </w:pPr>
          </w:p>
          <w:p w14:paraId="72350B1C" w14:textId="3C92E1B8"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Les obligations de confidentialité́ applicables aux parties. Ces obligations n’empêchent pas la COSUMAF d’accéder aux documents et aux informations nécessaires ;</w:t>
            </w:r>
          </w:p>
          <w:p w14:paraId="77F83352" w14:textId="77777777" w:rsidR="007058CC" w:rsidRPr="00A64175" w:rsidRDefault="007058CC" w:rsidP="00A64175">
            <w:pPr>
              <w:pStyle w:val="NormalWeb"/>
              <w:spacing w:after="0" w:afterAutospacing="0"/>
              <w:contextualSpacing/>
              <w:jc w:val="both"/>
              <w:rPr>
                <w:rFonts w:ascii="Arial" w:hAnsi="Arial" w:cs="Arial"/>
                <w:sz w:val="22"/>
                <w:szCs w:val="22"/>
              </w:rPr>
            </w:pPr>
          </w:p>
          <w:p w14:paraId="07D5BE43"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moyens et les procédures utilisés par le dépositaire pour transmettre à la société de gestion ou à l’OPC toutes les informations dont celui-ci a besoin pour s’acquitter de ses missions, y compris l’exercice des droits rattachés aux actifs, et pour permettre à la société de gestion et à l’OPC de disposer, en temps utile, d’une vue d’ensemble exacte des comptes de ce dernier ; </w:t>
            </w:r>
          </w:p>
          <w:p w14:paraId="2DF0D25A" w14:textId="77777777" w:rsidR="007058CC" w:rsidRPr="00A64175" w:rsidRDefault="007058CC" w:rsidP="00A64175">
            <w:pPr>
              <w:pStyle w:val="NormalWeb"/>
              <w:spacing w:after="0" w:afterAutospacing="0"/>
              <w:contextualSpacing/>
              <w:jc w:val="both"/>
              <w:rPr>
                <w:rFonts w:ascii="Arial" w:hAnsi="Arial" w:cs="Arial"/>
                <w:sz w:val="22"/>
                <w:szCs w:val="22"/>
              </w:rPr>
            </w:pPr>
          </w:p>
          <w:p w14:paraId="0AC2A183" w14:textId="69EA16CC"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Les moyens et les procédures utilisés par la société de gestion ou l’OPC pour transmettre au dépositaire toutes les informations dont celui-ci a besoin pour s’acquitter d</w:t>
            </w:r>
            <w:r w:rsidR="00D818A5">
              <w:rPr>
                <w:rFonts w:ascii="Arial" w:hAnsi="Arial" w:cs="Arial"/>
                <w:sz w:val="22"/>
                <w:szCs w:val="22"/>
              </w:rPr>
              <w:t>’</w:t>
            </w:r>
            <w:r w:rsidR="00FF491A">
              <w:rPr>
                <w:rFonts w:ascii="Arial" w:hAnsi="Arial" w:cs="Arial"/>
                <w:sz w:val="22"/>
                <w:szCs w:val="22"/>
              </w:rPr>
              <w:t xml:space="preserve">exercer </w:t>
            </w:r>
            <w:r w:rsidRPr="00A64175">
              <w:rPr>
                <w:rFonts w:ascii="Arial" w:hAnsi="Arial" w:cs="Arial"/>
                <w:sz w:val="22"/>
                <w:szCs w:val="22"/>
              </w:rPr>
              <w:t>ses</w:t>
            </w:r>
            <w:r w:rsidR="00FF491A">
              <w:rPr>
                <w:rFonts w:ascii="Arial" w:hAnsi="Arial" w:cs="Arial"/>
                <w:sz w:val="22"/>
                <w:szCs w:val="22"/>
              </w:rPr>
              <w:t xml:space="preserve"> </w:t>
            </w:r>
            <w:r w:rsidR="00254D8C">
              <w:rPr>
                <w:rFonts w:ascii="Arial" w:hAnsi="Arial" w:cs="Arial"/>
                <w:sz w:val="22"/>
                <w:szCs w:val="22"/>
              </w:rPr>
              <w:t>fonctions</w:t>
            </w:r>
            <w:r w:rsidR="00254D8C" w:rsidRPr="00A64175">
              <w:rPr>
                <w:rFonts w:ascii="Arial" w:hAnsi="Arial" w:cs="Arial"/>
                <w:sz w:val="22"/>
                <w:szCs w:val="22"/>
              </w:rPr>
              <w:t>,</w:t>
            </w:r>
          </w:p>
          <w:p w14:paraId="67BAD7C2" w14:textId="77777777" w:rsidR="007058CC" w:rsidRPr="00A64175" w:rsidRDefault="007058CC" w:rsidP="00A64175">
            <w:pPr>
              <w:pStyle w:val="NormalWeb"/>
              <w:spacing w:after="0" w:afterAutospacing="0"/>
              <w:ind w:left="1440"/>
              <w:contextualSpacing/>
              <w:jc w:val="both"/>
              <w:rPr>
                <w:rFonts w:ascii="Arial" w:hAnsi="Arial" w:cs="Arial"/>
                <w:sz w:val="22"/>
                <w:szCs w:val="22"/>
              </w:rPr>
            </w:pPr>
          </w:p>
          <w:p w14:paraId="05F41E06" w14:textId="496B0836"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Des informations indiquant si le dépositaire, ou un tiers auquel les fonctions de garde sont déléguées peut ou non réemployer les actifs qui lui ont été confiés, ainsi que, dans l’affirmative, les conditions applicables à ce réemploi ; </w:t>
            </w:r>
          </w:p>
          <w:p w14:paraId="013078EB" w14:textId="77777777" w:rsidR="007058CC" w:rsidRPr="00A64175" w:rsidRDefault="007058CC" w:rsidP="00A64175">
            <w:pPr>
              <w:pStyle w:val="NormalWeb"/>
              <w:spacing w:after="0" w:afterAutospacing="0"/>
              <w:contextualSpacing/>
              <w:jc w:val="both"/>
              <w:rPr>
                <w:rFonts w:ascii="Arial" w:hAnsi="Arial" w:cs="Arial"/>
                <w:sz w:val="22"/>
                <w:szCs w:val="22"/>
              </w:rPr>
            </w:pPr>
          </w:p>
          <w:p w14:paraId="3B9B6D58"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procédures à suivre lorsqu’une modification du règlement, des documents constitutifs ou des documents d’offre de l’OPC est envisagée, avec une description détaillée des situations dans lesquelles le dépositaire doit être informé ou doit donner son accord préalable à la modification ; </w:t>
            </w:r>
          </w:p>
          <w:p w14:paraId="54BE959F" w14:textId="77777777" w:rsidR="007058CC" w:rsidRPr="00A64175" w:rsidRDefault="007058CC" w:rsidP="00A64175">
            <w:pPr>
              <w:pStyle w:val="NormalWeb"/>
              <w:spacing w:after="0" w:afterAutospacing="0"/>
              <w:contextualSpacing/>
              <w:jc w:val="both"/>
              <w:rPr>
                <w:rFonts w:ascii="Arial" w:hAnsi="Arial" w:cs="Arial"/>
                <w:sz w:val="22"/>
                <w:szCs w:val="22"/>
              </w:rPr>
            </w:pPr>
          </w:p>
          <w:p w14:paraId="2E7ED319"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obligations d’échange d’informations entre, d’une part, l’OPC, la société de gestion ou un tiers agissant pour le compte de l’un ou de l’autre et, d’autre part, le dépositaire, en ce qui concerne la vente, la souscription, le remboursement, l’émission, l’annulation et le rachat de parts ou d’actions de l’OPC ; </w:t>
            </w:r>
          </w:p>
          <w:p w14:paraId="527533DB" w14:textId="77777777" w:rsidR="007058CC" w:rsidRPr="00A64175" w:rsidRDefault="007058CC" w:rsidP="00A64175">
            <w:pPr>
              <w:pStyle w:val="NormalWeb"/>
              <w:spacing w:after="0" w:afterAutospacing="0"/>
              <w:contextualSpacing/>
              <w:jc w:val="both"/>
              <w:rPr>
                <w:rFonts w:ascii="Arial" w:hAnsi="Arial" w:cs="Arial"/>
                <w:sz w:val="22"/>
                <w:szCs w:val="22"/>
              </w:rPr>
            </w:pPr>
          </w:p>
          <w:p w14:paraId="7553473A"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obligations d’échange d’informations entre, d’une part, l’OPC, la société de gestion, un tiers agissant pour le compte de l’un ou de l’autre et, d’autre part, le dépositaire, en ce qui concerne l’exercice de la fonction de surveillance et de contrôle du dépositaire ; </w:t>
            </w:r>
          </w:p>
          <w:p w14:paraId="16E060C7" w14:textId="77777777" w:rsidR="007058CC" w:rsidRPr="00A64175" w:rsidRDefault="007058CC" w:rsidP="00A64175">
            <w:pPr>
              <w:pStyle w:val="NormalWeb"/>
              <w:spacing w:after="0" w:afterAutospacing="0"/>
              <w:contextualSpacing/>
              <w:jc w:val="both"/>
              <w:rPr>
                <w:rFonts w:ascii="Arial" w:hAnsi="Arial" w:cs="Arial"/>
                <w:sz w:val="22"/>
                <w:szCs w:val="22"/>
              </w:rPr>
            </w:pPr>
          </w:p>
          <w:p w14:paraId="38ED6A91"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Si les parties au contrat envisagent de designer des tiers pour s’acquitter d’une partie de leurs missions respectives, un engagement de communiquer régulièrement les coordonnées de tout tiers désigné́ et, sur demande, les critères utilisés pour sélectionner ce dernier et les mesures envisagées pour assurer le suivi de ses activités ; </w:t>
            </w:r>
          </w:p>
          <w:p w14:paraId="071DFFF7" w14:textId="77777777" w:rsidR="007058CC" w:rsidRPr="00A64175" w:rsidRDefault="007058CC" w:rsidP="00A64175">
            <w:pPr>
              <w:pStyle w:val="NormalWeb"/>
              <w:spacing w:after="0" w:afterAutospacing="0"/>
              <w:contextualSpacing/>
              <w:jc w:val="both"/>
              <w:rPr>
                <w:rFonts w:ascii="Arial" w:hAnsi="Arial" w:cs="Arial"/>
                <w:sz w:val="22"/>
                <w:szCs w:val="22"/>
              </w:rPr>
            </w:pPr>
          </w:p>
          <w:p w14:paraId="24F15E8E" w14:textId="31C5AE00"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Des informations sur les tâches et les responsabilités des parties au contrat </w:t>
            </w:r>
            <w:r w:rsidR="00FF491A">
              <w:rPr>
                <w:rFonts w:ascii="Arial" w:hAnsi="Arial" w:cs="Arial"/>
                <w:sz w:val="22"/>
                <w:szCs w:val="22"/>
              </w:rPr>
              <w:t xml:space="preserve"> </w:t>
            </w:r>
            <w:r w:rsidRPr="00A64175">
              <w:rPr>
                <w:rFonts w:ascii="Arial" w:hAnsi="Arial" w:cs="Arial"/>
                <w:sz w:val="22"/>
                <w:szCs w:val="22"/>
              </w:rPr>
              <w:t xml:space="preserve">en matière de prévention du blanchiment de capitaux et du financement du terrorisme ; </w:t>
            </w:r>
          </w:p>
          <w:p w14:paraId="5AC52D6C" w14:textId="77777777" w:rsidR="007058CC" w:rsidRPr="00A64175" w:rsidRDefault="007058CC" w:rsidP="00A64175">
            <w:pPr>
              <w:pStyle w:val="NormalWeb"/>
              <w:spacing w:after="0" w:afterAutospacing="0"/>
              <w:contextualSpacing/>
              <w:jc w:val="both"/>
              <w:rPr>
                <w:rFonts w:ascii="Arial" w:hAnsi="Arial" w:cs="Arial"/>
                <w:sz w:val="22"/>
                <w:szCs w:val="22"/>
              </w:rPr>
            </w:pPr>
          </w:p>
          <w:p w14:paraId="596C7F25"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Des informations sur tous les comptes de liquidités ouverts au nom de l’OPC ou au nom de la société de gestion agissant pour le compte de l’OPC et les procédures visant à ce que le dépositaire soit informé lors de toute ouverture d’un nouveau compte au nom de l’OPC ou au nom de la société de gestion agissant pour le compte de l’OPC ; </w:t>
            </w:r>
          </w:p>
          <w:p w14:paraId="32569266" w14:textId="77777777" w:rsidR="007058CC" w:rsidRPr="00A64175" w:rsidRDefault="007058CC" w:rsidP="00A64175">
            <w:pPr>
              <w:pStyle w:val="NormalWeb"/>
              <w:spacing w:after="0" w:afterAutospacing="0"/>
              <w:contextualSpacing/>
              <w:jc w:val="both"/>
              <w:rPr>
                <w:rFonts w:ascii="Arial" w:hAnsi="Arial" w:cs="Arial"/>
                <w:sz w:val="22"/>
                <w:szCs w:val="22"/>
              </w:rPr>
            </w:pPr>
          </w:p>
          <w:p w14:paraId="3E3B125F"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Le détail des procédures d’intervention par paliers du dépositaire, y compris l’identité́ des personnes travaillant pour l’OPC ou la société de gestion que le dépositaire doit joindre lorsqu’il lance une telle procédure ;</w:t>
            </w:r>
          </w:p>
          <w:p w14:paraId="7B3C8CA4" w14:textId="77777777" w:rsidR="007058CC" w:rsidRPr="00A64175" w:rsidRDefault="007058CC" w:rsidP="00A64175">
            <w:pPr>
              <w:pStyle w:val="NormalWeb"/>
              <w:spacing w:after="0" w:afterAutospacing="0"/>
              <w:contextualSpacing/>
              <w:jc w:val="both"/>
              <w:rPr>
                <w:rFonts w:ascii="Arial" w:hAnsi="Arial" w:cs="Arial"/>
                <w:sz w:val="22"/>
                <w:szCs w:val="22"/>
              </w:rPr>
            </w:pPr>
            <w:r w:rsidRPr="00A64175">
              <w:rPr>
                <w:rFonts w:ascii="Arial" w:hAnsi="Arial" w:cs="Arial"/>
                <w:sz w:val="22"/>
                <w:szCs w:val="22"/>
              </w:rPr>
              <w:t xml:space="preserve"> </w:t>
            </w:r>
          </w:p>
          <w:p w14:paraId="5CEC7061" w14:textId="21D1F0CB"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L’engagement du dépositaire d’informer la société de gestion s’il se rend compte que la ségrégation des actifs n’est pas ou plus suffisante pour garantir la protection contre l’insolvabilité d’un tiers à laquelle les fonctions de garde sont déléguées</w:t>
            </w:r>
            <w:r w:rsidR="007118AC" w:rsidRPr="00A64175">
              <w:rPr>
                <w:rFonts w:ascii="Arial" w:hAnsi="Arial" w:cs="Arial"/>
                <w:sz w:val="22"/>
                <w:szCs w:val="22"/>
              </w:rPr>
              <w:t xml:space="preserve"> </w:t>
            </w:r>
            <w:r w:rsidRPr="00A64175">
              <w:rPr>
                <w:rFonts w:ascii="Arial" w:hAnsi="Arial" w:cs="Arial"/>
                <w:sz w:val="22"/>
                <w:szCs w:val="22"/>
              </w:rPr>
              <w:t>;</w:t>
            </w:r>
          </w:p>
          <w:p w14:paraId="75A01C5E" w14:textId="77777777" w:rsidR="007058CC" w:rsidRPr="00A64175" w:rsidRDefault="007058CC" w:rsidP="00A64175">
            <w:pPr>
              <w:pStyle w:val="NormalWeb"/>
              <w:spacing w:after="0" w:afterAutospacing="0"/>
              <w:contextualSpacing/>
              <w:jc w:val="both"/>
              <w:rPr>
                <w:rFonts w:ascii="Arial" w:hAnsi="Arial" w:cs="Arial"/>
                <w:sz w:val="22"/>
                <w:szCs w:val="22"/>
              </w:rPr>
            </w:pPr>
            <w:r w:rsidRPr="00A64175">
              <w:rPr>
                <w:rFonts w:ascii="Arial" w:hAnsi="Arial" w:cs="Arial"/>
                <w:sz w:val="22"/>
                <w:szCs w:val="22"/>
              </w:rPr>
              <w:t xml:space="preserve"> </w:t>
            </w:r>
          </w:p>
          <w:p w14:paraId="1A6D27E7"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procédures visant à ce que le dépositaire, en ce qui concerne ses fonctions, puisse s’informer de la manière dont la société de gestion ou l’OPC mène ses activités et évaluer la qualité́ des informations obtenues, notamment par un droit d’accès aux livres comptables de l’OPC ou de la société de gestion ou par des visites sur place ; </w:t>
            </w:r>
          </w:p>
          <w:p w14:paraId="68A0962B" w14:textId="77777777" w:rsidR="007058CC" w:rsidRPr="00A64175" w:rsidRDefault="007058CC" w:rsidP="00A64175">
            <w:pPr>
              <w:pStyle w:val="NormalWeb"/>
              <w:spacing w:after="0" w:afterAutospacing="0"/>
              <w:ind w:left="1440"/>
              <w:contextualSpacing/>
              <w:jc w:val="both"/>
              <w:rPr>
                <w:rFonts w:ascii="Arial" w:hAnsi="Arial" w:cs="Arial"/>
                <w:sz w:val="22"/>
                <w:szCs w:val="22"/>
              </w:rPr>
            </w:pPr>
          </w:p>
          <w:p w14:paraId="73ADD3DF" w14:textId="77777777" w:rsidR="007058CC" w:rsidRPr="00A64175" w:rsidRDefault="007058CC" w:rsidP="00A64175">
            <w:pPr>
              <w:pStyle w:val="NormalWeb"/>
              <w:numPr>
                <w:ilvl w:val="1"/>
                <w:numId w:val="143"/>
              </w:numPr>
              <w:spacing w:after="0" w:afterAutospacing="0"/>
              <w:ind w:hanging="357"/>
              <w:contextualSpacing/>
              <w:jc w:val="both"/>
              <w:rPr>
                <w:rFonts w:ascii="Arial" w:hAnsi="Arial" w:cs="Arial"/>
                <w:sz w:val="22"/>
                <w:szCs w:val="22"/>
              </w:rPr>
            </w:pPr>
            <w:r w:rsidRPr="00A64175">
              <w:rPr>
                <w:rFonts w:ascii="Arial" w:hAnsi="Arial" w:cs="Arial"/>
                <w:sz w:val="22"/>
                <w:szCs w:val="22"/>
              </w:rPr>
              <w:t xml:space="preserve">Les procédures visant à ce que la société de gestion ou l’OPC puisse examiner les résultats du dépositaire par rapport à ses obligations contractuelles. </w:t>
            </w:r>
          </w:p>
          <w:p w14:paraId="6EA6138F" w14:textId="77777777" w:rsidR="007058CC" w:rsidRPr="00A64175" w:rsidRDefault="007058CC" w:rsidP="00A64175">
            <w:pPr>
              <w:pStyle w:val="NormalWeb"/>
              <w:spacing w:after="0" w:afterAutospacing="0"/>
              <w:contextualSpacing/>
              <w:jc w:val="both"/>
              <w:rPr>
                <w:rFonts w:ascii="Arial" w:hAnsi="Arial" w:cs="Arial"/>
                <w:sz w:val="22"/>
                <w:szCs w:val="22"/>
              </w:rPr>
            </w:pPr>
          </w:p>
          <w:p w14:paraId="74495766" w14:textId="77777777" w:rsidR="007058CC" w:rsidRPr="00A64175" w:rsidRDefault="007058CC" w:rsidP="00A64175">
            <w:pPr>
              <w:pStyle w:val="NormalWeb"/>
              <w:numPr>
                <w:ilvl w:val="0"/>
                <w:numId w:val="142"/>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Les moyens et procédures visés aux points a) à r) sont décrits en détail dans le contrat de désignation du dépositaire ou dans ses avenants ultérieurs éventuels. </w:t>
            </w:r>
          </w:p>
          <w:p w14:paraId="3CAAC709"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7EA27C28" w14:textId="77777777" w:rsidR="007058CC" w:rsidRPr="00A64175" w:rsidRDefault="007058CC" w:rsidP="00A64175">
            <w:pPr>
              <w:pStyle w:val="NormalWeb"/>
              <w:numPr>
                <w:ilvl w:val="0"/>
                <w:numId w:val="142"/>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Le contrat de désignation du dépositaire et les avenants ultérieurs visés au paragraphe 2 sont établis par écrit. </w:t>
            </w:r>
          </w:p>
          <w:p w14:paraId="3A820D35"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2A417BB4" w14:textId="77777777" w:rsidR="007058CC" w:rsidRPr="00A64175" w:rsidRDefault="007058CC" w:rsidP="00A64175">
            <w:pPr>
              <w:pStyle w:val="NormalWeb"/>
              <w:numPr>
                <w:ilvl w:val="0"/>
                <w:numId w:val="142"/>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Les parties peuvent convenir de transmettre électroniquement tout ou partie des informations qu’elles se communiquent, à condition que ces informations soient dûment enregistrées. </w:t>
            </w:r>
          </w:p>
          <w:p w14:paraId="2D336CE0" w14:textId="77777777" w:rsidR="007058CC" w:rsidRPr="00A64175" w:rsidRDefault="007058CC" w:rsidP="00A64175">
            <w:pPr>
              <w:pStyle w:val="NormalWeb"/>
              <w:spacing w:after="0" w:afterAutospacing="0"/>
              <w:contextualSpacing/>
              <w:jc w:val="both"/>
              <w:rPr>
                <w:rFonts w:ascii="Arial" w:hAnsi="Arial" w:cs="Arial"/>
                <w:sz w:val="22"/>
                <w:szCs w:val="22"/>
              </w:rPr>
            </w:pPr>
          </w:p>
          <w:p w14:paraId="28E4A7F7" w14:textId="77777777" w:rsidR="007058CC" w:rsidRPr="00A64175" w:rsidRDefault="007058CC" w:rsidP="00A64175">
            <w:pPr>
              <w:pStyle w:val="Paragraphedeliste"/>
              <w:numPr>
                <w:ilvl w:val="0"/>
                <w:numId w:val="142"/>
              </w:numPr>
              <w:pBdr>
                <w:bottom w:val="single" w:sz="6" w:space="1" w:color="auto"/>
              </w:pBdr>
              <w:suppressAutoHyphens w:val="0"/>
              <w:spacing w:before="0" w:beforeAutospacing="0" w:after="0" w:afterAutospacing="0" w:line="240" w:lineRule="auto"/>
              <w:ind w:left="459"/>
              <w:textAlignment w:val="auto"/>
              <w:rPr>
                <w:bCs/>
              </w:rPr>
            </w:pPr>
            <w:r w:rsidRPr="00A64175">
              <w:t>Il n’est pas obligatoire de conclure un accord écrit distinct pour chaque OPC ; la société de gestion et le dépositaire ont la possibilité́ de conclure un accord-cadre énumérant les OPC gérés par ladite société de gestion auxquels l’accord s’applique.</w:t>
            </w:r>
          </w:p>
          <w:p w14:paraId="0E0F7045" w14:textId="77777777" w:rsidR="007058CC" w:rsidRPr="00A64175" w:rsidRDefault="007058CC" w:rsidP="00A64175">
            <w:pPr>
              <w:pBdr>
                <w:bottom w:val="single" w:sz="6" w:space="1" w:color="auto"/>
              </w:pBdr>
              <w:ind w:left="99"/>
              <w:jc w:val="both"/>
              <w:rPr>
                <w:rFonts w:ascii="Arial" w:hAnsi="Arial" w:cs="Arial"/>
                <w:bCs/>
              </w:rPr>
            </w:pPr>
          </w:p>
          <w:p w14:paraId="670C795B" w14:textId="77777777" w:rsidR="007118AC" w:rsidRPr="00A64175" w:rsidRDefault="007118AC" w:rsidP="00A64175">
            <w:pPr>
              <w:pBdr>
                <w:bottom w:val="single" w:sz="6" w:space="1" w:color="auto"/>
              </w:pBdr>
              <w:ind w:left="99"/>
              <w:jc w:val="both"/>
              <w:rPr>
                <w:rFonts w:ascii="Arial" w:hAnsi="Arial" w:cs="Arial"/>
                <w:bCs/>
              </w:rPr>
            </w:pPr>
          </w:p>
        </w:tc>
      </w:tr>
      <w:tr w:rsidR="007058CC" w:rsidRPr="00A64175" w14:paraId="1637C3FD" w14:textId="77777777" w:rsidTr="000E7336">
        <w:trPr>
          <w:jc w:val="center"/>
        </w:trPr>
        <w:tc>
          <w:tcPr>
            <w:tcW w:w="10316" w:type="dxa"/>
            <w:shd w:val="clear" w:color="auto" w:fill="auto"/>
          </w:tcPr>
          <w:p w14:paraId="107D43B9" w14:textId="77777777" w:rsidR="007118AC" w:rsidRDefault="007118AC" w:rsidP="00A64175">
            <w:pPr>
              <w:contextualSpacing/>
              <w:jc w:val="both"/>
              <w:rPr>
                <w:rFonts w:ascii="Arial" w:hAnsi="Arial" w:cs="Arial"/>
                <w:b/>
                <w:bCs/>
              </w:rPr>
            </w:pPr>
          </w:p>
          <w:p w14:paraId="1201B570" w14:textId="77777777" w:rsidR="00C860C4" w:rsidRDefault="00C860C4" w:rsidP="00A64175">
            <w:pPr>
              <w:contextualSpacing/>
              <w:jc w:val="both"/>
              <w:rPr>
                <w:rFonts w:ascii="Arial" w:hAnsi="Arial" w:cs="Arial"/>
                <w:b/>
                <w:bCs/>
              </w:rPr>
            </w:pPr>
          </w:p>
          <w:p w14:paraId="669A4F98" w14:textId="77777777" w:rsidR="00C860C4" w:rsidRPr="00A64175" w:rsidRDefault="00C860C4" w:rsidP="00A64175">
            <w:pPr>
              <w:contextualSpacing/>
              <w:jc w:val="both"/>
              <w:rPr>
                <w:rFonts w:ascii="Arial" w:hAnsi="Arial" w:cs="Arial"/>
                <w:b/>
                <w:bCs/>
              </w:rPr>
            </w:pPr>
          </w:p>
          <w:p w14:paraId="6EF05D4A" w14:textId="77777777" w:rsidR="007058CC" w:rsidRPr="00A64175" w:rsidRDefault="007058CC" w:rsidP="00A64175">
            <w:pPr>
              <w:contextualSpacing/>
              <w:jc w:val="both"/>
              <w:rPr>
                <w:rFonts w:ascii="Arial" w:hAnsi="Arial" w:cs="Arial"/>
                <w:b/>
                <w:bCs/>
                <w:highlight w:val="yellow"/>
              </w:rPr>
            </w:pPr>
            <w:r w:rsidRPr="00A64175">
              <w:rPr>
                <w:rFonts w:ascii="Arial" w:hAnsi="Arial" w:cs="Arial"/>
                <w:b/>
                <w:bCs/>
              </w:rPr>
              <w:t>Section II – Fonctions du dépositaire, devoirs de diligence et obligation de ségrégation</w:t>
            </w:r>
          </w:p>
        </w:tc>
      </w:tr>
      <w:tr w:rsidR="007058CC" w:rsidRPr="00A64175" w14:paraId="591D57E6" w14:textId="77777777" w:rsidTr="000E7336">
        <w:trPr>
          <w:jc w:val="center"/>
        </w:trPr>
        <w:tc>
          <w:tcPr>
            <w:tcW w:w="10316" w:type="dxa"/>
            <w:shd w:val="clear" w:color="auto" w:fill="auto"/>
          </w:tcPr>
          <w:p w14:paraId="17AFCE6D" w14:textId="6BB28BF2" w:rsidR="007118AC" w:rsidRPr="00A64175" w:rsidRDefault="007118AC" w:rsidP="00A64175">
            <w:pPr>
              <w:contextualSpacing/>
              <w:jc w:val="both"/>
              <w:rPr>
                <w:rFonts w:ascii="Arial" w:hAnsi="Arial" w:cs="Arial"/>
                <w:b/>
                <w:bCs/>
              </w:rPr>
            </w:pPr>
          </w:p>
          <w:p w14:paraId="74668E29" w14:textId="286ED0EC" w:rsidR="007058CC" w:rsidRPr="00A64175" w:rsidRDefault="007118AC" w:rsidP="00A64175">
            <w:pPr>
              <w:contextualSpacing/>
              <w:jc w:val="both"/>
              <w:rPr>
                <w:rFonts w:ascii="Arial" w:hAnsi="Arial" w:cs="Arial"/>
                <w:b/>
                <w:bCs/>
              </w:rPr>
            </w:pPr>
            <w:r w:rsidRPr="00A64175">
              <w:rPr>
                <w:rFonts w:ascii="Arial" w:hAnsi="Arial" w:cs="Arial"/>
                <w:b/>
                <w:bCs/>
              </w:rPr>
              <w:t xml:space="preserve">Article </w:t>
            </w:r>
            <w:r w:rsidR="00254D8C">
              <w:rPr>
                <w:rFonts w:ascii="Arial" w:hAnsi="Arial" w:cs="Arial"/>
                <w:b/>
                <w:bCs/>
              </w:rPr>
              <w:t xml:space="preserve">491 </w:t>
            </w:r>
            <w:r w:rsidR="007058CC" w:rsidRPr="00A64175">
              <w:rPr>
                <w:rFonts w:ascii="Arial" w:hAnsi="Arial" w:cs="Arial"/>
                <w:b/>
                <w:bCs/>
              </w:rPr>
              <w:t xml:space="preserve"> - </w:t>
            </w:r>
          </w:p>
          <w:p w14:paraId="1D689F27" w14:textId="77777777" w:rsidR="007058CC" w:rsidRPr="00A64175" w:rsidRDefault="007058CC" w:rsidP="00A64175">
            <w:pPr>
              <w:pStyle w:val="NormalWeb"/>
              <w:numPr>
                <w:ilvl w:val="0"/>
                <w:numId w:val="144"/>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Lorsqu’un compte de liquidités est détenu ou ouvert au nom de l’OPC, au nom de la société de gestion agissant pour le compte de l’OPC ou au nom du dépositaire agissant pour le compte de l’OPC, la société de gestion veille à ce que le dépositaire reçoive, dès le début de ses fonctions et en permanence, toutes les informations nécessaires au respect de ses obligations. </w:t>
            </w:r>
          </w:p>
          <w:p w14:paraId="51AE5024" w14:textId="77777777" w:rsidR="007058CC" w:rsidRPr="00A64175" w:rsidRDefault="007058CC" w:rsidP="00A64175">
            <w:pPr>
              <w:pStyle w:val="NormalWeb"/>
              <w:spacing w:after="0" w:afterAutospacing="0"/>
              <w:ind w:left="66"/>
              <w:contextualSpacing/>
              <w:jc w:val="both"/>
              <w:rPr>
                <w:rFonts w:ascii="Arial" w:hAnsi="Arial" w:cs="Arial"/>
                <w:sz w:val="22"/>
                <w:szCs w:val="22"/>
              </w:rPr>
            </w:pPr>
          </w:p>
          <w:p w14:paraId="27455F07" w14:textId="77777777" w:rsidR="007058CC" w:rsidRPr="00A64175" w:rsidRDefault="007058CC" w:rsidP="00A64175">
            <w:pPr>
              <w:pStyle w:val="NormalWeb"/>
              <w:numPr>
                <w:ilvl w:val="0"/>
                <w:numId w:val="144"/>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Pour que le dépositaire ait accès à toutes les informations concernant les comptes de liquidités de l’OPC et ait une vue d’ensemble claire de tous les flux de liquidités de l’OPC, il est informé, au moins, des éléments suivants : </w:t>
            </w:r>
          </w:p>
          <w:p w14:paraId="2B5B633D" w14:textId="77777777" w:rsidR="007058CC" w:rsidRPr="00A64175" w:rsidRDefault="007058CC" w:rsidP="00A64175">
            <w:pPr>
              <w:pStyle w:val="NormalWeb"/>
              <w:spacing w:after="0" w:afterAutospacing="0"/>
              <w:ind w:left="426"/>
              <w:contextualSpacing/>
              <w:jc w:val="both"/>
              <w:rPr>
                <w:rFonts w:ascii="Arial" w:hAnsi="Arial" w:cs="Arial"/>
                <w:sz w:val="22"/>
                <w:szCs w:val="22"/>
              </w:rPr>
            </w:pPr>
          </w:p>
          <w:p w14:paraId="6BFAF0E0" w14:textId="77777777" w:rsidR="007058CC" w:rsidRPr="00A64175" w:rsidRDefault="007058CC" w:rsidP="00A64175">
            <w:pPr>
              <w:pStyle w:val="NormalWeb"/>
              <w:numPr>
                <w:ilvl w:val="1"/>
                <w:numId w:val="140"/>
              </w:numPr>
              <w:spacing w:after="0" w:afterAutospacing="0"/>
              <w:contextualSpacing/>
              <w:jc w:val="both"/>
              <w:rPr>
                <w:rFonts w:ascii="Arial" w:hAnsi="Arial" w:cs="Arial"/>
                <w:sz w:val="22"/>
                <w:szCs w:val="22"/>
              </w:rPr>
            </w:pPr>
            <w:r w:rsidRPr="00A64175">
              <w:rPr>
                <w:rFonts w:ascii="Arial" w:hAnsi="Arial" w:cs="Arial"/>
                <w:sz w:val="22"/>
                <w:szCs w:val="22"/>
              </w:rPr>
              <w:t xml:space="preserve">Lors de sa désignation, de l’existence de tout compte de liquidités ouvert au nom de l’OPC, ou au nom de la société de gestion agissant pour le compte de l’OPC ; </w:t>
            </w:r>
          </w:p>
          <w:p w14:paraId="14F7B9CA" w14:textId="77777777" w:rsidR="007058CC" w:rsidRPr="00A64175" w:rsidRDefault="007058CC" w:rsidP="00A64175">
            <w:pPr>
              <w:pStyle w:val="NormalWeb"/>
              <w:spacing w:after="0" w:afterAutospacing="0"/>
              <w:ind w:left="720"/>
              <w:contextualSpacing/>
              <w:jc w:val="both"/>
              <w:rPr>
                <w:rFonts w:ascii="Arial" w:hAnsi="Arial" w:cs="Arial"/>
                <w:sz w:val="22"/>
                <w:szCs w:val="22"/>
              </w:rPr>
            </w:pPr>
          </w:p>
          <w:p w14:paraId="7E9F29F5" w14:textId="77777777" w:rsidR="007058CC" w:rsidRPr="00A64175" w:rsidRDefault="007058CC" w:rsidP="00A64175">
            <w:pPr>
              <w:pStyle w:val="NormalWeb"/>
              <w:numPr>
                <w:ilvl w:val="1"/>
                <w:numId w:val="140"/>
              </w:numPr>
              <w:spacing w:after="0" w:afterAutospacing="0"/>
              <w:contextualSpacing/>
              <w:jc w:val="both"/>
              <w:rPr>
                <w:rFonts w:ascii="Arial" w:hAnsi="Arial" w:cs="Arial"/>
                <w:sz w:val="22"/>
                <w:szCs w:val="22"/>
              </w:rPr>
            </w:pPr>
            <w:r w:rsidRPr="00A64175">
              <w:rPr>
                <w:rFonts w:ascii="Arial" w:hAnsi="Arial" w:cs="Arial"/>
                <w:sz w:val="22"/>
                <w:szCs w:val="22"/>
              </w:rPr>
              <w:t xml:space="preserve">De l’ouverture de tout nouveau compte de liquidités par l’OPC ou par la société de gestion agissant pour le compte de l’OPC ; </w:t>
            </w:r>
          </w:p>
          <w:p w14:paraId="3B19A952" w14:textId="77777777" w:rsidR="007058CC" w:rsidRPr="00A64175" w:rsidRDefault="007058CC" w:rsidP="00A64175">
            <w:pPr>
              <w:pStyle w:val="NormalWeb"/>
              <w:spacing w:after="0" w:afterAutospacing="0"/>
              <w:ind w:left="720"/>
              <w:contextualSpacing/>
              <w:jc w:val="both"/>
              <w:rPr>
                <w:rFonts w:ascii="Arial" w:hAnsi="Arial" w:cs="Arial"/>
                <w:sz w:val="22"/>
                <w:szCs w:val="22"/>
              </w:rPr>
            </w:pPr>
          </w:p>
          <w:p w14:paraId="62817871" w14:textId="77777777" w:rsidR="007058CC" w:rsidRPr="00A64175" w:rsidRDefault="007058CC" w:rsidP="00A64175">
            <w:pPr>
              <w:pStyle w:val="NormalWeb"/>
              <w:numPr>
                <w:ilvl w:val="1"/>
                <w:numId w:val="140"/>
              </w:numPr>
              <w:spacing w:after="0" w:afterAutospacing="0"/>
              <w:contextualSpacing/>
              <w:jc w:val="both"/>
              <w:rPr>
                <w:rFonts w:ascii="Arial" w:hAnsi="Arial" w:cs="Arial"/>
                <w:sz w:val="22"/>
                <w:szCs w:val="22"/>
              </w:rPr>
            </w:pPr>
            <w:r w:rsidRPr="00A64175">
              <w:rPr>
                <w:rFonts w:ascii="Arial" w:hAnsi="Arial" w:cs="Arial"/>
                <w:sz w:val="22"/>
                <w:szCs w:val="22"/>
              </w:rPr>
              <w:t xml:space="preserve">De toutes les données relatives aux comptes de liquidités ouverts auprès d’entités tierces, directement par ces entités. </w:t>
            </w:r>
          </w:p>
          <w:p w14:paraId="40BA9673" w14:textId="77777777" w:rsidR="007058CC" w:rsidRPr="00A64175" w:rsidRDefault="007058CC" w:rsidP="00A64175">
            <w:pPr>
              <w:contextualSpacing/>
              <w:jc w:val="both"/>
              <w:rPr>
                <w:rFonts w:ascii="Arial" w:hAnsi="Arial" w:cs="Arial"/>
                <w:b/>
                <w:bCs/>
              </w:rPr>
            </w:pPr>
          </w:p>
          <w:p w14:paraId="512AA2C0" w14:textId="77777777" w:rsidR="00EC78FC" w:rsidRPr="00A64175" w:rsidRDefault="00EC78FC" w:rsidP="00A64175">
            <w:pPr>
              <w:contextualSpacing/>
              <w:jc w:val="both"/>
              <w:rPr>
                <w:rFonts w:ascii="Arial" w:hAnsi="Arial" w:cs="Arial"/>
                <w:b/>
                <w:bCs/>
              </w:rPr>
            </w:pPr>
            <w:r w:rsidRPr="00A64175">
              <w:rPr>
                <w:rFonts w:ascii="Arial" w:hAnsi="Arial" w:cs="Arial"/>
                <w:b/>
                <w:bCs/>
              </w:rPr>
              <w:t>.</w:t>
            </w:r>
          </w:p>
          <w:p w14:paraId="1BF67619" w14:textId="77777777" w:rsidR="00EC78FC" w:rsidRPr="00A64175" w:rsidRDefault="00EC78FC" w:rsidP="00A64175">
            <w:pPr>
              <w:contextualSpacing/>
              <w:jc w:val="both"/>
              <w:rPr>
                <w:rFonts w:ascii="Arial" w:hAnsi="Arial" w:cs="Arial"/>
                <w:b/>
                <w:bCs/>
              </w:rPr>
            </w:pPr>
          </w:p>
        </w:tc>
      </w:tr>
      <w:tr w:rsidR="007058CC" w:rsidRPr="00A64175" w14:paraId="2B48EE29" w14:textId="77777777" w:rsidTr="000E7336">
        <w:trPr>
          <w:jc w:val="center"/>
        </w:trPr>
        <w:tc>
          <w:tcPr>
            <w:tcW w:w="10316" w:type="dxa"/>
            <w:shd w:val="clear" w:color="auto" w:fill="auto"/>
          </w:tcPr>
          <w:p w14:paraId="55C202F2" w14:textId="390D236A" w:rsidR="007058CC" w:rsidRPr="00A64175" w:rsidRDefault="00E60B94" w:rsidP="00A64175">
            <w:pPr>
              <w:pStyle w:val="NormalWeb"/>
              <w:spacing w:after="0" w:afterAutospacing="0"/>
              <w:contextualSpacing/>
              <w:jc w:val="both"/>
              <w:rPr>
                <w:rFonts w:ascii="Arial" w:hAnsi="Arial" w:cs="Arial"/>
                <w:b/>
                <w:bCs/>
                <w:sz w:val="22"/>
                <w:szCs w:val="22"/>
              </w:rPr>
            </w:pPr>
            <w:r w:rsidRPr="00A64175">
              <w:rPr>
                <w:rFonts w:ascii="Arial" w:hAnsi="Arial" w:cs="Arial"/>
                <w:b/>
                <w:bCs/>
                <w:sz w:val="22"/>
                <w:szCs w:val="22"/>
              </w:rPr>
              <w:t xml:space="preserve">Article </w:t>
            </w:r>
            <w:r w:rsidR="00254D8C">
              <w:rPr>
                <w:rFonts w:ascii="Arial" w:hAnsi="Arial" w:cs="Arial"/>
                <w:b/>
                <w:bCs/>
                <w:sz w:val="22"/>
                <w:szCs w:val="22"/>
              </w:rPr>
              <w:t xml:space="preserve">492 </w:t>
            </w:r>
            <w:r w:rsidR="007058CC" w:rsidRPr="00A64175">
              <w:rPr>
                <w:rFonts w:ascii="Arial" w:hAnsi="Arial" w:cs="Arial"/>
                <w:b/>
                <w:bCs/>
                <w:sz w:val="22"/>
                <w:szCs w:val="22"/>
              </w:rPr>
              <w:t xml:space="preserve"> </w:t>
            </w:r>
            <w:r w:rsidR="00EC78FC" w:rsidRPr="00A64175">
              <w:rPr>
                <w:rFonts w:ascii="Arial" w:hAnsi="Arial" w:cs="Arial"/>
                <w:b/>
                <w:bCs/>
                <w:sz w:val="22"/>
                <w:szCs w:val="22"/>
              </w:rPr>
              <w:t>–</w:t>
            </w:r>
          </w:p>
          <w:p w14:paraId="03FB5535" w14:textId="77777777" w:rsidR="00EC78FC" w:rsidRPr="00A64175" w:rsidRDefault="00EC78FC" w:rsidP="00A64175">
            <w:pPr>
              <w:pStyle w:val="NormalWeb"/>
              <w:spacing w:after="0" w:afterAutospacing="0"/>
              <w:contextualSpacing/>
              <w:jc w:val="both"/>
              <w:rPr>
                <w:rFonts w:ascii="Arial" w:hAnsi="Arial" w:cs="Arial"/>
                <w:b/>
                <w:bCs/>
                <w:sz w:val="22"/>
                <w:szCs w:val="22"/>
              </w:rPr>
            </w:pPr>
          </w:p>
          <w:p w14:paraId="0EF7E971" w14:textId="77777777" w:rsidR="007058CC" w:rsidRPr="00A64175" w:rsidRDefault="007058CC" w:rsidP="00A64175">
            <w:pPr>
              <w:contextualSpacing/>
              <w:jc w:val="both"/>
              <w:rPr>
                <w:rFonts w:ascii="Arial" w:eastAsia="Times New Roman" w:hAnsi="Arial" w:cs="Arial"/>
                <w:lang w:eastAsia="fr-FR"/>
              </w:rPr>
            </w:pPr>
            <w:r w:rsidRPr="00A64175">
              <w:rPr>
                <w:rFonts w:ascii="Arial" w:eastAsia="Times New Roman" w:hAnsi="Arial" w:cs="Arial"/>
                <w:lang w:eastAsia="fr-FR"/>
              </w:rPr>
              <w:t>Le dépositaire garantit un suivi efficace et adéquat des flux de liquidités de l’OPC, notamment, au moins, par les actions suivantes :</w:t>
            </w:r>
          </w:p>
          <w:p w14:paraId="57C33A43" w14:textId="77777777" w:rsidR="007058CC" w:rsidRPr="00A64175" w:rsidRDefault="007058CC" w:rsidP="00A64175">
            <w:pPr>
              <w:contextualSpacing/>
              <w:jc w:val="both"/>
              <w:rPr>
                <w:rFonts w:ascii="Arial" w:eastAsia="Times New Roman" w:hAnsi="Arial" w:cs="Arial"/>
                <w:lang w:eastAsia="fr-FR"/>
              </w:rPr>
            </w:pPr>
          </w:p>
          <w:p w14:paraId="2C002A39" w14:textId="77777777" w:rsidR="007058CC" w:rsidRPr="00A64175" w:rsidRDefault="007058CC" w:rsidP="00A64175">
            <w:pPr>
              <w:ind w:left="720"/>
              <w:contextualSpacing/>
              <w:jc w:val="both"/>
              <w:rPr>
                <w:rFonts w:ascii="Arial" w:eastAsia="Times New Roman" w:hAnsi="Arial" w:cs="Arial"/>
                <w:lang w:eastAsia="fr-FR"/>
              </w:rPr>
            </w:pPr>
          </w:p>
          <w:p w14:paraId="1D60A55A" w14:textId="77777777" w:rsidR="007058CC" w:rsidRPr="00A64175" w:rsidRDefault="007058CC" w:rsidP="00A64175">
            <w:pPr>
              <w:numPr>
                <w:ilvl w:val="0"/>
                <w:numId w:val="145"/>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met en œuvre des procédures efficaces et adéquates pour effectuer le rapprochement de tous les mouvements de liquidités, au moins quotidiennement ou, si les mouvements de liquidités sont peu fréquents, lors de chaque mouvement ; </w:t>
            </w:r>
          </w:p>
          <w:p w14:paraId="1FB41C9A" w14:textId="77777777" w:rsidR="007058CC" w:rsidRPr="00A64175" w:rsidRDefault="007058CC" w:rsidP="00A64175">
            <w:pPr>
              <w:contextualSpacing/>
              <w:jc w:val="both"/>
              <w:rPr>
                <w:rFonts w:ascii="Arial" w:eastAsia="Times New Roman" w:hAnsi="Arial" w:cs="Arial"/>
                <w:lang w:eastAsia="fr-FR"/>
              </w:rPr>
            </w:pPr>
          </w:p>
          <w:p w14:paraId="5BBA0E8B" w14:textId="77777777" w:rsidR="007058CC" w:rsidRPr="00A64175" w:rsidRDefault="007058CC" w:rsidP="00A64175">
            <w:pPr>
              <w:numPr>
                <w:ilvl w:val="0"/>
                <w:numId w:val="145"/>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met en œuvre des procédures appropriées pour détecter, à la clôture du jour ouvrable, les flux de liquidités importants, et en particulier ceux qui pourraient ne pas correspondre aux activités de l’OPC ; </w:t>
            </w:r>
          </w:p>
          <w:p w14:paraId="0BCCD918" w14:textId="77777777" w:rsidR="007058CC" w:rsidRPr="00A64175" w:rsidRDefault="007058CC" w:rsidP="00A64175">
            <w:pPr>
              <w:contextualSpacing/>
              <w:jc w:val="both"/>
              <w:rPr>
                <w:rFonts w:ascii="Arial" w:eastAsia="Times New Roman" w:hAnsi="Arial" w:cs="Arial"/>
                <w:lang w:eastAsia="fr-FR"/>
              </w:rPr>
            </w:pPr>
          </w:p>
          <w:p w14:paraId="4CB12517" w14:textId="77777777" w:rsidR="007058CC" w:rsidRPr="00A64175" w:rsidRDefault="007058CC" w:rsidP="00A64175">
            <w:pPr>
              <w:numPr>
                <w:ilvl w:val="0"/>
                <w:numId w:val="145"/>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examine périodiquement si ces procédures sont appropriées, notamment en réexaminant entièrement le processus de rapprochement au moins une fois par an et en veillant à ce que les comptes de liquidités ouverts au nom de l’OPC, au nom de la société de gestion agissant pour le compte de l’OPC ou au nom du dépositaire agissant pour le compte de l’OPC soient intégrés dans ce processus ; </w:t>
            </w:r>
          </w:p>
          <w:p w14:paraId="42E8C61C" w14:textId="77777777" w:rsidR="007058CC" w:rsidRPr="00A64175" w:rsidRDefault="007058CC" w:rsidP="00A64175">
            <w:pPr>
              <w:contextualSpacing/>
              <w:jc w:val="both"/>
              <w:rPr>
                <w:rFonts w:ascii="Arial" w:eastAsia="Times New Roman" w:hAnsi="Arial" w:cs="Arial"/>
                <w:lang w:eastAsia="fr-FR"/>
              </w:rPr>
            </w:pPr>
          </w:p>
          <w:p w14:paraId="77050971" w14:textId="77777777" w:rsidR="007058CC" w:rsidRPr="00A64175" w:rsidRDefault="007058CC" w:rsidP="00A64175">
            <w:pPr>
              <w:numPr>
                <w:ilvl w:val="0"/>
                <w:numId w:val="145"/>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assure le suivi continu des résultats du rapprochement et des mesures prises lorsque des disparités sont détectées dans le cadre de ces procédures ; il informe la société de gestion si une irrégularité́ n’a pas été rectifiée dans les meilleurs délais et informe également la COSUMAF si la situation ne peut pas être clarifiée ou rectifiée ; </w:t>
            </w:r>
          </w:p>
          <w:p w14:paraId="17483C20" w14:textId="77777777" w:rsidR="007058CC" w:rsidRPr="00A64175" w:rsidRDefault="007058CC" w:rsidP="00A64175">
            <w:pPr>
              <w:contextualSpacing/>
              <w:jc w:val="both"/>
              <w:rPr>
                <w:rFonts w:ascii="Arial" w:eastAsia="Times New Roman" w:hAnsi="Arial" w:cs="Arial"/>
                <w:lang w:eastAsia="fr-FR"/>
              </w:rPr>
            </w:pPr>
          </w:p>
          <w:p w14:paraId="493745B5" w14:textId="77777777" w:rsidR="007058CC" w:rsidRPr="00A64175" w:rsidRDefault="007058CC" w:rsidP="00A64175">
            <w:pPr>
              <w:numPr>
                <w:ilvl w:val="0"/>
                <w:numId w:val="145"/>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vérifie la correspondance des positions de liquidités entre ses propres registres et ceux de la société de gestion. La société de gestion veille à ce que toutes les instructions et informations liées à un compte de liquidités ouvert auprès d’un tiers soient transmises au dépositaire, de façon que ce dernier soit en mesure de mener à bien sa propre procédure de rapprochement. </w:t>
            </w:r>
          </w:p>
          <w:p w14:paraId="6879FF6D" w14:textId="77777777" w:rsidR="007058CC" w:rsidRPr="00A64175" w:rsidRDefault="007058CC" w:rsidP="00A64175">
            <w:pPr>
              <w:contextualSpacing/>
              <w:jc w:val="both"/>
              <w:rPr>
                <w:rFonts w:ascii="Arial" w:hAnsi="Arial" w:cs="Arial"/>
                <w:b/>
                <w:bCs/>
              </w:rPr>
            </w:pPr>
          </w:p>
        </w:tc>
      </w:tr>
      <w:tr w:rsidR="007058CC" w:rsidRPr="00A64175" w14:paraId="099CC2D1" w14:textId="77777777" w:rsidTr="000E7336">
        <w:trPr>
          <w:jc w:val="center"/>
        </w:trPr>
        <w:tc>
          <w:tcPr>
            <w:tcW w:w="10316" w:type="dxa"/>
            <w:shd w:val="clear" w:color="auto" w:fill="auto"/>
          </w:tcPr>
          <w:p w14:paraId="27E57483" w14:textId="269C4F53" w:rsidR="007058CC" w:rsidRPr="00A64175" w:rsidRDefault="00EC78FC"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254D8C">
              <w:rPr>
                <w:rFonts w:ascii="Arial" w:eastAsia="Times New Roman" w:hAnsi="Arial" w:cs="Arial"/>
                <w:b/>
                <w:bCs/>
                <w:lang w:eastAsia="fr-FR"/>
              </w:rPr>
              <w:t xml:space="preserve">493 </w:t>
            </w:r>
            <w:r w:rsidR="007058CC" w:rsidRPr="00A64175">
              <w:rPr>
                <w:rFonts w:ascii="Arial" w:eastAsia="Times New Roman" w:hAnsi="Arial" w:cs="Arial"/>
                <w:b/>
                <w:bCs/>
                <w:lang w:eastAsia="fr-FR"/>
              </w:rPr>
              <w:t xml:space="preserve"> - </w:t>
            </w:r>
            <w:r w:rsidR="007058CC" w:rsidRPr="00A64175">
              <w:rPr>
                <w:rFonts w:ascii="Arial" w:eastAsia="Times New Roman" w:hAnsi="Arial" w:cs="Arial"/>
                <w:lang w:eastAsia="fr-FR"/>
              </w:rPr>
              <w:t>La société de gestion veille à ce que le dépositaire reçoive les informations relatives aux paiements effectués par les investisseurs ou pour leur compte lors de la souscription de parts ou d’actions d’un OPC à la clôture de chaque jour ouvrable lors duquel la société de gestion, l’OPC ou tout tiers agissant pour son compte, par exemple un agent de transfert, reçoit de tels paiements ou un ordre d’un investisseur. La société de gestion veille à ce que le dépositaire reçoive toutes les autres informations pertinentes dont il a besoin pour s’assurer que les paiements sont ensuite comptabilisés sur des comptes de liquidités ouverts au nom de l’OPC, au nom du gestionnaire pour le compte de</w:t>
            </w:r>
            <w:r w:rsidRPr="00A64175">
              <w:rPr>
                <w:rFonts w:ascii="Arial" w:eastAsia="Times New Roman" w:hAnsi="Arial" w:cs="Arial"/>
                <w:lang w:eastAsia="fr-FR"/>
              </w:rPr>
              <w:t xml:space="preserve"> l’OPC ou au nom du dépositaire</w:t>
            </w:r>
            <w:r w:rsidR="007058CC" w:rsidRPr="00A64175">
              <w:rPr>
                <w:rFonts w:ascii="Arial" w:eastAsia="Times New Roman" w:hAnsi="Arial" w:cs="Arial"/>
                <w:lang w:eastAsia="fr-FR"/>
              </w:rPr>
              <w:t>.</w:t>
            </w:r>
          </w:p>
          <w:p w14:paraId="28B3825C" w14:textId="77777777" w:rsidR="007058CC" w:rsidRPr="00A64175" w:rsidRDefault="007058CC" w:rsidP="00A64175">
            <w:pPr>
              <w:contextualSpacing/>
              <w:jc w:val="both"/>
              <w:rPr>
                <w:rFonts w:ascii="Arial" w:hAnsi="Arial" w:cs="Arial"/>
                <w:b/>
                <w:bCs/>
              </w:rPr>
            </w:pPr>
          </w:p>
        </w:tc>
      </w:tr>
      <w:tr w:rsidR="007058CC" w:rsidRPr="00A64175" w14:paraId="36CF360A" w14:textId="77777777" w:rsidTr="000E7336">
        <w:trPr>
          <w:jc w:val="center"/>
        </w:trPr>
        <w:tc>
          <w:tcPr>
            <w:tcW w:w="10316" w:type="dxa"/>
            <w:shd w:val="clear" w:color="auto" w:fill="auto"/>
          </w:tcPr>
          <w:p w14:paraId="5DEA72AA" w14:textId="636C9822" w:rsidR="007058CC" w:rsidRPr="00A64175" w:rsidRDefault="007058CC"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Art</w:t>
            </w:r>
            <w:r w:rsidR="00EC78FC" w:rsidRPr="00A64175">
              <w:rPr>
                <w:rFonts w:ascii="Arial" w:eastAsia="Times New Roman" w:hAnsi="Arial" w:cs="Arial"/>
                <w:b/>
                <w:bCs/>
                <w:lang w:eastAsia="fr-FR"/>
              </w:rPr>
              <w:t xml:space="preserve">icle </w:t>
            </w:r>
            <w:r w:rsidR="00254D8C">
              <w:rPr>
                <w:rFonts w:ascii="Arial" w:eastAsia="Times New Roman" w:hAnsi="Arial" w:cs="Arial"/>
                <w:b/>
                <w:bCs/>
                <w:lang w:eastAsia="fr-FR"/>
              </w:rPr>
              <w:t xml:space="preserve">494 </w:t>
            </w:r>
            <w:r w:rsidRPr="00A64175">
              <w:rPr>
                <w:rFonts w:ascii="Arial" w:eastAsia="Times New Roman" w:hAnsi="Arial" w:cs="Arial"/>
                <w:b/>
                <w:bCs/>
                <w:lang w:eastAsia="fr-FR"/>
              </w:rPr>
              <w:t xml:space="preserve"> - </w:t>
            </w:r>
          </w:p>
          <w:p w14:paraId="063DBA14" w14:textId="77777777" w:rsidR="007058CC" w:rsidRPr="00A64175" w:rsidRDefault="007058CC" w:rsidP="00A64175">
            <w:pPr>
              <w:pStyle w:val="Paragraphedeliste"/>
              <w:numPr>
                <w:ilvl w:val="2"/>
                <w:numId w:val="146"/>
              </w:numPr>
              <w:spacing w:after="0" w:afterAutospacing="0" w:line="240" w:lineRule="auto"/>
              <w:ind w:left="284"/>
              <w:contextualSpacing/>
              <w:rPr>
                <w:rFonts w:eastAsia="Times New Roman"/>
                <w:lang w:eastAsia="fr-FR"/>
              </w:rPr>
            </w:pPr>
            <w:r w:rsidRPr="00A64175">
              <w:rPr>
                <w:rFonts w:eastAsia="Times New Roman"/>
                <w:lang w:eastAsia="fr-FR"/>
              </w:rPr>
              <w:t xml:space="preserve">Les instruments financiers appartenant à l’OPC ou à la société de gestion agissant pour le compte de l’OPC et qui ne peuvent pas être livrés physiquement au dépositaire entrent dans le champ d’application des fonctions de conservation du dépositaire lorsque toutes les conditions suivantes sont remplies : </w:t>
            </w:r>
          </w:p>
          <w:p w14:paraId="09184E56" w14:textId="77777777" w:rsidR="007058CC" w:rsidRPr="00A64175" w:rsidRDefault="007058CC" w:rsidP="00A64175">
            <w:pPr>
              <w:pStyle w:val="Paragraphedeliste"/>
              <w:ind w:left="284"/>
              <w:contextualSpacing/>
              <w:rPr>
                <w:rFonts w:eastAsia="Times New Roman"/>
                <w:lang w:eastAsia="fr-FR"/>
              </w:rPr>
            </w:pPr>
          </w:p>
          <w:p w14:paraId="0481EE25" w14:textId="77777777" w:rsidR="007058CC" w:rsidRPr="00A64175" w:rsidRDefault="007058CC" w:rsidP="00A64175">
            <w:pPr>
              <w:pStyle w:val="Paragraphedeliste"/>
              <w:numPr>
                <w:ilvl w:val="1"/>
                <w:numId w:val="147"/>
              </w:numPr>
              <w:spacing w:after="0" w:afterAutospacing="0" w:line="240" w:lineRule="auto"/>
              <w:ind w:left="709"/>
              <w:contextualSpacing/>
              <w:rPr>
                <w:rFonts w:eastAsia="Times New Roman"/>
                <w:lang w:eastAsia="fr-FR"/>
              </w:rPr>
            </w:pPr>
            <w:r w:rsidRPr="00A64175">
              <w:rPr>
                <w:rFonts w:eastAsia="Times New Roman"/>
                <w:lang w:eastAsia="fr-FR"/>
              </w:rPr>
              <w:t xml:space="preserve">Il s’agit de valeurs mobilières, d’instruments du marché́ monétaire ou de parts d’organismes de placement collectif; </w:t>
            </w:r>
          </w:p>
          <w:p w14:paraId="0799BE10" w14:textId="77777777" w:rsidR="007058CC" w:rsidRPr="00A64175" w:rsidRDefault="007058CC" w:rsidP="00A64175">
            <w:pPr>
              <w:pStyle w:val="Paragraphedeliste"/>
              <w:numPr>
                <w:ilvl w:val="1"/>
                <w:numId w:val="147"/>
              </w:numPr>
              <w:spacing w:after="0" w:afterAutospacing="0" w:line="240" w:lineRule="auto"/>
              <w:ind w:left="709"/>
              <w:contextualSpacing/>
              <w:rPr>
                <w:rFonts w:eastAsia="Times New Roman"/>
                <w:lang w:eastAsia="fr-FR"/>
              </w:rPr>
            </w:pPr>
            <w:r w:rsidRPr="00A64175">
              <w:rPr>
                <w:rFonts w:eastAsia="Times New Roman"/>
                <w:lang w:eastAsia="fr-FR"/>
              </w:rPr>
              <w:t xml:space="preserve">Ils peuvent être enregistrés ou détenus dans un compte directement ou indirectement au nom du dépositaire. </w:t>
            </w:r>
          </w:p>
          <w:p w14:paraId="301D1D44" w14:textId="77777777" w:rsidR="007058CC" w:rsidRPr="00A64175" w:rsidRDefault="007058CC" w:rsidP="00A64175">
            <w:pPr>
              <w:pStyle w:val="Paragraphedeliste"/>
              <w:ind w:left="709"/>
              <w:contextualSpacing/>
              <w:rPr>
                <w:rFonts w:eastAsia="Times New Roman"/>
                <w:lang w:eastAsia="fr-FR"/>
              </w:rPr>
            </w:pPr>
          </w:p>
          <w:p w14:paraId="67F88F0B" w14:textId="77777777" w:rsidR="007058CC" w:rsidRPr="00A64175" w:rsidRDefault="007058CC" w:rsidP="00A64175">
            <w:pPr>
              <w:pStyle w:val="Paragraphedeliste"/>
              <w:numPr>
                <w:ilvl w:val="2"/>
                <w:numId w:val="146"/>
              </w:numPr>
              <w:spacing w:after="0" w:afterAutospacing="0" w:line="240" w:lineRule="auto"/>
              <w:ind w:left="283" w:hanging="357"/>
              <w:contextualSpacing/>
              <w:rPr>
                <w:rFonts w:eastAsia="Times New Roman"/>
                <w:lang w:eastAsia="fr-FR"/>
              </w:rPr>
            </w:pPr>
            <w:r w:rsidRPr="00A64175">
              <w:rPr>
                <w:rFonts w:eastAsia="Times New Roman"/>
                <w:lang w:eastAsia="fr-FR"/>
              </w:rPr>
              <w:t xml:space="preserve">Les instruments financiers qui sont seulement enregistrés directement au nom de l’OPC auprès de l’émetteur lui-même ou de son agent, par exemple un teneur de registre ou un agent de transfert, ne peuvent pas être conservés. </w:t>
            </w:r>
          </w:p>
          <w:p w14:paraId="459494ED" w14:textId="77777777" w:rsidR="007058CC" w:rsidRPr="00A64175" w:rsidRDefault="007058CC" w:rsidP="00A64175">
            <w:pPr>
              <w:pStyle w:val="Paragraphedeliste"/>
              <w:ind w:left="283"/>
              <w:contextualSpacing/>
              <w:rPr>
                <w:rFonts w:eastAsia="Times New Roman"/>
                <w:lang w:eastAsia="fr-FR"/>
              </w:rPr>
            </w:pPr>
          </w:p>
          <w:p w14:paraId="70223291" w14:textId="77777777" w:rsidR="007058CC" w:rsidRPr="00A64175" w:rsidRDefault="007058CC" w:rsidP="00A64175">
            <w:pPr>
              <w:pStyle w:val="Paragraphedeliste"/>
              <w:numPr>
                <w:ilvl w:val="2"/>
                <w:numId w:val="146"/>
              </w:numPr>
              <w:spacing w:after="0" w:afterAutospacing="0" w:line="240" w:lineRule="auto"/>
              <w:ind w:left="283" w:hanging="357"/>
              <w:contextualSpacing/>
              <w:rPr>
                <w:rFonts w:eastAsia="Times New Roman"/>
                <w:lang w:eastAsia="fr-FR"/>
              </w:rPr>
            </w:pPr>
            <w:r w:rsidRPr="00A64175">
              <w:rPr>
                <w:rFonts w:eastAsia="Times New Roman"/>
                <w:lang w:eastAsia="fr-FR"/>
              </w:rPr>
              <w:t xml:space="preserve">Les instruments financiers appartenant à l’OPC, à la société de gestion agissant pour le compte de l’OPC et qui peuvent être livrés physiquement au dépositaire entrent toujours dans le champ d’application des fonctions de conservation du dépositaire. </w:t>
            </w:r>
          </w:p>
          <w:p w14:paraId="6AFAE926" w14:textId="77777777" w:rsidR="007058CC" w:rsidRPr="00A64175" w:rsidRDefault="007058CC" w:rsidP="00A64175">
            <w:pPr>
              <w:contextualSpacing/>
              <w:jc w:val="both"/>
              <w:rPr>
                <w:rFonts w:ascii="Arial" w:hAnsi="Arial" w:cs="Arial"/>
                <w:b/>
                <w:bCs/>
              </w:rPr>
            </w:pPr>
          </w:p>
        </w:tc>
      </w:tr>
      <w:tr w:rsidR="007058CC" w:rsidRPr="00A64175" w14:paraId="4BF5810E" w14:textId="77777777" w:rsidTr="000E7336">
        <w:trPr>
          <w:jc w:val="center"/>
        </w:trPr>
        <w:tc>
          <w:tcPr>
            <w:tcW w:w="10316" w:type="dxa"/>
            <w:shd w:val="clear" w:color="auto" w:fill="auto"/>
          </w:tcPr>
          <w:p w14:paraId="4658F260" w14:textId="4387679C" w:rsidR="007058CC" w:rsidRPr="00A64175" w:rsidRDefault="00EC78FC"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254D8C">
              <w:rPr>
                <w:rFonts w:ascii="Arial" w:eastAsia="Times New Roman" w:hAnsi="Arial" w:cs="Arial"/>
                <w:b/>
                <w:bCs/>
                <w:lang w:eastAsia="fr-FR"/>
              </w:rPr>
              <w:t xml:space="preserve">495 </w:t>
            </w:r>
            <w:r w:rsidR="007058CC" w:rsidRPr="00A64175">
              <w:rPr>
                <w:rFonts w:ascii="Arial" w:eastAsia="Times New Roman" w:hAnsi="Arial" w:cs="Arial"/>
                <w:b/>
                <w:bCs/>
                <w:lang w:eastAsia="fr-FR"/>
              </w:rPr>
              <w:t>-</w:t>
            </w:r>
          </w:p>
          <w:p w14:paraId="5D57376C" w14:textId="2222EAED" w:rsidR="007058CC" w:rsidRPr="00A64175" w:rsidRDefault="007058CC" w:rsidP="00A64175">
            <w:pPr>
              <w:pStyle w:val="Paragraphedeliste"/>
              <w:numPr>
                <w:ilvl w:val="2"/>
                <w:numId w:val="149"/>
              </w:numPr>
              <w:spacing w:after="0" w:afterAutospacing="0" w:line="240" w:lineRule="auto"/>
              <w:ind w:left="284" w:hanging="357"/>
              <w:contextualSpacing/>
              <w:rPr>
                <w:rFonts w:eastAsia="Times New Roman"/>
                <w:lang w:eastAsia="fr-FR"/>
              </w:rPr>
            </w:pPr>
            <w:r w:rsidRPr="00A64175">
              <w:rPr>
                <w:rFonts w:eastAsia="Times New Roman"/>
                <w:lang w:eastAsia="fr-FR"/>
              </w:rPr>
              <w:t>Afin de se conformer aux obligations prévues à</w:t>
            </w:r>
            <w:r w:rsidR="00A24678" w:rsidRPr="00A64175">
              <w:rPr>
                <w:rFonts w:eastAsia="Times New Roman"/>
                <w:lang w:eastAsia="fr-FR"/>
              </w:rPr>
              <w:t xml:space="preserve"> l’article 221 </w:t>
            </w:r>
            <w:r w:rsidR="00A24678" w:rsidRPr="00A64175">
              <w:t xml:space="preserve">du </w:t>
            </w:r>
            <w:r w:rsidR="00A24678" w:rsidRPr="00A64175">
              <w:rPr>
                <w:color w:val="000000"/>
              </w:rPr>
              <w:t>Règlement n°01/22/CEMAC/UMAC/CM/COSUMAF du 21 juillet 2022</w:t>
            </w:r>
            <w:r w:rsidR="00A24678" w:rsidRPr="00A64175">
              <w:rPr>
                <w:rFonts w:eastAsia="Times New Roman"/>
                <w:lang w:eastAsia="fr-FR"/>
              </w:rPr>
              <w:t xml:space="preserve"> </w:t>
            </w:r>
            <w:r w:rsidRPr="00A64175">
              <w:rPr>
                <w:rFonts w:eastAsia="Times New Roman"/>
                <w:lang w:eastAsia="fr-FR"/>
              </w:rPr>
              <w:t xml:space="preserve"> en ce qui concerne les instruments financiers dont la conservation est assurée, le dépositaire fait en sorte, au moins, que : </w:t>
            </w:r>
          </w:p>
          <w:p w14:paraId="75F60F4F" w14:textId="77777777" w:rsidR="007058CC" w:rsidRPr="00A64175" w:rsidRDefault="007058CC" w:rsidP="00A64175">
            <w:pPr>
              <w:pStyle w:val="Paragraphedeliste"/>
              <w:ind w:left="284"/>
              <w:contextualSpacing/>
              <w:rPr>
                <w:rFonts w:eastAsia="Times New Roman"/>
                <w:lang w:eastAsia="fr-FR"/>
              </w:rPr>
            </w:pPr>
          </w:p>
          <w:p w14:paraId="7BB64B2C" w14:textId="309B5A2B"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 xml:space="preserve">Les instruments financiers soient correctement enregistrés ; </w:t>
            </w:r>
          </w:p>
          <w:p w14:paraId="1B6ED265" w14:textId="77777777" w:rsidR="007058CC" w:rsidRPr="00A64175" w:rsidRDefault="007058CC" w:rsidP="00A64175">
            <w:pPr>
              <w:pStyle w:val="Paragraphedeliste"/>
              <w:ind w:left="426"/>
              <w:contextualSpacing/>
              <w:rPr>
                <w:rFonts w:eastAsia="Times New Roman"/>
                <w:lang w:eastAsia="fr-FR"/>
              </w:rPr>
            </w:pPr>
          </w:p>
          <w:p w14:paraId="058A2677" w14:textId="77777777"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Les registres et les comptes ségrégués soient tenus d’une manière assurant leur fidélité́, et en particulier leur correspondance avec les instruments financiers et les liquidités détenues pour les OPC ;</w:t>
            </w:r>
          </w:p>
          <w:p w14:paraId="1FF2586F" w14:textId="77777777" w:rsidR="007058CC" w:rsidRPr="00A64175" w:rsidRDefault="007058CC" w:rsidP="00A64175">
            <w:pPr>
              <w:pStyle w:val="Paragraphedeliste"/>
              <w:ind w:left="426"/>
              <w:contextualSpacing/>
              <w:rPr>
                <w:rFonts w:eastAsia="Times New Roman"/>
                <w:lang w:eastAsia="fr-FR"/>
              </w:rPr>
            </w:pPr>
          </w:p>
          <w:p w14:paraId="2F374C74" w14:textId="52DEF5D1"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 xml:space="preserve">Des rapprochements soient effectués régulièrement entre les comptes et registres internes du dépositaire et les comptes et registres des tiers éventuels auxquels des fonctions de conservation sont déléguées ; </w:t>
            </w:r>
          </w:p>
          <w:p w14:paraId="777CC578" w14:textId="77777777" w:rsidR="007058CC" w:rsidRPr="00A64175" w:rsidRDefault="007058CC" w:rsidP="00A64175">
            <w:pPr>
              <w:pStyle w:val="Paragraphedeliste"/>
              <w:ind w:left="426"/>
              <w:contextualSpacing/>
              <w:rPr>
                <w:rFonts w:eastAsia="Times New Roman"/>
                <w:lang w:eastAsia="fr-FR"/>
              </w:rPr>
            </w:pPr>
          </w:p>
          <w:p w14:paraId="08B089CD" w14:textId="77777777"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La diligence requise soit exercée à l’égard des instruments financiers conservés, afin de garantir un niveau élevé́ de protection des investisseurs ;</w:t>
            </w:r>
          </w:p>
          <w:p w14:paraId="77A34507" w14:textId="77777777" w:rsidR="007058CC" w:rsidRPr="00A64175" w:rsidRDefault="007058CC" w:rsidP="00A64175">
            <w:pPr>
              <w:pStyle w:val="Paragraphedeliste"/>
              <w:ind w:left="426"/>
              <w:contextualSpacing/>
              <w:rPr>
                <w:rFonts w:eastAsia="Times New Roman"/>
                <w:lang w:eastAsia="fr-FR"/>
              </w:rPr>
            </w:pPr>
          </w:p>
          <w:p w14:paraId="4D9C094A" w14:textId="5AE24685"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 xml:space="preserve">Tous les risques de conservation pertinents, tout au long de la chaîne de conservation, fassent l’objet d’une évaluation et d’un suivi, et que le gestionnaire soit informé de tout risque sensible </w:t>
            </w:r>
            <w:r w:rsidR="006060D7" w:rsidRPr="00A64175">
              <w:rPr>
                <w:rFonts w:eastAsia="Times New Roman"/>
                <w:lang w:eastAsia="fr-FR"/>
              </w:rPr>
              <w:t>détect</w:t>
            </w:r>
            <w:r w:rsidR="006060D7">
              <w:rPr>
                <w:rFonts w:eastAsia="Times New Roman"/>
                <w:lang w:eastAsia="fr-FR"/>
              </w:rPr>
              <w:t xml:space="preserve">é </w:t>
            </w:r>
            <w:r w:rsidR="006060D7" w:rsidRPr="00A64175">
              <w:rPr>
                <w:rFonts w:eastAsia="Times New Roman"/>
                <w:lang w:eastAsia="fr-FR"/>
              </w:rPr>
              <w:t>;</w:t>
            </w:r>
            <w:r w:rsidRPr="00A64175">
              <w:rPr>
                <w:rFonts w:eastAsia="Times New Roman"/>
                <w:lang w:eastAsia="fr-FR"/>
              </w:rPr>
              <w:t xml:space="preserve"> </w:t>
            </w:r>
          </w:p>
          <w:p w14:paraId="761D3D83" w14:textId="77777777" w:rsidR="007058CC" w:rsidRPr="00A64175" w:rsidRDefault="007058CC" w:rsidP="00A64175">
            <w:pPr>
              <w:pStyle w:val="Paragraphedeliste"/>
              <w:ind w:left="426"/>
              <w:contextualSpacing/>
              <w:rPr>
                <w:rFonts w:eastAsia="Times New Roman"/>
                <w:lang w:eastAsia="fr-FR"/>
              </w:rPr>
            </w:pPr>
          </w:p>
          <w:p w14:paraId="5ACDBE6D" w14:textId="77777777" w:rsidR="007058CC" w:rsidRPr="00A64175"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 xml:space="preserve">Des dispositions organisationnelles appropriées soient mises en place pour minimiser le risque de perte ou de diminution de la valeur des instruments financiers, ou des droits liés à ces instruments, du fait de fraudes, d’une gestion déficiente, d’un enregistrement inadéquat ou de négligences ; </w:t>
            </w:r>
          </w:p>
          <w:p w14:paraId="220F54E9" w14:textId="77777777" w:rsidR="007058CC" w:rsidRPr="00A64175" w:rsidRDefault="007058CC" w:rsidP="00A64175">
            <w:pPr>
              <w:pStyle w:val="Paragraphedeliste"/>
              <w:ind w:left="426"/>
              <w:contextualSpacing/>
              <w:rPr>
                <w:rFonts w:eastAsia="Times New Roman"/>
                <w:lang w:eastAsia="fr-FR"/>
              </w:rPr>
            </w:pPr>
          </w:p>
          <w:p w14:paraId="4139250B" w14:textId="77777777" w:rsidR="007058CC" w:rsidRDefault="007058CC" w:rsidP="00A64175">
            <w:pPr>
              <w:pStyle w:val="Paragraphedeliste"/>
              <w:numPr>
                <w:ilvl w:val="1"/>
                <w:numId w:val="148"/>
              </w:numPr>
              <w:spacing w:after="0" w:afterAutospacing="0" w:line="240" w:lineRule="auto"/>
              <w:ind w:left="426" w:hanging="357"/>
              <w:contextualSpacing/>
              <w:rPr>
                <w:rFonts w:eastAsia="Times New Roman"/>
                <w:lang w:eastAsia="fr-FR"/>
              </w:rPr>
            </w:pPr>
            <w:r w:rsidRPr="00A64175">
              <w:rPr>
                <w:rFonts w:eastAsia="Times New Roman"/>
                <w:lang w:eastAsia="fr-FR"/>
              </w:rPr>
              <w:t xml:space="preserve">Le droit de propriété́ d’un OPC ou de la société de gestion agissant pour le compte de l’OPC sur les actifs soit vérifié. </w:t>
            </w:r>
          </w:p>
          <w:p w14:paraId="09469D97" w14:textId="77777777" w:rsidR="006060D7" w:rsidRPr="006060D7" w:rsidRDefault="006060D7" w:rsidP="006060D7">
            <w:pPr>
              <w:contextualSpacing/>
              <w:rPr>
                <w:rFonts w:eastAsia="Times New Roman"/>
                <w:lang w:eastAsia="fr-FR"/>
              </w:rPr>
            </w:pPr>
          </w:p>
          <w:p w14:paraId="484EEBE4" w14:textId="55FC40FC" w:rsidR="007058CC" w:rsidRPr="00A64175" w:rsidRDefault="007058CC" w:rsidP="00A64175">
            <w:pPr>
              <w:pStyle w:val="Paragraphedeliste"/>
              <w:numPr>
                <w:ilvl w:val="0"/>
                <w:numId w:val="149"/>
              </w:numPr>
              <w:spacing w:after="0" w:afterAutospacing="0" w:line="240" w:lineRule="auto"/>
              <w:ind w:left="426"/>
              <w:contextualSpacing/>
              <w:rPr>
                <w:rFonts w:eastAsia="Times New Roman"/>
                <w:lang w:eastAsia="fr-FR"/>
              </w:rPr>
            </w:pPr>
            <w:r w:rsidRPr="00A64175">
              <w:rPr>
                <w:rFonts w:eastAsia="Times New Roman"/>
                <w:lang w:eastAsia="fr-FR"/>
              </w:rPr>
              <w:t>Lorsqu’un dépositaire a délégué ses fonctions de conservation à un tiers, il reste soumis aux dispositions des paragraphes b) à</w:t>
            </w:r>
            <w:r w:rsidR="00A24678" w:rsidRPr="00A64175">
              <w:rPr>
                <w:rFonts w:eastAsia="Times New Roman"/>
                <w:lang w:eastAsia="fr-FR"/>
              </w:rPr>
              <w:t xml:space="preserve"> e) du paragraphe 1 du présent article</w:t>
            </w:r>
            <w:r w:rsidRPr="00A64175">
              <w:rPr>
                <w:rFonts w:eastAsia="Times New Roman"/>
                <w:lang w:eastAsia="fr-FR"/>
              </w:rPr>
              <w:t>. Il veille également à ce que le tiers se conforme aux dispositions des points b) à g) du paragraphe 1 du présent article, ainsi q</w:t>
            </w:r>
            <w:r w:rsidR="00A24678" w:rsidRPr="00A64175">
              <w:rPr>
                <w:rFonts w:eastAsia="Times New Roman"/>
                <w:lang w:eastAsia="fr-FR"/>
              </w:rPr>
              <w:t>u’aux obligations de ségrégation.</w:t>
            </w:r>
          </w:p>
          <w:p w14:paraId="16BC5BF4" w14:textId="77777777" w:rsidR="007058CC" w:rsidRPr="00A64175" w:rsidRDefault="007058CC" w:rsidP="00A64175">
            <w:pPr>
              <w:pStyle w:val="Paragraphedeliste"/>
              <w:ind w:left="426"/>
              <w:contextualSpacing/>
              <w:rPr>
                <w:rFonts w:eastAsia="Times New Roman"/>
                <w:lang w:eastAsia="fr-FR"/>
              </w:rPr>
            </w:pPr>
          </w:p>
          <w:p w14:paraId="5320561D" w14:textId="4954D7DF" w:rsidR="007058CC" w:rsidRPr="00A64175" w:rsidRDefault="007058CC" w:rsidP="00A64175">
            <w:pPr>
              <w:pStyle w:val="Paragraphedeliste"/>
              <w:numPr>
                <w:ilvl w:val="0"/>
                <w:numId w:val="149"/>
              </w:numPr>
              <w:spacing w:after="0" w:afterAutospacing="0" w:line="240" w:lineRule="auto"/>
              <w:ind w:left="426"/>
              <w:contextualSpacing/>
              <w:rPr>
                <w:rFonts w:eastAsia="Times New Roman"/>
                <w:lang w:eastAsia="fr-FR"/>
              </w:rPr>
            </w:pPr>
            <w:r w:rsidRPr="00A64175">
              <w:rPr>
                <w:rFonts w:eastAsia="Times New Roman"/>
                <w:lang w:eastAsia="fr-FR"/>
              </w:rPr>
              <w:t xml:space="preserve">Les obligations du dépositaire en matière de garde, telles que visées aux paragraphes 1 et 2, s’appliquent, dans une perspective de transparence, aux actifs sous-jacents détenus par des structures financières ou juridiques contrôlées directement ou indirectement par l’OPC ou par la société de gestion agissant pour le compte de l’OPC </w:t>
            </w:r>
            <w:r w:rsidR="00B538D7">
              <w:rPr>
                <w:rFonts w:eastAsia="Times New Roman"/>
                <w:lang w:eastAsia="fr-FR"/>
              </w:rPr>
              <w:t>.</w:t>
            </w:r>
          </w:p>
          <w:p w14:paraId="76B398F1" w14:textId="77777777" w:rsidR="007058CC" w:rsidRPr="00A64175" w:rsidRDefault="007058CC" w:rsidP="00A64175">
            <w:pPr>
              <w:contextualSpacing/>
              <w:jc w:val="both"/>
              <w:rPr>
                <w:rFonts w:ascii="Arial" w:hAnsi="Arial" w:cs="Arial"/>
                <w:b/>
                <w:bCs/>
              </w:rPr>
            </w:pPr>
          </w:p>
          <w:p w14:paraId="1A947266" w14:textId="77777777" w:rsidR="00981104" w:rsidRPr="00A64175" w:rsidRDefault="00981104" w:rsidP="00A64175">
            <w:pPr>
              <w:contextualSpacing/>
              <w:jc w:val="both"/>
              <w:rPr>
                <w:rFonts w:ascii="Arial" w:hAnsi="Arial" w:cs="Arial"/>
                <w:b/>
                <w:bCs/>
              </w:rPr>
            </w:pPr>
          </w:p>
        </w:tc>
      </w:tr>
      <w:tr w:rsidR="007058CC" w:rsidRPr="00A64175" w14:paraId="1C869C9C" w14:textId="77777777" w:rsidTr="000E7336">
        <w:trPr>
          <w:jc w:val="center"/>
        </w:trPr>
        <w:tc>
          <w:tcPr>
            <w:tcW w:w="10316" w:type="dxa"/>
            <w:shd w:val="clear" w:color="auto" w:fill="auto"/>
          </w:tcPr>
          <w:p w14:paraId="2464D34C" w14:textId="582CDCE4" w:rsidR="007058CC" w:rsidRPr="00A64175" w:rsidRDefault="00A24678"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E3129A">
              <w:rPr>
                <w:rFonts w:ascii="Arial" w:eastAsia="Times New Roman" w:hAnsi="Arial" w:cs="Arial"/>
                <w:b/>
                <w:bCs/>
                <w:lang w:eastAsia="fr-FR"/>
              </w:rPr>
              <w:t xml:space="preserve">496 </w:t>
            </w:r>
            <w:r w:rsidR="007058CC" w:rsidRPr="00A64175">
              <w:rPr>
                <w:rFonts w:ascii="Arial" w:eastAsia="Times New Roman" w:hAnsi="Arial" w:cs="Arial"/>
                <w:b/>
                <w:bCs/>
                <w:lang w:eastAsia="fr-FR"/>
              </w:rPr>
              <w:t xml:space="preserve"> - </w:t>
            </w:r>
          </w:p>
          <w:p w14:paraId="4D2BE4D9" w14:textId="77777777" w:rsidR="006060D7" w:rsidRDefault="007058CC" w:rsidP="006060D7">
            <w:pPr>
              <w:pStyle w:val="Paragraphedeliste"/>
              <w:numPr>
                <w:ilvl w:val="0"/>
                <w:numId w:val="185"/>
              </w:numPr>
              <w:spacing w:after="0" w:afterAutospacing="0" w:line="240" w:lineRule="auto"/>
              <w:contextualSpacing/>
              <w:rPr>
                <w:rFonts w:eastAsia="Times New Roman"/>
                <w:lang w:eastAsia="fr-FR"/>
              </w:rPr>
            </w:pPr>
            <w:r w:rsidRPr="00A64175">
              <w:rPr>
                <w:rFonts w:eastAsia="Times New Roman"/>
                <w:lang w:eastAsia="fr-FR"/>
              </w:rPr>
              <w:t>La société de gestion fournit au dépositaire, dès le début de ses fonctions et en permanence, toutes les informations nécessaires à ce dernier pour respecter ses obligations</w:t>
            </w:r>
            <w:r w:rsidR="00085058" w:rsidRPr="00A64175">
              <w:rPr>
                <w:rFonts w:eastAsia="Times New Roman"/>
                <w:lang w:eastAsia="fr-FR"/>
              </w:rPr>
              <w:t>0</w:t>
            </w:r>
            <w:r w:rsidRPr="00A64175">
              <w:rPr>
                <w:rFonts w:eastAsia="Times New Roman"/>
                <w:lang w:eastAsia="fr-FR"/>
              </w:rPr>
              <w:t xml:space="preserve"> et veille à ce que le dépositaire reçoive toutes les informations utiles de la part des tiers. La société de gestion veille en particulier à ce que le dépositaire soit en mesure d’accéder aux livres comptables et de réaliser des visites sur place dans les locaux de la société de gestion et dans ceux de tout prestataire de services désigné́ par l’OPC ou par la société de gestion, tels que des administrateurs ou des experts externes en évaluation, et d’examiner les rapports et déclarations délivrant des certifications externes reconnues émanant d’auditeurs indépendants qualifiés ou d’autres experts, afin de s’assurer du caractère adéquat et pertinent des procédures en place. </w:t>
            </w:r>
          </w:p>
          <w:p w14:paraId="4FF87252" w14:textId="77777777" w:rsidR="006060D7" w:rsidRDefault="006060D7" w:rsidP="006060D7">
            <w:pPr>
              <w:pStyle w:val="Paragraphedeliste"/>
              <w:spacing w:after="0" w:afterAutospacing="0" w:line="240" w:lineRule="auto"/>
              <w:contextualSpacing/>
              <w:rPr>
                <w:rFonts w:eastAsia="Times New Roman"/>
                <w:lang w:eastAsia="fr-FR"/>
              </w:rPr>
            </w:pPr>
          </w:p>
          <w:p w14:paraId="5F578C5A" w14:textId="27F7294F" w:rsidR="007058CC" w:rsidRPr="006060D7" w:rsidRDefault="00085058" w:rsidP="006060D7">
            <w:pPr>
              <w:pStyle w:val="Paragraphedeliste"/>
              <w:numPr>
                <w:ilvl w:val="0"/>
                <w:numId w:val="185"/>
              </w:numPr>
              <w:spacing w:after="0" w:afterAutospacing="0" w:line="240" w:lineRule="auto"/>
              <w:contextualSpacing/>
              <w:rPr>
                <w:rFonts w:eastAsia="Times New Roman"/>
                <w:lang w:eastAsia="fr-FR"/>
              </w:rPr>
            </w:pPr>
            <w:r w:rsidRPr="006060D7">
              <w:rPr>
                <w:rFonts w:eastAsia="Times New Roman"/>
                <w:lang w:eastAsia="fr-FR"/>
              </w:rPr>
              <w:t xml:space="preserve">En vue de se conformer à ses </w:t>
            </w:r>
            <w:r w:rsidR="007058CC" w:rsidRPr="006060D7">
              <w:rPr>
                <w:rFonts w:eastAsia="Times New Roman"/>
                <w:lang w:eastAsia="fr-FR"/>
              </w:rPr>
              <w:t>obligations</w:t>
            </w:r>
            <w:r w:rsidRPr="006060D7">
              <w:rPr>
                <w:rFonts w:eastAsia="Times New Roman"/>
                <w:lang w:eastAsia="fr-FR"/>
              </w:rPr>
              <w:t xml:space="preserve"> réglementaires</w:t>
            </w:r>
            <w:r w:rsidR="007058CC" w:rsidRPr="006060D7">
              <w:rPr>
                <w:rFonts w:eastAsia="Times New Roman"/>
                <w:lang w:eastAsia="fr-FR"/>
              </w:rPr>
              <w:t xml:space="preserve">, le dépositaire remplit au moins les conditions suivantes : </w:t>
            </w:r>
          </w:p>
          <w:p w14:paraId="3CB045DE" w14:textId="77777777" w:rsidR="007058CC" w:rsidRPr="00A64175" w:rsidRDefault="007058CC" w:rsidP="00A64175">
            <w:pPr>
              <w:numPr>
                <w:ilvl w:val="0"/>
                <w:numId w:val="151"/>
              </w:numPr>
              <w:spacing w:before="100" w:beforeAutospacing="1"/>
              <w:ind w:hanging="357"/>
              <w:contextualSpacing/>
              <w:jc w:val="both"/>
              <w:rPr>
                <w:rFonts w:ascii="Arial" w:eastAsia="Times New Roman" w:hAnsi="Arial" w:cs="Arial"/>
                <w:lang w:eastAsia="fr-FR"/>
              </w:rPr>
            </w:pPr>
            <w:r w:rsidRPr="00A64175">
              <w:rPr>
                <w:rFonts w:ascii="Arial" w:eastAsia="Times New Roman" w:hAnsi="Arial" w:cs="Arial"/>
                <w:lang w:eastAsia="fr-FR"/>
              </w:rPr>
              <w:t xml:space="preserve">Il a accès dans les meilleurs délais à toutes les informations pertinentes dont il a besoin pour remplir ses obligations en matière de vérification de propriété et d’enregistrement, y compris aux informations pertinentes que doivent lui fournir des tiers ; </w:t>
            </w:r>
          </w:p>
          <w:p w14:paraId="51752213" w14:textId="77777777" w:rsidR="007058CC" w:rsidRPr="00A64175" w:rsidRDefault="007058CC" w:rsidP="00A64175">
            <w:pPr>
              <w:ind w:left="720"/>
              <w:contextualSpacing/>
              <w:jc w:val="both"/>
              <w:rPr>
                <w:rFonts w:ascii="Arial" w:eastAsia="Times New Roman" w:hAnsi="Arial" w:cs="Arial"/>
                <w:lang w:eastAsia="fr-FR"/>
              </w:rPr>
            </w:pPr>
          </w:p>
          <w:p w14:paraId="15A9173C" w14:textId="77777777" w:rsidR="007058CC" w:rsidRPr="00A64175" w:rsidRDefault="007058CC" w:rsidP="00A64175">
            <w:pPr>
              <w:numPr>
                <w:ilvl w:val="0"/>
                <w:numId w:val="151"/>
              </w:numPr>
              <w:spacing w:before="100" w:beforeAutospacing="1"/>
              <w:ind w:hanging="357"/>
              <w:contextualSpacing/>
              <w:jc w:val="both"/>
              <w:rPr>
                <w:rFonts w:ascii="Arial" w:eastAsia="Times New Roman" w:hAnsi="Arial" w:cs="Arial"/>
                <w:lang w:eastAsia="fr-FR"/>
              </w:rPr>
            </w:pPr>
            <w:r w:rsidRPr="00A64175">
              <w:rPr>
                <w:rFonts w:ascii="Arial" w:eastAsia="Times New Roman" w:hAnsi="Arial" w:cs="Arial"/>
                <w:lang w:eastAsia="fr-FR"/>
              </w:rPr>
              <w:t xml:space="preserve">Il possède des informations suffisantes et solides lui permettant d’être assuré du droit de propriété́ de l’OPC ou de la société de gestion agissant pour le compte de l’OPC sur les actifs ; </w:t>
            </w:r>
          </w:p>
          <w:p w14:paraId="12ED1498" w14:textId="77777777" w:rsidR="007058CC" w:rsidRPr="00A64175" w:rsidRDefault="007058CC" w:rsidP="00A64175">
            <w:pPr>
              <w:contextualSpacing/>
              <w:jc w:val="both"/>
              <w:rPr>
                <w:rFonts w:ascii="Arial" w:eastAsia="Times New Roman" w:hAnsi="Arial" w:cs="Arial"/>
                <w:lang w:eastAsia="fr-FR"/>
              </w:rPr>
            </w:pPr>
          </w:p>
          <w:p w14:paraId="2C3BBCBF" w14:textId="77777777" w:rsidR="007058CC" w:rsidRPr="00A64175" w:rsidRDefault="007058CC" w:rsidP="00A64175">
            <w:pPr>
              <w:numPr>
                <w:ilvl w:val="0"/>
                <w:numId w:val="151"/>
              </w:numPr>
              <w:spacing w:before="100" w:beforeAutospacing="1"/>
              <w:ind w:hanging="357"/>
              <w:contextualSpacing/>
              <w:jc w:val="both"/>
              <w:rPr>
                <w:rFonts w:ascii="Arial" w:eastAsia="Times New Roman" w:hAnsi="Arial" w:cs="Arial"/>
                <w:lang w:eastAsia="fr-FR"/>
              </w:rPr>
            </w:pPr>
            <w:r w:rsidRPr="00A64175">
              <w:rPr>
                <w:rFonts w:ascii="Arial" w:eastAsia="Times New Roman" w:hAnsi="Arial" w:cs="Arial"/>
                <w:lang w:eastAsia="fr-FR"/>
              </w:rPr>
              <w:t xml:space="preserve">Il tient un registre des actifs dont il a l’assurance qu’ils sont la propriété́ de l’OPC ou de la société de gestion agissant pour le compte de l’OPC. Pour satisfaire à cette obligation, le dépositaire : </w:t>
            </w:r>
          </w:p>
          <w:p w14:paraId="0AC4C7B4" w14:textId="77777777" w:rsidR="007058CC" w:rsidRPr="00A64175" w:rsidRDefault="007058CC" w:rsidP="00A64175">
            <w:pPr>
              <w:contextualSpacing/>
              <w:jc w:val="both"/>
              <w:rPr>
                <w:rFonts w:ascii="Arial" w:eastAsia="Times New Roman" w:hAnsi="Arial" w:cs="Arial"/>
                <w:lang w:eastAsia="fr-FR"/>
              </w:rPr>
            </w:pPr>
          </w:p>
          <w:p w14:paraId="3A2DEF7A" w14:textId="2282F006" w:rsidR="007058CC" w:rsidRPr="00A64175" w:rsidRDefault="007058CC" w:rsidP="00A64175">
            <w:pPr>
              <w:numPr>
                <w:ilvl w:val="1"/>
                <w:numId w:val="152"/>
              </w:numPr>
              <w:spacing w:before="100" w:beforeAutospacing="1"/>
              <w:ind w:left="1134" w:hanging="357"/>
              <w:contextualSpacing/>
              <w:jc w:val="both"/>
              <w:rPr>
                <w:rFonts w:ascii="Arial" w:eastAsia="Times New Roman" w:hAnsi="Arial" w:cs="Arial"/>
                <w:lang w:eastAsia="fr-FR"/>
              </w:rPr>
            </w:pPr>
            <w:r w:rsidRPr="00A64175">
              <w:rPr>
                <w:rFonts w:ascii="Arial" w:eastAsia="Times New Roman" w:hAnsi="Arial" w:cs="Arial"/>
                <w:lang w:eastAsia="fr-FR"/>
              </w:rPr>
              <w:t xml:space="preserve">Inscrit dans son registre, sous la mention du nom de l’OPC, les actifs dont il a l’assurance qu’ils sont la propriété́ de l’OPC ou de la société de gestion agissant pour le compte de l’OPC, avec mention de leurs montants respectifs ; </w:t>
            </w:r>
          </w:p>
          <w:p w14:paraId="0F48DFCF" w14:textId="77777777" w:rsidR="007058CC" w:rsidRPr="00A64175" w:rsidRDefault="007058CC" w:rsidP="00A64175">
            <w:pPr>
              <w:ind w:left="777"/>
              <w:contextualSpacing/>
              <w:jc w:val="both"/>
              <w:rPr>
                <w:rFonts w:ascii="Arial" w:eastAsia="Times New Roman" w:hAnsi="Arial" w:cs="Arial"/>
                <w:lang w:eastAsia="fr-FR"/>
              </w:rPr>
            </w:pPr>
          </w:p>
          <w:p w14:paraId="79BEBC6C" w14:textId="143ECADB" w:rsidR="007058CC" w:rsidRPr="00A64175" w:rsidRDefault="007058CC" w:rsidP="00A64175">
            <w:pPr>
              <w:numPr>
                <w:ilvl w:val="1"/>
                <w:numId w:val="152"/>
              </w:numPr>
              <w:spacing w:before="100" w:beforeAutospacing="1"/>
              <w:ind w:left="1134" w:hanging="357"/>
              <w:contextualSpacing/>
              <w:jc w:val="both"/>
              <w:rPr>
                <w:rFonts w:ascii="Arial" w:eastAsia="Times New Roman" w:hAnsi="Arial" w:cs="Arial"/>
                <w:lang w:eastAsia="fr-FR"/>
              </w:rPr>
            </w:pPr>
            <w:r w:rsidRPr="00A64175">
              <w:rPr>
                <w:rFonts w:ascii="Arial" w:eastAsia="Times New Roman" w:hAnsi="Arial" w:cs="Arial"/>
                <w:lang w:eastAsia="fr-FR"/>
              </w:rPr>
              <w:t xml:space="preserve">Il est en mesure de fournir à tout moment un inventaire complet et à jour des actifs de l’OPC, avec mention de leurs montants respectifs. </w:t>
            </w:r>
          </w:p>
          <w:p w14:paraId="254F6C3A" w14:textId="77777777" w:rsidR="007058CC" w:rsidRPr="00A64175" w:rsidRDefault="007058CC" w:rsidP="00A64175">
            <w:pPr>
              <w:contextualSpacing/>
              <w:jc w:val="both"/>
              <w:rPr>
                <w:rFonts w:ascii="Arial" w:eastAsia="Times New Roman" w:hAnsi="Arial" w:cs="Arial"/>
                <w:lang w:eastAsia="fr-FR"/>
              </w:rPr>
            </w:pPr>
          </w:p>
          <w:p w14:paraId="72F7C39C" w14:textId="7B6B7D55" w:rsidR="007058CC" w:rsidRPr="00A64175" w:rsidRDefault="00B538D7" w:rsidP="00B538D7">
            <w:pPr>
              <w:ind w:left="284"/>
              <w:contextualSpacing/>
              <w:jc w:val="both"/>
              <w:rPr>
                <w:rFonts w:ascii="Arial" w:eastAsia="Times New Roman" w:hAnsi="Arial" w:cs="Arial"/>
                <w:lang w:eastAsia="fr-FR"/>
              </w:rPr>
            </w:pPr>
            <w:r>
              <w:rPr>
                <w:rFonts w:ascii="Arial" w:eastAsia="Times New Roman" w:hAnsi="Arial" w:cs="Arial"/>
                <w:lang w:eastAsia="fr-FR"/>
              </w:rPr>
              <w:t xml:space="preserve"> </w:t>
            </w:r>
            <w:r w:rsidR="00FF491A">
              <w:rPr>
                <w:rFonts w:ascii="Arial" w:eastAsia="Times New Roman" w:hAnsi="Arial" w:cs="Arial"/>
                <w:lang w:eastAsia="fr-FR"/>
              </w:rPr>
              <w:t>L</w:t>
            </w:r>
            <w:r w:rsidR="007058CC" w:rsidRPr="00A64175">
              <w:rPr>
                <w:rFonts w:ascii="Arial" w:eastAsia="Times New Roman" w:hAnsi="Arial" w:cs="Arial"/>
                <w:lang w:eastAsia="fr-FR"/>
              </w:rPr>
              <w:t xml:space="preserve">e dépositaire fait en sorte que des procédures soient en place pour que les actifs enregistrés ne puissent être assignés, transférés, échangés ou livrés que si lui-même ou son délégataire en ont été informés, et qu’il ait accès dans les meilleurs délais, auprès du tiers concerné, aux documents prouvant chaque transaction et chaque position. La société de gestion veille à ce que le tiers concerné fournisse au dépositaire les certificats ou autres documents probants dans les meilleurs délais, lors de chaque vente ou acquisition d’actifs ou de chaque opération de société́ débouchant sur l’émission d’instruments financiers, et au moins une fois par an. </w:t>
            </w:r>
          </w:p>
          <w:p w14:paraId="40620A7C" w14:textId="77777777" w:rsidR="00FF491A" w:rsidRDefault="00FF491A" w:rsidP="00B538D7">
            <w:pPr>
              <w:ind w:left="360"/>
              <w:contextualSpacing/>
              <w:jc w:val="both"/>
              <w:rPr>
                <w:rFonts w:eastAsia="Times New Roman"/>
                <w:lang w:eastAsia="fr-FR"/>
              </w:rPr>
            </w:pPr>
          </w:p>
          <w:p w14:paraId="08F68BC8" w14:textId="79FEA89E" w:rsidR="007058CC" w:rsidRPr="00B538D7" w:rsidRDefault="00FF491A" w:rsidP="00B538D7">
            <w:pPr>
              <w:ind w:left="360"/>
              <w:contextualSpacing/>
              <w:jc w:val="both"/>
              <w:rPr>
                <w:rFonts w:ascii="Arial" w:eastAsia="Times New Roman" w:hAnsi="Arial" w:cs="Arial"/>
                <w:lang w:eastAsia="fr-FR"/>
              </w:rPr>
            </w:pPr>
            <w:r>
              <w:rPr>
                <w:rFonts w:eastAsia="Times New Roman"/>
                <w:lang w:eastAsia="fr-FR"/>
              </w:rPr>
              <w:t>3</w:t>
            </w:r>
            <w:r w:rsidRPr="00B538D7">
              <w:rPr>
                <w:rFonts w:ascii="Arial" w:eastAsia="Times New Roman" w:hAnsi="Arial" w:cs="Arial"/>
                <w:lang w:eastAsia="fr-FR"/>
              </w:rPr>
              <w:t xml:space="preserve">. </w:t>
            </w:r>
            <w:r w:rsidR="007058CC" w:rsidRPr="00B538D7">
              <w:rPr>
                <w:rFonts w:ascii="Arial" w:eastAsia="Times New Roman" w:hAnsi="Arial" w:cs="Arial"/>
                <w:lang w:eastAsia="fr-FR"/>
              </w:rPr>
              <w:t>Dans tous les cas, le dépositaire veille à ce que la société de gestion mette en place et applique des procédures appropriées pour vérifier que les actifs acquis par l’OPC qu’elle gère sont enregistrés de façon appropriée au nom de l’OPC ou au nom de la société de gestion agissant pour le compte de l’OPC, et pour vérifier la correspondance entre les positions figurant dans les registres de la société de gestion et les actifs dont le dépositaire a l’assurance qu’ils sont la propriété de l’OPC ou de la société de gestion agissant au nom de l’OPC. La société de gestion veille à ce que toutes les instructions et informations pertinentes liées aux actifs de l’OPC soient transmises au dépositaire, de façon que ce dernier soit en mesure de mener à bien ses propres procédures de vér</w:t>
            </w:r>
            <w:r w:rsidR="00B538D7">
              <w:rPr>
                <w:rFonts w:ascii="Arial" w:eastAsia="Times New Roman" w:hAnsi="Arial" w:cs="Arial"/>
                <w:lang w:eastAsia="fr-FR"/>
              </w:rPr>
              <w:t xml:space="preserve">ification et de rapprochement. </w:t>
            </w:r>
          </w:p>
          <w:p w14:paraId="755D1CF8" w14:textId="03275334" w:rsidR="007058CC" w:rsidRPr="00B538D7" w:rsidRDefault="00FF491A" w:rsidP="00B538D7">
            <w:pPr>
              <w:pStyle w:val="Paragraphedeliste"/>
              <w:spacing w:after="0" w:afterAutospacing="0" w:line="240" w:lineRule="auto"/>
              <w:ind w:left="284"/>
              <w:contextualSpacing/>
              <w:rPr>
                <w:rFonts w:eastAsia="Times New Roman"/>
                <w:lang w:eastAsia="fr-FR"/>
              </w:rPr>
            </w:pPr>
            <w:r w:rsidRPr="00B538D7">
              <w:rPr>
                <w:rFonts w:eastAsia="Times New Roman"/>
                <w:lang w:eastAsia="fr-FR"/>
              </w:rPr>
              <w:t xml:space="preserve">4. </w:t>
            </w:r>
            <w:r w:rsidR="007058CC" w:rsidRPr="00B538D7">
              <w:rPr>
                <w:rFonts w:eastAsia="Times New Roman"/>
                <w:lang w:eastAsia="fr-FR"/>
              </w:rPr>
              <w:t xml:space="preserve">Le dépositaire établît et met en œuvre une procédure d’intervention par paliers à suivre en cas de détection d’une anomalie, qui prévoit notamment le signalement de la situation à la société de gestion et à la COSUMAF si celle-ci ne peut pas être clarifiée ou rectifiée. </w:t>
            </w:r>
          </w:p>
          <w:p w14:paraId="102D4178" w14:textId="77777777" w:rsidR="007058CC" w:rsidRPr="00B538D7" w:rsidRDefault="007058CC" w:rsidP="00B538D7">
            <w:pPr>
              <w:pStyle w:val="Paragraphedeliste"/>
              <w:contextualSpacing/>
              <w:rPr>
                <w:rFonts w:eastAsia="Times New Roman"/>
                <w:lang w:eastAsia="fr-FR"/>
              </w:rPr>
            </w:pPr>
          </w:p>
          <w:p w14:paraId="3335574F" w14:textId="5E3DFD5B" w:rsidR="007058CC" w:rsidRPr="00B538D7" w:rsidRDefault="00FF491A" w:rsidP="00B538D7">
            <w:pPr>
              <w:pStyle w:val="Paragraphedeliste"/>
              <w:spacing w:after="0" w:afterAutospacing="0" w:line="240" w:lineRule="auto"/>
              <w:ind w:left="284"/>
              <w:contextualSpacing/>
              <w:rPr>
                <w:rFonts w:eastAsia="Times New Roman"/>
                <w:lang w:eastAsia="fr-FR"/>
              </w:rPr>
            </w:pPr>
            <w:r w:rsidRPr="00B538D7">
              <w:rPr>
                <w:rFonts w:eastAsia="Times New Roman"/>
                <w:lang w:eastAsia="fr-FR"/>
              </w:rPr>
              <w:t xml:space="preserve">5. </w:t>
            </w:r>
            <w:r w:rsidR="007058CC" w:rsidRPr="00B538D7">
              <w:rPr>
                <w:rFonts w:eastAsia="Times New Roman"/>
                <w:lang w:eastAsia="fr-FR"/>
              </w:rPr>
              <w:t>Les obligations du dépositaire en matière de garde visées aux paragraphes 1 à 4</w:t>
            </w:r>
            <w:r w:rsidR="002E082D" w:rsidRPr="00B538D7">
              <w:rPr>
                <w:rFonts w:eastAsia="Times New Roman"/>
                <w:lang w:eastAsia="fr-FR"/>
              </w:rPr>
              <w:t xml:space="preserve"> du présent article</w:t>
            </w:r>
            <w:r w:rsidR="007058CC" w:rsidRPr="00B538D7">
              <w:rPr>
                <w:rFonts w:eastAsia="Times New Roman"/>
                <w:lang w:eastAsia="fr-FR"/>
              </w:rPr>
              <w:t xml:space="preserve"> s’appliquent, dans une perspective de transparence, aux actifs sous-jacents détenus par des structures financières ou juridiques établies, afin d’investir dans les actifs en question, par l’OPC ou par la société de gestion agissant au nom de l’OPC et contrôlées directement ou indirectement par l’un de ces derniers. </w:t>
            </w:r>
          </w:p>
          <w:p w14:paraId="20634CD0" w14:textId="77777777" w:rsidR="007058CC" w:rsidRPr="00A64175" w:rsidRDefault="007058CC" w:rsidP="00A64175">
            <w:pPr>
              <w:contextualSpacing/>
              <w:jc w:val="both"/>
              <w:rPr>
                <w:rFonts w:ascii="Arial" w:hAnsi="Arial" w:cs="Arial"/>
                <w:b/>
                <w:bCs/>
              </w:rPr>
            </w:pPr>
          </w:p>
        </w:tc>
      </w:tr>
      <w:tr w:rsidR="007058CC" w:rsidRPr="00A64175" w14:paraId="36808A99" w14:textId="77777777" w:rsidTr="000E7336">
        <w:trPr>
          <w:jc w:val="center"/>
        </w:trPr>
        <w:tc>
          <w:tcPr>
            <w:tcW w:w="10316" w:type="dxa"/>
            <w:shd w:val="clear" w:color="auto" w:fill="auto"/>
          </w:tcPr>
          <w:p w14:paraId="7C3C75CF" w14:textId="77777777" w:rsidR="007058CC" w:rsidRPr="00A64175" w:rsidRDefault="007058CC" w:rsidP="00A64175">
            <w:pPr>
              <w:pStyle w:val="Paragraphedeliste"/>
              <w:spacing w:after="0" w:afterAutospacing="0" w:line="240" w:lineRule="auto"/>
              <w:ind w:left="993"/>
              <w:contextualSpacing/>
              <w:rPr>
                <w:rFonts w:eastAsia="Times New Roman"/>
                <w:lang w:eastAsia="fr-FR"/>
              </w:rPr>
            </w:pPr>
          </w:p>
        </w:tc>
      </w:tr>
      <w:tr w:rsidR="007058CC" w:rsidRPr="00A64175" w14:paraId="6C7435B6" w14:textId="77777777" w:rsidTr="000E7336">
        <w:trPr>
          <w:jc w:val="center"/>
        </w:trPr>
        <w:tc>
          <w:tcPr>
            <w:tcW w:w="10316" w:type="dxa"/>
            <w:shd w:val="clear" w:color="auto" w:fill="auto"/>
          </w:tcPr>
          <w:p w14:paraId="7C51E7EB" w14:textId="1E27C7F0" w:rsidR="007058CC" w:rsidRPr="00A64175" w:rsidRDefault="00981104"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497 </w:t>
            </w:r>
            <w:r w:rsidR="007058CC" w:rsidRPr="00A64175">
              <w:rPr>
                <w:rFonts w:ascii="Arial" w:eastAsia="Times New Roman" w:hAnsi="Arial" w:cs="Arial"/>
                <w:b/>
                <w:bCs/>
                <w:lang w:eastAsia="fr-FR"/>
              </w:rPr>
              <w:t xml:space="preserve"> –</w:t>
            </w:r>
          </w:p>
          <w:p w14:paraId="6D3B287E" w14:textId="77777777" w:rsidR="007058CC" w:rsidRPr="00A64175" w:rsidRDefault="007058CC" w:rsidP="00A64175">
            <w:pPr>
              <w:contextualSpacing/>
              <w:jc w:val="both"/>
              <w:rPr>
                <w:rFonts w:ascii="Arial" w:eastAsia="Times New Roman" w:hAnsi="Arial" w:cs="Arial"/>
                <w:b/>
                <w:bCs/>
                <w:lang w:eastAsia="fr-FR"/>
              </w:rPr>
            </w:pPr>
          </w:p>
          <w:p w14:paraId="1733F86B" w14:textId="77777777" w:rsidR="00B538D7" w:rsidRDefault="007058CC" w:rsidP="00B538D7">
            <w:pPr>
              <w:pStyle w:val="Paragraphedeliste"/>
              <w:numPr>
                <w:ilvl w:val="1"/>
                <w:numId w:val="151"/>
              </w:numPr>
              <w:spacing w:before="0" w:beforeAutospacing="0" w:after="0" w:afterAutospacing="0" w:line="240" w:lineRule="auto"/>
              <w:ind w:left="744"/>
              <w:contextualSpacing/>
              <w:rPr>
                <w:rFonts w:eastAsia="Times New Roman"/>
                <w:lang w:eastAsia="fr-FR"/>
              </w:rPr>
            </w:pPr>
            <w:r w:rsidRPr="00A64175">
              <w:rPr>
                <w:rFonts w:eastAsia="Times New Roman"/>
                <w:lang w:eastAsia="fr-FR"/>
              </w:rPr>
              <w:t>Au moment de sa désignation, le dépositaire évalue les risques liés à la nature, à la taille et à la complexité́ de la stratégie de l’OPC et de l’organisation de la société de gestion afin de concevoir des procédures de surveillance appropriées à l’OPC et aux actifs dans lesquels celui-ci investit, qui sont ensuite mises en œuvre et appliquées. Ces procédures sont régulièrement mises à jour.</w:t>
            </w:r>
          </w:p>
          <w:p w14:paraId="58ED4E42" w14:textId="77777777" w:rsidR="00B538D7" w:rsidRDefault="00B538D7" w:rsidP="00B538D7">
            <w:pPr>
              <w:pStyle w:val="Paragraphedeliste"/>
              <w:spacing w:before="0" w:beforeAutospacing="0" w:after="0" w:afterAutospacing="0" w:line="240" w:lineRule="auto"/>
              <w:ind w:left="744"/>
              <w:contextualSpacing/>
              <w:rPr>
                <w:rFonts w:eastAsia="Times New Roman"/>
                <w:lang w:eastAsia="fr-FR"/>
              </w:rPr>
            </w:pPr>
          </w:p>
          <w:p w14:paraId="7CE62E4E" w14:textId="3FCDE595" w:rsidR="007058CC" w:rsidRPr="00B538D7" w:rsidRDefault="007058CC" w:rsidP="00B538D7">
            <w:pPr>
              <w:pStyle w:val="Paragraphedeliste"/>
              <w:numPr>
                <w:ilvl w:val="1"/>
                <w:numId w:val="151"/>
              </w:numPr>
              <w:spacing w:before="0" w:beforeAutospacing="0" w:after="0" w:afterAutospacing="0" w:line="240" w:lineRule="auto"/>
              <w:ind w:left="744"/>
              <w:contextualSpacing/>
              <w:rPr>
                <w:rFonts w:eastAsia="Times New Roman"/>
                <w:lang w:eastAsia="fr-FR"/>
              </w:rPr>
            </w:pPr>
            <w:r w:rsidRPr="00B538D7">
              <w:rPr>
                <w:rFonts w:eastAsia="Times New Roman"/>
                <w:lang w:eastAsia="fr-FR"/>
              </w:rPr>
              <w:t>Dans l’exercice de ses obligations de surveillance, le dépositaire réalise</w:t>
            </w:r>
            <w:r w:rsidR="002E082D" w:rsidRPr="00B538D7">
              <w:rPr>
                <w:rFonts w:eastAsia="Times New Roman"/>
                <w:lang w:eastAsia="fr-FR"/>
              </w:rPr>
              <w:t xml:space="preserve"> a posteriori</w:t>
            </w:r>
            <w:r w:rsidRPr="00B538D7">
              <w:rPr>
                <w:rFonts w:eastAsia="Times New Roman"/>
                <w:lang w:eastAsia="fr-FR"/>
              </w:rPr>
              <w:t xml:space="preserve"> des contrôles et vérifications portant sur les processus et procédures qui relèvent de la responsabilité́ de la société de gestion</w:t>
            </w:r>
            <w:r w:rsidR="002E082D" w:rsidRPr="00B538D7">
              <w:rPr>
                <w:rFonts w:eastAsia="Times New Roman"/>
                <w:lang w:eastAsia="fr-FR"/>
              </w:rPr>
              <w:t>,</w:t>
            </w:r>
            <w:r w:rsidRPr="00B538D7">
              <w:rPr>
                <w:rFonts w:eastAsia="Times New Roman"/>
                <w:lang w:eastAsia="fr-FR"/>
              </w:rPr>
              <w:t xml:space="preserve"> de l’OPC ou d’un tiers désigné́. Le dépositaire veille à l’existence, en toutes circonstances, d’une procédure appropriée de vérification et de rapprochement, ainsi qu’à sa mise en œuvre, à son application et à son réexamen fréquent. La société de gestion veille à ce que toutes les instructions liées aux actifs et aux opérations de l’OPC soient transmises au dépositaire, de façon que ce dernier soit en mesure de mener à bien sa propre procédure de vérification ou de rapprochement. </w:t>
            </w:r>
          </w:p>
          <w:p w14:paraId="0FF32609" w14:textId="77777777" w:rsidR="00B538D7" w:rsidRPr="00B538D7" w:rsidRDefault="00B538D7" w:rsidP="00B538D7">
            <w:pPr>
              <w:pStyle w:val="Paragraphedeliste"/>
              <w:spacing w:after="0" w:afterAutospacing="0" w:line="240" w:lineRule="auto"/>
              <w:contextualSpacing/>
              <w:rPr>
                <w:rFonts w:eastAsia="Times New Roman"/>
                <w:lang w:eastAsia="fr-FR"/>
              </w:rPr>
            </w:pPr>
          </w:p>
          <w:p w14:paraId="258B4F76" w14:textId="77777777" w:rsidR="007058CC" w:rsidRPr="00A64175" w:rsidRDefault="007058CC" w:rsidP="00A64175">
            <w:pPr>
              <w:pStyle w:val="Paragraphedeliste"/>
              <w:numPr>
                <w:ilvl w:val="0"/>
                <w:numId w:val="185"/>
              </w:numPr>
              <w:spacing w:after="0" w:afterAutospacing="0" w:line="240" w:lineRule="auto"/>
              <w:contextualSpacing/>
              <w:rPr>
                <w:rFonts w:eastAsia="Times New Roman"/>
                <w:lang w:eastAsia="fr-FR"/>
              </w:rPr>
            </w:pPr>
            <w:r w:rsidRPr="00A64175">
              <w:rPr>
                <w:rFonts w:eastAsia="Times New Roman"/>
                <w:lang w:eastAsia="fr-FR"/>
              </w:rPr>
              <w:t xml:space="preserve">Le dépositaire établit une procédure d’intervention par paliers claire et globale à appliquer si, dans le cadre de ses obligations de surveillance, il détecte des irrégularités potentielles ; les détails de cette procédure sont mis à la disposition de la COSUMAF sur demande. </w:t>
            </w:r>
          </w:p>
        </w:tc>
      </w:tr>
      <w:tr w:rsidR="007058CC" w:rsidRPr="00A64175" w14:paraId="500A9022" w14:textId="77777777" w:rsidTr="000E7336">
        <w:trPr>
          <w:jc w:val="center"/>
        </w:trPr>
        <w:tc>
          <w:tcPr>
            <w:tcW w:w="10316" w:type="dxa"/>
            <w:shd w:val="clear" w:color="auto" w:fill="auto"/>
          </w:tcPr>
          <w:p w14:paraId="413D6AC6" w14:textId="77777777" w:rsidR="007058CC" w:rsidRPr="00A64175" w:rsidRDefault="007058CC" w:rsidP="00A64175">
            <w:pPr>
              <w:contextualSpacing/>
              <w:jc w:val="both"/>
              <w:rPr>
                <w:rFonts w:ascii="Arial" w:eastAsia="Times New Roman" w:hAnsi="Arial" w:cs="Arial"/>
                <w:b/>
                <w:bCs/>
                <w:lang w:eastAsia="fr-FR"/>
              </w:rPr>
            </w:pPr>
          </w:p>
          <w:p w14:paraId="6C35F7E2" w14:textId="5AB88445" w:rsidR="007058CC" w:rsidRPr="00A64175" w:rsidRDefault="00981104"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498 </w:t>
            </w:r>
            <w:r w:rsidR="007058CC" w:rsidRPr="00A64175">
              <w:rPr>
                <w:rFonts w:ascii="Arial" w:eastAsia="Times New Roman" w:hAnsi="Arial" w:cs="Arial"/>
                <w:b/>
                <w:bCs/>
                <w:lang w:eastAsia="fr-FR"/>
              </w:rPr>
              <w:t xml:space="preserve"> - </w:t>
            </w:r>
            <w:r w:rsidR="007058CC" w:rsidRPr="00A64175">
              <w:rPr>
                <w:rFonts w:ascii="Arial" w:eastAsia="Times New Roman" w:hAnsi="Arial" w:cs="Arial"/>
                <w:lang w:eastAsia="fr-FR"/>
              </w:rPr>
              <w:t>Afin de se conformer à ses obligations</w:t>
            </w:r>
            <w:r w:rsidRPr="00A64175">
              <w:rPr>
                <w:rFonts w:ascii="Arial" w:eastAsia="Times New Roman" w:hAnsi="Arial" w:cs="Arial"/>
                <w:lang w:eastAsia="fr-FR"/>
              </w:rPr>
              <w:t xml:space="preserve"> réglementaires</w:t>
            </w:r>
            <w:r w:rsidR="007058CC" w:rsidRPr="00A64175">
              <w:rPr>
                <w:rFonts w:ascii="Arial" w:eastAsia="Times New Roman" w:hAnsi="Arial" w:cs="Arial"/>
                <w:lang w:eastAsia="fr-FR"/>
              </w:rPr>
              <w:t xml:space="preserve">, le dépositaire répond aux exigences suivantes : </w:t>
            </w:r>
          </w:p>
          <w:p w14:paraId="6D737DA7" w14:textId="77777777" w:rsidR="007058CC" w:rsidRPr="00A64175" w:rsidRDefault="007058CC" w:rsidP="00A64175">
            <w:pPr>
              <w:contextualSpacing/>
              <w:jc w:val="both"/>
              <w:rPr>
                <w:rFonts w:ascii="Arial" w:eastAsia="Times New Roman" w:hAnsi="Arial" w:cs="Arial"/>
                <w:b/>
                <w:bCs/>
                <w:lang w:eastAsia="fr-FR"/>
              </w:rPr>
            </w:pPr>
          </w:p>
          <w:p w14:paraId="02A866E2" w14:textId="77777777" w:rsidR="007058CC" w:rsidRPr="00A64175" w:rsidRDefault="007058CC" w:rsidP="00A64175">
            <w:pPr>
              <w:pStyle w:val="Paragraphedeliste"/>
              <w:numPr>
                <w:ilvl w:val="0"/>
                <w:numId w:val="186"/>
              </w:numPr>
              <w:spacing w:before="0" w:beforeAutospacing="0" w:after="0" w:afterAutospacing="0" w:line="240" w:lineRule="auto"/>
              <w:contextualSpacing/>
              <w:rPr>
                <w:rFonts w:eastAsia="Times New Roman"/>
                <w:lang w:eastAsia="fr-FR"/>
              </w:rPr>
            </w:pPr>
            <w:r w:rsidRPr="00A64175">
              <w:rPr>
                <w:rFonts w:eastAsia="Times New Roman"/>
                <w:lang w:eastAsia="fr-FR"/>
              </w:rPr>
              <w:t xml:space="preserve">Le dépositaire veille à ce que l’OPC, la société de gestion ou l’entité désignée ait établi, mette en œuvre et applique une procédure appropriée et cohérente afin de : </w:t>
            </w:r>
          </w:p>
          <w:p w14:paraId="117F9F48" w14:textId="77777777" w:rsidR="007058CC" w:rsidRPr="00A64175" w:rsidRDefault="007058CC" w:rsidP="00A64175">
            <w:pPr>
              <w:pStyle w:val="Paragraphedeliste"/>
              <w:ind w:left="284"/>
              <w:contextualSpacing/>
              <w:rPr>
                <w:rFonts w:eastAsia="Times New Roman"/>
                <w:lang w:eastAsia="fr-FR"/>
              </w:rPr>
            </w:pPr>
          </w:p>
          <w:p w14:paraId="680E42F4" w14:textId="77777777" w:rsidR="007058CC" w:rsidRPr="00A64175" w:rsidRDefault="007058CC" w:rsidP="00A64175">
            <w:pPr>
              <w:pStyle w:val="Paragraphedeliste"/>
              <w:numPr>
                <w:ilvl w:val="1"/>
                <w:numId w:val="155"/>
              </w:numPr>
              <w:spacing w:after="0" w:afterAutospacing="0" w:line="240" w:lineRule="auto"/>
              <w:ind w:left="1418"/>
              <w:contextualSpacing/>
              <w:rPr>
                <w:rFonts w:eastAsia="Times New Roman"/>
                <w:lang w:eastAsia="fr-FR"/>
              </w:rPr>
            </w:pPr>
            <w:r w:rsidRPr="00A64175">
              <w:rPr>
                <w:rFonts w:eastAsia="Times New Roman"/>
                <w:lang w:eastAsia="fr-FR"/>
              </w:rPr>
              <w:t xml:space="preserve">Rapprocher d’une part les ordres de souscriptions et le montant des souscriptions, d’autre part le nombre de parts ou d’actions émises et le montant des souscriptions reçu par l’OPC </w:t>
            </w:r>
          </w:p>
          <w:p w14:paraId="062B8B85" w14:textId="77777777" w:rsidR="007058CC" w:rsidRPr="00A64175" w:rsidRDefault="007058CC" w:rsidP="00A64175">
            <w:pPr>
              <w:pStyle w:val="Paragraphedeliste"/>
              <w:numPr>
                <w:ilvl w:val="1"/>
                <w:numId w:val="155"/>
              </w:numPr>
              <w:spacing w:after="0" w:afterAutospacing="0" w:line="240" w:lineRule="auto"/>
              <w:ind w:left="1418"/>
              <w:contextualSpacing/>
              <w:rPr>
                <w:rFonts w:eastAsia="Times New Roman"/>
                <w:lang w:eastAsia="fr-FR"/>
              </w:rPr>
            </w:pPr>
            <w:r w:rsidRPr="00A64175">
              <w:rPr>
                <w:rFonts w:eastAsia="Times New Roman"/>
                <w:lang w:eastAsia="fr-FR"/>
              </w:rPr>
              <w:t xml:space="preserve">Rapprocher d’une part les ordres de remboursement et le montant des remboursements payé, d’autre part le nombre de parts ou d’actions annulées et le montant des remboursements payé par l’OPC ; </w:t>
            </w:r>
          </w:p>
          <w:p w14:paraId="4F9430FA" w14:textId="77777777" w:rsidR="007058CC" w:rsidRPr="00A64175" w:rsidRDefault="007058CC" w:rsidP="00A64175">
            <w:pPr>
              <w:pStyle w:val="Paragraphedeliste"/>
              <w:numPr>
                <w:ilvl w:val="1"/>
                <w:numId w:val="155"/>
              </w:numPr>
              <w:spacing w:after="0" w:afterAutospacing="0" w:line="240" w:lineRule="auto"/>
              <w:ind w:left="1418"/>
              <w:contextualSpacing/>
              <w:rPr>
                <w:rFonts w:eastAsia="Times New Roman"/>
                <w:lang w:eastAsia="fr-FR"/>
              </w:rPr>
            </w:pPr>
            <w:r w:rsidRPr="00A64175">
              <w:rPr>
                <w:rFonts w:eastAsia="Times New Roman"/>
                <w:lang w:eastAsia="fr-FR"/>
              </w:rPr>
              <w:t xml:space="preserve">Vérifier régulièrement que la procédure de rapprochement est appropriée. </w:t>
            </w:r>
          </w:p>
          <w:p w14:paraId="0327C17D" w14:textId="73B72D72" w:rsidR="007058CC" w:rsidRPr="00A64175" w:rsidRDefault="007058CC" w:rsidP="00A64175">
            <w:pPr>
              <w:ind w:left="284"/>
              <w:contextualSpacing/>
              <w:jc w:val="both"/>
              <w:rPr>
                <w:rFonts w:ascii="Arial" w:eastAsia="Times New Roman" w:hAnsi="Arial" w:cs="Arial"/>
                <w:lang w:eastAsia="fr-FR"/>
              </w:rPr>
            </w:pPr>
            <w:r w:rsidRPr="00A64175">
              <w:rPr>
                <w:rFonts w:ascii="Arial" w:eastAsia="Times New Roman" w:hAnsi="Arial" w:cs="Arial"/>
                <w:lang w:eastAsia="fr-FR"/>
              </w:rPr>
              <w:t xml:space="preserve"> </w:t>
            </w:r>
            <w:r w:rsidR="002E082D">
              <w:rPr>
                <w:rFonts w:ascii="Arial" w:eastAsia="Times New Roman" w:hAnsi="Arial" w:cs="Arial"/>
                <w:lang w:eastAsia="fr-FR"/>
              </w:rPr>
              <w:t xml:space="preserve">Dans le cadre de la mise en œuvre des exigences visées aux </w:t>
            </w:r>
            <w:r w:rsidRPr="00A64175">
              <w:rPr>
                <w:rFonts w:ascii="Arial" w:eastAsia="Times New Roman" w:hAnsi="Arial" w:cs="Arial"/>
                <w:lang w:eastAsia="fr-FR"/>
              </w:rPr>
              <w:t xml:space="preserve">points i), ii) et iii), le dépositaire vérifie régulièrement, en particulier, la correspondance entre le nombre total de parts ou d’actions qui apparaissent dans les comptes de l’OPC et le nombre total de parts ou d’actions en circulation qui figurent dans le registre de l’OPC. </w:t>
            </w:r>
          </w:p>
          <w:p w14:paraId="273683A5" w14:textId="77777777" w:rsidR="007058CC" w:rsidRPr="00A64175" w:rsidRDefault="007058CC" w:rsidP="00A64175">
            <w:pPr>
              <w:pStyle w:val="Paragraphedeliste"/>
              <w:numPr>
                <w:ilvl w:val="0"/>
                <w:numId w:val="186"/>
              </w:numPr>
              <w:suppressAutoHyphens w:val="0"/>
              <w:autoSpaceDN/>
              <w:spacing w:after="0" w:afterAutospacing="0" w:line="240" w:lineRule="auto"/>
              <w:contextualSpacing/>
              <w:textAlignment w:val="auto"/>
              <w:rPr>
                <w:rFonts w:eastAsia="Times New Roman"/>
                <w:lang w:eastAsia="fr-FR"/>
              </w:rPr>
            </w:pPr>
            <w:r w:rsidRPr="00A64175">
              <w:rPr>
                <w:rFonts w:eastAsia="Times New Roman"/>
                <w:lang w:eastAsia="fr-FR"/>
              </w:rPr>
              <w:t xml:space="preserve">Le dépositaire veille à ce que les procédures en matière de vente, d’émission, de remboursement, de rachat et d’annulation de parts ou d’actions de l’OPC soient conformes à la règlementation, au règlement du fonds ou à ses documents constitutifs ; il s’en assure régulièrement et vérifie que ces procédures sont effectivement mises en œuvre. </w:t>
            </w:r>
          </w:p>
          <w:p w14:paraId="7165235D" w14:textId="77777777" w:rsidR="007058CC" w:rsidRPr="00A64175" w:rsidRDefault="007058CC" w:rsidP="00A64175">
            <w:pPr>
              <w:pStyle w:val="Paragraphedeliste"/>
              <w:numPr>
                <w:ilvl w:val="0"/>
                <w:numId w:val="186"/>
              </w:numPr>
              <w:suppressAutoHyphens w:val="0"/>
              <w:autoSpaceDN/>
              <w:spacing w:after="0" w:afterAutospacing="0" w:line="240" w:lineRule="auto"/>
              <w:contextualSpacing/>
              <w:textAlignment w:val="auto"/>
              <w:rPr>
                <w:rFonts w:eastAsia="Times New Roman"/>
                <w:lang w:eastAsia="fr-FR"/>
              </w:rPr>
            </w:pPr>
            <w:r w:rsidRPr="00A64175">
              <w:rPr>
                <w:rFonts w:eastAsia="Times New Roman"/>
                <w:lang w:eastAsia="fr-FR"/>
              </w:rPr>
              <w:t>La fréquence des vérifications effectuées par le dépositaire est adaptée à la fréquence des souscriptions et des remboursements.</w:t>
            </w:r>
          </w:p>
        </w:tc>
      </w:tr>
      <w:tr w:rsidR="007058CC" w:rsidRPr="00A64175" w14:paraId="5213B08B" w14:textId="77777777" w:rsidTr="000E7336">
        <w:trPr>
          <w:jc w:val="center"/>
        </w:trPr>
        <w:tc>
          <w:tcPr>
            <w:tcW w:w="10316" w:type="dxa"/>
            <w:shd w:val="clear" w:color="auto" w:fill="auto"/>
          </w:tcPr>
          <w:p w14:paraId="4048512D" w14:textId="77777777" w:rsidR="007058CC" w:rsidRPr="00A64175" w:rsidRDefault="007058CC" w:rsidP="00A64175">
            <w:pPr>
              <w:contextualSpacing/>
              <w:jc w:val="both"/>
              <w:rPr>
                <w:rFonts w:ascii="Arial" w:eastAsia="Times New Roman" w:hAnsi="Arial" w:cs="Arial"/>
                <w:b/>
                <w:bCs/>
                <w:lang w:eastAsia="fr-FR"/>
              </w:rPr>
            </w:pPr>
          </w:p>
          <w:p w14:paraId="79684B4B" w14:textId="77777777" w:rsidR="00981104" w:rsidRPr="00A64175" w:rsidRDefault="00981104" w:rsidP="00A64175">
            <w:pPr>
              <w:contextualSpacing/>
              <w:jc w:val="both"/>
              <w:rPr>
                <w:rFonts w:ascii="Arial" w:eastAsia="Times New Roman" w:hAnsi="Arial" w:cs="Arial"/>
                <w:b/>
                <w:bCs/>
                <w:lang w:eastAsia="fr-FR"/>
              </w:rPr>
            </w:pPr>
          </w:p>
          <w:p w14:paraId="315F099C" w14:textId="70C9EB3E" w:rsidR="007058CC" w:rsidRPr="00A64175" w:rsidRDefault="00981104"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499 </w:t>
            </w:r>
            <w:r w:rsidR="007058CC" w:rsidRPr="00A64175">
              <w:rPr>
                <w:rFonts w:ascii="Arial" w:eastAsia="Times New Roman" w:hAnsi="Arial" w:cs="Arial"/>
                <w:b/>
                <w:bCs/>
                <w:lang w:eastAsia="fr-FR"/>
              </w:rPr>
              <w:t xml:space="preserve"> -</w:t>
            </w:r>
          </w:p>
          <w:p w14:paraId="26006C7B" w14:textId="29ADA8BA" w:rsidR="007058CC" w:rsidRPr="00A64175" w:rsidRDefault="007058CC" w:rsidP="00A64175">
            <w:pPr>
              <w:pStyle w:val="Paragraphedeliste"/>
              <w:numPr>
                <w:ilvl w:val="0"/>
                <w:numId w:val="156"/>
              </w:numPr>
              <w:spacing w:after="0" w:afterAutospacing="0" w:line="240" w:lineRule="auto"/>
              <w:ind w:left="284"/>
              <w:contextualSpacing/>
              <w:rPr>
                <w:rFonts w:eastAsia="Times New Roman"/>
                <w:lang w:eastAsia="fr-FR"/>
              </w:rPr>
            </w:pPr>
            <w:r w:rsidRPr="00A64175">
              <w:rPr>
                <w:rFonts w:eastAsia="Times New Roman"/>
                <w:lang w:eastAsia="fr-FR"/>
              </w:rPr>
              <w:t>Afin de se conformer à ses obligations</w:t>
            </w:r>
            <w:r w:rsidR="00981104" w:rsidRPr="00A64175">
              <w:rPr>
                <w:rFonts w:eastAsia="Times New Roman"/>
                <w:lang w:eastAsia="fr-FR"/>
              </w:rPr>
              <w:t xml:space="preserve"> réglementaires</w:t>
            </w:r>
            <w:r w:rsidRPr="00A64175">
              <w:rPr>
                <w:rFonts w:eastAsia="Times New Roman"/>
                <w:lang w:eastAsia="fr-FR"/>
              </w:rPr>
              <w:t xml:space="preserve">, le dépositaire : </w:t>
            </w:r>
          </w:p>
          <w:p w14:paraId="794E771B" w14:textId="77777777" w:rsidR="007058CC" w:rsidRPr="00A64175" w:rsidRDefault="007058CC" w:rsidP="00A64175">
            <w:pPr>
              <w:pStyle w:val="Paragraphedeliste"/>
              <w:contextualSpacing/>
              <w:rPr>
                <w:rFonts w:eastAsia="Times New Roman"/>
                <w:lang w:eastAsia="fr-FR"/>
              </w:rPr>
            </w:pPr>
          </w:p>
          <w:p w14:paraId="523C5180" w14:textId="383D4B32" w:rsidR="007058CC" w:rsidRPr="00A64175" w:rsidRDefault="007058CC" w:rsidP="00A64175">
            <w:pPr>
              <w:pStyle w:val="Paragraphedeliste"/>
              <w:numPr>
                <w:ilvl w:val="1"/>
                <w:numId w:val="157"/>
              </w:numPr>
              <w:spacing w:after="0" w:afterAutospacing="0" w:line="240" w:lineRule="auto"/>
              <w:contextualSpacing/>
              <w:rPr>
                <w:rFonts w:eastAsia="Times New Roman"/>
                <w:lang w:eastAsia="fr-FR"/>
              </w:rPr>
            </w:pPr>
            <w:r w:rsidRPr="00A64175">
              <w:rPr>
                <w:rFonts w:eastAsia="Times New Roman"/>
                <w:lang w:eastAsia="fr-FR"/>
              </w:rPr>
              <w:t xml:space="preserve">Vérifie en permanence que des procédures appropriées et cohérentes sont établies et appliquées pour l’évaluation des actifs de l’OPC ;  </w:t>
            </w:r>
          </w:p>
          <w:p w14:paraId="6F0F7DBA" w14:textId="77777777" w:rsidR="007058CC" w:rsidRPr="00A64175" w:rsidRDefault="007058CC" w:rsidP="00A64175">
            <w:pPr>
              <w:pStyle w:val="Paragraphedeliste"/>
              <w:numPr>
                <w:ilvl w:val="1"/>
                <w:numId w:val="157"/>
              </w:numPr>
              <w:spacing w:after="0" w:afterAutospacing="0" w:line="240" w:lineRule="auto"/>
              <w:contextualSpacing/>
              <w:rPr>
                <w:rFonts w:eastAsia="Times New Roman"/>
                <w:lang w:eastAsia="fr-FR"/>
              </w:rPr>
            </w:pPr>
            <w:r w:rsidRPr="00A64175">
              <w:rPr>
                <w:rFonts w:eastAsia="Times New Roman"/>
                <w:lang w:eastAsia="fr-FR"/>
              </w:rPr>
              <w:t xml:space="preserve">Veille à ce que les politiques et procédures d’évaluation soient mises en œuvre effectivement et réexaminées périodiquement. </w:t>
            </w:r>
          </w:p>
          <w:p w14:paraId="40574DCB" w14:textId="77777777" w:rsidR="007058CC" w:rsidRPr="00A64175" w:rsidRDefault="007058CC" w:rsidP="00A64175">
            <w:pPr>
              <w:pStyle w:val="Paragraphedeliste"/>
              <w:contextualSpacing/>
              <w:rPr>
                <w:rFonts w:eastAsia="Times New Roman"/>
                <w:lang w:eastAsia="fr-FR"/>
              </w:rPr>
            </w:pPr>
          </w:p>
          <w:p w14:paraId="514454C0" w14:textId="13A9280B" w:rsidR="007058CC" w:rsidRPr="00C860C4" w:rsidRDefault="007058CC" w:rsidP="00C860C4">
            <w:pPr>
              <w:pStyle w:val="Paragraphedeliste"/>
              <w:numPr>
                <w:ilvl w:val="0"/>
                <w:numId w:val="156"/>
              </w:numPr>
              <w:spacing w:after="0" w:afterAutospacing="0" w:line="240" w:lineRule="auto"/>
              <w:ind w:left="284"/>
              <w:contextualSpacing/>
              <w:rPr>
                <w:rFonts w:eastAsia="Times New Roman"/>
                <w:lang w:eastAsia="fr-FR"/>
              </w:rPr>
            </w:pPr>
            <w:r w:rsidRPr="00A64175">
              <w:rPr>
                <w:rFonts w:eastAsia="Times New Roman"/>
                <w:lang w:eastAsia="fr-FR"/>
              </w:rPr>
              <w:t>Le dépositaire applique ces procédures selo</w:t>
            </w:r>
            <w:r w:rsidR="00981104" w:rsidRPr="00A64175">
              <w:rPr>
                <w:rFonts w:eastAsia="Times New Roman"/>
                <w:lang w:eastAsia="fr-FR"/>
              </w:rPr>
              <w:t>n une fréquence qui est adaptée</w:t>
            </w:r>
            <w:r w:rsidRPr="00A64175">
              <w:rPr>
                <w:rFonts w:eastAsia="Times New Roman"/>
                <w:lang w:eastAsia="fr-FR"/>
              </w:rPr>
              <w:t xml:space="preserve"> à la politique d’évaluation de l’OPC. </w:t>
            </w:r>
          </w:p>
          <w:p w14:paraId="457428FC" w14:textId="77777777" w:rsidR="007058CC" w:rsidRPr="00A64175" w:rsidRDefault="007058CC" w:rsidP="00A64175">
            <w:pPr>
              <w:pStyle w:val="Paragraphedeliste"/>
              <w:numPr>
                <w:ilvl w:val="0"/>
                <w:numId w:val="156"/>
              </w:numPr>
              <w:spacing w:after="0" w:afterAutospacing="0" w:line="240" w:lineRule="auto"/>
              <w:ind w:left="284"/>
              <w:contextualSpacing/>
              <w:rPr>
                <w:rFonts w:eastAsia="Times New Roman"/>
                <w:lang w:eastAsia="fr-FR"/>
              </w:rPr>
            </w:pPr>
            <w:r w:rsidRPr="00A64175">
              <w:rPr>
                <w:rFonts w:eastAsia="Times New Roman"/>
                <w:lang w:eastAsia="fr-FR"/>
              </w:rPr>
              <w:t>Lorsqu’un dépositaire considère que le calcul de la valeur des actions ou parts de l’OPC n’a pas été effectué́ conformément à la réglementation ou au règlement de l’OPC, il le signale à la société de gestion ou à l’OPC et veille à ce que des mesures correctrices rapides soient prises, servant au mieux les intérêts des investisseurs de l’OPC</w:t>
            </w:r>
          </w:p>
          <w:p w14:paraId="14552038" w14:textId="77777777" w:rsidR="007058CC" w:rsidRPr="00A64175" w:rsidRDefault="007058CC" w:rsidP="00A64175">
            <w:pPr>
              <w:pStyle w:val="Paragraphedeliste"/>
              <w:contextualSpacing/>
              <w:rPr>
                <w:rFonts w:eastAsia="Times New Roman"/>
                <w:lang w:eastAsia="fr-FR"/>
              </w:rPr>
            </w:pPr>
          </w:p>
          <w:p w14:paraId="20C1C190" w14:textId="50A0CB05" w:rsidR="007058CC" w:rsidRPr="00A64175" w:rsidRDefault="007058CC" w:rsidP="00A64175">
            <w:pPr>
              <w:pStyle w:val="Paragraphedeliste"/>
              <w:numPr>
                <w:ilvl w:val="0"/>
                <w:numId w:val="156"/>
              </w:numPr>
              <w:spacing w:after="0" w:afterAutospacing="0" w:line="240" w:lineRule="auto"/>
              <w:ind w:left="284"/>
              <w:contextualSpacing/>
              <w:rPr>
                <w:rFonts w:eastAsia="Times New Roman"/>
                <w:lang w:eastAsia="fr-FR"/>
              </w:rPr>
            </w:pPr>
            <w:r w:rsidRPr="00A64175">
              <w:rPr>
                <w:rFonts w:eastAsia="Times New Roman"/>
                <w:lang w:eastAsia="fr-FR"/>
              </w:rPr>
              <w:t>Lorsqu’un expert externe en évaluation a été désigné, le dépositaire vérifie</w:t>
            </w:r>
            <w:r w:rsidR="00981104" w:rsidRPr="00A64175">
              <w:rPr>
                <w:rFonts w:eastAsia="Times New Roman"/>
                <w:lang w:eastAsia="fr-FR"/>
              </w:rPr>
              <w:t xml:space="preserve"> la conformité de  </w:t>
            </w:r>
            <w:r w:rsidRPr="00A64175">
              <w:rPr>
                <w:rFonts w:eastAsia="Times New Roman"/>
                <w:lang w:eastAsia="fr-FR"/>
              </w:rPr>
              <w:t xml:space="preserve"> cette désignation</w:t>
            </w:r>
            <w:r w:rsidR="00981104" w:rsidRPr="00A64175">
              <w:rPr>
                <w:rFonts w:eastAsia="Times New Roman"/>
                <w:lang w:eastAsia="fr-FR"/>
              </w:rPr>
              <w:t xml:space="preserve"> aux exigences réglementaires.</w:t>
            </w:r>
            <w:r w:rsidRPr="00A64175">
              <w:rPr>
                <w:rFonts w:eastAsia="Times New Roman"/>
                <w:lang w:eastAsia="fr-FR"/>
              </w:rPr>
              <w:t xml:space="preserve"> </w:t>
            </w:r>
          </w:p>
          <w:p w14:paraId="71D439D9" w14:textId="77777777" w:rsidR="007058CC" w:rsidRPr="00A64175" w:rsidRDefault="007058CC" w:rsidP="00A64175">
            <w:pPr>
              <w:contextualSpacing/>
              <w:jc w:val="both"/>
              <w:rPr>
                <w:rFonts w:ascii="Arial" w:hAnsi="Arial" w:cs="Arial"/>
                <w:b/>
                <w:bCs/>
              </w:rPr>
            </w:pPr>
          </w:p>
          <w:p w14:paraId="0AA022EF" w14:textId="77777777" w:rsidR="00981104" w:rsidRDefault="00981104" w:rsidP="00A64175">
            <w:pPr>
              <w:contextualSpacing/>
              <w:jc w:val="both"/>
              <w:rPr>
                <w:rFonts w:ascii="Arial" w:hAnsi="Arial" w:cs="Arial"/>
                <w:b/>
                <w:bCs/>
              </w:rPr>
            </w:pPr>
          </w:p>
          <w:p w14:paraId="442B7426" w14:textId="77777777" w:rsidR="005C0F2E" w:rsidRPr="00A64175" w:rsidRDefault="005C0F2E" w:rsidP="00A64175">
            <w:pPr>
              <w:contextualSpacing/>
              <w:jc w:val="both"/>
              <w:rPr>
                <w:rFonts w:ascii="Arial" w:hAnsi="Arial" w:cs="Arial"/>
                <w:b/>
                <w:bCs/>
              </w:rPr>
            </w:pPr>
          </w:p>
        </w:tc>
      </w:tr>
      <w:tr w:rsidR="007058CC" w:rsidRPr="00A64175" w14:paraId="5B44060F" w14:textId="77777777" w:rsidTr="000E7336">
        <w:trPr>
          <w:jc w:val="center"/>
        </w:trPr>
        <w:tc>
          <w:tcPr>
            <w:tcW w:w="10316" w:type="dxa"/>
            <w:shd w:val="clear" w:color="auto" w:fill="auto"/>
          </w:tcPr>
          <w:p w14:paraId="58689D0F" w14:textId="04AF5F7D" w:rsidR="007058CC" w:rsidRPr="00A64175" w:rsidRDefault="00981104"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500 </w:t>
            </w:r>
            <w:r w:rsidR="007058CC" w:rsidRPr="00A64175">
              <w:rPr>
                <w:rFonts w:ascii="Arial" w:eastAsia="Times New Roman" w:hAnsi="Arial" w:cs="Arial"/>
                <w:b/>
                <w:bCs/>
                <w:lang w:eastAsia="fr-FR"/>
              </w:rPr>
              <w:t xml:space="preserve"> - </w:t>
            </w:r>
          </w:p>
          <w:p w14:paraId="405E3D1D" w14:textId="77777777" w:rsidR="007058CC" w:rsidRPr="00A64175" w:rsidRDefault="007058CC" w:rsidP="00A64175">
            <w:pPr>
              <w:contextualSpacing/>
              <w:jc w:val="both"/>
              <w:rPr>
                <w:rFonts w:ascii="Arial" w:eastAsia="Times New Roman" w:hAnsi="Arial" w:cs="Arial"/>
                <w:lang w:eastAsia="fr-FR"/>
              </w:rPr>
            </w:pPr>
          </w:p>
          <w:p w14:paraId="7A5B5441" w14:textId="4C79A5A3" w:rsidR="007058CC" w:rsidRPr="00A64175" w:rsidRDefault="007058CC" w:rsidP="00A64175">
            <w:pPr>
              <w:contextualSpacing/>
              <w:jc w:val="both"/>
              <w:rPr>
                <w:rFonts w:ascii="Arial" w:eastAsia="Times New Roman" w:hAnsi="Arial" w:cs="Arial"/>
                <w:lang w:eastAsia="fr-FR"/>
              </w:rPr>
            </w:pPr>
            <w:r w:rsidRPr="00A64175">
              <w:rPr>
                <w:rFonts w:ascii="Arial" w:eastAsia="Times New Roman" w:hAnsi="Arial" w:cs="Arial"/>
                <w:lang w:eastAsia="fr-FR"/>
              </w:rPr>
              <w:t>Afin de se conformer à ses obligations</w:t>
            </w:r>
            <w:r w:rsidR="00981104" w:rsidRPr="00A64175">
              <w:rPr>
                <w:rFonts w:ascii="Arial" w:eastAsia="Times New Roman" w:hAnsi="Arial" w:cs="Arial"/>
                <w:lang w:eastAsia="fr-FR"/>
              </w:rPr>
              <w:t xml:space="preserve"> réglementaires</w:t>
            </w:r>
            <w:r w:rsidRPr="00A64175">
              <w:rPr>
                <w:rFonts w:ascii="Arial" w:eastAsia="Times New Roman" w:hAnsi="Arial" w:cs="Arial"/>
                <w:lang w:eastAsia="fr-FR"/>
              </w:rPr>
              <w:t xml:space="preserve">, le dépositaire effectue au moins les actions suivantes : </w:t>
            </w:r>
          </w:p>
          <w:p w14:paraId="1CBC2FD6" w14:textId="77777777" w:rsidR="007058CC" w:rsidRPr="00A64175" w:rsidRDefault="007058CC" w:rsidP="00A64175">
            <w:pPr>
              <w:pStyle w:val="Paragraphedeliste"/>
              <w:numPr>
                <w:ilvl w:val="0"/>
                <w:numId w:val="158"/>
              </w:numPr>
              <w:spacing w:after="0" w:afterAutospacing="0" w:line="240" w:lineRule="auto"/>
              <w:contextualSpacing/>
              <w:rPr>
                <w:rFonts w:eastAsia="Times New Roman"/>
                <w:lang w:eastAsia="fr-FR"/>
              </w:rPr>
            </w:pPr>
            <w:r w:rsidRPr="00A64175">
              <w:rPr>
                <w:rFonts w:eastAsia="Times New Roman"/>
                <w:lang w:eastAsia="fr-FR"/>
              </w:rPr>
              <w:t xml:space="preserve">Il établît et met en œuvre des procédures appropriées pour vérifier que l’OPC et la société de gestion se conforment à la réglementation applicable ainsi qu’au règlement et aux documents constitutifs de l’OPC. En particulier, le dépositaire contrôle si l’OPC respecte les restrictions en matière d’investissement et les limites à l’effet de levier prévues dans ses documents d’offre. Ces procédures sont proportionnées à la nature, à la taille et à la complexité́ de l’OPC ; </w:t>
            </w:r>
          </w:p>
          <w:p w14:paraId="7A83DFB5" w14:textId="77777777" w:rsidR="007058CC" w:rsidRPr="00A64175" w:rsidRDefault="007058CC" w:rsidP="00A64175">
            <w:pPr>
              <w:pStyle w:val="Paragraphedeliste"/>
              <w:contextualSpacing/>
              <w:rPr>
                <w:rFonts w:eastAsia="Times New Roman"/>
                <w:lang w:eastAsia="fr-FR"/>
              </w:rPr>
            </w:pPr>
          </w:p>
          <w:p w14:paraId="302A2116" w14:textId="77777777" w:rsidR="007058CC" w:rsidRPr="00A64175" w:rsidRDefault="007058CC" w:rsidP="00A64175">
            <w:pPr>
              <w:pStyle w:val="Paragraphedeliste"/>
              <w:numPr>
                <w:ilvl w:val="0"/>
                <w:numId w:val="158"/>
              </w:numPr>
              <w:spacing w:after="0" w:afterAutospacing="0" w:line="240" w:lineRule="auto"/>
              <w:contextualSpacing/>
              <w:rPr>
                <w:rFonts w:eastAsia="Times New Roman"/>
                <w:lang w:eastAsia="fr-FR"/>
              </w:rPr>
            </w:pPr>
            <w:r w:rsidRPr="00A64175">
              <w:rPr>
                <w:rFonts w:eastAsia="Times New Roman"/>
                <w:lang w:eastAsia="fr-FR"/>
              </w:rPr>
              <w:t xml:space="preserve">Il établît et met en œuvre une procédure d’intervention par paliers à appliquer en cas de non-respect par l’OPC d’une limite ou restriction visée au point a). </w:t>
            </w:r>
          </w:p>
        </w:tc>
      </w:tr>
      <w:tr w:rsidR="007058CC" w:rsidRPr="00A64175" w14:paraId="4D436168" w14:textId="77777777" w:rsidTr="000E7336">
        <w:trPr>
          <w:jc w:val="center"/>
        </w:trPr>
        <w:tc>
          <w:tcPr>
            <w:tcW w:w="10316" w:type="dxa"/>
            <w:shd w:val="clear" w:color="auto" w:fill="auto"/>
          </w:tcPr>
          <w:p w14:paraId="5BA948B6" w14:textId="77777777" w:rsidR="007058CC" w:rsidRPr="00A64175" w:rsidRDefault="007058CC" w:rsidP="00A64175">
            <w:pPr>
              <w:contextualSpacing/>
              <w:jc w:val="both"/>
              <w:rPr>
                <w:rFonts w:ascii="Arial" w:eastAsia="Times New Roman" w:hAnsi="Arial" w:cs="Arial"/>
                <w:b/>
                <w:bCs/>
                <w:lang w:eastAsia="fr-FR"/>
              </w:rPr>
            </w:pPr>
          </w:p>
          <w:p w14:paraId="0857511A" w14:textId="4D715734" w:rsidR="007058CC" w:rsidRPr="00A64175" w:rsidRDefault="00981104"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501 </w:t>
            </w:r>
            <w:r w:rsidR="007058CC" w:rsidRPr="00A64175">
              <w:rPr>
                <w:rFonts w:ascii="Arial" w:eastAsia="Times New Roman" w:hAnsi="Arial" w:cs="Arial"/>
                <w:b/>
                <w:bCs/>
                <w:lang w:eastAsia="fr-FR"/>
              </w:rPr>
              <w:t xml:space="preserve"> - </w:t>
            </w:r>
          </w:p>
          <w:p w14:paraId="18CF03E7" w14:textId="126535BE" w:rsidR="007058CC" w:rsidRPr="00A64175" w:rsidRDefault="00981104" w:rsidP="00A64175">
            <w:pPr>
              <w:pStyle w:val="Paragraphedeliste"/>
              <w:numPr>
                <w:ilvl w:val="1"/>
                <w:numId w:val="159"/>
              </w:numPr>
              <w:spacing w:after="0" w:afterAutospacing="0" w:line="240" w:lineRule="auto"/>
              <w:ind w:left="284"/>
              <w:contextualSpacing/>
              <w:rPr>
                <w:rFonts w:eastAsia="Times New Roman"/>
                <w:lang w:eastAsia="fr-FR"/>
              </w:rPr>
            </w:pPr>
            <w:r w:rsidRPr="00A64175">
              <w:rPr>
                <w:rFonts w:eastAsia="Times New Roman"/>
                <w:lang w:eastAsia="fr-FR"/>
              </w:rPr>
              <w:t>L</w:t>
            </w:r>
            <w:r w:rsidR="007058CC" w:rsidRPr="00A64175">
              <w:rPr>
                <w:rFonts w:eastAsia="Times New Roman"/>
                <w:lang w:eastAsia="fr-FR"/>
              </w:rPr>
              <w:t xml:space="preserve">e dépositaire met en place une procédure visant à détecter toute situation dans laquelle une contrepartie liée à des opérations portant sur les actifs de l’OPC ou de la société de gestion agissant pour le compte d’un OPC n’est pas remise à l’OPC dans les délais habituels, à en informer la société de gestion et, s’il n’a pas été remédié́ à la situation, à demander à la contrepartie de restituer les instruments financiers si possible. </w:t>
            </w:r>
          </w:p>
          <w:p w14:paraId="58D563E6" w14:textId="77777777" w:rsidR="007058CC" w:rsidRPr="00A64175" w:rsidRDefault="007058CC" w:rsidP="00A64175">
            <w:pPr>
              <w:pStyle w:val="Paragraphedeliste"/>
              <w:ind w:left="284"/>
              <w:contextualSpacing/>
              <w:rPr>
                <w:rFonts w:eastAsia="Times New Roman"/>
                <w:lang w:eastAsia="fr-FR"/>
              </w:rPr>
            </w:pPr>
          </w:p>
          <w:p w14:paraId="0D664420" w14:textId="77777777" w:rsidR="007058CC" w:rsidRPr="00A64175" w:rsidRDefault="007058CC" w:rsidP="00A64175">
            <w:pPr>
              <w:pStyle w:val="Paragraphedeliste"/>
              <w:numPr>
                <w:ilvl w:val="1"/>
                <w:numId w:val="159"/>
              </w:numPr>
              <w:spacing w:after="0" w:afterAutospacing="0" w:line="240" w:lineRule="auto"/>
              <w:ind w:left="284"/>
              <w:contextualSpacing/>
              <w:rPr>
                <w:rFonts w:eastAsia="Times New Roman"/>
                <w:lang w:eastAsia="fr-FR"/>
              </w:rPr>
            </w:pPr>
            <w:r w:rsidRPr="00A64175">
              <w:rPr>
                <w:rFonts w:eastAsia="Times New Roman"/>
                <w:lang w:eastAsia="fr-FR"/>
              </w:rPr>
              <w:t xml:space="preserve">Lorsque les transactions n’ont pas lieu sur un marché́ règlementé, les délais habituels sont évalués au regard des conditions des transactions (contrats dérivés de gré à gré, ou investissements dans des actifs immobiliers ou dans des sociétés non cotées). </w:t>
            </w:r>
          </w:p>
          <w:p w14:paraId="275043BD" w14:textId="77777777" w:rsidR="007058CC" w:rsidRPr="00A64175" w:rsidRDefault="007058CC" w:rsidP="00A64175">
            <w:pPr>
              <w:contextualSpacing/>
              <w:jc w:val="both"/>
              <w:rPr>
                <w:rFonts w:ascii="Arial" w:hAnsi="Arial" w:cs="Arial"/>
                <w:b/>
                <w:bCs/>
              </w:rPr>
            </w:pPr>
          </w:p>
        </w:tc>
      </w:tr>
      <w:tr w:rsidR="007058CC" w:rsidRPr="00A64175" w14:paraId="0D4167FA" w14:textId="77777777" w:rsidTr="000E7336">
        <w:trPr>
          <w:jc w:val="center"/>
        </w:trPr>
        <w:tc>
          <w:tcPr>
            <w:tcW w:w="10316" w:type="dxa"/>
            <w:shd w:val="clear" w:color="auto" w:fill="auto"/>
          </w:tcPr>
          <w:p w14:paraId="2CFCB204" w14:textId="5D60B386" w:rsidR="007058CC" w:rsidRPr="00A64175" w:rsidRDefault="00981104"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502 </w:t>
            </w:r>
            <w:r w:rsidR="007058CC" w:rsidRPr="00A64175">
              <w:rPr>
                <w:rFonts w:ascii="Arial" w:eastAsia="Times New Roman" w:hAnsi="Arial" w:cs="Arial"/>
                <w:b/>
                <w:bCs/>
                <w:lang w:eastAsia="fr-FR"/>
              </w:rPr>
              <w:t>-</w:t>
            </w:r>
          </w:p>
          <w:p w14:paraId="7546181F" w14:textId="762DBD9A" w:rsidR="007058CC" w:rsidRPr="00A64175" w:rsidRDefault="007058CC" w:rsidP="00A64175">
            <w:pPr>
              <w:pStyle w:val="Paragraphedeliste"/>
              <w:numPr>
                <w:ilvl w:val="1"/>
                <w:numId w:val="160"/>
              </w:numPr>
              <w:spacing w:after="0" w:afterAutospacing="0" w:line="240" w:lineRule="auto"/>
              <w:ind w:left="284"/>
              <w:contextualSpacing/>
              <w:rPr>
                <w:rFonts w:eastAsia="Times New Roman"/>
                <w:lang w:eastAsia="fr-FR"/>
              </w:rPr>
            </w:pPr>
            <w:r w:rsidRPr="00A64175">
              <w:rPr>
                <w:rFonts w:eastAsia="Times New Roman"/>
                <w:lang w:eastAsia="fr-FR"/>
              </w:rPr>
              <w:t>Afin de se conformer à ses obligations</w:t>
            </w:r>
            <w:r w:rsidR="00981104" w:rsidRPr="00A64175">
              <w:rPr>
                <w:rFonts w:eastAsia="Times New Roman"/>
                <w:lang w:eastAsia="fr-FR"/>
              </w:rPr>
              <w:t xml:space="preserve"> réglementaires,</w:t>
            </w:r>
            <w:r w:rsidRPr="00A64175">
              <w:rPr>
                <w:rFonts w:eastAsia="Times New Roman"/>
                <w:lang w:eastAsia="fr-FR"/>
              </w:rPr>
              <w:t xml:space="preserve"> le dépositaire : </w:t>
            </w:r>
          </w:p>
          <w:p w14:paraId="1D1840D8" w14:textId="77777777" w:rsidR="007058CC" w:rsidRPr="00A64175" w:rsidRDefault="007058CC" w:rsidP="00A64175">
            <w:pPr>
              <w:pStyle w:val="Paragraphedeliste"/>
              <w:ind w:left="284"/>
              <w:contextualSpacing/>
              <w:rPr>
                <w:rFonts w:eastAsia="Times New Roman"/>
                <w:lang w:eastAsia="fr-FR"/>
              </w:rPr>
            </w:pPr>
          </w:p>
          <w:p w14:paraId="467C6161" w14:textId="77777777" w:rsidR="007058CC" w:rsidRPr="00A64175" w:rsidRDefault="007058CC" w:rsidP="00A64175">
            <w:pPr>
              <w:pStyle w:val="Paragraphedeliste"/>
              <w:numPr>
                <w:ilvl w:val="0"/>
                <w:numId w:val="161"/>
              </w:numPr>
              <w:spacing w:after="0" w:afterAutospacing="0" w:line="240" w:lineRule="auto"/>
              <w:contextualSpacing/>
              <w:rPr>
                <w:rFonts w:eastAsia="Times New Roman"/>
                <w:lang w:eastAsia="fr-FR"/>
              </w:rPr>
            </w:pPr>
            <w:r w:rsidRPr="00A64175">
              <w:rPr>
                <w:rFonts w:eastAsia="Times New Roman"/>
                <w:lang w:eastAsia="fr-FR"/>
              </w:rPr>
              <w:t>S’assure que le calcul du résultat net de l’OPC, après déclaration par la société de gestion, est effectué conformément au règlement et aux documents constitutifs de l’OPC ;</w:t>
            </w:r>
          </w:p>
          <w:p w14:paraId="2CB0A7F2" w14:textId="77777777" w:rsidR="007058CC" w:rsidRPr="00A64175" w:rsidRDefault="007058CC" w:rsidP="00A64175">
            <w:pPr>
              <w:pStyle w:val="Paragraphedeliste"/>
              <w:contextualSpacing/>
              <w:rPr>
                <w:rFonts w:eastAsia="Times New Roman"/>
                <w:lang w:eastAsia="fr-FR"/>
              </w:rPr>
            </w:pPr>
          </w:p>
          <w:p w14:paraId="1027C35D" w14:textId="61D40208" w:rsidR="007058CC" w:rsidRPr="00A64175" w:rsidRDefault="007058CC" w:rsidP="00A64175">
            <w:pPr>
              <w:pStyle w:val="Paragraphedeliste"/>
              <w:numPr>
                <w:ilvl w:val="0"/>
                <w:numId w:val="161"/>
              </w:numPr>
              <w:spacing w:after="0" w:afterAutospacing="0" w:line="240" w:lineRule="auto"/>
              <w:contextualSpacing/>
              <w:rPr>
                <w:rFonts w:eastAsia="Times New Roman"/>
                <w:lang w:eastAsia="fr-FR"/>
              </w:rPr>
            </w:pPr>
            <w:r w:rsidRPr="00A64175">
              <w:rPr>
                <w:rFonts w:eastAsia="Times New Roman"/>
                <w:lang w:eastAsia="fr-FR"/>
              </w:rPr>
              <w:t xml:space="preserve">Fait en sorte que des mesures appropriées soient prises lorsque les contrôleurs des comptes du fonds ont émis des réserves sur les états financiers annuels. L’OPC, ou la société de gestion agissant pour le compte de l’OPC, fournit au dépositaire toutes les informations relatives aux réserves exprimées au sujet des états financiers ; </w:t>
            </w:r>
          </w:p>
          <w:p w14:paraId="607E6F18" w14:textId="77777777" w:rsidR="007058CC" w:rsidRPr="00A64175" w:rsidRDefault="007058CC" w:rsidP="00A64175">
            <w:pPr>
              <w:pStyle w:val="Paragraphedeliste"/>
              <w:contextualSpacing/>
              <w:rPr>
                <w:rFonts w:eastAsia="Times New Roman"/>
                <w:lang w:eastAsia="fr-FR"/>
              </w:rPr>
            </w:pPr>
          </w:p>
          <w:p w14:paraId="6D78E147" w14:textId="77777777" w:rsidR="007058CC" w:rsidRPr="00A64175" w:rsidRDefault="007058CC" w:rsidP="00A64175">
            <w:pPr>
              <w:pStyle w:val="Paragraphedeliste"/>
              <w:numPr>
                <w:ilvl w:val="0"/>
                <w:numId w:val="161"/>
              </w:numPr>
              <w:spacing w:before="0" w:beforeAutospacing="0" w:after="0" w:afterAutospacing="0" w:line="240" w:lineRule="auto"/>
              <w:ind w:hanging="357"/>
              <w:contextualSpacing/>
              <w:rPr>
                <w:rFonts w:eastAsia="Times New Roman"/>
                <w:lang w:eastAsia="fr-FR"/>
              </w:rPr>
            </w:pPr>
            <w:r w:rsidRPr="00A64175">
              <w:rPr>
                <w:rFonts w:eastAsia="Times New Roman"/>
                <w:lang w:eastAsia="fr-FR"/>
              </w:rPr>
              <w:t>Vérifie le caractère complet et exact des paiements de dividendes, après déclaration par le gestionnaire, ainsi que, le cas échéant, de l’intéressement aux plus-values.</w:t>
            </w:r>
          </w:p>
          <w:p w14:paraId="516760C5" w14:textId="77777777" w:rsidR="007058CC" w:rsidRPr="00A64175" w:rsidRDefault="007058CC" w:rsidP="00A64175">
            <w:pPr>
              <w:contextualSpacing/>
              <w:jc w:val="both"/>
              <w:rPr>
                <w:rFonts w:ascii="Arial" w:eastAsia="Times New Roman" w:hAnsi="Arial" w:cs="Arial"/>
                <w:lang w:eastAsia="fr-FR"/>
              </w:rPr>
            </w:pPr>
          </w:p>
          <w:p w14:paraId="05F848B3" w14:textId="77777777" w:rsidR="007058CC" w:rsidRPr="00A64175" w:rsidRDefault="007058CC" w:rsidP="00A64175">
            <w:pPr>
              <w:pStyle w:val="Paragraphedeliste"/>
              <w:numPr>
                <w:ilvl w:val="1"/>
                <w:numId w:val="160"/>
              </w:numPr>
              <w:spacing w:before="0" w:beforeAutospacing="0" w:after="0" w:afterAutospacing="0" w:line="240" w:lineRule="auto"/>
              <w:ind w:left="284" w:hanging="357"/>
              <w:contextualSpacing/>
              <w:rPr>
                <w:rFonts w:eastAsia="Times New Roman"/>
                <w:lang w:eastAsia="fr-FR"/>
              </w:rPr>
            </w:pPr>
            <w:r w:rsidRPr="00A64175">
              <w:rPr>
                <w:rFonts w:eastAsia="Times New Roman"/>
                <w:lang w:eastAsia="fr-FR"/>
              </w:rPr>
              <w:t xml:space="preserve">Lorsqu’un dépositaire considère que le calcul du résultat n’a pas été effectué́ conformément à la réglementation ou au règlement ou documents constitutifs de l’OPC, il le signale à la société de gestion ou à l’OPC et veille à ce que des mesures correctrices soient prises rapidement, servant au mieux les intérêts des investisseurs de l’OPC. </w:t>
            </w:r>
          </w:p>
          <w:p w14:paraId="2109BA6B" w14:textId="77777777" w:rsidR="007058CC" w:rsidRPr="00A64175" w:rsidRDefault="007058CC" w:rsidP="00A64175">
            <w:pPr>
              <w:contextualSpacing/>
              <w:jc w:val="both"/>
              <w:rPr>
                <w:rFonts w:ascii="Arial" w:hAnsi="Arial" w:cs="Arial"/>
                <w:b/>
                <w:bCs/>
              </w:rPr>
            </w:pPr>
          </w:p>
        </w:tc>
      </w:tr>
      <w:tr w:rsidR="007058CC" w:rsidRPr="00A64175" w14:paraId="7B56D343" w14:textId="77777777" w:rsidTr="000E7336">
        <w:trPr>
          <w:jc w:val="center"/>
        </w:trPr>
        <w:tc>
          <w:tcPr>
            <w:tcW w:w="10316" w:type="dxa"/>
            <w:shd w:val="clear" w:color="auto" w:fill="auto"/>
          </w:tcPr>
          <w:p w14:paraId="213E91C7" w14:textId="16884110" w:rsidR="007058CC" w:rsidRPr="00A64175" w:rsidRDefault="002611BB"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142911">
              <w:rPr>
                <w:rFonts w:ascii="Arial" w:eastAsia="Times New Roman" w:hAnsi="Arial" w:cs="Arial"/>
                <w:b/>
                <w:bCs/>
                <w:lang w:eastAsia="fr-FR"/>
              </w:rPr>
              <w:t xml:space="preserve">503 </w:t>
            </w:r>
            <w:r w:rsidR="007058CC" w:rsidRPr="00A64175">
              <w:rPr>
                <w:rFonts w:ascii="Arial" w:eastAsia="Times New Roman" w:hAnsi="Arial" w:cs="Arial"/>
                <w:b/>
                <w:bCs/>
                <w:lang w:eastAsia="fr-FR"/>
              </w:rPr>
              <w:t xml:space="preserve"> - </w:t>
            </w:r>
          </w:p>
          <w:p w14:paraId="786B3C5B" w14:textId="1AA203EB" w:rsidR="007058CC" w:rsidRPr="00A64175" w:rsidRDefault="00981104" w:rsidP="00A64175">
            <w:pPr>
              <w:pStyle w:val="Paragraphedeliste"/>
              <w:numPr>
                <w:ilvl w:val="1"/>
                <w:numId w:val="163"/>
              </w:numPr>
              <w:spacing w:after="0" w:afterAutospacing="0" w:line="240" w:lineRule="auto"/>
              <w:ind w:left="426"/>
              <w:contextualSpacing/>
              <w:rPr>
                <w:rFonts w:eastAsia="Times New Roman"/>
                <w:lang w:eastAsia="fr-FR"/>
              </w:rPr>
            </w:pPr>
            <w:r w:rsidRPr="00A64175">
              <w:rPr>
                <w:rFonts w:eastAsia="Times New Roman"/>
                <w:lang w:eastAsia="fr-FR"/>
              </w:rPr>
              <w:t>L</w:t>
            </w:r>
            <w:r w:rsidR="007058CC" w:rsidRPr="00A64175">
              <w:rPr>
                <w:rFonts w:eastAsia="Times New Roman"/>
                <w:lang w:eastAsia="fr-FR"/>
              </w:rPr>
              <w:t xml:space="preserve">e dépositaire met en œuvre et applique une procédure appropriée et documentée garantissant qu’il exerce la diligence requise pour la sélection et le suivi permanent du délégataire. Cette procédure est réexaminée régulièrement, au moins une fois par an, et mise à la disposition de la COSUMAF sur demande. </w:t>
            </w:r>
          </w:p>
          <w:p w14:paraId="44F770AF" w14:textId="77777777" w:rsidR="007058CC" w:rsidRPr="00A64175" w:rsidRDefault="007058CC" w:rsidP="00A64175">
            <w:pPr>
              <w:pStyle w:val="Paragraphedeliste"/>
              <w:ind w:left="426"/>
              <w:contextualSpacing/>
              <w:rPr>
                <w:rFonts w:eastAsia="Times New Roman"/>
                <w:lang w:eastAsia="fr-FR"/>
              </w:rPr>
            </w:pPr>
          </w:p>
          <w:p w14:paraId="63AACCB4" w14:textId="5B067095" w:rsidR="007058CC" w:rsidRPr="00A64175" w:rsidRDefault="007058CC" w:rsidP="00A64175">
            <w:pPr>
              <w:pStyle w:val="Paragraphedeliste"/>
              <w:numPr>
                <w:ilvl w:val="1"/>
                <w:numId w:val="163"/>
              </w:numPr>
              <w:spacing w:before="0" w:beforeAutospacing="0" w:after="0" w:afterAutospacing="0" w:line="240" w:lineRule="auto"/>
              <w:ind w:left="426"/>
              <w:contextualSpacing/>
              <w:rPr>
                <w:rFonts w:eastAsia="Times New Roman"/>
                <w:lang w:eastAsia="fr-FR"/>
              </w:rPr>
            </w:pPr>
            <w:r w:rsidRPr="00A64175">
              <w:rPr>
                <w:rFonts w:eastAsia="Times New Roman"/>
                <w:lang w:eastAsia="fr-FR"/>
              </w:rPr>
              <w:t xml:space="preserve">Lorsque le dépositaire sélectionne et désigne un tiers auquel il </w:t>
            </w:r>
            <w:r w:rsidR="00981104" w:rsidRPr="00A64175">
              <w:rPr>
                <w:rFonts w:eastAsia="Times New Roman"/>
                <w:lang w:eastAsia="fr-FR"/>
              </w:rPr>
              <w:t>délègue des fonctions de garde</w:t>
            </w:r>
            <w:r w:rsidRPr="00A64175">
              <w:rPr>
                <w:rFonts w:eastAsia="Times New Roman"/>
                <w:lang w:eastAsia="fr-FR"/>
              </w:rPr>
              <w:t xml:space="preserve">, il agit avec toute la compétence, le soin et la diligence requis pour s’assurer que les instruments financiers confiés à ce tiers bénéficieront d’un niveau adéquat de protection. Il doit au moins : </w:t>
            </w:r>
          </w:p>
          <w:p w14:paraId="2A7BFB25" w14:textId="77777777" w:rsidR="007058CC" w:rsidRPr="00A64175" w:rsidRDefault="007058CC" w:rsidP="00A64175">
            <w:pPr>
              <w:contextualSpacing/>
              <w:jc w:val="both"/>
              <w:rPr>
                <w:rFonts w:ascii="Arial" w:eastAsia="Times New Roman" w:hAnsi="Arial" w:cs="Arial"/>
                <w:lang w:eastAsia="fr-FR"/>
              </w:rPr>
            </w:pPr>
          </w:p>
          <w:p w14:paraId="715E878A" w14:textId="77777777" w:rsidR="007058CC" w:rsidRPr="00A64175" w:rsidRDefault="007058CC" w:rsidP="00A64175">
            <w:pPr>
              <w:pStyle w:val="Paragraphedeliste"/>
              <w:numPr>
                <w:ilvl w:val="2"/>
                <w:numId w:val="162"/>
              </w:numPr>
              <w:spacing w:before="0" w:beforeAutospacing="0" w:after="0" w:afterAutospacing="0" w:line="240" w:lineRule="auto"/>
              <w:contextualSpacing/>
              <w:rPr>
                <w:rFonts w:eastAsia="Times New Roman"/>
                <w:lang w:eastAsia="fr-FR"/>
              </w:rPr>
            </w:pPr>
            <w:r w:rsidRPr="00A64175">
              <w:rPr>
                <w:rFonts w:eastAsia="Times New Roman"/>
                <w:lang w:eastAsia="fr-FR"/>
              </w:rPr>
              <w:t>Evaluer le cadre règlementaire et légal, y compris le risque- pays, le risque de conservation et le caractère exécutoire des contrats du tiers. Cette évaluation permet notamment au dépositaire de déterminer les incidences potentielles d’une insolvabilité́ du tiers sur les actifs et les droits de l’OPC. Si le dépositaire constate que la ségrégation des actifs n’est pas suffisante pour garantir la protection contre l’insolvabilité́, en raison de la législation du pays où est situé́ le tiers, il en informe immédiatement la société de gestion ;</w:t>
            </w:r>
          </w:p>
          <w:p w14:paraId="5282B5D0" w14:textId="77777777" w:rsidR="007058CC" w:rsidRPr="00A64175" w:rsidRDefault="007058CC" w:rsidP="00A64175">
            <w:pPr>
              <w:pStyle w:val="Paragraphedeliste"/>
              <w:contextualSpacing/>
              <w:rPr>
                <w:rFonts w:eastAsia="Times New Roman"/>
                <w:lang w:eastAsia="fr-FR"/>
              </w:rPr>
            </w:pPr>
            <w:r w:rsidRPr="00A64175">
              <w:rPr>
                <w:rFonts w:eastAsia="Times New Roman"/>
                <w:lang w:eastAsia="fr-FR"/>
              </w:rPr>
              <w:t xml:space="preserve"> </w:t>
            </w:r>
          </w:p>
          <w:p w14:paraId="7B85CFFD" w14:textId="77777777" w:rsidR="007058CC" w:rsidRPr="00A64175" w:rsidRDefault="007058CC" w:rsidP="00A64175">
            <w:pPr>
              <w:pStyle w:val="Paragraphedeliste"/>
              <w:numPr>
                <w:ilvl w:val="2"/>
                <w:numId w:val="162"/>
              </w:numPr>
              <w:spacing w:after="0" w:afterAutospacing="0" w:line="240" w:lineRule="auto"/>
              <w:contextualSpacing/>
              <w:rPr>
                <w:rFonts w:eastAsia="Times New Roman"/>
                <w:lang w:eastAsia="fr-FR"/>
              </w:rPr>
            </w:pPr>
            <w:r w:rsidRPr="00A64175">
              <w:rPr>
                <w:rFonts w:eastAsia="Times New Roman"/>
                <w:lang w:eastAsia="fr-FR"/>
              </w:rPr>
              <w:t xml:space="preserve">Evaluer si les pratiques, les procédures et les contrôles internes mis en place par le tiers sont appropriés pour garantir que les instruments financiers de l’OPC ou de la société de gestion agissant pour le compte de l’OPC bénéficient d’un niveau élevé́ de soin et de protection ; </w:t>
            </w:r>
          </w:p>
          <w:p w14:paraId="57891E89" w14:textId="77777777" w:rsidR="007058CC" w:rsidRPr="00A64175" w:rsidRDefault="007058CC" w:rsidP="00A64175">
            <w:pPr>
              <w:pStyle w:val="Paragraphedeliste"/>
              <w:contextualSpacing/>
              <w:rPr>
                <w:rFonts w:eastAsia="Times New Roman"/>
                <w:lang w:eastAsia="fr-FR"/>
              </w:rPr>
            </w:pPr>
          </w:p>
          <w:p w14:paraId="426550E6" w14:textId="1F3EB4F9" w:rsidR="007058CC" w:rsidRPr="00A64175" w:rsidRDefault="007058CC" w:rsidP="00A64175">
            <w:pPr>
              <w:pStyle w:val="Paragraphedeliste"/>
              <w:numPr>
                <w:ilvl w:val="2"/>
                <w:numId w:val="162"/>
              </w:numPr>
              <w:spacing w:after="0" w:afterAutospacing="0" w:line="240" w:lineRule="auto"/>
              <w:contextualSpacing/>
              <w:rPr>
                <w:rFonts w:eastAsia="Times New Roman"/>
                <w:lang w:eastAsia="fr-FR"/>
              </w:rPr>
            </w:pPr>
            <w:r w:rsidRPr="00A64175">
              <w:rPr>
                <w:rFonts w:eastAsia="Times New Roman"/>
                <w:lang w:eastAsia="fr-FR"/>
              </w:rPr>
              <w:t xml:space="preserve">Evaluer si la solidité́ et </w:t>
            </w:r>
            <w:r w:rsidR="005C0F2E" w:rsidRPr="00A64175">
              <w:rPr>
                <w:rFonts w:eastAsia="Times New Roman"/>
                <w:lang w:eastAsia="fr-FR"/>
              </w:rPr>
              <w:t>la réputation financière</w:t>
            </w:r>
            <w:r w:rsidRPr="00A64175">
              <w:rPr>
                <w:rFonts w:eastAsia="Times New Roman"/>
                <w:lang w:eastAsia="fr-FR"/>
              </w:rPr>
              <w:t xml:space="preserve"> du tiers sont compatibles avec les tâches déléguées. Cette évaluation se fonde sur les informations fournies par le tiers envisagé ainsi que, si possible, sur d’autres données et informations ; </w:t>
            </w:r>
          </w:p>
          <w:p w14:paraId="43DD6D4F" w14:textId="77777777" w:rsidR="007058CC" w:rsidRPr="00A64175" w:rsidRDefault="007058CC" w:rsidP="00A64175">
            <w:pPr>
              <w:pStyle w:val="Paragraphedeliste"/>
              <w:contextualSpacing/>
              <w:rPr>
                <w:rFonts w:eastAsia="Times New Roman"/>
                <w:lang w:eastAsia="fr-FR"/>
              </w:rPr>
            </w:pPr>
          </w:p>
          <w:p w14:paraId="20B73CCD" w14:textId="77777777" w:rsidR="007058CC" w:rsidRPr="00A64175" w:rsidRDefault="007058CC" w:rsidP="00A64175">
            <w:pPr>
              <w:pStyle w:val="Paragraphedeliste"/>
              <w:numPr>
                <w:ilvl w:val="2"/>
                <w:numId w:val="162"/>
              </w:numPr>
              <w:spacing w:before="0" w:beforeAutospacing="0" w:after="0" w:afterAutospacing="0" w:line="240" w:lineRule="auto"/>
              <w:contextualSpacing/>
              <w:rPr>
                <w:rFonts w:eastAsia="Times New Roman"/>
                <w:lang w:eastAsia="fr-FR"/>
              </w:rPr>
            </w:pPr>
            <w:r w:rsidRPr="00A64175">
              <w:rPr>
                <w:rFonts w:eastAsia="Times New Roman"/>
                <w:lang w:eastAsia="fr-FR"/>
              </w:rPr>
              <w:t>Veiller à ce que le tiers dispose des capacités opérationnelles et techniques lui permettant d’exécuter les tâches de conservation déléguées en assurant un degré́ satisfaisant de protection et de sécurité.</w:t>
            </w:r>
          </w:p>
          <w:p w14:paraId="30A45ACB" w14:textId="77777777" w:rsidR="007058CC" w:rsidRPr="00A64175" w:rsidRDefault="007058CC" w:rsidP="00A64175">
            <w:pPr>
              <w:contextualSpacing/>
              <w:jc w:val="both"/>
              <w:rPr>
                <w:rFonts w:ascii="Arial" w:eastAsia="Times New Roman" w:hAnsi="Arial" w:cs="Arial"/>
                <w:lang w:eastAsia="fr-FR"/>
              </w:rPr>
            </w:pPr>
          </w:p>
          <w:p w14:paraId="2C3BDAD0" w14:textId="09324E2E" w:rsidR="007058CC" w:rsidRPr="00A64175" w:rsidRDefault="007058CC" w:rsidP="00A64175">
            <w:pPr>
              <w:pStyle w:val="Paragraphedeliste"/>
              <w:numPr>
                <w:ilvl w:val="1"/>
                <w:numId w:val="163"/>
              </w:numPr>
              <w:spacing w:before="0" w:beforeAutospacing="0" w:after="0" w:afterAutospacing="0" w:line="240" w:lineRule="auto"/>
              <w:ind w:left="284"/>
              <w:contextualSpacing/>
              <w:rPr>
                <w:rFonts w:eastAsia="Times New Roman"/>
                <w:lang w:eastAsia="fr-FR"/>
              </w:rPr>
            </w:pPr>
            <w:r w:rsidRPr="00A64175">
              <w:rPr>
                <w:rFonts w:eastAsia="Times New Roman"/>
                <w:lang w:eastAsia="fr-FR"/>
              </w:rPr>
              <w:t>Le dépositaire procède avec toute la compétence, le soin et la diligence requis à l’évaluation périodique</w:t>
            </w:r>
            <w:r w:rsidR="002E082D">
              <w:rPr>
                <w:rFonts w:eastAsia="Times New Roman"/>
                <w:lang w:eastAsia="fr-FR"/>
              </w:rPr>
              <w:t xml:space="preserve"> des actifs</w:t>
            </w:r>
            <w:r w:rsidRPr="00A64175">
              <w:rPr>
                <w:rFonts w:eastAsia="Times New Roman"/>
                <w:lang w:eastAsia="fr-FR"/>
              </w:rPr>
              <w:t xml:space="preserve"> et au suivi permanent visant à vérifier que le tiers conti</w:t>
            </w:r>
            <w:r w:rsidR="002611BB" w:rsidRPr="00A64175">
              <w:rPr>
                <w:rFonts w:eastAsia="Times New Roman"/>
                <w:lang w:eastAsia="fr-FR"/>
              </w:rPr>
              <w:t>nue de se conformer à ses obligations</w:t>
            </w:r>
            <w:r w:rsidRPr="00A64175">
              <w:rPr>
                <w:rFonts w:eastAsia="Times New Roman"/>
                <w:lang w:eastAsia="fr-FR"/>
              </w:rPr>
              <w:t xml:space="preserve">. À cette fin, le dépositaire effectue au moins les actions suivantes : </w:t>
            </w:r>
          </w:p>
          <w:p w14:paraId="0F4638D4" w14:textId="77777777" w:rsidR="007058CC" w:rsidRPr="00A64175" w:rsidRDefault="007058CC" w:rsidP="00A64175">
            <w:pPr>
              <w:numPr>
                <w:ilvl w:val="0"/>
                <w:numId w:val="164"/>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assure le suivi des performances du tiers et du respect, par ce dernier, des normes du dépositaire ; </w:t>
            </w:r>
          </w:p>
          <w:p w14:paraId="13FED9A3" w14:textId="77777777" w:rsidR="007058CC" w:rsidRPr="00A64175" w:rsidRDefault="007058CC" w:rsidP="00A64175">
            <w:pPr>
              <w:ind w:left="720"/>
              <w:contextualSpacing/>
              <w:jc w:val="both"/>
              <w:rPr>
                <w:rFonts w:ascii="Arial" w:eastAsia="Times New Roman" w:hAnsi="Arial" w:cs="Arial"/>
                <w:lang w:eastAsia="fr-FR"/>
              </w:rPr>
            </w:pPr>
          </w:p>
          <w:p w14:paraId="3A63BC77" w14:textId="16629CCE" w:rsidR="007058CC" w:rsidRDefault="007058CC" w:rsidP="00A64175">
            <w:pPr>
              <w:numPr>
                <w:ilvl w:val="0"/>
                <w:numId w:val="164"/>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Il veille à ce que le tiers exécute ses tâches de conservation avec un niveau élevé de soin, de prudence et de diligence et, en particulier, qu’il assure la ségrégation effective des instruments financiers</w:t>
            </w:r>
            <w:r w:rsidR="002611BB" w:rsidRPr="00A64175">
              <w:rPr>
                <w:rFonts w:ascii="Arial" w:eastAsia="Times New Roman" w:hAnsi="Arial" w:cs="Arial"/>
                <w:lang w:eastAsia="fr-FR"/>
              </w:rPr>
              <w:t> ;</w:t>
            </w:r>
          </w:p>
          <w:p w14:paraId="43B1799E" w14:textId="77777777" w:rsidR="005C0F2E" w:rsidRPr="00A64175" w:rsidRDefault="005C0F2E" w:rsidP="005C0F2E">
            <w:pPr>
              <w:spacing w:before="100" w:beforeAutospacing="1"/>
              <w:contextualSpacing/>
              <w:jc w:val="both"/>
              <w:rPr>
                <w:rFonts w:ascii="Arial" w:eastAsia="Times New Roman" w:hAnsi="Arial" w:cs="Arial"/>
                <w:lang w:eastAsia="fr-FR"/>
              </w:rPr>
            </w:pPr>
          </w:p>
          <w:p w14:paraId="1F41F6CD" w14:textId="0434C1E8" w:rsidR="007058CC" w:rsidRPr="00A64175" w:rsidRDefault="007058CC" w:rsidP="00A64175">
            <w:pPr>
              <w:numPr>
                <w:ilvl w:val="0"/>
                <w:numId w:val="164"/>
              </w:numPr>
              <w:spacing w:before="100" w:beforeAutospacing="1"/>
              <w:contextualSpacing/>
              <w:jc w:val="both"/>
              <w:rPr>
                <w:rFonts w:ascii="Arial" w:eastAsia="Times New Roman" w:hAnsi="Arial" w:cs="Arial"/>
                <w:lang w:eastAsia="fr-FR"/>
              </w:rPr>
            </w:pPr>
            <w:r w:rsidRPr="00A64175">
              <w:rPr>
                <w:rFonts w:ascii="Arial" w:eastAsia="Times New Roman" w:hAnsi="Arial" w:cs="Arial"/>
                <w:lang w:eastAsia="fr-FR"/>
              </w:rPr>
              <w:t xml:space="preserve">Il réexamine les risques de conservation liés à la décision de confier les actifs au tiers, et signale toute modification de ces risques à l’OPC ou à la société de gestion dans les meilleurs délais.  </w:t>
            </w:r>
            <w:r w:rsidR="002E082D">
              <w:rPr>
                <w:rFonts w:ascii="Arial" w:eastAsia="Times New Roman" w:hAnsi="Arial" w:cs="Arial"/>
                <w:lang w:eastAsia="fr-FR"/>
              </w:rPr>
              <w:t>L’</w:t>
            </w:r>
            <w:r w:rsidRPr="00A64175">
              <w:rPr>
                <w:rFonts w:ascii="Arial" w:eastAsia="Times New Roman" w:hAnsi="Arial" w:cs="Arial"/>
                <w:lang w:eastAsia="fr-FR"/>
              </w:rPr>
              <w:t>évaluation</w:t>
            </w:r>
            <w:r w:rsidR="002E082D">
              <w:rPr>
                <w:rFonts w:ascii="Arial" w:eastAsia="Times New Roman" w:hAnsi="Arial" w:cs="Arial"/>
                <w:lang w:eastAsia="fr-FR"/>
              </w:rPr>
              <w:t xml:space="preserve"> des actifs</w:t>
            </w:r>
            <w:r w:rsidRPr="00A64175">
              <w:rPr>
                <w:rFonts w:ascii="Arial" w:eastAsia="Times New Roman" w:hAnsi="Arial" w:cs="Arial"/>
                <w:lang w:eastAsia="fr-FR"/>
              </w:rPr>
              <w:t xml:space="preserve"> se fonde sur les informations fournies par le tiers ainsi que, si possible, sur d’autres données et informations. Lorsque les marchés connaissent des perturbations ou qu’un risque a été détecté́, la fréquence du réexamen est accrue et son champ d’application est élargi. Si le dépositaire constate que la ségrégation des actifs n’est plus suffisante pour garantir la protection contre l’insolvabilité́ en raison de la législation du pays où est situé le tiers, il en informe immédiatement le gestionnaire. </w:t>
            </w:r>
          </w:p>
          <w:p w14:paraId="40A5DA95" w14:textId="77777777" w:rsidR="007058CC" w:rsidRPr="00A64175" w:rsidRDefault="007058CC" w:rsidP="00A64175">
            <w:pPr>
              <w:pStyle w:val="Paragraphedeliste"/>
              <w:numPr>
                <w:ilvl w:val="1"/>
                <w:numId w:val="163"/>
              </w:numPr>
              <w:spacing w:after="0" w:afterAutospacing="0" w:line="240" w:lineRule="auto"/>
              <w:ind w:left="426"/>
              <w:contextualSpacing/>
              <w:rPr>
                <w:rFonts w:eastAsia="Times New Roman"/>
                <w:lang w:eastAsia="fr-FR"/>
              </w:rPr>
            </w:pPr>
            <w:r w:rsidRPr="00A64175">
              <w:rPr>
                <w:rFonts w:eastAsia="Times New Roman"/>
                <w:lang w:eastAsia="fr-FR"/>
              </w:rPr>
              <w:t>Lorsque le tiers délègue à son tour l’une des fonctions qui lui ont été déléguées, les conditions et critères prévus aux paragraphes 1, 2 et 3 s’appliquent par analogie.</w:t>
            </w:r>
          </w:p>
          <w:p w14:paraId="35BF643D" w14:textId="77777777" w:rsidR="007058CC" w:rsidRPr="00A64175" w:rsidRDefault="007058CC" w:rsidP="00A64175">
            <w:pPr>
              <w:pStyle w:val="Paragraphedeliste"/>
              <w:ind w:left="426"/>
              <w:contextualSpacing/>
              <w:rPr>
                <w:rFonts w:eastAsia="Times New Roman"/>
                <w:lang w:eastAsia="fr-FR"/>
              </w:rPr>
            </w:pPr>
          </w:p>
          <w:p w14:paraId="0A755766" w14:textId="365992ED" w:rsidR="007058CC" w:rsidRPr="00A64175" w:rsidRDefault="007058CC" w:rsidP="00A64175">
            <w:pPr>
              <w:pStyle w:val="Paragraphedeliste"/>
              <w:numPr>
                <w:ilvl w:val="1"/>
                <w:numId w:val="163"/>
              </w:numPr>
              <w:spacing w:after="0" w:afterAutospacing="0" w:line="240" w:lineRule="auto"/>
              <w:ind w:left="426"/>
              <w:contextualSpacing/>
              <w:rPr>
                <w:rFonts w:eastAsia="Times New Roman"/>
                <w:lang w:eastAsia="fr-FR"/>
              </w:rPr>
            </w:pPr>
            <w:r w:rsidRPr="00A64175">
              <w:rPr>
                <w:rFonts w:eastAsia="Times New Roman"/>
                <w:lang w:eastAsia="fr-FR"/>
              </w:rPr>
              <w:t xml:space="preserve">Le dépositaire élabore un plan d’urgence pour chaque marché sur lequel il désigne un tiers </w:t>
            </w:r>
            <w:r w:rsidR="002611BB" w:rsidRPr="00A64175">
              <w:rPr>
                <w:rFonts w:eastAsia="Times New Roman"/>
                <w:lang w:eastAsia="fr-FR"/>
              </w:rPr>
              <w:t xml:space="preserve"> </w:t>
            </w:r>
            <w:r w:rsidRPr="00A64175">
              <w:rPr>
                <w:rFonts w:eastAsia="Times New Roman"/>
                <w:lang w:eastAsia="fr-FR"/>
              </w:rPr>
              <w:t>pour exercer des fonctions de garde. Ce plan d’urgence désigne, si possible, un prestataire de remplacement.</w:t>
            </w:r>
          </w:p>
          <w:p w14:paraId="52A6925C" w14:textId="77777777" w:rsidR="007058CC" w:rsidRPr="00A64175" w:rsidRDefault="007058CC" w:rsidP="00A64175">
            <w:pPr>
              <w:pStyle w:val="Paragraphedeliste"/>
              <w:ind w:left="426"/>
              <w:contextualSpacing/>
              <w:rPr>
                <w:rFonts w:eastAsia="Times New Roman"/>
                <w:lang w:eastAsia="fr-FR"/>
              </w:rPr>
            </w:pPr>
          </w:p>
          <w:p w14:paraId="5B49B700" w14:textId="77777777" w:rsidR="007058CC" w:rsidRDefault="007058CC" w:rsidP="00A64175">
            <w:pPr>
              <w:pStyle w:val="Paragraphedeliste"/>
              <w:numPr>
                <w:ilvl w:val="1"/>
                <w:numId w:val="163"/>
              </w:numPr>
              <w:spacing w:after="0" w:afterAutospacing="0" w:line="240" w:lineRule="auto"/>
              <w:ind w:left="426"/>
              <w:contextualSpacing/>
              <w:rPr>
                <w:rFonts w:eastAsia="Times New Roman"/>
                <w:lang w:eastAsia="fr-FR"/>
              </w:rPr>
            </w:pPr>
            <w:r w:rsidRPr="00A64175">
              <w:rPr>
                <w:rFonts w:eastAsia="Times New Roman"/>
                <w:lang w:eastAsia="fr-FR"/>
              </w:rPr>
              <w:t>Si le délégataire cesse de remplir ses obligations, le dépositaire prend les mesures qui servent au mieux les intérêts de l’OPC et de ses investisseurs, y compris la résiliation du contrat.</w:t>
            </w:r>
          </w:p>
          <w:p w14:paraId="551538B9" w14:textId="77777777" w:rsidR="005C0F2E" w:rsidRPr="005C0F2E" w:rsidRDefault="005C0F2E" w:rsidP="005C0F2E">
            <w:pPr>
              <w:contextualSpacing/>
              <w:rPr>
                <w:rFonts w:eastAsia="Times New Roman"/>
                <w:lang w:eastAsia="fr-FR"/>
              </w:rPr>
            </w:pPr>
          </w:p>
          <w:p w14:paraId="35FE6433" w14:textId="77777777" w:rsidR="007058CC" w:rsidRPr="005C0F2E" w:rsidRDefault="007058CC" w:rsidP="005C0F2E">
            <w:pPr>
              <w:contextualSpacing/>
              <w:rPr>
                <w:rFonts w:eastAsia="Times New Roman"/>
                <w:lang w:eastAsia="fr-FR"/>
              </w:rPr>
            </w:pPr>
          </w:p>
        </w:tc>
      </w:tr>
      <w:tr w:rsidR="007058CC" w:rsidRPr="00A64175" w14:paraId="4783E712" w14:textId="77777777" w:rsidTr="000E7336">
        <w:trPr>
          <w:jc w:val="center"/>
        </w:trPr>
        <w:tc>
          <w:tcPr>
            <w:tcW w:w="10316" w:type="dxa"/>
            <w:shd w:val="clear" w:color="auto" w:fill="auto"/>
          </w:tcPr>
          <w:p w14:paraId="4CF3B045" w14:textId="45A46C07" w:rsidR="007058CC" w:rsidRPr="00A64175" w:rsidRDefault="002611BB"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7D68D6">
              <w:rPr>
                <w:rFonts w:ascii="Arial" w:eastAsia="Times New Roman" w:hAnsi="Arial" w:cs="Arial"/>
                <w:b/>
                <w:bCs/>
                <w:lang w:eastAsia="fr-FR"/>
              </w:rPr>
              <w:t>50</w:t>
            </w:r>
            <w:r w:rsidR="00142911">
              <w:rPr>
                <w:rFonts w:ascii="Arial" w:eastAsia="Times New Roman" w:hAnsi="Arial" w:cs="Arial"/>
                <w:b/>
                <w:bCs/>
                <w:lang w:eastAsia="fr-FR"/>
              </w:rPr>
              <w:t xml:space="preserve">4 </w:t>
            </w:r>
            <w:r w:rsidR="007058CC" w:rsidRPr="00A64175">
              <w:rPr>
                <w:rFonts w:ascii="Arial" w:eastAsia="Times New Roman" w:hAnsi="Arial" w:cs="Arial"/>
                <w:b/>
                <w:bCs/>
                <w:lang w:eastAsia="fr-FR"/>
              </w:rPr>
              <w:t xml:space="preserve"> - </w:t>
            </w:r>
          </w:p>
          <w:p w14:paraId="3BBE1584" w14:textId="5990060E" w:rsidR="007058CC" w:rsidRPr="00A64175" w:rsidRDefault="007058CC" w:rsidP="00A64175">
            <w:pPr>
              <w:pStyle w:val="Paragraphedeliste"/>
              <w:numPr>
                <w:ilvl w:val="0"/>
                <w:numId w:val="165"/>
              </w:numPr>
              <w:tabs>
                <w:tab w:val="clear" w:pos="720"/>
              </w:tabs>
              <w:spacing w:after="0" w:afterAutospacing="0" w:line="240" w:lineRule="auto"/>
              <w:ind w:left="426"/>
              <w:contextualSpacing/>
              <w:rPr>
                <w:rFonts w:eastAsia="Times New Roman"/>
                <w:lang w:eastAsia="fr-FR"/>
              </w:rPr>
            </w:pPr>
            <w:r w:rsidRPr="00A64175">
              <w:rPr>
                <w:rFonts w:eastAsia="Times New Roman"/>
                <w:lang w:eastAsia="fr-FR"/>
              </w:rPr>
              <w:t>Lorsque les fonctions de garde ont été déléguées en tout ou en partie à un tiers, le dépositaire veille à ce que ce tiers, auquel les fonctions de garde sont déléguées</w:t>
            </w:r>
            <w:r w:rsidR="002611BB" w:rsidRPr="00A64175">
              <w:rPr>
                <w:rFonts w:eastAsia="Times New Roman"/>
                <w:lang w:eastAsia="fr-FR"/>
              </w:rPr>
              <w:t>,</w:t>
            </w:r>
            <w:r w:rsidRPr="00A64175">
              <w:rPr>
                <w:rFonts w:eastAsia="Times New Roman"/>
                <w:lang w:eastAsia="fr-FR"/>
              </w:rPr>
              <w:t xml:space="preserve"> respecte l’obligation de ségrégation en vérifiant qu’il : </w:t>
            </w:r>
          </w:p>
          <w:p w14:paraId="064C499D" w14:textId="77777777" w:rsidR="007058CC" w:rsidRPr="00A64175" w:rsidRDefault="007058CC" w:rsidP="00A64175">
            <w:pPr>
              <w:pStyle w:val="Paragraphedeliste"/>
              <w:ind w:left="426"/>
              <w:contextualSpacing/>
              <w:rPr>
                <w:rFonts w:eastAsia="Times New Roman"/>
                <w:lang w:eastAsia="fr-FR"/>
              </w:rPr>
            </w:pPr>
          </w:p>
          <w:p w14:paraId="37B0CBA6" w14:textId="77777777" w:rsidR="007058CC" w:rsidRPr="00A64175" w:rsidRDefault="007058CC" w:rsidP="00A64175">
            <w:pPr>
              <w:pStyle w:val="Paragraphedeliste"/>
              <w:numPr>
                <w:ilvl w:val="2"/>
                <w:numId w:val="159"/>
              </w:numPr>
              <w:spacing w:after="0" w:afterAutospacing="0" w:line="240" w:lineRule="auto"/>
              <w:ind w:left="993"/>
              <w:contextualSpacing/>
              <w:rPr>
                <w:rFonts w:eastAsia="Times New Roman"/>
                <w:lang w:eastAsia="fr-FR"/>
              </w:rPr>
            </w:pPr>
            <w:r w:rsidRPr="00A64175">
              <w:rPr>
                <w:rFonts w:eastAsia="Times New Roman"/>
                <w:lang w:eastAsia="fr-FR"/>
              </w:rPr>
              <w:t xml:space="preserve"> Tient les registres et comptes nécessaires pour lui permettre, rapidement et à tout moment, de distinguer les actifs des OPC clients du dépositaire de ses propres actifs, des actifs de ses autres clients, des actifs détenus par le dépositaire pour son propre compte et des actifs détenus pour des clients du dépositaire qui ne sont pas des OPC ; </w:t>
            </w:r>
          </w:p>
          <w:p w14:paraId="14818150" w14:textId="77777777" w:rsidR="007058CC" w:rsidRPr="00A64175" w:rsidRDefault="007058CC" w:rsidP="00A64175">
            <w:pPr>
              <w:pStyle w:val="Paragraphedeliste"/>
              <w:ind w:left="993"/>
              <w:contextualSpacing/>
              <w:rPr>
                <w:rFonts w:eastAsia="Times New Roman"/>
                <w:lang w:eastAsia="fr-FR"/>
              </w:rPr>
            </w:pPr>
          </w:p>
          <w:p w14:paraId="474AA404" w14:textId="77777777" w:rsidR="007058CC" w:rsidRPr="00A64175" w:rsidRDefault="007058CC" w:rsidP="00A64175">
            <w:pPr>
              <w:pStyle w:val="Paragraphedeliste"/>
              <w:numPr>
                <w:ilvl w:val="2"/>
                <w:numId w:val="159"/>
              </w:numPr>
              <w:spacing w:after="0" w:afterAutospacing="0" w:line="240" w:lineRule="auto"/>
              <w:ind w:left="993"/>
              <w:contextualSpacing/>
              <w:rPr>
                <w:rFonts w:eastAsia="Times New Roman"/>
                <w:lang w:eastAsia="fr-FR"/>
              </w:rPr>
            </w:pPr>
            <w:r w:rsidRPr="00A64175">
              <w:rPr>
                <w:rFonts w:eastAsia="Times New Roman"/>
                <w:lang w:eastAsia="fr-FR"/>
              </w:rPr>
              <w:t xml:space="preserve">Tient ces registres et comptes de manière à garantir leur exactitude, et notamment leur correspondance avec les actifs gardés pour les clients du dépositaire ; </w:t>
            </w:r>
          </w:p>
          <w:p w14:paraId="15831203" w14:textId="77777777" w:rsidR="007058CC" w:rsidRPr="00A64175" w:rsidRDefault="007058CC" w:rsidP="00A64175">
            <w:pPr>
              <w:pStyle w:val="Paragraphedeliste"/>
              <w:contextualSpacing/>
              <w:rPr>
                <w:rFonts w:eastAsia="Times New Roman"/>
                <w:lang w:eastAsia="fr-FR"/>
              </w:rPr>
            </w:pPr>
          </w:p>
          <w:p w14:paraId="6056A76C" w14:textId="05453024" w:rsidR="007058CC" w:rsidRPr="00A64175" w:rsidRDefault="007058CC" w:rsidP="00A64175">
            <w:pPr>
              <w:pStyle w:val="Paragraphedeliste"/>
              <w:numPr>
                <w:ilvl w:val="2"/>
                <w:numId w:val="159"/>
              </w:numPr>
              <w:spacing w:after="0" w:afterAutospacing="0" w:line="240" w:lineRule="auto"/>
              <w:ind w:left="993"/>
              <w:contextualSpacing/>
              <w:rPr>
                <w:rFonts w:eastAsia="Times New Roman"/>
                <w:lang w:eastAsia="fr-FR"/>
              </w:rPr>
            </w:pPr>
            <w:r w:rsidRPr="00A64175">
              <w:rPr>
                <w:rFonts w:eastAsia="Times New Roman"/>
                <w:lang w:eastAsia="fr-FR"/>
              </w:rPr>
              <w:t>Effectue régulièrement des rapprochements entre ses comptes et registres internes et ceux du tiers auquel il a délégué des fonctions de garde;</w:t>
            </w:r>
          </w:p>
          <w:p w14:paraId="7761CC1F" w14:textId="77777777" w:rsidR="007058CC" w:rsidRPr="00A64175" w:rsidRDefault="007058CC" w:rsidP="00A64175">
            <w:pPr>
              <w:pStyle w:val="Paragraphedeliste"/>
              <w:contextualSpacing/>
              <w:rPr>
                <w:rFonts w:eastAsia="Times New Roman"/>
                <w:lang w:eastAsia="fr-FR"/>
              </w:rPr>
            </w:pPr>
          </w:p>
          <w:p w14:paraId="7DE0C50F" w14:textId="77777777" w:rsidR="007058CC" w:rsidRPr="00A64175" w:rsidRDefault="007058CC" w:rsidP="00A64175">
            <w:pPr>
              <w:pStyle w:val="Paragraphedeliste"/>
              <w:numPr>
                <w:ilvl w:val="2"/>
                <w:numId w:val="159"/>
              </w:numPr>
              <w:spacing w:after="0" w:afterAutospacing="0" w:line="240" w:lineRule="auto"/>
              <w:ind w:left="993"/>
              <w:contextualSpacing/>
              <w:rPr>
                <w:rFonts w:eastAsia="Times New Roman"/>
                <w:lang w:eastAsia="fr-FR"/>
              </w:rPr>
            </w:pPr>
            <w:r w:rsidRPr="00A64175">
              <w:rPr>
                <w:rFonts w:eastAsia="Times New Roman"/>
                <w:lang w:eastAsia="fr-FR"/>
              </w:rPr>
              <w:t>Met en place des dispositions organisationnelles appropriées pour minimiser le risque de perte ou de diminution de la valeur des instruments financiers, ou des droits liés à ces instruments financiers, du fait d’une utilisation abusive, de fraudes, d’une gestion déficiente, d’un enregistrement inadéquat ou de négligences.</w:t>
            </w:r>
          </w:p>
          <w:p w14:paraId="32F4BDC5" w14:textId="2727654D" w:rsidR="007058CC" w:rsidRPr="00A64175" w:rsidRDefault="007058CC" w:rsidP="00A64175">
            <w:pPr>
              <w:pStyle w:val="Paragraphedeliste"/>
              <w:numPr>
                <w:ilvl w:val="0"/>
                <w:numId w:val="159"/>
              </w:numPr>
              <w:spacing w:after="0" w:afterAutospacing="0" w:line="240" w:lineRule="auto"/>
              <w:contextualSpacing/>
              <w:rPr>
                <w:rFonts w:eastAsia="Times New Roman"/>
                <w:lang w:eastAsia="fr-FR"/>
              </w:rPr>
            </w:pPr>
            <w:r w:rsidRPr="00A64175">
              <w:rPr>
                <w:rFonts w:eastAsia="Times New Roman"/>
                <w:lang w:eastAsia="fr-FR"/>
              </w:rPr>
              <w:t>Lorsqu’un dépositaire a délégué ses fonctions de conservation à un tiers</w:t>
            </w:r>
            <w:r w:rsidR="002611BB" w:rsidRPr="00A64175">
              <w:rPr>
                <w:rFonts w:eastAsia="Times New Roman"/>
                <w:lang w:eastAsia="fr-FR"/>
              </w:rPr>
              <w:t>,</w:t>
            </w:r>
            <w:r w:rsidRPr="00A64175">
              <w:rPr>
                <w:rFonts w:eastAsia="Times New Roman"/>
                <w:lang w:eastAsia="fr-FR"/>
              </w:rPr>
              <w:t xml:space="preserve"> il contrôle le respect par le tiers de ses obligations de ségrégation de façon à s’assurer que les instruments financiers appartenant à ses clients soient protégés de toute insolvabilité́ dudit tiers. Si, au regard du droit applicable, notamment de la législation relative à la propriété ou à l’insolvabilité́, les exigences énoncées au paragraphe 1</w:t>
            </w:r>
            <w:r w:rsidR="002E082D">
              <w:rPr>
                <w:rFonts w:eastAsia="Times New Roman"/>
                <w:lang w:eastAsia="fr-FR"/>
              </w:rPr>
              <w:t xml:space="preserve"> du présent article</w:t>
            </w:r>
            <w:r w:rsidRPr="00A64175">
              <w:rPr>
                <w:rFonts w:eastAsia="Times New Roman"/>
                <w:lang w:eastAsia="fr-FR"/>
              </w:rPr>
              <w:t xml:space="preserve"> ne sont pas suffisantes pour atteindre cet objectif, le dépositaire évalue si des dispositions supplémentaires doivent être prises pour minimiser le risque de perte et maintenir un niveau de protection adéquat. </w:t>
            </w:r>
          </w:p>
          <w:p w14:paraId="72210901" w14:textId="77777777" w:rsidR="007058CC" w:rsidRPr="00A64175" w:rsidRDefault="007058CC" w:rsidP="00A64175">
            <w:pPr>
              <w:pStyle w:val="Paragraphedeliste"/>
              <w:contextualSpacing/>
              <w:rPr>
                <w:rFonts w:eastAsia="Times New Roman"/>
                <w:lang w:eastAsia="fr-FR"/>
              </w:rPr>
            </w:pPr>
          </w:p>
          <w:p w14:paraId="78634E6A" w14:textId="2D65F15F" w:rsidR="007058CC" w:rsidRPr="00A64175" w:rsidRDefault="007058CC" w:rsidP="00A64175">
            <w:pPr>
              <w:pStyle w:val="Paragraphedeliste"/>
              <w:numPr>
                <w:ilvl w:val="0"/>
                <w:numId w:val="159"/>
              </w:numPr>
              <w:spacing w:after="0" w:afterAutospacing="0" w:line="240" w:lineRule="auto"/>
              <w:contextualSpacing/>
              <w:rPr>
                <w:rFonts w:eastAsia="Times New Roman"/>
                <w:lang w:eastAsia="fr-FR"/>
              </w:rPr>
            </w:pPr>
            <w:r w:rsidRPr="00A64175">
              <w:rPr>
                <w:rFonts w:eastAsia="Times New Roman"/>
                <w:lang w:eastAsia="fr-FR"/>
              </w:rPr>
              <w:t>Les paragraphes 1 et 2</w:t>
            </w:r>
            <w:r w:rsidR="002E082D">
              <w:rPr>
                <w:rFonts w:eastAsia="Times New Roman"/>
                <w:lang w:eastAsia="fr-FR"/>
              </w:rPr>
              <w:t xml:space="preserve"> du présent article</w:t>
            </w:r>
            <w:r w:rsidRPr="00A64175">
              <w:rPr>
                <w:rFonts w:eastAsia="Times New Roman"/>
                <w:lang w:eastAsia="fr-FR"/>
              </w:rPr>
              <w:t xml:space="preserve"> s’appliquent par analogie lorsque le tiers auquel des fonctions de garde sont déléguées a décidé de déléguer tout ou partie de ses fonctions de garde à un autre tiers. </w:t>
            </w:r>
          </w:p>
          <w:p w14:paraId="14C43DCF" w14:textId="77777777" w:rsidR="007058CC" w:rsidRPr="00A64175" w:rsidRDefault="007058CC" w:rsidP="00A64175">
            <w:pPr>
              <w:contextualSpacing/>
              <w:jc w:val="both"/>
              <w:rPr>
                <w:rFonts w:ascii="Arial" w:hAnsi="Arial" w:cs="Arial"/>
                <w:b/>
                <w:bCs/>
              </w:rPr>
            </w:pPr>
          </w:p>
        </w:tc>
      </w:tr>
      <w:tr w:rsidR="007058CC" w:rsidRPr="00A64175" w14:paraId="1EDE3ED6" w14:textId="77777777" w:rsidTr="000E7336">
        <w:trPr>
          <w:jc w:val="center"/>
        </w:trPr>
        <w:tc>
          <w:tcPr>
            <w:tcW w:w="10316" w:type="dxa"/>
            <w:shd w:val="clear" w:color="auto" w:fill="auto"/>
          </w:tcPr>
          <w:p w14:paraId="2A447236" w14:textId="77777777" w:rsidR="007058CC" w:rsidRPr="00A64175" w:rsidRDefault="007058CC"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Section III : Perte d’instruments financiers et décharge de responsabilité </w:t>
            </w:r>
          </w:p>
        </w:tc>
      </w:tr>
      <w:tr w:rsidR="007058CC" w:rsidRPr="00A64175" w14:paraId="100C8C6F" w14:textId="77777777" w:rsidTr="000E7336">
        <w:trPr>
          <w:jc w:val="center"/>
        </w:trPr>
        <w:tc>
          <w:tcPr>
            <w:tcW w:w="10316" w:type="dxa"/>
            <w:shd w:val="clear" w:color="auto" w:fill="auto"/>
          </w:tcPr>
          <w:p w14:paraId="4F1D5A94" w14:textId="77777777" w:rsidR="007058CC" w:rsidRPr="00A64175" w:rsidRDefault="007058CC" w:rsidP="00A64175">
            <w:pPr>
              <w:contextualSpacing/>
              <w:jc w:val="both"/>
              <w:rPr>
                <w:rFonts w:ascii="Arial" w:eastAsia="Times New Roman" w:hAnsi="Arial" w:cs="Arial"/>
                <w:b/>
                <w:bCs/>
                <w:lang w:eastAsia="fr-FR"/>
              </w:rPr>
            </w:pPr>
          </w:p>
          <w:p w14:paraId="3428BA81" w14:textId="26574D4F" w:rsidR="007058CC" w:rsidRPr="00A64175" w:rsidRDefault="002611BB"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 xml:space="preserve">Article </w:t>
            </w:r>
            <w:r w:rsidR="005B705C">
              <w:rPr>
                <w:rFonts w:ascii="Arial" w:eastAsia="Times New Roman" w:hAnsi="Arial" w:cs="Arial"/>
                <w:b/>
                <w:bCs/>
                <w:lang w:eastAsia="fr-FR"/>
              </w:rPr>
              <w:t>50</w:t>
            </w:r>
            <w:r w:rsidR="00142911">
              <w:rPr>
                <w:rFonts w:ascii="Arial" w:eastAsia="Times New Roman" w:hAnsi="Arial" w:cs="Arial"/>
                <w:b/>
                <w:bCs/>
                <w:lang w:eastAsia="fr-FR"/>
              </w:rPr>
              <w:t xml:space="preserve">5 </w:t>
            </w:r>
            <w:r w:rsidR="007058CC" w:rsidRPr="00A64175">
              <w:rPr>
                <w:rFonts w:ascii="Arial" w:eastAsia="Times New Roman" w:hAnsi="Arial" w:cs="Arial"/>
                <w:b/>
                <w:bCs/>
                <w:lang w:eastAsia="fr-FR"/>
              </w:rPr>
              <w:t xml:space="preserve"> -</w:t>
            </w:r>
          </w:p>
          <w:p w14:paraId="1987BF6E" w14:textId="3AE99E68" w:rsidR="007058CC" w:rsidRPr="00A64175" w:rsidRDefault="002611BB" w:rsidP="00A64175">
            <w:pPr>
              <w:pStyle w:val="Paragraphedeliste"/>
              <w:numPr>
                <w:ilvl w:val="0"/>
                <w:numId w:val="166"/>
              </w:numPr>
              <w:spacing w:after="0" w:afterAutospacing="0" w:line="240" w:lineRule="auto"/>
              <w:ind w:left="426"/>
              <w:contextualSpacing/>
              <w:rPr>
                <w:rFonts w:eastAsia="Times New Roman"/>
                <w:lang w:eastAsia="fr-FR"/>
              </w:rPr>
            </w:pPr>
            <w:r w:rsidRPr="00A64175">
              <w:rPr>
                <w:rFonts w:eastAsia="Times New Roman"/>
                <w:lang w:eastAsia="fr-FR"/>
              </w:rPr>
              <w:t>L</w:t>
            </w:r>
            <w:r w:rsidR="007058CC" w:rsidRPr="00A64175">
              <w:rPr>
                <w:rFonts w:eastAsia="Times New Roman"/>
                <w:lang w:eastAsia="fr-FR"/>
              </w:rPr>
              <w:t>a perte d’un instrument financier conservé est réputée avoir eu lieu lorsque l’une des conditions suivantes est remplie</w:t>
            </w:r>
            <w:r w:rsidR="002E082D">
              <w:rPr>
                <w:rFonts w:eastAsia="Times New Roman"/>
                <w:lang w:eastAsia="fr-FR"/>
              </w:rPr>
              <w:t>,</w:t>
            </w:r>
            <w:r w:rsidR="007058CC" w:rsidRPr="00A64175">
              <w:rPr>
                <w:rFonts w:eastAsia="Times New Roman"/>
                <w:lang w:eastAsia="fr-FR"/>
              </w:rPr>
              <w:t xml:space="preserve"> s’agissant d’un instrument financier détenu par le dépositaire ou par un tiers auquel la conservation d’instruments financiers a été déléguée : </w:t>
            </w:r>
          </w:p>
          <w:p w14:paraId="07C7AD44" w14:textId="77777777" w:rsidR="007058CC" w:rsidRPr="00A64175" w:rsidRDefault="007058CC" w:rsidP="00A64175">
            <w:pPr>
              <w:pStyle w:val="Paragraphedeliste"/>
              <w:ind w:left="426"/>
              <w:contextualSpacing/>
              <w:rPr>
                <w:rFonts w:eastAsia="Times New Roman"/>
                <w:lang w:eastAsia="fr-FR"/>
              </w:rPr>
            </w:pPr>
          </w:p>
          <w:p w14:paraId="124EB610" w14:textId="77777777" w:rsidR="007058CC" w:rsidRPr="00A64175" w:rsidRDefault="007058CC" w:rsidP="00A64175">
            <w:pPr>
              <w:pStyle w:val="Paragraphedeliste"/>
              <w:numPr>
                <w:ilvl w:val="0"/>
                <w:numId w:val="167"/>
              </w:numPr>
              <w:spacing w:after="0" w:afterAutospacing="0" w:line="240" w:lineRule="auto"/>
              <w:contextualSpacing/>
              <w:rPr>
                <w:rFonts w:eastAsia="Times New Roman"/>
                <w:lang w:eastAsia="fr-FR"/>
              </w:rPr>
            </w:pPr>
            <w:r w:rsidRPr="00A64175">
              <w:rPr>
                <w:rFonts w:eastAsia="Times New Roman"/>
                <w:lang w:eastAsia="fr-FR"/>
              </w:rPr>
              <w:t xml:space="preserve">Il est démontré qu’un droit de propriété dont s’est réclamé l’OPC n’est pas valide, soit parce qu’il a cessé́ d’exister, soit parce qu’il n’a jamais existé́ ; </w:t>
            </w:r>
          </w:p>
          <w:p w14:paraId="70AB4BAB" w14:textId="77777777" w:rsidR="007058CC" w:rsidRPr="00A64175" w:rsidRDefault="007058CC" w:rsidP="00A64175">
            <w:pPr>
              <w:pStyle w:val="Paragraphedeliste"/>
              <w:contextualSpacing/>
              <w:rPr>
                <w:rFonts w:eastAsia="Times New Roman"/>
                <w:lang w:eastAsia="fr-FR"/>
              </w:rPr>
            </w:pPr>
          </w:p>
          <w:p w14:paraId="7682C060" w14:textId="77777777" w:rsidR="007058CC" w:rsidRPr="00A64175" w:rsidRDefault="007058CC" w:rsidP="00A64175">
            <w:pPr>
              <w:pStyle w:val="Paragraphedeliste"/>
              <w:numPr>
                <w:ilvl w:val="0"/>
                <w:numId w:val="167"/>
              </w:numPr>
              <w:spacing w:after="0" w:afterAutospacing="0" w:line="240" w:lineRule="auto"/>
              <w:contextualSpacing/>
              <w:rPr>
                <w:rFonts w:eastAsia="Times New Roman"/>
                <w:lang w:eastAsia="fr-FR"/>
              </w:rPr>
            </w:pPr>
            <w:r w:rsidRPr="00A64175">
              <w:rPr>
                <w:rFonts w:eastAsia="Times New Roman"/>
                <w:lang w:eastAsia="fr-FR"/>
              </w:rPr>
              <w:t>L’OPC a été privé définitivement de son droit de propriété́ sur l’instrument financier ;</w:t>
            </w:r>
          </w:p>
          <w:p w14:paraId="111B1A64" w14:textId="77777777" w:rsidR="007058CC" w:rsidRPr="00A64175" w:rsidRDefault="007058CC" w:rsidP="00A64175">
            <w:pPr>
              <w:pStyle w:val="Paragraphedeliste"/>
              <w:contextualSpacing/>
              <w:rPr>
                <w:rFonts w:eastAsia="Times New Roman"/>
                <w:lang w:eastAsia="fr-FR"/>
              </w:rPr>
            </w:pPr>
          </w:p>
          <w:p w14:paraId="57D01703" w14:textId="77777777" w:rsidR="007058CC" w:rsidRPr="00A64175" w:rsidRDefault="007058CC" w:rsidP="00A64175">
            <w:pPr>
              <w:pStyle w:val="Paragraphedeliste"/>
              <w:numPr>
                <w:ilvl w:val="0"/>
                <w:numId w:val="167"/>
              </w:numPr>
              <w:spacing w:after="0" w:afterAutospacing="0" w:line="240" w:lineRule="auto"/>
              <w:contextualSpacing/>
              <w:rPr>
                <w:rFonts w:eastAsia="Times New Roman"/>
                <w:lang w:eastAsia="fr-FR"/>
              </w:rPr>
            </w:pPr>
            <w:r w:rsidRPr="00A64175">
              <w:rPr>
                <w:rFonts w:eastAsia="Times New Roman"/>
                <w:lang w:eastAsia="fr-FR"/>
              </w:rPr>
              <w:t xml:space="preserve">L’OPC est définitivement incapable de céder directement ou indirectement l’instrument financier. </w:t>
            </w:r>
          </w:p>
          <w:p w14:paraId="650FC021" w14:textId="77777777" w:rsidR="007058CC" w:rsidRPr="00A64175" w:rsidRDefault="007058CC" w:rsidP="00A64175">
            <w:pPr>
              <w:pStyle w:val="Paragraphedeliste"/>
              <w:contextualSpacing/>
              <w:rPr>
                <w:rFonts w:eastAsia="Times New Roman"/>
                <w:lang w:eastAsia="fr-FR"/>
              </w:rPr>
            </w:pPr>
          </w:p>
          <w:p w14:paraId="284A9D5D" w14:textId="77777777" w:rsidR="007058CC" w:rsidRPr="00A64175" w:rsidRDefault="007058CC" w:rsidP="00A64175">
            <w:pPr>
              <w:pStyle w:val="Paragraphedeliste"/>
              <w:numPr>
                <w:ilvl w:val="0"/>
                <w:numId w:val="166"/>
              </w:numPr>
              <w:spacing w:after="0" w:afterAutospacing="0" w:line="240" w:lineRule="auto"/>
              <w:ind w:left="426"/>
              <w:contextualSpacing/>
              <w:rPr>
                <w:rFonts w:eastAsia="Times New Roman"/>
                <w:lang w:eastAsia="fr-FR"/>
              </w:rPr>
            </w:pPr>
            <w:r w:rsidRPr="00A64175">
              <w:rPr>
                <w:rFonts w:eastAsia="Times New Roman"/>
                <w:lang w:eastAsia="fr-FR"/>
              </w:rPr>
              <w:t>La société de gestion constate la perte d’un instrument financier selon une procédure bien précise, à laquelle la COSUMAF a aisément accès. Lorsqu’une perte est constatée, elle est signalée immédiatement aux investisseurs sur un support durable.</w:t>
            </w:r>
          </w:p>
          <w:p w14:paraId="5183B76D" w14:textId="77777777" w:rsidR="007058CC" w:rsidRPr="00A64175" w:rsidRDefault="007058CC" w:rsidP="00A64175">
            <w:pPr>
              <w:pStyle w:val="Paragraphedeliste"/>
              <w:ind w:left="426"/>
              <w:contextualSpacing/>
              <w:rPr>
                <w:rFonts w:eastAsia="Times New Roman"/>
                <w:lang w:eastAsia="fr-FR"/>
              </w:rPr>
            </w:pPr>
          </w:p>
          <w:p w14:paraId="4520A4BE" w14:textId="4E41EF1A" w:rsidR="007058CC" w:rsidRPr="00A64175" w:rsidRDefault="007058CC" w:rsidP="00A64175">
            <w:pPr>
              <w:pStyle w:val="Paragraphedeliste"/>
              <w:numPr>
                <w:ilvl w:val="0"/>
                <w:numId w:val="166"/>
              </w:numPr>
              <w:spacing w:after="0" w:afterAutospacing="0" w:line="240" w:lineRule="auto"/>
              <w:ind w:left="426"/>
              <w:contextualSpacing/>
              <w:rPr>
                <w:rFonts w:eastAsia="Times New Roman"/>
                <w:lang w:eastAsia="fr-FR"/>
              </w:rPr>
            </w:pPr>
            <w:r w:rsidRPr="00A64175">
              <w:rPr>
                <w:rFonts w:eastAsia="Times New Roman"/>
                <w:lang w:eastAsia="fr-FR"/>
              </w:rPr>
              <w:t>Un instrument financier conservé n’est pas réputé perdu lorsque l’OPC est privé définitivement de son droit de propriété́ sur un instrument particulier, mais que cet instrument est remplacé́ par un ou plusieurs autres instruments financiers, ou converti en un ou plusieurs de ces instruments.</w:t>
            </w:r>
          </w:p>
          <w:p w14:paraId="105CE631" w14:textId="77777777" w:rsidR="007058CC" w:rsidRPr="00A64175" w:rsidRDefault="007058CC" w:rsidP="00A64175">
            <w:pPr>
              <w:pStyle w:val="Paragraphedeliste"/>
              <w:contextualSpacing/>
              <w:rPr>
                <w:rFonts w:eastAsia="Times New Roman"/>
                <w:lang w:eastAsia="fr-FR"/>
              </w:rPr>
            </w:pPr>
          </w:p>
          <w:p w14:paraId="56F79F1F" w14:textId="2F6ECDE7" w:rsidR="007058CC" w:rsidRPr="00A64175" w:rsidRDefault="007058CC" w:rsidP="00A64175">
            <w:pPr>
              <w:pStyle w:val="Paragraphedeliste"/>
              <w:numPr>
                <w:ilvl w:val="0"/>
                <w:numId w:val="166"/>
              </w:numPr>
              <w:spacing w:after="0" w:afterAutospacing="0" w:line="240" w:lineRule="auto"/>
              <w:ind w:left="426"/>
              <w:contextualSpacing/>
              <w:rPr>
                <w:rFonts w:eastAsia="Times New Roman"/>
                <w:lang w:eastAsia="fr-FR"/>
              </w:rPr>
            </w:pPr>
            <w:r w:rsidRPr="00A64175">
              <w:rPr>
                <w:rFonts w:eastAsia="Times New Roman"/>
                <w:lang w:eastAsia="fr-FR"/>
              </w:rPr>
              <w:t>En cas d’insolvabilité́ du tiers auquel la conservation d’instruments financiers a été́ déléguée, la perte d’un instrument financier conservé est constatée par la société de gestion dès que l’une des conditions énumérés au paragraphe 1</w:t>
            </w:r>
            <w:r w:rsidR="002E082D">
              <w:rPr>
                <w:rFonts w:eastAsia="Times New Roman"/>
                <w:lang w:eastAsia="fr-FR"/>
              </w:rPr>
              <w:t xml:space="preserve"> du présent article</w:t>
            </w:r>
            <w:r w:rsidRPr="00A64175">
              <w:rPr>
                <w:rFonts w:eastAsia="Times New Roman"/>
                <w:lang w:eastAsia="fr-FR"/>
              </w:rPr>
              <w:t xml:space="preserve"> est remplie avec certitude. </w:t>
            </w:r>
          </w:p>
          <w:p w14:paraId="74A04060" w14:textId="77777777" w:rsidR="007058CC" w:rsidRPr="00A64175" w:rsidRDefault="007058CC" w:rsidP="00A64175">
            <w:pPr>
              <w:pStyle w:val="Paragraphedeliste"/>
              <w:contextualSpacing/>
              <w:rPr>
                <w:rFonts w:eastAsia="Times New Roman"/>
                <w:lang w:eastAsia="fr-FR"/>
              </w:rPr>
            </w:pPr>
          </w:p>
          <w:p w14:paraId="42D29418" w14:textId="77777777" w:rsidR="007058CC" w:rsidRPr="00A64175" w:rsidRDefault="007058CC" w:rsidP="00A64175">
            <w:pPr>
              <w:pStyle w:val="Paragraphedeliste"/>
              <w:ind w:left="426"/>
              <w:contextualSpacing/>
              <w:rPr>
                <w:rFonts w:eastAsia="Times New Roman"/>
                <w:lang w:eastAsia="fr-FR"/>
              </w:rPr>
            </w:pPr>
            <w:r w:rsidRPr="00A64175">
              <w:rPr>
                <w:rFonts w:eastAsia="Times New Roman"/>
                <w:lang w:eastAsia="fr-FR"/>
              </w:rPr>
              <w:t>Cette certitude est acquise au plus tard à la fin de la procédure d’insolvabilité́. La société de gestion et le dépositaire suivent étroitement les procédures d’insolvabilité́ pour déterminer si tout ou partie des instruments financiers confiés au tiers auquel la conservation a été́ déléguée sont effectivement perdus.</w:t>
            </w:r>
          </w:p>
          <w:p w14:paraId="238821E1" w14:textId="77777777" w:rsidR="007058CC" w:rsidRPr="00A64175" w:rsidRDefault="007058CC" w:rsidP="00A64175">
            <w:pPr>
              <w:pStyle w:val="Paragraphedeliste"/>
              <w:ind w:left="426"/>
              <w:contextualSpacing/>
              <w:rPr>
                <w:rFonts w:eastAsia="Times New Roman"/>
                <w:lang w:eastAsia="fr-FR"/>
              </w:rPr>
            </w:pPr>
            <w:r w:rsidRPr="00A64175">
              <w:rPr>
                <w:rFonts w:eastAsia="Times New Roman"/>
                <w:lang w:eastAsia="fr-FR"/>
              </w:rPr>
              <w:t xml:space="preserve"> </w:t>
            </w:r>
          </w:p>
          <w:p w14:paraId="38888151" w14:textId="48DDF3C1" w:rsidR="007058CC" w:rsidRPr="00A64175" w:rsidRDefault="007058CC" w:rsidP="00A64175">
            <w:pPr>
              <w:pStyle w:val="Paragraphedeliste"/>
              <w:numPr>
                <w:ilvl w:val="0"/>
                <w:numId w:val="166"/>
              </w:numPr>
              <w:spacing w:after="0" w:afterAutospacing="0" w:line="240" w:lineRule="auto"/>
              <w:ind w:left="459"/>
              <w:contextualSpacing/>
              <w:rPr>
                <w:rFonts w:eastAsia="Times New Roman"/>
                <w:lang w:eastAsia="fr-FR"/>
              </w:rPr>
            </w:pPr>
            <w:r w:rsidRPr="00A64175">
              <w:rPr>
                <w:rFonts w:eastAsia="Times New Roman"/>
                <w:lang w:eastAsia="fr-FR"/>
              </w:rPr>
              <w:t>La perte d’un instrument financier détenu est constatée indépendamment de la raison pour laquelle les conditions énumérés au paragraphe 1</w:t>
            </w:r>
            <w:r w:rsidR="002E082D">
              <w:rPr>
                <w:rFonts w:eastAsia="Times New Roman"/>
                <w:lang w:eastAsia="fr-FR"/>
              </w:rPr>
              <w:t xml:space="preserve"> du présent article</w:t>
            </w:r>
            <w:r w:rsidRPr="00A64175">
              <w:rPr>
                <w:rFonts w:eastAsia="Times New Roman"/>
                <w:lang w:eastAsia="fr-FR"/>
              </w:rPr>
              <w:t xml:space="preserve"> sont remplies : fraude, négligence ou autre comportement intentionnel ou non intentionnel. </w:t>
            </w:r>
          </w:p>
          <w:p w14:paraId="67D5CC53" w14:textId="77777777" w:rsidR="007058CC" w:rsidRPr="00A64175" w:rsidRDefault="007058CC" w:rsidP="00A64175">
            <w:pPr>
              <w:contextualSpacing/>
              <w:jc w:val="both"/>
              <w:rPr>
                <w:rFonts w:ascii="Arial" w:hAnsi="Arial" w:cs="Arial"/>
                <w:b/>
                <w:bCs/>
              </w:rPr>
            </w:pPr>
          </w:p>
        </w:tc>
      </w:tr>
      <w:tr w:rsidR="007058CC" w:rsidRPr="00A64175" w14:paraId="4EED7882" w14:textId="77777777" w:rsidTr="000E7336">
        <w:trPr>
          <w:jc w:val="center"/>
        </w:trPr>
        <w:tc>
          <w:tcPr>
            <w:tcW w:w="10316" w:type="dxa"/>
            <w:shd w:val="clear" w:color="auto" w:fill="auto"/>
          </w:tcPr>
          <w:p w14:paraId="4C74309A" w14:textId="1B174D6A" w:rsidR="007058CC" w:rsidRPr="00A64175" w:rsidRDefault="002611BB" w:rsidP="00A64175">
            <w:pPr>
              <w:contextualSpacing/>
              <w:jc w:val="both"/>
              <w:rPr>
                <w:rFonts w:ascii="Arial" w:eastAsia="Times New Roman" w:hAnsi="Arial" w:cs="Arial"/>
                <w:lang w:eastAsia="fr-FR"/>
              </w:rPr>
            </w:pPr>
            <w:r w:rsidRPr="00A64175">
              <w:rPr>
                <w:rFonts w:ascii="Arial" w:eastAsia="Times New Roman" w:hAnsi="Arial" w:cs="Arial"/>
                <w:b/>
                <w:bCs/>
                <w:lang w:eastAsia="fr-FR"/>
              </w:rPr>
              <w:t xml:space="preserve">Article </w:t>
            </w:r>
            <w:r w:rsidR="005B705C">
              <w:rPr>
                <w:rFonts w:ascii="Arial" w:eastAsia="Times New Roman" w:hAnsi="Arial" w:cs="Arial"/>
                <w:b/>
                <w:bCs/>
                <w:lang w:eastAsia="fr-FR"/>
              </w:rPr>
              <w:t>50</w:t>
            </w:r>
            <w:r w:rsidR="00142911">
              <w:rPr>
                <w:rFonts w:ascii="Arial" w:eastAsia="Times New Roman" w:hAnsi="Arial" w:cs="Arial"/>
                <w:b/>
                <w:bCs/>
                <w:lang w:eastAsia="fr-FR"/>
              </w:rPr>
              <w:t xml:space="preserve">6 </w:t>
            </w:r>
            <w:r w:rsidR="007058CC" w:rsidRPr="00A64175">
              <w:rPr>
                <w:rFonts w:ascii="Arial" w:eastAsia="Times New Roman" w:hAnsi="Arial" w:cs="Arial"/>
                <w:b/>
                <w:bCs/>
                <w:lang w:eastAsia="fr-FR"/>
              </w:rPr>
              <w:t xml:space="preserve"> - </w:t>
            </w:r>
          </w:p>
          <w:p w14:paraId="20795937" w14:textId="6801AA8E" w:rsidR="007058CC" w:rsidRPr="00A64175" w:rsidRDefault="002E082D" w:rsidP="00A64175">
            <w:pPr>
              <w:pStyle w:val="Paragraphedeliste"/>
              <w:numPr>
                <w:ilvl w:val="0"/>
                <w:numId w:val="168"/>
              </w:numPr>
              <w:tabs>
                <w:tab w:val="clear" w:pos="720"/>
              </w:tabs>
              <w:spacing w:after="0" w:afterAutospacing="0" w:line="240" w:lineRule="auto"/>
              <w:ind w:left="426"/>
              <w:contextualSpacing/>
              <w:rPr>
                <w:rFonts w:eastAsia="Times New Roman"/>
                <w:lang w:eastAsia="fr-FR"/>
              </w:rPr>
            </w:pPr>
            <w:r>
              <w:rPr>
                <w:rFonts w:eastAsia="Times New Roman"/>
                <w:lang w:eastAsia="fr-FR"/>
              </w:rPr>
              <w:t>En cas de perte d’un instrument financier,  l</w:t>
            </w:r>
            <w:r w:rsidR="002611BB" w:rsidRPr="00A64175">
              <w:rPr>
                <w:rFonts w:eastAsia="Times New Roman"/>
                <w:lang w:eastAsia="fr-FR"/>
              </w:rPr>
              <w:t xml:space="preserve">a </w:t>
            </w:r>
            <w:r w:rsidR="007058CC" w:rsidRPr="00A64175">
              <w:rPr>
                <w:rFonts w:eastAsia="Times New Roman"/>
                <w:lang w:eastAsia="fr-FR"/>
              </w:rPr>
              <w:t xml:space="preserve">responsabilité du dépositaire n’est pas engagée si celui-ci peut prouver que l’ensemble des conditions suivantes sont remplies : </w:t>
            </w:r>
          </w:p>
          <w:p w14:paraId="6A606194" w14:textId="77777777" w:rsidR="007058CC" w:rsidRPr="00A64175" w:rsidRDefault="007058CC" w:rsidP="00A64175">
            <w:pPr>
              <w:pStyle w:val="Paragraphedeliste"/>
              <w:ind w:left="426"/>
              <w:contextualSpacing/>
              <w:rPr>
                <w:rFonts w:eastAsia="Times New Roman"/>
                <w:lang w:eastAsia="fr-FR"/>
              </w:rPr>
            </w:pPr>
          </w:p>
          <w:p w14:paraId="0E8C595D" w14:textId="7E4E347A" w:rsidR="007058CC" w:rsidRPr="00A64175" w:rsidRDefault="007058CC" w:rsidP="00A64175">
            <w:pPr>
              <w:pStyle w:val="Paragraphedeliste"/>
              <w:numPr>
                <w:ilvl w:val="2"/>
                <w:numId w:val="169"/>
              </w:numPr>
              <w:spacing w:after="0" w:afterAutospacing="0" w:line="240" w:lineRule="auto"/>
              <w:contextualSpacing/>
              <w:rPr>
                <w:rFonts w:eastAsia="Times New Roman"/>
                <w:lang w:eastAsia="fr-FR"/>
              </w:rPr>
            </w:pPr>
            <w:r w:rsidRPr="00A64175">
              <w:rPr>
                <w:rFonts w:eastAsia="Times New Roman"/>
                <w:lang w:eastAsia="fr-FR"/>
              </w:rPr>
              <w:t xml:space="preserve">L’évènement qui a entrainé la perte ne résulte pas d’un acte ou d’une omission du dépositaire ou d’un tiers auquel a été déléguée la conservation d’instruments financiers, dont la conservation est assurée ; </w:t>
            </w:r>
          </w:p>
          <w:p w14:paraId="394CFC28" w14:textId="77777777" w:rsidR="007058CC" w:rsidRPr="00A64175" w:rsidRDefault="007058CC" w:rsidP="00A64175">
            <w:pPr>
              <w:pStyle w:val="Paragraphedeliste"/>
              <w:contextualSpacing/>
              <w:rPr>
                <w:rFonts w:eastAsia="Times New Roman"/>
                <w:lang w:eastAsia="fr-FR"/>
              </w:rPr>
            </w:pPr>
          </w:p>
          <w:p w14:paraId="59726D49" w14:textId="77777777" w:rsidR="007058CC" w:rsidRPr="00A64175" w:rsidRDefault="007058CC" w:rsidP="00A64175">
            <w:pPr>
              <w:pStyle w:val="Paragraphedeliste"/>
              <w:numPr>
                <w:ilvl w:val="2"/>
                <w:numId w:val="169"/>
              </w:numPr>
              <w:spacing w:before="0" w:beforeAutospacing="0" w:after="0" w:afterAutospacing="0" w:line="240" w:lineRule="auto"/>
              <w:ind w:left="714" w:hanging="357"/>
              <w:contextualSpacing/>
              <w:rPr>
                <w:rFonts w:eastAsia="Times New Roman"/>
                <w:lang w:eastAsia="fr-FR"/>
              </w:rPr>
            </w:pPr>
            <w:r w:rsidRPr="00A64175">
              <w:rPr>
                <w:rFonts w:eastAsia="Times New Roman"/>
                <w:lang w:eastAsia="fr-FR"/>
              </w:rPr>
              <w:t xml:space="preserve">Le dépositaire n’aurait pas pu raisonnablement prévenir l’évènement qui a entrainé́ la perte, même en prenant toutes les précautions qui caractérisent un dépositaire diligent selon la pratique courante du secteur ; </w:t>
            </w:r>
          </w:p>
          <w:p w14:paraId="15D772CC" w14:textId="77777777" w:rsidR="007058CC" w:rsidRPr="00A64175" w:rsidRDefault="007058CC" w:rsidP="00A64175">
            <w:pPr>
              <w:contextualSpacing/>
              <w:jc w:val="both"/>
              <w:rPr>
                <w:rFonts w:ascii="Arial" w:eastAsia="Times New Roman" w:hAnsi="Arial" w:cs="Arial"/>
                <w:lang w:eastAsia="fr-FR"/>
              </w:rPr>
            </w:pPr>
          </w:p>
          <w:p w14:paraId="055BB775" w14:textId="77777777" w:rsidR="007058CC" w:rsidRPr="00A64175" w:rsidRDefault="007058CC" w:rsidP="00A64175">
            <w:pPr>
              <w:pStyle w:val="Paragraphedeliste"/>
              <w:numPr>
                <w:ilvl w:val="2"/>
                <w:numId w:val="169"/>
              </w:numPr>
              <w:spacing w:before="0" w:beforeAutospacing="0" w:after="0" w:afterAutospacing="0" w:line="240" w:lineRule="auto"/>
              <w:ind w:left="714" w:hanging="357"/>
              <w:contextualSpacing/>
              <w:rPr>
                <w:rFonts w:eastAsia="Times New Roman"/>
                <w:lang w:eastAsia="fr-FR"/>
              </w:rPr>
            </w:pPr>
            <w:r w:rsidRPr="00A64175">
              <w:rPr>
                <w:rFonts w:eastAsia="Times New Roman"/>
                <w:lang w:eastAsia="fr-FR"/>
              </w:rPr>
              <w:t xml:space="preserve">Le dépositaire n’aurait pas pu prévenir la perte malgré́ l’exercice rigoureux et global de la diligence requise. </w:t>
            </w:r>
          </w:p>
          <w:p w14:paraId="2A99B196" w14:textId="77777777" w:rsidR="007058CC" w:rsidRPr="00A64175" w:rsidRDefault="007058CC" w:rsidP="00A64175">
            <w:pPr>
              <w:ind w:left="426"/>
              <w:contextualSpacing/>
              <w:jc w:val="both"/>
              <w:rPr>
                <w:rFonts w:ascii="Arial" w:eastAsia="Times New Roman" w:hAnsi="Arial" w:cs="Arial"/>
                <w:lang w:eastAsia="fr-FR"/>
              </w:rPr>
            </w:pPr>
          </w:p>
          <w:p w14:paraId="653E962A" w14:textId="22F8FBA1" w:rsidR="007058CC" w:rsidRPr="00A64175" w:rsidRDefault="007058CC" w:rsidP="00A64175">
            <w:pPr>
              <w:ind w:left="426"/>
              <w:contextualSpacing/>
              <w:jc w:val="both"/>
              <w:rPr>
                <w:rFonts w:ascii="Arial" w:eastAsia="Times New Roman" w:hAnsi="Arial" w:cs="Arial"/>
                <w:lang w:eastAsia="fr-FR"/>
              </w:rPr>
            </w:pPr>
            <w:r w:rsidRPr="00A64175">
              <w:rPr>
                <w:rFonts w:ascii="Arial" w:eastAsia="Times New Roman" w:hAnsi="Arial" w:cs="Arial"/>
                <w:lang w:eastAsia="fr-FR"/>
              </w:rPr>
              <w:t xml:space="preserve">Cette </w:t>
            </w:r>
            <w:r w:rsidR="002E082D">
              <w:rPr>
                <w:rFonts w:ascii="Arial" w:eastAsia="Times New Roman" w:hAnsi="Arial" w:cs="Arial"/>
                <w:lang w:eastAsia="fr-FR"/>
              </w:rPr>
              <w:t xml:space="preserve">dernière </w:t>
            </w:r>
            <w:r w:rsidRPr="00A64175">
              <w:rPr>
                <w:rFonts w:ascii="Arial" w:eastAsia="Times New Roman" w:hAnsi="Arial" w:cs="Arial"/>
                <w:lang w:eastAsia="fr-FR"/>
              </w:rPr>
              <w:t xml:space="preserve">condition peut être présumée remplie lorsque le dépositaire a veillé́ à ce que lui-même et le tiers auquel a été́ déléguée la conservation d’instruments financiers ont pris toutes les mesures suivantes : </w:t>
            </w:r>
          </w:p>
          <w:p w14:paraId="2D13BED2" w14:textId="77777777" w:rsidR="007058CC" w:rsidRPr="00A64175" w:rsidRDefault="007058CC" w:rsidP="00A64175">
            <w:pPr>
              <w:pStyle w:val="Paragraphedeliste"/>
              <w:numPr>
                <w:ilvl w:val="0"/>
                <w:numId w:val="170"/>
              </w:numPr>
              <w:spacing w:after="0" w:afterAutospacing="0" w:line="240" w:lineRule="auto"/>
              <w:ind w:left="993"/>
              <w:contextualSpacing/>
              <w:rPr>
                <w:rFonts w:eastAsia="Times New Roman"/>
                <w:lang w:eastAsia="fr-FR"/>
              </w:rPr>
            </w:pPr>
            <w:r w:rsidRPr="00A64175">
              <w:rPr>
                <w:rFonts w:eastAsia="Times New Roman"/>
                <w:lang w:eastAsia="fr-FR"/>
              </w:rPr>
              <w:t xml:space="preserve">Etablir, mettre en œuvre, appliquer et maintenir opérationnelles des structures et des procédures adéquates et proportionnées à la nature et à la complexité́ des actifs de l’OPC et s’assurer l’expertise appropriée, afin de déceler rapidement et de suivre en permanence les évènements extérieurs pouvant déboucher sur la perte d’un instrument financier conservé ; </w:t>
            </w:r>
          </w:p>
          <w:p w14:paraId="698C57E7" w14:textId="77777777" w:rsidR="007058CC" w:rsidRPr="00A64175" w:rsidRDefault="007058CC" w:rsidP="00A64175">
            <w:pPr>
              <w:pStyle w:val="Paragraphedeliste"/>
              <w:numPr>
                <w:ilvl w:val="0"/>
                <w:numId w:val="170"/>
              </w:numPr>
              <w:spacing w:after="0" w:afterAutospacing="0" w:line="240" w:lineRule="auto"/>
              <w:ind w:left="993"/>
              <w:contextualSpacing/>
              <w:rPr>
                <w:rFonts w:eastAsia="Times New Roman"/>
                <w:lang w:eastAsia="fr-FR"/>
              </w:rPr>
            </w:pPr>
            <w:r w:rsidRPr="00A64175">
              <w:rPr>
                <w:rFonts w:eastAsia="Times New Roman"/>
                <w:lang w:eastAsia="fr-FR"/>
              </w:rPr>
              <w:t xml:space="preserve">Evaluer en permanence si l’un des évènements décelés conformément au point i) représente un risque significatif de perte d’un instrument financier conservé ; </w:t>
            </w:r>
          </w:p>
          <w:p w14:paraId="48151C0C" w14:textId="77777777" w:rsidR="007058CC" w:rsidRPr="00A64175" w:rsidRDefault="007058CC" w:rsidP="00A64175">
            <w:pPr>
              <w:pStyle w:val="Paragraphedeliste"/>
              <w:numPr>
                <w:ilvl w:val="0"/>
                <w:numId w:val="170"/>
              </w:numPr>
              <w:spacing w:after="0" w:afterAutospacing="0" w:line="240" w:lineRule="auto"/>
              <w:ind w:left="993"/>
              <w:contextualSpacing/>
              <w:rPr>
                <w:rFonts w:eastAsia="Times New Roman"/>
                <w:lang w:eastAsia="fr-FR"/>
              </w:rPr>
            </w:pPr>
            <w:r w:rsidRPr="00A64175">
              <w:rPr>
                <w:rFonts w:eastAsia="Times New Roman"/>
                <w:lang w:eastAsia="fr-FR"/>
              </w:rPr>
              <w:t>Lorsque de tels évènements, réels ou potentiels, ont été repérés, informer la société de gestion ou la société d’investissement des risques significatifs décelés et prendre, si possible, les mesures appropriées pour prévenir ou limiter la perte d’instruments financiers conservés.</w:t>
            </w:r>
          </w:p>
          <w:p w14:paraId="6CE1DE1C" w14:textId="77777777" w:rsidR="007058CC" w:rsidRPr="00A64175" w:rsidRDefault="007058CC" w:rsidP="00A64175">
            <w:pPr>
              <w:pStyle w:val="Paragraphedeliste"/>
              <w:contextualSpacing/>
              <w:rPr>
                <w:rFonts w:eastAsia="Times New Roman"/>
                <w:lang w:eastAsia="fr-FR"/>
              </w:rPr>
            </w:pPr>
          </w:p>
          <w:p w14:paraId="3012CBA3" w14:textId="04B8C659" w:rsidR="007058CC" w:rsidRPr="00A64175" w:rsidRDefault="007058CC" w:rsidP="00A64175">
            <w:pPr>
              <w:pStyle w:val="Paragraphedeliste"/>
              <w:numPr>
                <w:ilvl w:val="0"/>
                <w:numId w:val="168"/>
              </w:numPr>
              <w:spacing w:after="0" w:afterAutospacing="0" w:line="240" w:lineRule="auto"/>
              <w:contextualSpacing/>
              <w:rPr>
                <w:rFonts w:eastAsia="Times New Roman"/>
                <w:lang w:eastAsia="fr-FR"/>
              </w:rPr>
            </w:pPr>
            <w:r w:rsidRPr="00A64175">
              <w:rPr>
                <w:rFonts w:eastAsia="Times New Roman"/>
                <w:lang w:eastAsia="fr-FR"/>
              </w:rPr>
              <w:t>Les exigences visées aux points a) et b) du paragraphe 1</w:t>
            </w:r>
            <w:r w:rsidR="002E082D">
              <w:rPr>
                <w:rFonts w:eastAsia="Times New Roman"/>
                <w:lang w:eastAsia="fr-FR"/>
              </w:rPr>
              <w:t xml:space="preserve"> du présent article</w:t>
            </w:r>
            <w:r w:rsidRPr="00A64175">
              <w:rPr>
                <w:rFonts w:eastAsia="Times New Roman"/>
                <w:lang w:eastAsia="fr-FR"/>
              </w:rPr>
              <w:t xml:space="preserve"> peuvent être réputées remplies dans les circonstances suivantes : </w:t>
            </w:r>
          </w:p>
          <w:p w14:paraId="5C1B029B" w14:textId="77777777" w:rsidR="007058CC" w:rsidRPr="00A64175" w:rsidRDefault="007058CC" w:rsidP="00A64175">
            <w:pPr>
              <w:pStyle w:val="Paragraphedeliste"/>
              <w:contextualSpacing/>
              <w:rPr>
                <w:rFonts w:eastAsia="Times New Roman"/>
                <w:lang w:eastAsia="fr-FR"/>
              </w:rPr>
            </w:pPr>
          </w:p>
          <w:p w14:paraId="133FDEB6" w14:textId="77777777" w:rsidR="007058CC" w:rsidRPr="00A64175" w:rsidRDefault="007058CC" w:rsidP="00A64175">
            <w:pPr>
              <w:pStyle w:val="Paragraphedeliste"/>
              <w:numPr>
                <w:ilvl w:val="2"/>
                <w:numId w:val="171"/>
              </w:numPr>
              <w:spacing w:after="0" w:afterAutospacing="0" w:line="240" w:lineRule="auto"/>
              <w:contextualSpacing/>
              <w:rPr>
                <w:rFonts w:eastAsia="Times New Roman"/>
                <w:lang w:eastAsia="fr-FR"/>
              </w:rPr>
            </w:pPr>
            <w:r w:rsidRPr="00A64175">
              <w:rPr>
                <w:rFonts w:eastAsia="Times New Roman"/>
                <w:lang w:eastAsia="fr-FR"/>
              </w:rPr>
              <w:t xml:space="preserve">Phénomène naturel échappant à l’influence ou au contrôle humains ; </w:t>
            </w:r>
          </w:p>
          <w:p w14:paraId="144F9CE6" w14:textId="77777777" w:rsidR="007058CC" w:rsidRDefault="007058CC" w:rsidP="00A64175">
            <w:pPr>
              <w:pStyle w:val="Paragraphedeliste"/>
              <w:numPr>
                <w:ilvl w:val="2"/>
                <w:numId w:val="171"/>
              </w:numPr>
              <w:spacing w:after="0" w:afterAutospacing="0" w:line="240" w:lineRule="auto"/>
              <w:contextualSpacing/>
              <w:rPr>
                <w:rFonts w:eastAsia="Times New Roman"/>
                <w:lang w:eastAsia="fr-FR"/>
              </w:rPr>
            </w:pPr>
            <w:r w:rsidRPr="00A64175">
              <w:rPr>
                <w:rFonts w:eastAsia="Times New Roman"/>
                <w:lang w:eastAsia="fr-FR"/>
              </w:rPr>
              <w:t xml:space="preserve">Adoption par tout gouvernement ou organe public, y compris les cours et tribunaux, d’une loi, d’un décret, d’un règlement, d’une décision ou d’un arrêt ayant des incidences sur les instruments financiers conservés ; </w:t>
            </w:r>
          </w:p>
          <w:p w14:paraId="229D67B3" w14:textId="77777777" w:rsidR="00183E99" w:rsidRPr="00A64175" w:rsidRDefault="00183E99" w:rsidP="00183E99">
            <w:pPr>
              <w:pStyle w:val="Paragraphedeliste"/>
              <w:spacing w:after="0" w:afterAutospacing="0" w:line="240" w:lineRule="auto"/>
              <w:contextualSpacing/>
              <w:rPr>
                <w:rFonts w:eastAsia="Times New Roman"/>
                <w:lang w:eastAsia="fr-FR"/>
              </w:rPr>
            </w:pPr>
          </w:p>
          <w:p w14:paraId="4D42E08C" w14:textId="77777777" w:rsidR="007058CC" w:rsidRPr="00A64175" w:rsidRDefault="007058CC" w:rsidP="00A64175">
            <w:pPr>
              <w:pStyle w:val="Paragraphedeliste"/>
              <w:numPr>
                <w:ilvl w:val="2"/>
                <w:numId w:val="171"/>
              </w:numPr>
              <w:spacing w:after="0" w:afterAutospacing="0" w:line="240" w:lineRule="auto"/>
              <w:contextualSpacing/>
              <w:rPr>
                <w:rFonts w:eastAsia="Times New Roman"/>
                <w:lang w:eastAsia="fr-FR"/>
              </w:rPr>
            </w:pPr>
            <w:r w:rsidRPr="00A64175">
              <w:rPr>
                <w:rFonts w:eastAsia="Times New Roman"/>
                <w:lang w:eastAsia="fr-FR"/>
              </w:rPr>
              <w:t>Guerre, émeutes ou autres troubles majeurs.</w:t>
            </w:r>
          </w:p>
          <w:p w14:paraId="19AD2F28" w14:textId="77777777" w:rsidR="007058CC" w:rsidRPr="00A64175" w:rsidRDefault="007058CC" w:rsidP="00A64175">
            <w:pPr>
              <w:pStyle w:val="Paragraphedeliste"/>
              <w:contextualSpacing/>
              <w:rPr>
                <w:rFonts w:eastAsia="Times New Roman"/>
                <w:lang w:eastAsia="fr-FR"/>
              </w:rPr>
            </w:pPr>
          </w:p>
          <w:p w14:paraId="23F6D245" w14:textId="79466B3A" w:rsidR="007058CC" w:rsidRPr="00A64175" w:rsidRDefault="007058CC" w:rsidP="00A64175">
            <w:pPr>
              <w:contextualSpacing/>
              <w:jc w:val="both"/>
              <w:rPr>
                <w:rFonts w:ascii="Arial" w:hAnsi="Arial" w:cs="Arial"/>
                <w:b/>
                <w:bCs/>
              </w:rPr>
            </w:pPr>
            <w:r w:rsidRPr="00A64175">
              <w:rPr>
                <w:rFonts w:ascii="Arial" w:eastAsia="Times New Roman" w:hAnsi="Arial" w:cs="Arial"/>
                <w:lang w:eastAsia="fr-FR"/>
              </w:rPr>
              <w:t>Les exigences visées aux points a) et b) du paragraphe1</w:t>
            </w:r>
            <w:r w:rsidR="001A447F">
              <w:rPr>
                <w:rFonts w:ascii="Arial" w:eastAsia="Times New Roman" w:hAnsi="Arial" w:cs="Arial"/>
                <w:lang w:eastAsia="fr-FR"/>
              </w:rPr>
              <w:t xml:space="preserve"> du présent article</w:t>
            </w:r>
            <w:r w:rsidRPr="00A64175">
              <w:rPr>
                <w:rFonts w:ascii="Arial" w:eastAsia="Times New Roman" w:hAnsi="Arial" w:cs="Arial"/>
                <w:lang w:eastAsia="fr-FR"/>
              </w:rPr>
              <w:t xml:space="preserve"> ne sont pas réputées remplies en cas, notamment, d’erreur comptable, de dysfonctionnement opérationnel, de fraude ou de non-application des exigences de ségrégation au niveau du dépositaire ou du tiers auquel a été déléguée la conservation d’instruments financiers.</w:t>
            </w:r>
          </w:p>
        </w:tc>
      </w:tr>
      <w:tr w:rsidR="007058CC" w:rsidRPr="00A64175" w14:paraId="2C83DBA5" w14:textId="77777777" w:rsidTr="000E7336">
        <w:trPr>
          <w:jc w:val="center"/>
        </w:trPr>
        <w:tc>
          <w:tcPr>
            <w:tcW w:w="10316" w:type="dxa"/>
            <w:shd w:val="clear" w:color="auto" w:fill="auto"/>
          </w:tcPr>
          <w:p w14:paraId="0734EC18" w14:textId="77777777" w:rsidR="007058CC" w:rsidRPr="00A64175" w:rsidRDefault="007058CC" w:rsidP="00A64175">
            <w:pPr>
              <w:contextualSpacing/>
              <w:jc w:val="both"/>
              <w:rPr>
                <w:rFonts w:ascii="Arial" w:hAnsi="Arial" w:cs="Arial"/>
                <w:b/>
                <w:bCs/>
              </w:rPr>
            </w:pPr>
          </w:p>
          <w:p w14:paraId="14521888" w14:textId="77777777" w:rsidR="007058CC" w:rsidRPr="00A64175" w:rsidRDefault="007058CC" w:rsidP="00A64175">
            <w:pPr>
              <w:contextualSpacing/>
              <w:jc w:val="both"/>
              <w:rPr>
                <w:rFonts w:ascii="Arial" w:hAnsi="Arial" w:cs="Arial"/>
                <w:b/>
                <w:bCs/>
              </w:rPr>
            </w:pPr>
            <w:r w:rsidRPr="00A64175">
              <w:rPr>
                <w:rFonts w:ascii="Arial" w:hAnsi="Arial" w:cs="Arial"/>
                <w:b/>
                <w:bCs/>
              </w:rPr>
              <w:t>Section IV : Exigence d’indépendance</w:t>
            </w:r>
          </w:p>
        </w:tc>
      </w:tr>
      <w:tr w:rsidR="007058CC" w:rsidRPr="00A64175" w14:paraId="56633CE6" w14:textId="77777777" w:rsidTr="000E7336">
        <w:trPr>
          <w:jc w:val="center"/>
        </w:trPr>
        <w:tc>
          <w:tcPr>
            <w:tcW w:w="10316" w:type="dxa"/>
            <w:shd w:val="clear" w:color="auto" w:fill="auto"/>
          </w:tcPr>
          <w:p w14:paraId="598E124C" w14:textId="77777777" w:rsidR="007058CC" w:rsidRPr="00A64175" w:rsidRDefault="007058CC" w:rsidP="00A64175">
            <w:pPr>
              <w:contextualSpacing/>
              <w:jc w:val="both"/>
              <w:rPr>
                <w:rFonts w:ascii="Arial" w:hAnsi="Arial" w:cs="Arial"/>
                <w:b/>
                <w:bCs/>
              </w:rPr>
            </w:pPr>
          </w:p>
          <w:p w14:paraId="2CD083F6" w14:textId="77777777" w:rsidR="007058CC" w:rsidRPr="00A64175" w:rsidRDefault="007058CC" w:rsidP="00DB26E6">
            <w:pPr>
              <w:contextualSpacing/>
              <w:jc w:val="both"/>
              <w:rPr>
                <w:rFonts w:ascii="Arial" w:hAnsi="Arial" w:cs="Arial"/>
                <w:b/>
                <w:bCs/>
              </w:rPr>
            </w:pPr>
          </w:p>
        </w:tc>
      </w:tr>
      <w:tr w:rsidR="007058CC" w:rsidRPr="00A64175" w14:paraId="08611466" w14:textId="77777777" w:rsidTr="000E7336">
        <w:trPr>
          <w:jc w:val="center"/>
        </w:trPr>
        <w:tc>
          <w:tcPr>
            <w:tcW w:w="10316" w:type="dxa"/>
            <w:shd w:val="clear" w:color="auto" w:fill="auto"/>
          </w:tcPr>
          <w:p w14:paraId="382416CD" w14:textId="36149C85" w:rsidR="007058CC" w:rsidRPr="00A64175" w:rsidRDefault="00CF75FB" w:rsidP="00A64175">
            <w:pPr>
              <w:contextualSpacing/>
              <w:jc w:val="both"/>
              <w:rPr>
                <w:rFonts w:ascii="Arial" w:hAnsi="Arial" w:cs="Arial"/>
                <w:b/>
                <w:bCs/>
              </w:rPr>
            </w:pPr>
            <w:r w:rsidRPr="00A64175">
              <w:rPr>
                <w:rFonts w:ascii="Arial" w:hAnsi="Arial" w:cs="Arial"/>
                <w:b/>
                <w:bCs/>
              </w:rPr>
              <w:t>Article 50</w:t>
            </w:r>
            <w:r w:rsidR="00183E99">
              <w:rPr>
                <w:rFonts w:ascii="Arial" w:hAnsi="Arial" w:cs="Arial"/>
                <w:b/>
                <w:bCs/>
              </w:rPr>
              <w:t>7</w:t>
            </w:r>
            <w:r w:rsidR="007058CC" w:rsidRPr="00A64175">
              <w:rPr>
                <w:rFonts w:ascii="Arial" w:hAnsi="Arial" w:cs="Arial"/>
                <w:b/>
                <w:bCs/>
              </w:rPr>
              <w:t xml:space="preserve"> - </w:t>
            </w:r>
            <w:r w:rsidR="007058CC" w:rsidRPr="00A64175">
              <w:rPr>
                <w:rFonts w:ascii="Arial" w:eastAsia="Times New Roman" w:hAnsi="Arial" w:cs="Arial"/>
                <w:lang w:eastAsia="fr-FR"/>
              </w:rPr>
              <w:t xml:space="preserve">La société de gestion ou d'investissement et le dépositaire respectent à tout moment l'ensemble des exigences suivantes : </w:t>
            </w:r>
          </w:p>
          <w:p w14:paraId="5B8B88BE" w14:textId="77777777" w:rsidR="007058CC" w:rsidRPr="00A64175" w:rsidRDefault="007058CC" w:rsidP="00A64175">
            <w:pPr>
              <w:pStyle w:val="Paragraphedeliste"/>
              <w:numPr>
                <w:ilvl w:val="2"/>
                <w:numId w:val="172"/>
              </w:numPr>
              <w:spacing w:after="0" w:afterAutospacing="0" w:line="240" w:lineRule="auto"/>
              <w:contextualSpacing/>
              <w:rPr>
                <w:rFonts w:eastAsia="Times New Roman"/>
                <w:lang w:eastAsia="fr-FR"/>
              </w:rPr>
            </w:pPr>
            <w:r w:rsidRPr="00A64175">
              <w:rPr>
                <w:rFonts w:eastAsia="Times New Roman"/>
                <w:lang w:eastAsia="fr-FR"/>
              </w:rPr>
              <w:t xml:space="preserve">Personne ne peut être à la fois membre de l'organe de direction de la société́ de gestion et membre de l'organe de direction du dépositaire ; </w:t>
            </w:r>
          </w:p>
          <w:p w14:paraId="1309CBCD" w14:textId="77777777" w:rsidR="007058CC" w:rsidRPr="00A64175" w:rsidRDefault="007058CC" w:rsidP="00A64175">
            <w:pPr>
              <w:pStyle w:val="Paragraphedeliste"/>
              <w:contextualSpacing/>
              <w:rPr>
                <w:rFonts w:eastAsia="Times New Roman"/>
                <w:lang w:eastAsia="fr-FR"/>
              </w:rPr>
            </w:pPr>
          </w:p>
          <w:p w14:paraId="79DC24BA" w14:textId="77777777" w:rsidR="007058CC" w:rsidRPr="00A64175" w:rsidRDefault="007058CC" w:rsidP="00A64175">
            <w:pPr>
              <w:pStyle w:val="Paragraphedeliste"/>
              <w:numPr>
                <w:ilvl w:val="2"/>
                <w:numId w:val="172"/>
              </w:numPr>
              <w:spacing w:after="0" w:afterAutospacing="0" w:line="240" w:lineRule="auto"/>
              <w:contextualSpacing/>
              <w:rPr>
                <w:rFonts w:eastAsia="Times New Roman"/>
                <w:lang w:eastAsia="fr-FR"/>
              </w:rPr>
            </w:pPr>
            <w:r w:rsidRPr="00A64175">
              <w:rPr>
                <w:rFonts w:eastAsia="Times New Roman"/>
                <w:lang w:eastAsia="fr-FR"/>
              </w:rPr>
              <w:t xml:space="preserve">Personne ne peut être à la fois membre de l'organe de direction de la société́ de gestion et salarié du dépositaire ; </w:t>
            </w:r>
          </w:p>
          <w:p w14:paraId="0D79E8B0" w14:textId="77777777" w:rsidR="007058CC" w:rsidRPr="00A64175" w:rsidRDefault="007058CC" w:rsidP="00A64175">
            <w:pPr>
              <w:pStyle w:val="Paragraphedeliste"/>
              <w:contextualSpacing/>
              <w:rPr>
                <w:rFonts w:eastAsia="Times New Roman"/>
                <w:lang w:eastAsia="fr-FR"/>
              </w:rPr>
            </w:pPr>
          </w:p>
          <w:p w14:paraId="18E057D2" w14:textId="77777777" w:rsidR="007058CC" w:rsidRPr="00A64175" w:rsidRDefault="007058CC" w:rsidP="00A64175">
            <w:pPr>
              <w:pStyle w:val="Paragraphedeliste"/>
              <w:numPr>
                <w:ilvl w:val="2"/>
                <w:numId w:val="172"/>
              </w:numPr>
              <w:spacing w:after="0" w:afterAutospacing="0" w:line="240" w:lineRule="auto"/>
              <w:contextualSpacing/>
              <w:rPr>
                <w:rFonts w:eastAsia="Times New Roman"/>
                <w:lang w:eastAsia="fr-FR"/>
              </w:rPr>
            </w:pPr>
            <w:r w:rsidRPr="00A64175">
              <w:rPr>
                <w:rFonts w:eastAsia="Times New Roman"/>
                <w:lang w:eastAsia="fr-FR"/>
              </w:rPr>
              <w:t xml:space="preserve">Personne ne peut être à la fois membre de l'organe de direction de la société́ du dépositaire et salarié de la société́ de gestion ou d’investissement ; </w:t>
            </w:r>
          </w:p>
          <w:p w14:paraId="4C08CB03" w14:textId="7D303AB0" w:rsidR="007058CC" w:rsidRPr="00142911" w:rsidRDefault="007058CC" w:rsidP="00327234">
            <w:pPr>
              <w:contextualSpacing/>
              <w:rPr>
                <w:rFonts w:eastAsia="Times New Roman"/>
                <w:lang w:eastAsia="fr-FR"/>
              </w:rPr>
            </w:pPr>
          </w:p>
        </w:tc>
      </w:tr>
      <w:tr w:rsidR="007058CC" w:rsidRPr="00A64175" w14:paraId="58A2AA20" w14:textId="77777777" w:rsidTr="000E7336">
        <w:trPr>
          <w:jc w:val="center"/>
        </w:trPr>
        <w:tc>
          <w:tcPr>
            <w:tcW w:w="10316" w:type="dxa"/>
            <w:shd w:val="clear" w:color="auto" w:fill="auto"/>
          </w:tcPr>
          <w:p w14:paraId="0F584C86" w14:textId="77777777" w:rsidR="007058CC" w:rsidRPr="00A64175" w:rsidRDefault="007058CC" w:rsidP="00A64175">
            <w:pPr>
              <w:contextualSpacing/>
              <w:jc w:val="both"/>
              <w:rPr>
                <w:rFonts w:ascii="Arial" w:hAnsi="Arial" w:cs="Arial"/>
                <w:b/>
                <w:bCs/>
              </w:rPr>
            </w:pPr>
          </w:p>
          <w:p w14:paraId="497C5E63" w14:textId="2ED70639" w:rsidR="007058CC" w:rsidRPr="00A64175" w:rsidRDefault="00CF75FB" w:rsidP="00A64175">
            <w:pPr>
              <w:contextualSpacing/>
              <w:jc w:val="both"/>
              <w:rPr>
                <w:rFonts w:ascii="Arial" w:hAnsi="Arial" w:cs="Arial"/>
                <w:b/>
                <w:bCs/>
              </w:rPr>
            </w:pPr>
            <w:r w:rsidRPr="00A64175">
              <w:rPr>
                <w:rFonts w:ascii="Arial" w:hAnsi="Arial" w:cs="Arial"/>
                <w:b/>
                <w:bCs/>
              </w:rPr>
              <w:t>Article 50</w:t>
            </w:r>
            <w:r w:rsidR="00142911">
              <w:rPr>
                <w:rFonts w:ascii="Arial" w:hAnsi="Arial" w:cs="Arial"/>
                <w:b/>
                <w:bCs/>
              </w:rPr>
              <w:t xml:space="preserve">8 </w:t>
            </w:r>
            <w:r w:rsidR="007058CC" w:rsidRPr="00A64175">
              <w:rPr>
                <w:rFonts w:ascii="Arial" w:hAnsi="Arial" w:cs="Arial"/>
                <w:b/>
                <w:bCs/>
              </w:rPr>
              <w:t xml:space="preserve"> - </w:t>
            </w:r>
          </w:p>
          <w:p w14:paraId="433DCE29" w14:textId="77777777" w:rsidR="007058CC" w:rsidRPr="00A64175" w:rsidRDefault="007058CC" w:rsidP="00A64175">
            <w:pPr>
              <w:pStyle w:val="Paragraphedeliste"/>
              <w:numPr>
                <w:ilvl w:val="1"/>
                <w:numId w:val="159"/>
              </w:numPr>
              <w:spacing w:after="0" w:afterAutospacing="0" w:line="240" w:lineRule="auto"/>
              <w:ind w:left="426"/>
              <w:contextualSpacing/>
              <w:rPr>
                <w:rFonts w:eastAsia="Times New Roman"/>
                <w:lang w:eastAsia="fr-FR"/>
              </w:rPr>
            </w:pPr>
            <w:r w:rsidRPr="00A64175">
              <w:rPr>
                <w:rFonts w:eastAsia="Times New Roman"/>
                <w:lang w:eastAsia="fr-FR"/>
              </w:rPr>
              <w:t xml:space="preserve">La société de gestion ou d'investissement dispose d'une procédure décisionnelle pour le choix et la désignation du dépositaire, qui repose sur des critères objectifs prédéfinis et sert les seuls intérêts de l'OPC et de ses investisseurs. </w:t>
            </w:r>
          </w:p>
          <w:p w14:paraId="351ADEB3" w14:textId="77777777" w:rsidR="007058CC" w:rsidRPr="00A64175" w:rsidRDefault="007058CC" w:rsidP="00A64175">
            <w:pPr>
              <w:pStyle w:val="Paragraphedeliste"/>
              <w:ind w:left="426"/>
              <w:contextualSpacing/>
              <w:rPr>
                <w:rFonts w:eastAsia="Times New Roman"/>
                <w:lang w:eastAsia="fr-FR"/>
              </w:rPr>
            </w:pPr>
          </w:p>
          <w:p w14:paraId="62DE50C4" w14:textId="77777777" w:rsidR="007058CC" w:rsidRPr="00A64175" w:rsidRDefault="007058CC" w:rsidP="00A64175">
            <w:pPr>
              <w:pStyle w:val="Paragraphedeliste"/>
              <w:numPr>
                <w:ilvl w:val="1"/>
                <w:numId w:val="159"/>
              </w:numPr>
              <w:spacing w:after="0" w:afterAutospacing="0" w:line="240" w:lineRule="auto"/>
              <w:ind w:left="426"/>
              <w:contextualSpacing/>
              <w:rPr>
                <w:rFonts w:eastAsia="Times New Roman"/>
                <w:lang w:eastAsia="fr-FR"/>
              </w:rPr>
            </w:pPr>
            <w:r w:rsidRPr="00A64175">
              <w:rPr>
                <w:rFonts w:eastAsia="Times New Roman"/>
                <w:lang w:eastAsia="fr-FR"/>
              </w:rPr>
              <w:t xml:space="preserve">Si la société́ de gestion ou d'investissement désigne un dépositaire avec lequel elle a un lien ou un lien de groupe, elle conserve les documents justificatifs suivants : </w:t>
            </w:r>
          </w:p>
          <w:p w14:paraId="05CD63F2" w14:textId="0A1691F3" w:rsidR="007058CC" w:rsidRPr="00A64175" w:rsidRDefault="007058CC" w:rsidP="00A64175">
            <w:pPr>
              <w:pStyle w:val="Paragraphedeliste"/>
              <w:numPr>
                <w:ilvl w:val="2"/>
                <w:numId w:val="173"/>
              </w:numPr>
              <w:spacing w:after="0" w:afterAutospacing="0" w:line="240" w:lineRule="auto"/>
              <w:contextualSpacing/>
              <w:rPr>
                <w:rFonts w:eastAsia="Times New Roman"/>
                <w:lang w:eastAsia="fr-FR"/>
              </w:rPr>
            </w:pPr>
            <w:r w:rsidRPr="00A64175">
              <w:rPr>
                <w:rFonts w:eastAsia="Times New Roman"/>
                <w:lang w:eastAsia="fr-FR"/>
              </w:rPr>
              <w:t>Une évaluation comparative des raisons de designer un dépositaire ayant un lien ou un lien de groupe avec la société́ de gestion ou d'investissement et des raisons de designer un dépositaire sans lien ou lien de groupe, compte tenu, au minimum, des couts, de l'expertise, de la réputation financière et de la qualité́ des services fournis par tous les dépositaires évalu</w:t>
            </w:r>
            <w:r w:rsidR="001A447F">
              <w:rPr>
                <w:rFonts w:eastAsia="Times New Roman"/>
                <w:lang w:eastAsia="fr-FR"/>
              </w:rPr>
              <w:t xml:space="preserve">és </w:t>
            </w:r>
            <w:r w:rsidRPr="00A64175">
              <w:rPr>
                <w:rFonts w:eastAsia="Times New Roman"/>
                <w:lang w:eastAsia="fr-FR"/>
              </w:rPr>
              <w:t xml:space="preserve"> ; </w:t>
            </w:r>
          </w:p>
          <w:p w14:paraId="337FEE3E" w14:textId="77777777" w:rsidR="007058CC" w:rsidRPr="00A64175" w:rsidRDefault="007058CC" w:rsidP="00A64175">
            <w:pPr>
              <w:pStyle w:val="Paragraphedeliste"/>
              <w:contextualSpacing/>
              <w:rPr>
                <w:rFonts w:eastAsia="Times New Roman"/>
                <w:lang w:eastAsia="fr-FR"/>
              </w:rPr>
            </w:pPr>
          </w:p>
          <w:p w14:paraId="4DE38442" w14:textId="77777777" w:rsidR="007058CC" w:rsidRPr="00A64175" w:rsidRDefault="007058CC" w:rsidP="00A64175">
            <w:pPr>
              <w:pStyle w:val="Paragraphedeliste"/>
              <w:numPr>
                <w:ilvl w:val="0"/>
                <w:numId w:val="173"/>
              </w:numPr>
              <w:spacing w:after="0" w:afterAutospacing="0" w:line="240" w:lineRule="auto"/>
              <w:contextualSpacing/>
              <w:rPr>
                <w:rFonts w:eastAsia="Times New Roman"/>
                <w:lang w:eastAsia="fr-FR"/>
              </w:rPr>
            </w:pPr>
            <w:r w:rsidRPr="00A64175">
              <w:rPr>
                <w:rFonts w:eastAsia="Times New Roman"/>
                <w:lang w:eastAsia="fr-FR"/>
              </w:rPr>
              <w:t xml:space="preserve">Un rapport, basé sur l'évaluation visée au point a), décrivant comment la désignation satisfait aux critères objectifs prédéfinis visés au paragraphe 1 et intervient dans le seul intérêt de l'OPC et de ses investisseurs. </w:t>
            </w:r>
          </w:p>
          <w:p w14:paraId="2C55B99C" w14:textId="77777777" w:rsidR="007058CC" w:rsidRPr="00A64175" w:rsidRDefault="007058CC" w:rsidP="00A64175">
            <w:pPr>
              <w:pStyle w:val="Paragraphedeliste"/>
              <w:contextualSpacing/>
              <w:rPr>
                <w:rFonts w:eastAsia="Times New Roman"/>
                <w:lang w:eastAsia="fr-FR"/>
              </w:rPr>
            </w:pPr>
          </w:p>
          <w:p w14:paraId="6FBE6325" w14:textId="77777777" w:rsidR="007058CC" w:rsidRPr="00A64175" w:rsidRDefault="007058CC" w:rsidP="00A64175">
            <w:pPr>
              <w:pStyle w:val="Paragraphedeliste"/>
              <w:numPr>
                <w:ilvl w:val="1"/>
                <w:numId w:val="159"/>
              </w:numPr>
              <w:spacing w:after="0" w:afterAutospacing="0" w:line="240" w:lineRule="auto"/>
              <w:contextualSpacing/>
              <w:rPr>
                <w:rFonts w:eastAsia="Times New Roman"/>
                <w:lang w:eastAsia="fr-FR"/>
              </w:rPr>
            </w:pPr>
            <w:r w:rsidRPr="00A64175">
              <w:rPr>
                <w:rFonts w:eastAsia="Times New Roman"/>
                <w:lang w:eastAsia="fr-FR"/>
              </w:rPr>
              <w:t>La société́ de gestion ou d'investissement démontre à la COSUMAF qu'elle est satisfaite de la désignation du dépositaire et que la désignation du dépositaire sert les seuls intérêts de l'OPC et de ses investisseurs. La société́ de gestion ou d'investissement met les documents justificatifs visés au paragraphe 1 à la disposition de la COSUMAF.</w:t>
            </w:r>
          </w:p>
          <w:p w14:paraId="75EE7B99" w14:textId="77777777" w:rsidR="007058CC" w:rsidRPr="00A64175" w:rsidRDefault="007058CC" w:rsidP="00A64175">
            <w:pPr>
              <w:pStyle w:val="Paragraphedeliste"/>
              <w:contextualSpacing/>
              <w:rPr>
                <w:rFonts w:eastAsia="Times New Roman"/>
                <w:lang w:eastAsia="fr-FR"/>
              </w:rPr>
            </w:pPr>
          </w:p>
          <w:p w14:paraId="590891D8" w14:textId="77777777" w:rsidR="007058CC" w:rsidRPr="00A64175" w:rsidRDefault="007058CC" w:rsidP="00A64175">
            <w:pPr>
              <w:pStyle w:val="Paragraphedeliste"/>
              <w:numPr>
                <w:ilvl w:val="0"/>
                <w:numId w:val="159"/>
              </w:numPr>
              <w:spacing w:after="0" w:afterAutospacing="0" w:line="240" w:lineRule="auto"/>
              <w:contextualSpacing/>
              <w:rPr>
                <w:rFonts w:eastAsia="Times New Roman"/>
                <w:lang w:eastAsia="fr-FR"/>
              </w:rPr>
            </w:pPr>
            <w:r w:rsidRPr="00A64175">
              <w:rPr>
                <w:rFonts w:eastAsia="Times New Roman"/>
                <w:lang w:eastAsia="fr-FR"/>
              </w:rPr>
              <w:t>La société de gestion ou d'investissement justifie le choix du dépositaire auprès des investisseurs de l'OPC s'ils en font la demande.</w:t>
            </w:r>
          </w:p>
          <w:p w14:paraId="38CFEFA6" w14:textId="77777777" w:rsidR="007058CC" w:rsidRPr="00A64175" w:rsidRDefault="007058CC" w:rsidP="00A64175">
            <w:pPr>
              <w:pStyle w:val="Paragraphedeliste"/>
              <w:contextualSpacing/>
              <w:rPr>
                <w:rFonts w:eastAsia="Times New Roman"/>
                <w:lang w:eastAsia="fr-FR"/>
              </w:rPr>
            </w:pPr>
          </w:p>
          <w:p w14:paraId="1C298787" w14:textId="77A4E471" w:rsidR="007058CC" w:rsidRPr="00A64175" w:rsidRDefault="007058CC" w:rsidP="00A64175">
            <w:pPr>
              <w:pStyle w:val="Paragraphedeliste"/>
              <w:numPr>
                <w:ilvl w:val="0"/>
                <w:numId w:val="159"/>
              </w:numPr>
              <w:spacing w:after="0" w:afterAutospacing="0" w:line="240" w:lineRule="auto"/>
              <w:contextualSpacing/>
              <w:rPr>
                <w:rFonts w:eastAsia="Times New Roman"/>
                <w:lang w:eastAsia="fr-FR"/>
              </w:rPr>
            </w:pPr>
            <w:r w:rsidRPr="00A64175">
              <w:rPr>
                <w:rFonts w:eastAsia="Times New Roman"/>
                <w:lang w:eastAsia="fr-FR"/>
              </w:rPr>
              <w:t>Le dépositaire dispose d'une procédure décisionnelle pour le choix de tiers auxquels il peut déléguer les fonctions de garde</w:t>
            </w:r>
            <w:r w:rsidR="00CF75FB" w:rsidRPr="00A64175">
              <w:rPr>
                <w:rFonts w:eastAsia="Times New Roman"/>
                <w:lang w:eastAsia="fr-FR"/>
              </w:rPr>
              <w:t>,</w:t>
            </w:r>
            <w:r w:rsidRPr="00A64175">
              <w:rPr>
                <w:rFonts w:eastAsia="Times New Roman"/>
                <w:lang w:eastAsia="fr-FR"/>
              </w:rPr>
              <w:t xml:space="preserve"> qui repose sur des critères objectifs prédéfinis et sert les seuls intérêts de l'OPC et de ses investisseurs. </w:t>
            </w:r>
          </w:p>
          <w:p w14:paraId="0040FFD1" w14:textId="77777777" w:rsidR="007058CC" w:rsidRPr="00A64175" w:rsidRDefault="007058CC" w:rsidP="00A64175">
            <w:pPr>
              <w:contextualSpacing/>
              <w:jc w:val="both"/>
              <w:rPr>
                <w:rFonts w:ascii="Arial" w:hAnsi="Arial" w:cs="Arial"/>
                <w:b/>
                <w:bCs/>
              </w:rPr>
            </w:pPr>
          </w:p>
        </w:tc>
      </w:tr>
      <w:tr w:rsidR="007058CC" w:rsidRPr="00A64175" w14:paraId="06B5C725" w14:textId="77777777" w:rsidTr="000E7336">
        <w:trPr>
          <w:jc w:val="center"/>
        </w:trPr>
        <w:tc>
          <w:tcPr>
            <w:tcW w:w="10316" w:type="dxa"/>
            <w:shd w:val="clear" w:color="auto" w:fill="auto"/>
          </w:tcPr>
          <w:p w14:paraId="7365661D" w14:textId="0BFFA9AD" w:rsidR="007058CC" w:rsidRPr="00A64175" w:rsidRDefault="00CF75FB"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Article 50</w:t>
            </w:r>
            <w:r w:rsidR="00327234">
              <w:rPr>
                <w:rFonts w:ascii="Arial" w:eastAsia="Times New Roman" w:hAnsi="Arial" w:cs="Arial"/>
                <w:b/>
                <w:bCs/>
                <w:lang w:eastAsia="fr-FR"/>
              </w:rPr>
              <w:t xml:space="preserve">9 </w:t>
            </w:r>
            <w:r w:rsidR="007058CC" w:rsidRPr="00A64175">
              <w:rPr>
                <w:rFonts w:ascii="Arial" w:eastAsia="Times New Roman" w:hAnsi="Arial" w:cs="Arial"/>
                <w:b/>
                <w:bCs/>
                <w:lang w:eastAsia="fr-FR"/>
              </w:rPr>
              <w:t xml:space="preserve"> - </w:t>
            </w:r>
          </w:p>
          <w:p w14:paraId="140B629F" w14:textId="77777777" w:rsidR="007058CC" w:rsidRPr="00A64175" w:rsidRDefault="007058CC" w:rsidP="00A64175">
            <w:pPr>
              <w:contextualSpacing/>
              <w:jc w:val="both"/>
              <w:rPr>
                <w:rFonts w:ascii="Arial" w:eastAsia="Times New Roman" w:hAnsi="Arial" w:cs="Arial"/>
                <w:lang w:eastAsia="fr-FR"/>
              </w:rPr>
            </w:pPr>
          </w:p>
          <w:p w14:paraId="13D31973" w14:textId="77777777" w:rsidR="007058CC" w:rsidRPr="00A64175" w:rsidRDefault="007058CC" w:rsidP="00A64175">
            <w:pPr>
              <w:pStyle w:val="Paragraphedeliste"/>
              <w:numPr>
                <w:ilvl w:val="1"/>
                <w:numId w:val="159"/>
              </w:numPr>
              <w:spacing w:before="0" w:beforeAutospacing="0" w:after="0" w:afterAutospacing="0" w:line="240" w:lineRule="auto"/>
              <w:ind w:left="460"/>
              <w:contextualSpacing/>
              <w:rPr>
                <w:rFonts w:eastAsia="Times New Roman"/>
                <w:lang w:eastAsia="fr-FR"/>
              </w:rPr>
            </w:pPr>
            <w:r w:rsidRPr="00A64175">
              <w:rPr>
                <w:rFonts w:eastAsia="Times New Roman"/>
                <w:lang w:eastAsia="fr-FR"/>
              </w:rPr>
              <w:t xml:space="preserve">S'il existe un lien ou un lien de groupe entre eux, la société́ de gestion ou d'investissement et le dépositaire mettent en place des politiques et procédures garantissant qu'ils : </w:t>
            </w:r>
          </w:p>
          <w:p w14:paraId="24840049" w14:textId="77777777" w:rsidR="007058CC" w:rsidRPr="00A64175" w:rsidRDefault="007058CC" w:rsidP="00A64175">
            <w:pPr>
              <w:pStyle w:val="Paragraphedeliste"/>
              <w:numPr>
                <w:ilvl w:val="0"/>
                <w:numId w:val="174"/>
              </w:numPr>
              <w:spacing w:after="0" w:afterAutospacing="0" w:line="240" w:lineRule="auto"/>
              <w:contextualSpacing/>
              <w:rPr>
                <w:rFonts w:eastAsia="Times New Roman"/>
                <w:lang w:eastAsia="fr-FR"/>
              </w:rPr>
            </w:pPr>
            <w:r w:rsidRPr="00A64175">
              <w:rPr>
                <w:rFonts w:eastAsia="Times New Roman"/>
                <w:lang w:eastAsia="fr-FR"/>
              </w:rPr>
              <w:t xml:space="preserve">Identifient tous les conflits d'intérêts découlant de ce lien ; </w:t>
            </w:r>
          </w:p>
          <w:p w14:paraId="770BAA23" w14:textId="77777777" w:rsidR="007058CC" w:rsidRPr="00A64175" w:rsidRDefault="007058CC" w:rsidP="00A64175">
            <w:pPr>
              <w:pStyle w:val="Paragraphedeliste"/>
              <w:numPr>
                <w:ilvl w:val="0"/>
                <w:numId w:val="174"/>
              </w:numPr>
              <w:spacing w:after="0" w:afterAutospacing="0" w:line="240" w:lineRule="auto"/>
              <w:contextualSpacing/>
              <w:rPr>
                <w:rFonts w:eastAsia="Times New Roman"/>
                <w:lang w:eastAsia="fr-FR"/>
              </w:rPr>
            </w:pPr>
            <w:r w:rsidRPr="00A64175">
              <w:rPr>
                <w:rFonts w:eastAsia="Times New Roman"/>
                <w:lang w:eastAsia="fr-FR"/>
              </w:rPr>
              <w:t xml:space="preserve">Prennent toutes les mesures raisonnables pour éviter de tels conflits d'intérêts. </w:t>
            </w:r>
          </w:p>
          <w:p w14:paraId="158AF4B5" w14:textId="77777777" w:rsidR="007058CC" w:rsidRPr="00A64175" w:rsidRDefault="007058CC" w:rsidP="00A64175">
            <w:pPr>
              <w:contextualSpacing/>
              <w:jc w:val="both"/>
              <w:rPr>
                <w:rFonts w:ascii="Arial" w:eastAsia="Times New Roman" w:hAnsi="Arial" w:cs="Arial"/>
                <w:lang w:eastAsia="fr-FR"/>
              </w:rPr>
            </w:pPr>
          </w:p>
          <w:p w14:paraId="0EDA7E20" w14:textId="77777777" w:rsidR="007058CC" w:rsidRPr="00A64175" w:rsidRDefault="007058CC" w:rsidP="00A64175">
            <w:pPr>
              <w:pStyle w:val="Paragraphedeliste"/>
              <w:numPr>
                <w:ilvl w:val="1"/>
                <w:numId w:val="159"/>
              </w:numPr>
              <w:spacing w:before="0" w:beforeAutospacing="0" w:after="0" w:afterAutospacing="0" w:line="240" w:lineRule="auto"/>
              <w:ind w:left="460"/>
              <w:contextualSpacing/>
              <w:rPr>
                <w:rFonts w:eastAsia="Times New Roman"/>
                <w:lang w:eastAsia="fr-FR"/>
              </w:rPr>
            </w:pPr>
            <w:r w:rsidRPr="00A64175">
              <w:rPr>
                <w:rFonts w:eastAsia="Times New Roman"/>
                <w:lang w:eastAsia="fr-FR"/>
              </w:rPr>
              <w:t xml:space="preserve">S'il n'est pas possible d'éviter un conflit d'intérêt mentionné au premier alinéa, la société́ de gestion ou d'investissement et le dépositaire gèrent, suivent et signalent ce conflit d'intérêts afin d'éviter tous effets néfastes sur les intérêts de l'OPCVM et de ses investisseurs. </w:t>
            </w:r>
          </w:p>
          <w:p w14:paraId="6F255834" w14:textId="77777777" w:rsidR="007058CC" w:rsidRPr="00A64175" w:rsidRDefault="007058CC" w:rsidP="00A64175">
            <w:pPr>
              <w:contextualSpacing/>
              <w:jc w:val="both"/>
              <w:rPr>
                <w:rFonts w:ascii="Arial" w:hAnsi="Arial" w:cs="Arial"/>
                <w:b/>
                <w:bCs/>
              </w:rPr>
            </w:pPr>
          </w:p>
        </w:tc>
      </w:tr>
      <w:tr w:rsidR="007058CC" w:rsidRPr="00A64175" w14:paraId="1576DEDE" w14:textId="77777777" w:rsidTr="000E7336">
        <w:trPr>
          <w:jc w:val="center"/>
        </w:trPr>
        <w:tc>
          <w:tcPr>
            <w:tcW w:w="10316" w:type="dxa"/>
            <w:shd w:val="clear" w:color="auto" w:fill="auto"/>
          </w:tcPr>
          <w:p w14:paraId="06A57A7C" w14:textId="2BD6595D" w:rsidR="007058CC" w:rsidRPr="00A64175" w:rsidRDefault="00CF75FB" w:rsidP="00A64175">
            <w:pPr>
              <w:contextualSpacing/>
              <w:jc w:val="both"/>
              <w:rPr>
                <w:rFonts w:ascii="Arial" w:eastAsia="Times New Roman" w:hAnsi="Arial" w:cs="Arial"/>
                <w:b/>
                <w:bCs/>
                <w:lang w:eastAsia="fr-FR"/>
              </w:rPr>
            </w:pPr>
            <w:r w:rsidRPr="00A64175">
              <w:rPr>
                <w:rFonts w:ascii="Arial" w:eastAsia="Times New Roman" w:hAnsi="Arial" w:cs="Arial"/>
                <w:b/>
                <w:bCs/>
                <w:lang w:eastAsia="fr-FR"/>
              </w:rPr>
              <w:t>Article 5</w:t>
            </w:r>
            <w:r w:rsidR="00327234">
              <w:rPr>
                <w:rFonts w:ascii="Arial" w:eastAsia="Times New Roman" w:hAnsi="Arial" w:cs="Arial"/>
                <w:b/>
                <w:bCs/>
                <w:lang w:eastAsia="fr-FR"/>
              </w:rPr>
              <w:t xml:space="preserve">10 </w:t>
            </w:r>
            <w:r w:rsidR="007058CC" w:rsidRPr="00A64175">
              <w:rPr>
                <w:rFonts w:ascii="Arial" w:eastAsia="Times New Roman" w:hAnsi="Arial" w:cs="Arial"/>
                <w:b/>
                <w:bCs/>
                <w:lang w:eastAsia="fr-FR"/>
              </w:rPr>
              <w:t xml:space="preserve"> - </w:t>
            </w:r>
          </w:p>
          <w:p w14:paraId="1558A8B0" w14:textId="77777777" w:rsidR="007058CC" w:rsidRPr="00A64175" w:rsidRDefault="007058CC" w:rsidP="00A64175">
            <w:pPr>
              <w:pStyle w:val="Paragraphedeliste"/>
              <w:numPr>
                <w:ilvl w:val="2"/>
                <w:numId w:val="149"/>
              </w:numPr>
              <w:spacing w:after="0" w:afterAutospacing="0" w:line="240" w:lineRule="auto"/>
              <w:ind w:left="426"/>
              <w:contextualSpacing/>
              <w:rPr>
                <w:rFonts w:eastAsia="Times New Roman"/>
                <w:lang w:eastAsia="fr-FR"/>
              </w:rPr>
            </w:pPr>
            <w:r w:rsidRPr="00A64175">
              <w:rPr>
                <w:rFonts w:eastAsia="Times New Roman"/>
                <w:lang w:eastAsia="fr-FR"/>
              </w:rPr>
              <w:t xml:space="preserve">S'il existe un lien de groupe entre eux, la société́ de gestion ou d'investissement et le dépositaire font en sorte que : </w:t>
            </w:r>
          </w:p>
          <w:p w14:paraId="054C1FEA" w14:textId="77777777" w:rsidR="007058CC" w:rsidRPr="00A64175" w:rsidRDefault="007058CC" w:rsidP="00A64175">
            <w:pPr>
              <w:pStyle w:val="Paragraphedeliste"/>
              <w:ind w:left="426"/>
              <w:contextualSpacing/>
              <w:rPr>
                <w:rFonts w:eastAsia="Times New Roman"/>
                <w:lang w:eastAsia="fr-FR"/>
              </w:rPr>
            </w:pPr>
          </w:p>
          <w:p w14:paraId="5470FB6B" w14:textId="77777777" w:rsidR="007058CC" w:rsidRPr="00A64175" w:rsidRDefault="007058CC" w:rsidP="00A64175">
            <w:pPr>
              <w:pStyle w:val="Paragraphedeliste"/>
              <w:numPr>
                <w:ilvl w:val="2"/>
                <w:numId w:val="173"/>
              </w:numPr>
              <w:spacing w:after="0" w:afterAutospacing="0" w:line="240" w:lineRule="auto"/>
              <w:contextualSpacing/>
              <w:rPr>
                <w:rFonts w:eastAsia="Times New Roman"/>
                <w:lang w:eastAsia="fr-FR"/>
              </w:rPr>
            </w:pPr>
            <w:r w:rsidRPr="00A64175">
              <w:rPr>
                <w:rFonts w:eastAsia="Times New Roman"/>
                <w:lang w:eastAsia="fr-FR"/>
              </w:rPr>
              <w:t xml:space="preserve">Si l'organe de direction de la société́ de gestion et l'organe de direction du dépositaire assument également les fonctions de surveillance au sein des sociétés respectives, au moins un tiers des membres, ou deux personnes, le chiffre le plus bas étant retenu, de l'organe de direction de la société́ de gestion et de l'organe de direction du dépositaire sont indépendants ; </w:t>
            </w:r>
          </w:p>
          <w:p w14:paraId="0D6A268B" w14:textId="77777777" w:rsidR="007058CC" w:rsidRPr="00A64175" w:rsidRDefault="007058CC" w:rsidP="00A64175">
            <w:pPr>
              <w:pStyle w:val="Paragraphedeliste"/>
              <w:contextualSpacing/>
              <w:rPr>
                <w:rFonts w:eastAsia="Times New Roman"/>
                <w:lang w:eastAsia="fr-FR"/>
              </w:rPr>
            </w:pPr>
          </w:p>
          <w:p w14:paraId="3C5560D6" w14:textId="77777777" w:rsidR="007058CC" w:rsidRPr="00A64175" w:rsidRDefault="007058CC" w:rsidP="00A64175">
            <w:pPr>
              <w:pStyle w:val="Paragraphedeliste"/>
              <w:numPr>
                <w:ilvl w:val="2"/>
                <w:numId w:val="173"/>
              </w:numPr>
              <w:spacing w:after="0" w:afterAutospacing="0" w:line="240" w:lineRule="auto"/>
              <w:contextualSpacing/>
              <w:rPr>
                <w:rFonts w:eastAsia="Times New Roman"/>
                <w:lang w:eastAsia="fr-FR"/>
              </w:rPr>
            </w:pPr>
            <w:r w:rsidRPr="00A64175">
              <w:rPr>
                <w:rFonts w:eastAsia="Times New Roman"/>
                <w:lang w:eastAsia="fr-FR"/>
              </w:rPr>
              <w:t xml:space="preserve">Si l'organe de direction de la société́ de gestion et l'organe de direction du dépositaire n'assument pas les fonctions de surveillance au sein des sociétés respectives, au moins un tiers des membres, ou deux personnes, le chiffre le plus bas étant retenu, de l'organe assumant les fonctions de surveillance au sein de la société́ de gestion et au sein du dépositaire sont indépendants. </w:t>
            </w:r>
          </w:p>
          <w:p w14:paraId="3270D061" w14:textId="77777777" w:rsidR="007058CC" w:rsidRPr="00A64175" w:rsidRDefault="007058CC" w:rsidP="00A64175">
            <w:pPr>
              <w:pStyle w:val="NormalWeb"/>
              <w:numPr>
                <w:ilvl w:val="2"/>
                <w:numId w:val="149"/>
              </w:numPr>
              <w:spacing w:after="0" w:afterAutospacing="0"/>
              <w:ind w:left="426"/>
              <w:contextualSpacing/>
              <w:jc w:val="both"/>
              <w:rPr>
                <w:rFonts w:ascii="Arial" w:hAnsi="Arial" w:cs="Arial"/>
                <w:sz w:val="22"/>
                <w:szCs w:val="22"/>
              </w:rPr>
            </w:pPr>
            <w:r w:rsidRPr="00A64175">
              <w:rPr>
                <w:rFonts w:ascii="Arial" w:hAnsi="Arial" w:cs="Arial"/>
                <w:sz w:val="22"/>
                <w:szCs w:val="22"/>
              </w:rPr>
              <w:t xml:space="preserve">Aux fins du paragraphe 1, les membres de l’organe de direction du dépositaire ou les membres de l'organe desdites sociétés assumant les fonctions de surveillance sont réputés indépendants tant qu'ils ne sont ni membres de l'organe de direction ou de l'organe assumant les fonctions de surveillance, ni salariés de l'une quelconque des autres entreprises entre lesquelles il existe un lien de groupe et ne sont liés par aucune relation d'affaires, familiale ou autre avec la société́ de gestion ou d'investissement, le dépositaire ou toute autre entreprise au sein du groupe qui donnerait lieu à un conflit d'intérêt de nature à compromettre leur jugement. </w:t>
            </w:r>
          </w:p>
          <w:p w14:paraId="2CF6DC86" w14:textId="77777777" w:rsidR="007058CC" w:rsidRPr="00A64175" w:rsidRDefault="007058CC" w:rsidP="00A64175">
            <w:pPr>
              <w:contextualSpacing/>
              <w:jc w:val="both"/>
              <w:rPr>
                <w:rFonts w:ascii="Arial" w:hAnsi="Arial" w:cs="Arial"/>
                <w:b/>
                <w:bCs/>
              </w:rPr>
            </w:pPr>
          </w:p>
        </w:tc>
      </w:tr>
      <w:tr w:rsidR="007058CC" w:rsidRPr="00A64175" w14:paraId="0DA94DF6" w14:textId="77777777" w:rsidTr="000E7336">
        <w:trPr>
          <w:jc w:val="center"/>
        </w:trPr>
        <w:tc>
          <w:tcPr>
            <w:tcW w:w="10316" w:type="dxa"/>
            <w:shd w:val="clear" w:color="auto" w:fill="auto"/>
          </w:tcPr>
          <w:p w14:paraId="0C50AA7E" w14:textId="77777777" w:rsidR="007058CC" w:rsidRPr="00A64175" w:rsidRDefault="007058CC" w:rsidP="00A64175">
            <w:pPr>
              <w:jc w:val="both"/>
              <w:rPr>
                <w:rFonts w:ascii="Arial" w:hAnsi="Arial" w:cs="Arial"/>
                <w:b/>
                <w:bCs/>
              </w:rPr>
            </w:pPr>
            <w:r w:rsidRPr="00A64175">
              <w:rPr>
                <w:rFonts w:ascii="Arial" w:hAnsi="Arial" w:cs="Arial"/>
                <w:b/>
              </w:rPr>
              <w:t>CHAPITRE VI - Les sociétés d’investissement</w:t>
            </w:r>
          </w:p>
        </w:tc>
      </w:tr>
      <w:tr w:rsidR="007058CC" w:rsidRPr="00A64175" w14:paraId="03D903B0" w14:textId="77777777" w:rsidTr="000E7336">
        <w:trPr>
          <w:jc w:val="center"/>
        </w:trPr>
        <w:tc>
          <w:tcPr>
            <w:tcW w:w="10316" w:type="dxa"/>
            <w:shd w:val="clear" w:color="auto" w:fill="auto"/>
          </w:tcPr>
          <w:p w14:paraId="332093F6" w14:textId="29C03603" w:rsidR="007058CC" w:rsidRPr="00A64175" w:rsidRDefault="007058CC" w:rsidP="00A64175">
            <w:pPr>
              <w:jc w:val="both"/>
              <w:rPr>
                <w:rFonts w:ascii="Arial" w:hAnsi="Arial" w:cs="Arial"/>
                <w:b/>
                <w:bCs/>
              </w:rPr>
            </w:pPr>
          </w:p>
        </w:tc>
      </w:tr>
      <w:tr w:rsidR="007058CC" w:rsidRPr="00A64175" w14:paraId="5B2C52DB" w14:textId="77777777" w:rsidTr="000E7336">
        <w:trPr>
          <w:jc w:val="center"/>
        </w:trPr>
        <w:tc>
          <w:tcPr>
            <w:tcW w:w="10316" w:type="dxa"/>
            <w:shd w:val="clear" w:color="auto" w:fill="auto"/>
          </w:tcPr>
          <w:p w14:paraId="376F16B5" w14:textId="77777777" w:rsidR="007058CC" w:rsidRPr="00A64175" w:rsidRDefault="007058CC" w:rsidP="00A64175">
            <w:pPr>
              <w:jc w:val="both"/>
              <w:rPr>
                <w:rFonts w:ascii="Arial" w:hAnsi="Arial" w:cs="Arial"/>
                <w:b/>
                <w:bCs/>
              </w:rPr>
            </w:pPr>
          </w:p>
          <w:p w14:paraId="3BC6F831" w14:textId="57CA10D1" w:rsidR="007058CC" w:rsidRPr="00A64175" w:rsidRDefault="00CF75FB" w:rsidP="00A64175">
            <w:pPr>
              <w:jc w:val="both"/>
              <w:rPr>
                <w:rFonts w:ascii="Arial" w:hAnsi="Arial" w:cs="Arial"/>
                <w:b/>
                <w:bCs/>
              </w:rPr>
            </w:pPr>
            <w:r w:rsidRPr="00A64175">
              <w:rPr>
                <w:rFonts w:ascii="Arial" w:hAnsi="Arial" w:cs="Arial"/>
                <w:b/>
                <w:bCs/>
              </w:rPr>
              <w:t>Article 5</w:t>
            </w:r>
            <w:r w:rsidR="00327234">
              <w:rPr>
                <w:rFonts w:ascii="Arial" w:hAnsi="Arial" w:cs="Arial"/>
                <w:b/>
                <w:bCs/>
              </w:rPr>
              <w:t xml:space="preserve">11 </w:t>
            </w:r>
            <w:r w:rsidR="007058CC" w:rsidRPr="00A64175">
              <w:rPr>
                <w:rFonts w:ascii="Arial" w:hAnsi="Arial" w:cs="Arial"/>
                <w:b/>
                <w:bCs/>
              </w:rPr>
              <w:t xml:space="preserve"> - </w:t>
            </w:r>
            <w:r w:rsidR="007058CC" w:rsidRPr="00A64175">
              <w:rPr>
                <w:rFonts w:ascii="Arial" w:hAnsi="Arial" w:cs="Arial"/>
              </w:rPr>
              <w:t xml:space="preserve">Une société d’investissement doit prendre la forme de </w:t>
            </w:r>
            <w:r w:rsidR="001A447F">
              <w:rPr>
                <w:rFonts w:ascii="Arial" w:hAnsi="Arial" w:cs="Arial"/>
              </w:rPr>
              <w:t xml:space="preserve"> s</w:t>
            </w:r>
            <w:r w:rsidR="007058CC" w:rsidRPr="00A64175">
              <w:rPr>
                <w:rFonts w:ascii="Arial" w:hAnsi="Arial" w:cs="Arial"/>
              </w:rPr>
              <w:t xml:space="preserve">ociété </w:t>
            </w:r>
            <w:r w:rsidR="001A447F">
              <w:rPr>
                <w:rFonts w:ascii="Arial" w:hAnsi="Arial" w:cs="Arial"/>
              </w:rPr>
              <w:t xml:space="preserve"> a</w:t>
            </w:r>
            <w:r w:rsidR="007058CC" w:rsidRPr="00A64175">
              <w:rPr>
                <w:rFonts w:ascii="Arial" w:hAnsi="Arial" w:cs="Arial"/>
              </w:rPr>
              <w:t>nonyme</w:t>
            </w:r>
            <w:r w:rsidR="001A447F">
              <w:rPr>
                <w:rFonts w:ascii="Arial" w:hAnsi="Arial" w:cs="Arial"/>
              </w:rPr>
              <w:t xml:space="preserve"> ou de société par actions simplifiée</w:t>
            </w:r>
            <w:r w:rsidR="007058CC" w:rsidRPr="00A64175">
              <w:rPr>
                <w:rFonts w:ascii="Arial" w:hAnsi="Arial" w:cs="Arial"/>
              </w:rPr>
              <w:t xml:space="preserve">. </w:t>
            </w:r>
          </w:p>
        </w:tc>
      </w:tr>
      <w:tr w:rsidR="007058CC" w:rsidRPr="00A64175" w14:paraId="2427CC56" w14:textId="77777777" w:rsidTr="000E7336">
        <w:trPr>
          <w:trHeight w:val="1536"/>
          <w:jc w:val="center"/>
        </w:trPr>
        <w:tc>
          <w:tcPr>
            <w:tcW w:w="10316" w:type="dxa"/>
            <w:shd w:val="clear" w:color="auto" w:fill="auto"/>
          </w:tcPr>
          <w:p w14:paraId="4E737A58" w14:textId="77777777" w:rsidR="007058CC" w:rsidRPr="00A64175" w:rsidRDefault="007058CC" w:rsidP="00A64175">
            <w:pPr>
              <w:jc w:val="both"/>
              <w:rPr>
                <w:rFonts w:ascii="Arial" w:hAnsi="Arial" w:cs="Arial"/>
                <w:b/>
                <w:bCs/>
              </w:rPr>
            </w:pPr>
          </w:p>
          <w:p w14:paraId="3F295331" w14:textId="2D83A80C" w:rsidR="007058CC" w:rsidRPr="00A64175" w:rsidRDefault="00CF75FB" w:rsidP="00A64175">
            <w:pPr>
              <w:jc w:val="both"/>
              <w:rPr>
                <w:rFonts w:ascii="Arial" w:hAnsi="Arial" w:cs="Arial"/>
                <w:b/>
                <w:bCs/>
              </w:rPr>
            </w:pPr>
            <w:r w:rsidRPr="00A64175">
              <w:rPr>
                <w:rFonts w:ascii="Arial" w:hAnsi="Arial" w:cs="Arial"/>
                <w:b/>
                <w:bCs/>
              </w:rPr>
              <w:t>Article 5</w:t>
            </w:r>
            <w:r w:rsidR="00327234">
              <w:rPr>
                <w:rFonts w:ascii="Arial" w:hAnsi="Arial" w:cs="Arial"/>
                <w:b/>
                <w:bCs/>
              </w:rPr>
              <w:t xml:space="preserve">12 </w:t>
            </w:r>
            <w:r w:rsidR="007058CC" w:rsidRPr="00A64175">
              <w:rPr>
                <w:rFonts w:ascii="Arial" w:hAnsi="Arial" w:cs="Arial"/>
                <w:b/>
                <w:bCs/>
              </w:rPr>
              <w:t xml:space="preserve"> – </w:t>
            </w:r>
          </w:p>
          <w:p w14:paraId="4CB2F353" w14:textId="77777777" w:rsidR="00CF75FB" w:rsidRPr="00A64175" w:rsidRDefault="00CF75FB" w:rsidP="00A64175">
            <w:pPr>
              <w:jc w:val="both"/>
              <w:rPr>
                <w:rFonts w:ascii="Arial" w:hAnsi="Arial" w:cs="Arial"/>
                <w:b/>
                <w:bCs/>
              </w:rPr>
            </w:pPr>
          </w:p>
          <w:p w14:paraId="258C742E" w14:textId="2ACDF760" w:rsidR="00CF75FB" w:rsidRPr="00A64175" w:rsidRDefault="00CF75FB" w:rsidP="00A64175">
            <w:pPr>
              <w:pStyle w:val="Paragraphedeliste"/>
              <w:numPr>
                <w:ilvl w:val="2"/>
                <w:numId w:val="185"/>
              </w:numPr>
              <w:spacing w:before="0" w:beforeAutospacing="0" w:after="0" w:afterAutospacing="0" w:line="240" w:lineRule="auto"/>
              <w:ind w:left="744"/>
            </w:pPr>
            <w:r w:rsidRPr="00A64175">
              <w:t>Pour l’application des dispositions de la présente section</w:t>
            </w:r>
            <w:r w:rsidR="007058CC" w:rsidRPr="00A64175">
              <w:t>, les termes « sociétés de gestion » signifient « société d’investissement ».</w:t>
            </w:r>
          </w:p>
          <w:p w14:paraId="460AB753" w14:textId="1851E1CE" w:rsidR="007058CC" w:rsidRPr="00A64175" w:rsidRDefault="007058CC" w:rsidP="00A64175">
            <w:pPr>
              <w:pStyle w:val="Paragraphedeliste"/>
              <w:numPr>
                <w:ilvl w:val="2"/>
                <w:numId w:val="185"/>
              </w:numPr>
              <w:spacing w:before="0" w:beforeAutospacing="0" w:after="0" w:afterAutospacing="0" w:line="240" w:lineRule="auto"/>
              <w:ind w:left="744"/>
            </w:pPr>
            <w:r w:rsidRPr="00A64175">
              <w:t xml:space="preserve">Les sociétés d’investissement  </w:t>
            </w:r>
            <w:r w:rsidR="001B4D03" w:rsidRPr="00A64175">
              <w:t xml:space="preserve"> </w:t>
            </w:r>
            <w:r w:rsidRPr="00A64175">
              <w:t>gèrent uniquement les actifs de leur propre portefeuille et ne peuvent en aucun cas être mandatées pour gérer des actifs pour le compte d’un tiers.</w:t>
            </w:r>
          </w:p>
        </w:tc>
      </w:tr>
      <w:tr w:rsidR="007058CC" w:rsidRPr="00A64175" w14:paraId="256B386F" w14:textId="77777777" w:rsidTr="000E7336">
        <w:trPr>
          <w:trHeight w:val="250"/>
          <w:jc w:val="center"/>
        </w:trPr>
        <w:tc>
          <w:tcPr>
            <w:tcW w:w="10316" w:type="dxa"/>
            <w:shd w:val="clear" w:color="auto" w:fill="auto"/>
          </w:tcPr>
          <w:p w14:paraId="25D6C946" w14:textId="77777777" w:rsidR="007058CC" w:rsidRPr="00A64175" w:rsidRDefault="007058CC" w:rsidP="00A64175">
            <w:pPr>
              <w:jc w:val="both"/>
              <w:rPr>
                <w:rFonts w:ascii="Arial" w:hAnsi="Arial" w:cs="Arial"/>
                <w:b/>
                <w:bCs/>
              </w:rPr>
            </w:pPr>
          </w:p>
          <w:p w14:paraId="78BDCE93" w14:textId="4DE4CE45" w:rsidR="007058CC" w:rsidRPr="00A64175" w:rsidRDefault="007058CC" w:rsidP="00A64175">
            <w:pPr>
              <w:jc w:val="both"/>
              <w:rPr>
                <w:rFonts w:ascii="Arial" w:hAnsi="Arial" w:cs="Arial"/>
                <w:b/>
                <w:bCs/>
              </w:rPr>
            </w:pPr>
          </w:p>
          <w:p w14:paraId="3BF44797" w14:textId="77777777" w:rsidR="00CF75FB" w:rsidRPr="00A64175" w:rsidRDefault="00CF75FB" w:rsidP="00A64175">
            <w:pPr>
              <w:jc w:val="both"/>
              <w:rPr>
                <w:rFonts w:ascii="Arial" w:hAnsi="Arial" w:cs="Arial"/>
                <w:b/>
                <w:bCs/>
              </w:rPr>
            </w:pPr>
          </w:p>
        </w:tc>
      </w:tr>
      <w:tr w:rsidR="007058CC" w:rsidRPr="00A64175" w14:paraId="700E9B5D" w14:textId="77777777" w:rsidTr="000E7336">
        <w:trPr>
          <w:trHeight w:val="1872"/>
          <w:jc w:val="center"/>
        </w:trPr>
        <w:tc>
          <w:tcPr>
            <w:tcW w:w="10316" w:type="dxa"/>
            <w:shd w:val="clear" w:color="auto" w:fill="auto"/>
          </w:tcPr>
          <w:p w14:paraId="4B21F05A" w14:textId="6BA19A5B" w:rsidR="007058CC" w:rsidRPr="00327234" w:rsidRDefault="007058CC" w:rsidP="00327234"/>
        </w:tc>
      </w:tr>
    </w:tbl>
    <w:tbl>
      <w:tblPr>
        <w:tblStyle w:val="Grilledutableau"/>
        <w:tblpPr w:leftFromText="141" w:rightFromText="141" w:vertAnchor="text" w:horzAnchor="margin" w:tblpXSpec="center" w:tblpY="-6604"/>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0E7336" w:rsidRPr="00A64175" w14:paraId="02838DD4" w14:textId="77777777" w:rsidTr="000E7336">
        <w:trPr>
          <w:trHeight w:val="251"/>
        </w:trPr>
        <w:tc>
          <w:tcPr>
            <w:tcW w:w="9493" w:type="dxa"/>
            <w:shd w:val="clear" w:color="auto" w:fill="auto"/>
          </w:tcPr>
          <w:p w14:paraId="4FC56E29" w14:textId="77777777" w:rsidR="00183E99" w:rsidRDefault="00183E99" w:rsidP="000E7336">
            <w:pPr>
              <w:widowControl w:val="0"/>
              <w:autoSpaceDE w:val="0"/>
              <w:adjustRightInd w:val="0"/>
              <w:jc w:val="both"/>
              <w:rPr>
                <w:rFonts w:ascii="Arial" w:hAnsi="Arial" w:cs="Arial"/>
                <w:b/>
                <w:bCs/>
              </w:rPr>
            </w:pPr>
          </w:p>
          <w:p w14:paraId="468C989F" w14:textId="77777777" w:rsidR="000E7336" w:rsidRDefault="000E7336" w:rsidP="000E7336">
            <w:pPr>
              <w:widowControl w:val="0"/>
              <w:autoSpaceDE w:val="0"/>
              <w:adjustRightInd w:val="0"/>
              <w:jc w:val="both"/>
              <w:rPr>
                <w:rFonts w:ascii="Arial" w:hAnsi="Arial" w:cs="Arial"/>
                <w:b/>
                <w:bCs/>
              </w:rPr>
            </w:pPr>
            <w:r w:rsidRPr="00A64175">
              <w:rPr>
                <w:rFonts w:ascii="Arial" w:hAnsi="Arial" w:cs="Arial"/>
                <w:b/>
                <w:bCs/>
              </w:rPr>
              <w:t>TITRE VII – ORGANISMES CENTRAUX</w:t>
            </w:r>
          </w:p>
          <w:p w14:paraId="0D8A1D42" w14:textId="77777777" w:rsidR="000F1951" w:rsidRPr="00A64175" w:rsidRDefault="000F1951" w:rsidP="000E7336">
            <w:pPr>
              <w:widowControl w:val="0"/>
              <w:autoSpaceDE w:val="0"/>
              <w:adjustRightInd w:val="0"/>
              <w:jc w:val="both"/>
              <w:rPr>
                <w:rFonts w:ascii="Arial" w:hAnsi="Arial" w:cs="Arial"/>
                <w:b/>
                <w:bCs/>
              </w:rPr>
            </w:pPr>
          </w:p>
          <w:p w14:paraId="6C3021B5" w14:textId="77777777" w:rsidR="000E7336" w:rsidRDefault="000E7336" w:rsidP="000E7336">
            <w:pPr>
              <w:widowControl w:val="0"/>
              <w:autoSpaceDE w:val="0"/>
              <w:adjustRightInd w:val="0"/>
              <w:jc w:val="both"/>
              <w:rPr>
                <w:rFonts w:ascii="Arial" w:hAnsi="Arial" w:cs="Arial"/>
                <w:b/>
                <w:bCs/>
              </w:rPr>
            </w:pPr>
            <w:r w:rsidRPr="00A64175">
              <w:rPr>
                <w:rFonts w:ascii="Arial" w:hAnsi="Arial" w:cs="Arial"/>
                <w:b/>
                <w:bCs/>
              </w:rPr>
              <w:t xml:space="preserve">CHAPITRE I – </w:t>
            </w:r>
            <w:r w:rsidR="001A447F">
              <w:rPr>
                <w:rFonts w:ascii="Arial" w:hAnsi="Arial" w:cs="Arial"/>
                <w:b/>
                <w:bCs/>
              </w:rPr>
              <w:t xml:space="preserve">  </w:t>
            </w:r>
            <w:r w:rsidRPr="00A64175">
              <w:rPr>
                <w:rFonts w:ascii="Arial" w:hAnsi="Arial" w:cs="Arial"/>
                <w:b/>
                <w:bCs/>
              </w:rPr>
              <w:t xml:space="preserve">ENTREPRISE DE MARCHE </w:t>
            </w:r>
          </w:p>
          <w:p w14:paraId="1AC7EAB3" w14:textId="58BB5429" w:rsidR="000F1951" w:rsidRPr="00A64175" w:rsidRDefault="000F1951" w:rsidP="000E7336">
            <w:pPr>
              <w:widowControl w:val="0"/>
              <w:autoSpaceDE w:val="0"/>
              <w:adjustRightInd w:val="0"/>
              <w:jc w:val="both"/>
              <w:rPr>
                <w:rFonts w:ascii="Arial" w:hAnsi="Arial" w:cs="Arial"/>
                <w:b/>
                <w:bCs/>
              </w:rPr>
            </w:pPr>
          </w:p>
        </w:tc>
      </w:tr>
      <w:tr w:rsidR="000E7336" w:rsidRPr="00A64175" w14:paraId="5DA85566" w14:textId="77777777" w:rsidTr="000E7336">
        <w:trPr>
          <w:trHeight w:val="251"/>
        </w:trPr>
        <w:tc>
          <w:tcPr>
            <w:tcW w:w="9493" w:type="dxa"/>
            <w:shd w:val="clear" w:color="auto" w:fill="auto"/>
          </w:tcPr>
          <w:p w14:paraId="0BE4A55B" w14:textId="77777777" w:rsidR="000E7336" w:rsidRPr="00A64175" w:rsidRDefault="000E7336" w:rsidP="000E7336">
            <w:pPr>
              <w:widowControl w:val="0"/>
              <w:autoSpaceDE w:val="0"/>
              <w:adjustRightInd w:val="0"/>
              <w:jc w:val="both"/>
              <w:rPr>
                <w:rFonts w:ascii="Arial" w:hAnsi="Arial" w:cs="Arial"/>
                <w:b/>
                <w:bCs/>
                <w:kern w:val="1"/>
              </w:rPr>
            </w:pPr>
            <w:r w:rsidRPr="00A64175">
              <w:rPr>
                <w:rFonts w:ascii="Arial" w:hAnsi="Arial" w:cs="Arial"/>
                <w:b/>
                <w:bCs/>
              </w:rPr>
              <w:t>Section I : Agrément de l’entreprise de marché</w:t>
            </w:r>
          </w:p>
        </w:tc>
      </w:tr>
      <w:tr w:rsidR="000E7336" w:rsidRPr="00A64175" w14:paraId="710A69AA" w14:textId="77777777" w:rsidTr="000E7336">
        <w:trPr>
          <w:trHeight w:val="251"/>
        </w:trPr>
        <w:tc>
          <w:tcPr>
            <w:tcW w:w="9493" w:type="dxa"/>
          </w:tcPr>
          <w:p w14:paraId="1DE10383" w14:textId="77777777" w:rsidR="000E7336" w:rsidRPr="00A64175" w:rsidRDefault="000E7336" w:rsidP="000E7336">
            <w:pPr>
              <w:widowControl w:val="0"/>
              <w:autoSpaceDE w:val="0"/>
              <w:adjustRightInd w:val="0"/>
              <w:jc w:val="both"/>
              <w:rPr>
                <w:rFonts w:ascii="Arial" w:hAnsi="Arial" w:cs="Arial"/>
                <w:b/>
                <w:bCs/>
              </w:rPr>
            </w:pPr>
          </w:p>
          <w:p w14:paraId="5C507E7F" w14:textId="6385CB4B"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5B705C">
              <w:rPr>
                <w:rFonts w:ascii="Arial" w:hAnsi="Arial" w:cs="Arial"/>
                <w:b/>
                <w:bCs/>
              </w:rPr>
              <w:t>1</w:t>
            </w:r>
            <w:r w:rsidR="00336116">
              <w:rPr>
                <w:rFonts w:ascii="Arial" w:hAnsi="Arial" w:cs="Arial"/>
                <w:b/>
                <w:bCs/>
              </w:rPr>
              <w:t xml:space="preserve">3 </w:t>
            </w:r>
            <w:r w:rsidRPr="00A64175">
              <w:rPr>
                <w:rFonts w:ascii="Arial" w:hAnsi="Arial" w:cs="Arial"/>
                <w:b/>
                <w:bCs/>
              </w:rPr>
              <w:t xml:space="preserve"> – </w:t>
            </w:r>
          </w:p>
          <w:p w14:paraId="1711BA09" w14:textId="77777777" w:rsidR="000E7336" w:rsidRPr="00A64175" w:rsidRDefault="000E7336" w:rsidP="000E7336">
            <w:pPr>
              <w:widowControl w:val="0"/>
              <w:autoSpaceDE w:val="0"/>
              <w:adjustRightInd w:val="0"/>
              <w:jc w:val="both"/>
              <w:rPr>
                <w:rFonts w:ascii="Arial" w:hAnsi="Arial" w:cs="Arial"/>
                <w:b/>
                <w:bCs/>
              </w:rPr>
            </w:pPr>
          </w:p>
          <w:p w14:paraId="1E1AB454" w14:textId="77777777" w:rsidR="000E7336" w:rsidRPr="00A64175" w:rsidRDefault="000E7336" w:rsidP="000E7336">
            <w:pPr>
              <w:pStyle w:val="Paragraphedeliste"/>
              <w:widowControl w:val="0"/>
              <w:numPr>
                <w:ilvl w:val="0"/>
                <w:numId w:val="220"/>
              </w:numPr>
              <w:autoSpaceDE w:val="0"/>
              <w:adjustRightInd w:val="0"/>
              <w:spacing w:before="0" w:beforeAutospacing="0" w:after="0" w:afterAutospacing="0" w:line="240" w:lineRule="auto"/>
              <w:rPr>
                <w:b/>
                <w:bCs/>
              </w:rPr>
            </w:pPr>
            <w:r w:rsidRPr="00A64175">
              <w:rPr>
                <w:color w:val="000000" w:themeColor="text1"/>
              </w:rPr>
              <w:t xml:space="preserve">Pour exercer ses activités, </w:t>
            </w:r>
            <w:r w:rsidRPr="00A64175">
              <w:rPr>
                <w:color w:val="333333"/>
              </w:rPr>
              <w:t>l'entreprise de marché</w:t>
            </w:r>
            <w:r w:rsidRPr="00A64175">
              <w:rPr>
                <w:color w:val="000000" w:themeColor="text1"/>
              </w:rPr>
              <w:t>, constitue un dossier de demande d’agrément qu’elle adresse à la COSUMAF, par lettre recommandée avec demande d’avis de réception. Un récépissé de dépôt est délivré.</w:t>
            </w:r>
          </w:p>
          <w:p w14:paraId="0184B1D1" w14:textId="77777777" w:rsidR="000E7336" w:rsidRPr="00A64175" w:rsidRDefault="000E7336" w:rsidP="000E7336">
            <w:pPr>
              <w:widowControl w:val="0"/>
              <w:autoSpaceDE w:val="0"/>
              <w:adjustRightInd w:val="0"/>
              <w:jc w:val="both"/>
              <w:rPr>
                <w:rFonts w:ascii="Arial" w:hAnsi="Arial" w:cs="Arial"/>
                <w:color w:val="000000" w:themeColor="text1"/>
              </w:rPr>
            </w:pPr>
          </w:p>
          <w:p w14:paraId="5AA65459" w14:textId="77777777" w:rsidR="000E7336" w:rsidRPr="00A64175" w:rsidRDefault="000E7336" w:rsidP="000E7336">
            <w:pPr>
              <w:pStyle w:val="Paragraphedeliste"/>
              <w:widowControl w:val="0"/>
              <w:numPr>
                <w:ilvl w:val="0"/>
                <w:numId w:val="220"/>
              </w:numPr>
              <w:autoSpaceDE w:val="0"/>
              <w:adjustRightInd w:val="0"/>
              <w:spacing w:before="0" w:beforeAutospacing="0" w:after="0" w:afterAutospacing="0" w:line="240" w:lineRule="auto"/>
              <w:rPr>
                <w:color w:val="000000" w:themeColor="text1"/>
              </w:rPr>
            </w:pPr>
            <w:r w:rsidRPr="00A64175">
              <w:rPr>
                <w:color w:val="000000" w:themeColor="text1"/>
              </w:rPr>
              <w:t xml:space="preserve">La demande d’agrément est accompagnée de toutes les informations nécessaires pour permettre à la COSUMAF de s’assurer que </w:t>
            </w:r>
            <w:r w:rsidRPr="00A64175">
              <w:rPr>
                <w:color w:val="333333"/>
              </w:rPr>
              <w:t xml:space="preserve">l'entreprise de marché </w:t>
            </w:r>
            <w:r w:rsidRPr="00A64175">
              <w:rPr>
                <w:color w:val="000000" w:themeColor="text1"/>
              </w:rPr>
              <w:t>a mis en place, au moment de l’agrément, toutes les dispositions nécessaires pour se conformer aux obligations qui lui incombent en vertu du présent règlement.</w:t>
            </w:r>
          </w:p>
          <w:p w14:paraId="39FEC7BB" w14:textId="77777777" w:rsidR="000E7336" w:rsidRPr="00A64175" w:rsidRDefault="000E7336" w:rsidP="000E7336">
            <w:pPr>
              <w:widowControl w:val="0"/>
              <w:autoSpaceDE w:val="0"/>
              <w:adjustRightInd w:val="0"/>
              <w:jc w:val="both"/>
              <w:rPr>
                <w:rFonts w:ascii="Arial" w:hAnsi="Arial" w:cs="Arial"/>
              </w:rPr>
            </w:pPr>
          </w:p>
          <w:p w14:paraId="7E41175D" w14:textId="77777777" w:rsidR="000E7336" w:rsidRPr="00A64175" w:rsidRDefault="000E7336" w:rsidP="000E7336">
            <w:pPr>
              <w:pStyle w:val="Paragraphedeliste"/>
              <w:widowControl w:val="0"/>
              <w:numPr>
                <w:ilvl w:val="0"/>
                <w:numId w:val="220"/>
              </w:numPr>
              <w:autoSpaceDE w:val="0"/>
              <w:adjustRightInd w:val="0"/>
              <w:spacing w:before="0" w:beforeAutospacing="0" w:after="0" w:afterAutospacing="0" w:line="240" w:lineRule="auto"/>
              <w:rPr>
                <w:color w:val="000000" w:themeColor="text1"/>
              </w:rPr>
            </w:pPr>
            <w:r w:rsidRPr="00A64175">
              <w:rPr>
                <w:color w:val="000000" w:themeColor="text1"/>
              </w:rPr>
              <w:t xml:space="preserve">La demande d’agrément comprend un programme d’activités précisant le type d’activités envisagées et l’organisation structurelle de </w:t>
            </w:r>
            <w:r w:rsidRPr="00A64175">
              <w:rPr>
                <w:color w:val="333333"/>
              </w:rPr>
              <w:t>l'entreprise de marché</w:t>
            </w:r>
            <w:r w:rsidRPr="00A64175">
              <w:rPr>
                <w:color w:val="000000" w:themeColor="text1"/>
              </w:rPr>
              <w:t xml:space="preserve">, ainsi que ses règles de fonctionnement. </w:t>
            </w:r>
          </w:p>
          <w:p w14:paraId="222A4119" w14:textId="77777777" w:rsidR="000E7336" w:rsidRPr="00A64175" w:rsidRDefault="000E7336" w:rsidP="000E7336">
            <w:pPr>
              <w:widowControl w:val="0"/>
              <w:autoSpaceDE w:val="0"/>
              <w:adjustRightInd w:val="0"/>
              <w:jc w:val="both"/>
              <w:rPr>
                <w:rFonts w:ascii="Arial" w:hAnsi="Arial" w:cs="Arial"/>
              </w:rPr>
            </w:pPr>
          </w:p>
          <w:p w14:paraId="4A102EBA" w14:textId="77777777" w:rsidR="000E7336" w:rsidRPr="00A64175" w:rsidRDefault="000E7336" w:rsidP="000E7336">
            <w:pPr>
              <w:pStyle w:val="Paragraphedeliste"/>
              <w:widowControl w:val="0"/>
              <w:numPr>
                <w:ilvl w:val="0"/>
                <w:numId w:val="220"/>
              </w:numPr>
              <w:autoSpaceDE w:val="0"/>
              <w:adjustRightInd w:val="0"/>
              <w:spacing w:before="0" w:beforeAutospacing="0" w:after="0" w:afterAutospacing="0" w:line="240" w:lineRule="auto"/>
            </w:pPr>
            <w:r w:rsidRPr="00A64175">
              <w:t>Le dossier de demande d’agrément est adressé à la COSUMAF dans les conditions décrites dans une instruction de la COSUMAF.</w:t>
            </w:r>
            <w:r w:rsidRPr="00A64175">
              <w:rPr>
                <w:color w:val="000000" w:themeColor="text1"/>
              </w:rPr>
              <w:t xml:space="preserve"> </w:t>
            </w:r>
            <w:r w:rsidRPr="00A64175">
              <w:t>Cette instruction précise également le contenu du dossier et la procédure d’agrément de l’entreprise de marché.</w:t>
            </w:r>
          </w:p>
          <w:p w14:paraId="69DD7CD2" w14:textId="77777777" w:rsidR="000E7336" w:rsidRPr="00A64175" w:rsidRDefault="000E7336" w:rsidP="000E7336">
            <w:pPr>
              <w:widowControl w:val="0"/>
              <w:autoSpaceDE w:val="0"/>
              <w:adjustRightInd w:val="0"/>
              <w:jc w:val="both"/>
              <w:rPr>
                <w:rFonts w:ascii="Arial" w:hAnsi="Arial" w:cs="Arial"/>
                <w:b/>
                <w:color w:val="000000" w:themeColor="text1"/>
                <w:kern w:val="1"/>
              </w:rPr>
            </w:pPr>
          </w:p>
        </w:tc>
      </w:tr>
      <w:tr w:rsidR="000E7336" w:rsidRPr="00A64175" w14:paraId="26FD28CA" w14:textId="77777777" w:rsidTr="000E7336">
        <w:trPr>
          <w:trHeight w:val="251"/>
        </w:trPr>
        <w:tc>
          <w:tcPr>
            <w:tcW w:w="9493" w:type="dxa"/>
          </w:tcPr>
          <w:p w14:paraId="378495BF" w14:textId="6781AC03" w:rsidR="000E7336" w:rsidRPr="00A64175" w:rsidRDefault="000E7336" w:rsidP="000E7336">
            <w:pPr>
              <w:widowControl w:val="0"/>
              <w:autoSpaceDE w:val="0"/>
              <w:adjustRightInd w:val="0"/>
              <w:jc w:val="both"/>
              <w:rPr>
                <w:rFonts w:ascii="Arial" w:hAnsi="Arial" w:cs="Arial"/>
                <w:color w:val="333333"/>
              </w:rPr>
            </w:pPr>
            <w:r w:rsidRPr="00A64175">
              <w:rPr>
                <w:rFonts w:ascii="Arial" w:hAnsi="Arial" w:cs="Arial"/>
                <w:b/>
                <w:bCs/>
              </w:rPr>
              <w:t>Article 5</w:t>
            </w:r>
            <w:r w:rsidR="005B705C">
              <w:rPr>
                <w:rFonts w:ascii="Arial" w:hAnsi="Arial" w:cs="Arial"/>
                <w:b/>
                <w:bCs/>
              </w:rPr>
              <w:t>1</w:t>
            </w:r>
            <w:r w:rsidR="00336116">
              <w:rPr>
                <w:rFonts w:ascii="Arial" w:hAnsi="Arial" w:cs="Arial"/>
                <w:b/>
                <w:bCs/>
              </w:rPr>
              <w:t xml:space="preserve">4 </w:t>
            </w:r>
            <w:r w:rsidRPr="00A64175">
              <w:rPr>
                <w:rFonts w:ascii="Arial" w:hAnsi="Arial" w:cs="Arial"/>
                <w:b/>
                <w:bCs/>
              </w:rPr>
              <w:t xml:space="preserve"> – </w:t>
            </w:r>
            <w:r w:rsidRPr="00A64175">
              <w:rPr>
                <w:rFonts w:ascii="Arial" w:hAnsi="Arial" w:cs="Arial"/>
                <w:color w:val="000000" w:themeColor="text1"/>
              </w:rPr>
              <w:t xml:space="preserve">La COSUMAF </w:t>
            </w:r>
            <w:r w:rsidRPr="00A64175">
              <w:rPr>
                <w:rFonts w:ascii="Arial" w:hAnsi="Arial" w:cs="Arial"/>
                <w:color w:val="333333"/>
              </w:rPr>
              <w:t>s'assure que les éléments qui lui ont été transmis dans le cadre d’une demande d’agrément sont conformes aux dispositions législatives et réglementaires applicables. Elle vérifie notamment que :</w:t>
            </w:r>
          </w:p>
          <w:p w14:paraId="747184F1" w14:textId="77777777" w:rsidR="000E7336" w:rsidRPr="00A64175" w:rsidRDefault="000E7336" w:rsidP="000E7336">
            <w:pPr>
              <w:widowControl w:val="0"/>
              <w:autoSpaceDE w:val="0"/>
              <w:adjustRightInd w:val="0"/>
              <w:jc w:val="both"/>
              <w:rPr>
                <w:rFonts w:ascii="Arial" w:hAnsi="Arial" w:cs="Arial"/>
                <w:b/>
                <w:bCs/>
              </w:rPr>
            </w:pPr>
          </w:p>
          <w:p w14:paraId="42061979" w14:textId="77777777" w:rsidR="000E7336" w:rsidRPr="00A64175" w:rsidRDefault="000E7336" w:rsidP="000E7336">
            <w:pPr>
              <w:pStyle w:val="NormalWeb"/>
              <w:numPr>
                <w:ilvl w:val="0"/>
                <w:numId w:val="216"/>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L'entreprise de marché est habilitée à exercer les droits correspondant au marché réglementé qu'elle gère ;</w:t>
            </w:r>
          </w:p>
          <w:p w14:paraId="7F0BFD9C" w14:textId="77777777" w:rsidR="000E7336" w:rsidRPr="00A64175" w:rsidRDefault="000E7336" w:rsidP="000E7336">
            <w:pPr>
              <w:pStyle w:val="NormalWeb"/>
              <w:numPr>
                <w:ilvl w:val="0"/>
                <w:numId w:val="216"/>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Les actionnaires et personnes impliquées dans la gestion de l'entreprise de marché présentent les qualités garantissant la gestion saine et prudente du marché réglementé ;</w:t>
            </w:r>
          </w:p>
          <w:p w14:paraId="0A0D54E4" w14:textId="77777777" w:rsidR="000E7336" w:rsidRPr="00A64175" w:rsidRDefault="000E7336" w:rsidP="000E7336">
            <w:pPr>
              <w:pStyle w:val="NormalWeb"/>
              <w:numPr>
                <w:ilvl w:val="0"/>
                <w:numId w:val="216"/>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L'entreprise de marché a mis en place :</w:t>
            </w:r>
          </w:p>
          <w:p w14:paraId="3C7E7530" w14:textId="77777777" w:rsidR="000E7336" w:rsidRPr="00A64175" w:rsidRDefault="000E7336" w:rsidP="000E7336">
            <w:pPr>
              <w:pStyle w:val="NormalWeb"/>
              <w:numPr>
                <w:ilvl w:val="1"/>
                <w:numId w:val="217"/>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Un dispositif de surveillance des transactions effectuées sur le marché réglementé qu'elle gère ;</w:t>
            </w:r>
          </w:p>
          <w:p w14:paraId="5A627B6B" w14:textId="77777777" w:rsidR="000E7336" w:rsidRPr="00A64175" w:rsidRDefault="000E7336" w:rsidP="000E7336">
            <w:pPr>
              <w:pStyle w:val="NormalWeb"/>
              <w:numPr>
                <w:ilvl w:val="1"/>
                <w:numId w:val="217"/>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Un dispositif de surveillance des membres du marché ;</w:t>
            </w:r>
          </w:p>
          <w:p w14:paraId="0F258E91" w14:textId="77777777" w:rsidR="000E7336" w:rsidRPr="00A64175" w:rsidRDefault="000E7336" w:rsidP="000E7336">
            <w:pPr>
              <w:pStyle w:val="NormalWeb"/>
              <w:numPr>
                <w:ilvl w:val="1"/>
                <w:numId w:val="217"/>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Un dispositif lui permettant de veiller en permanence au respect des dispositions qui lui sont applicables et qui sont applicables au marché réglementé qu'elle gère ;</w:t>
            </w:r>
          </w:p>
          <w:p w14:paraId="2EDB0A39" w14:textId="77777777" w:rsidR="000E7336" w:rsidRPr="00A64175" w:rsidRDefault="000E7336" w:rsidP="000E7336">
            <w:pPr>
              <w:pStyle w:val="NormalWeb"/>
              <w:numPr>
                <w:ilvl w:val="1"/>
                <w:numId w:val="217"/>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 Un dispositif de contrôle déontologique de ses activités et de ses collaborateurs ;</w:t>
            </w:r>
          </w:p>
          <w:p w14:paraId="2423F35E" w14:textId="77777777" w:rsidR="000E7336" w:rsidRPr="00A64175" w:rsidRDefault="000E7336" w:rsidP="000E7336">
            <w:pPr>
              <w:pStyle w:val="NormalWeb"/>
              <w:numPr>
                <w:ilvl w:val="0"/>
                <w:numId w:val="216"/>
              </w:numPr>
              <w:shd w:val="clear" w:color="auto" w:fill="FFFFFF"/>
              <w:spacing w:before="0" w:beforeAutospacing="0" w:after="150" w:afterAutospacing="0"/>
              <w:jc w:val="both"/>
              <w:rPr>
                <w:rFonts w:ascii="Arial" w:hAnsi="Arial" w:cs="Arial"/>
                <w:color w:val="333333"/>
                <w:sz w:val="22"/>
                <w:szCs w:val="22"/>
              </w:rPr>
            </w:pPr>
            <w:r w:rsidRPr="00A64175">
              <w:rPr>
                <w:rFonts w:ascii="Arial" w:hAnsi="Arial" w:cs="Arial"/>
                <w:color w:val="333333"/>
                <w:sz w:val="22"/>
                <w:szCs w:val="22"/>
              </w:rPr>
              <w:t>L'entreprise de marché a prévu les conséquences en cas de non-respect des obligations incombant à ces membres et a ces collaborateurs.</w:t>
            </w:r>
          </w:p>
          <w:p w14:paraId="123C1BA4" w14:textId="77777777" w:rsidR="000E7336" w:rsidRPr="00A64175" w:rsidRDefault="000E7336" w:rsidP="000E7336">
            <w:pPr>
              <w:pStyle w:val="NormalWeb"/>
              <w:shd w:val="clear" w:color="auto" w:fill="FFFFFF"/>
              <w:spacing w:before="0" w:beforeAutospacing="0" w:after="150" w:afterAutospacing="0"/>
              <w:ind w:left="720"/>
              <w:jc w:val="both"/>
              <w:rPr>
                <w:rFonts w:ascii="Arial" w:hAnsi="Arial" w:cs="Arial"/>
                <w:color w:val="333333"/>
                <w:sz w:val="22"/>
                <w:szCs w:val="22"/>
              </w:rPr>
            </w:pPr>
          </w:p>
        </w:tc>
      </w:tr>
      <w:tr w:rsidR="000E7336" w:rsidRPr="00A64175" w14:paraId="6BFF363A" w14:textId="77777777" w:rsidTr="000E7336">
        <w:trPr>
          <w:trHeight w:val="251"/>
        </w:trPr>
        <w:tc>
          <w:tcPr>
            <w:tcW w:w="9493" w:type="dxa"/>
          </w:tcPr>
          <w:p w14:paraId="5912886D" w14:textId="42CA8291"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51</w:t>
            </w:r>
            <w:r w:rsidR="00336116">
              <w:rPr>
                <w:rFonts w:ascii="Arial" w:hAnsi="Arial" w:cs="Arial"/>
                <w:b/>
                <w:bCs/>
              </w:rPr>
              <w:t xml:space="preserve">5 </w:t>
            </w:r>
            <w:r w:rsidRPr="00A64175">
              <w:rPr>
                <w:rFonts w:ascii="Arial" w:hAnsi="Arial" w:cs="Arial"/>
                <w:b/>
                <w:bCs/>
              </w:rPr>
              <w:t xml:space="preserve"> -</w:t>
            </w:r>
          </w:p>
          <w:p w14:paraId="37089C88" w14:textId="77777777" w:rsidR="000E7336" w:rsidRPr="00A64175" w:rsidRDefault="000E7336" w:rsidP="000E7336">
            <w:pPr>
              <w:widowControl w:val="0"/>
              <w:autoSpaceDE w:val="0"/>
              <w:adjustRightInd w:val="0"/>
              <w:jc w:val="both"/>
              <w:rPr>
                <w:rFonts w:ascii="Arial" w:hAnsi="Arial" w:cs="Arial"/>
                <w:b/>
                <w:bCs/>
              </w:rPr>
            </w:pPr>
          </w:p>
          <w:p w14:paraId="6069EC90" w14:textId="77777777" w:rsidR="000E7336" w:rsidRPr="00A64175" w:rsidRDefault="000E7336" w:rsidP="00480280">
            <w:pPr>
              <w:pStyle w:val="Paragraphedeliste"/>
              <w:widowControl w:val="0"/>
              <w:autoSpaceDE w:val="0"/>
              <w:adjustRightInd w:val="0"/>
              <w:spacing w:before="0" w:beforeAutospacing="0" w:after="0" w:afterAutospacing="0" w:line="240" w:lineRule="auto"/>
            </w:pPr>
            <w:r w:rsidRPr="00A64175">
              <w:t>L’agrément de l’entreprise de marché est soumis à des frais d’agrément dont le montant est fixé dans une instruction de la COSUMAF.</w:t>
            </w:r>
          </w:p>
          <w:p w14:paraId="0128D588" w14:textId="43363E00" w:rsidR="0015118E" w:rsidRPr="00A64175" w:rsidRDefault="000E7336" w:rsidP="00480280">
            <w:pPr>
              <w:pStyle w:val="Paragraphedeliste"/>
              <w:widowControl w:val="0"/>
              <w:autoSpaceDE w:val="0"/>
              <w:adjustRightInd w:val="0"/>
              <w:spacing w:before="0" w:beforeAutospacing="0" w:after="0" w:afterAutospacing="0" w:line="240" w:lineRule="auto"/>
            </w:pPr>
            <w:r w:rsidRPr="00A64175">
              <w:t xml:space="preserve">L’entreprise de marché verse chaque année à la COSUMAF une redevance </w:t>
            </w:r>
            <w:r w:rsidR="0015118E">
              <w:t>et</w:t>
            </w:r>
            <w:r w:rsidR="00692C06">
              <w:t xml:space="preserve"> une commission</w:t>
            </w:r>
            <w:r w:rsidR="0015118E">
              <w:t xml:space="preserve">  de rétrocession </w:t>
            </w:r>
            <w:r w:rsidRPr="00A64175">
              <w:t>dont le</w:t>
            </w:r>
            <w:r w:rsidR="00692C06">
              <w:t>s</w:t>
            </w:r>
            <w:r w:rsidRPr="00A64175">
              <w:t xml:space="preserve"> montant</w:t>
            </w:r>
            <w:r w:rsidR="00692C06">
              <w:t>s</w:t>
            </w:r>
            <w:r w:rsidRPr="00A64175">
              <w:t xml:space="preserve"> et les critères sont définis dans une instruction de la COSUMAF.</w:t>
            </w:r>
          </w:p>
          <w:p w14:paraId="113CFE94" w14:textId="77777777" w:rsidR="000E7336" w:rsidRPr="00A64175" w:rsidRDefault="000E7336" w:rsidP="00480280">
            <w:pPr>
              <w:pStyle w:val="Paragraphedeliste"/>
            </w:pPr>
          </w:p>
        </w:tc>
      </w:tr>
      <w:tr w:rsidR="000E7336" w:rsidRPr="00A64175" w14:paraId="72501A8A" w14:textId="77777777" w:rsidTr="000E7336">
        <w:trPr>
          <w:trHeight w:val="251"/>
        </w:trPr>
        <w:tc>
          <w:tcPr>
            <w:tcW w:w="9493" w:type="dxa"/>
          </w:tcPr>
          <w:p w14:paraId="38D02D55" w14:textId="06EACEED"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51</w:t>
            </w:r>
            <w:r w:rsidR="00336116">
              <w:rPr>
                <w:rFonts w:ascii="Arial" w:hAnsi="Arial" w:cs="Arial"/>
                <w:b/>
                <w:bCs/>
              </w:rPr>
              <w:t xml:space="preserve">6 </w:t>
            </w:r>
            <w:r w:rsidRPr="00A64175">
              <w:rPr>
                <w:rFonts w:ascii="Arial" w:hAnsi="Arial" w:cs="Arial"/>
                <w:b/>
                <w:bCs/>
              </w:rPr>
              <w:t xml:space="preserve"> – </w:t>
            </w:r>
            <w:r w:rsidRPr="00A64175">
              <w:rPr>
                <w:rFonts w:ascii="Arial" w:hAnsi="Arial" w:cs="Arial"/>
              </w:rPr>
              <w:t>L’entreprise de marché doit, en toutes circonstances :</w:t>
            </w:r>
          </w:p>
          <w:p w14:paraId="2567DCD7" w14:textId="77777777" w:rsidR="000E7336" w:rsidRPr="00A64175" w:rsidRDefault="000E7336" w:rsidP="000E7336">
            <w:pPr>
              <w:widowControl w:val="0"/>
              <w:autoSpaceDE w:val="0"/>
              <w:adjustRightInd w:val="0"/>
              <w:jc w:val="both"/>
              <w:rPr>
                <w:rFonts w:ascii="Arial" w:hAnsi="Arial" w:cs="Arial"/>
                <w:kern w:val="1"/>
              </w:rPr>
            </w:pPr>
          </w:p>
          <w:p w14:paraId="1C8FD81C"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Veiller à l’égalité de traitement et d’information des intervenants ;</w:t>
            </w:r>
          </w:p>
          <w:p w14:paraId="55625FE5"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p w14:paraId="3A05B719"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Assurer un bon fonctionnement du marché ;</w:t>
            </w:r>
          </w:p>
          <w:p w14:paraId="084E0AEF"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350625ED"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Assurer la transparence des opérations ;</w:t>
            </w:r>
          </w:p>
          <w:p w14:paraId="47E9CA4A"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6F0266E0"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Veiller à la sécurité des opérations ;</w:t>
            </w:r>
          </w:p>
          <w:p w14:paraId="4A319217"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6ABE59CA"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Prévenir les pratiques illicites ;</w:t>
            </w:r>
          </w:p>
          <w:p w14:paraId="238787A1"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216AFEE3"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Assurer une surveillance permanente des opérations ;</w:t>
            </w:r>
          </w:p>
          <w:p w14:paraId="20C10450"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27CF2D3B" w14:textId="77777777" w:rsidR="000E7336" w:rsidRPr="00A64175" w:rsidRDefault="000E7336" w:rsidP="000E7336">
            <w:pPr>
              <w:widowControl w:val="0"/>
              <w:numPr>
                <w:ilvl w:val="0"/>
                <w:numId w:val="18"/>
              </w:numPr>
              <w:tabs>
                <w:tab w:val="left" w:pos="220"/>
                <w:tab w:val="left" w:pos="720"/>
              </w:tabs>
              <w:autoSpaceDE w:val="0"/>
              <w:autoSpaceDN w:val="0"/>
              <w:adjustRightInd w:val="0"/>
              <w:jc w:val="both"/>
              <w:rPr>
                <w:rFonts w:ascii="Arial" w:hAnsi="Arial" w:cs="Arial"/>
                <w:kern w:val="1"/>
              </w:rPr>
            </w:pPr>
            <w:r w:rsidRPr="00A64175">
              <w:rPr>
                <w:rFonts w:ascii="Arial" w:hAnsi="Arial" w:cs="Arial"/>
              </w:rPr>
              <w:t>Veiller à la protection des investisseurs.</w:t>
            </w:r>
          </w:p>
          <w:p w14:paraId="520704CD"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tc>
      </w:tr>
      <w:tr w:rsidR="000E7336" w:rsidRPr="00A64175" w14:paraId="051871EA" w14:textId="77777777" w:rsidTr="000E7336">
        <w:trPr>
          <w:trHeight w:val="251"/>
        </w:trPr>
        <w:tc>
          <w:tcPr>
            <w:tcW w:w="9493" w:type="dxa"/>
          </w:tcPr>
          <w:p w14:paraId="061719D2" w14:textId="1E2B931C" w:rsidR="000E7336" w:rsidRPr="00A64175" w:rsidRDefault="000E7336" w:rsidP="000E7336">
            <w:pPr>
              <w:widowControl w:val="0"/>
              <w:autoSpaceDE w:val="0"/>
              <w:adjustRightInd w:val="0"/>
              <w:jc w:val="both"/>
              <w:rPr>
                <w:rFonts w:ascii="Arial" w:hAnsi="Arial" w:cs="Arial"/>
                <w:b/>
                <w:bCs/>
              </w:rPr>
            </w:pPr>
            <w:r w:rsidRPr="00DB26E6">
              <w:rPr>
                <w:rFonts w:ascii="Arial" w:hAnsi="Arial" w:cs="Arial"/>
                <w:b/>
                <w:bCs/>
              </w:rPr>
              <w:t>Article 51</w:t>
            </w:r>
            <w:r w:rsidR="00336116">
              <w:rPr>
                <w:rFonts w:ascii="Arial" w:hAnsi="Arial" w:cs="Arial"/>
                <w:b/>
                <w:bCs/>
              </w:rPr>
              <w:t xml:space="preserve">7 </w:t>
            </w:r>
            <w:r w:rsidRPr="00DB26E6">
              <w:rPr>
                <w:rFonts w:ascii="Arial" w:hAnsi="Arial" w:cs="Arial"/>
                <w:b/>
                <w:bCs/>
              </w:rPr>
              <w:t xml:space="preserve"> – </w:t>
            </w:r>
            <w:r w:rsidRPr="00DB26E6">
              <w:rPr>
                <w:rFonts w:ascii="Arial" w:hAnsi="Arial" w:cs="Arial"/>
              </w:rPr>
              <w:t>L’entreprise de marché met en place des mécanismes permettant de sanctionner tout manquement aux obligations prescrites par ses textes imputable aux membres de marché, aux sociétés de bourse, à leurs dirigeants, à leurs employés ou aux personnes agissant pour leur compte.</w:t>
            </w:r>
          </w:p>
          <w:p w14:paraId="3F46402A"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32374FC3" w14:textId="77777777" w:rsidTr="000E7336">
        <w:trPr>
          <w:trHeight w:val="251"/>
        </w:trPr>
        <w:tc>
          <w:tcPr>
            <w:tcW w:w="9493" w:type="dxa"/>
          </w:tcPr>
          <w:p w14:paraId="15D6CBA4" w14:textId="7FE99596"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51</w:t>
            </w:r>
            <w:r w:rsidR="00336116">
              <w:rPr>
                <w:rFonts w:ascii="Arial" w:hAnsi="Arial" w:cs="Arial"/>
                <w:b/>
                <w:bCs/>
              </w:rPr>
              <w:t xml:space="preserve">8 </w:t>
            </w:r>
            <w:r w:rsidRPr="00A64175">
              <w:rPr>
                <w:rFonts w:ascii="Arial" w:hAnsi="Arial" w:cs="Arial"/>
                <w:b/>
                <w:bCs/>
              </w:rPr>
              <w:t xml:space="preserve"> – </w:t>
            </w:r>
            <w:r w:rsidRPr="00A64175">
              <w:rPr>
                <w:rFonts w:ascii="Arial" w:hAnsi="Arial" w:cs="Arial"/>
              </w:rPr>
              <w:t xml:space="preserve">La COSUMAF s’assure, au moment de l’examen de la demande d’agrément, puis en permanence après l’obtention de cet agrément, qu’en toutes circonstances les moyens techniques, financiers, humains et matériels dont dispose l’entreprise de marché sont suffisants pour assurer le bon fonctionnement du marché. </w:t>
            </w:r>
          </w:p>
          <w:p w14:paraId="6C4F1DCE"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1478FBFE" w14:textId="77777777" w:rsidTr="000E7336">
        <w:trPr>
          <w:trHeight w:val="251"/>
        </w:trPr>
        <w:tc>
          <w:tcPr>
            <w:tcW w:w="9493" w:type="dxa"/>
          </w:tcPr>
          <w:p w14:paraId="0EFBC349" w14:textId="486E0353"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51</w:t>
            </w:r>
            <w:r w:rsidR="00336116">
              <w:rPr>
                <w:rFonts w:ascii="Arial" w:hAnsi="Arial" w:cs="Arial"/>
                <w:b/>
                <w:bCs/>
              </w:rPr>
              <w:t xml:space="preserve">9 </w:t>
            </w:r>
            <w:r w:rsidRPr="00A64175">
              <w:rPr>
                <w:rFonts w:ascii="Arial" w:hAnsi="Arial" w:cs="Arial"/>
                <w:b/>
                <w:bCs/>
              </w:rPr>
              <w:t xml:space="preserve"> – </w:t>
            </w:r>
            <w:r w:rsidRPr="00A64175">
              <w:rPr>
                <w:rFonts w:ascii="Arial" w:hAnsi="Arial" w:cs="Arial"/>
              </w:rPr>
              <w:t>Les règles de fonctionnement de l’entreprise de marché doivent être conformes au</w:t>
            </w:r>
            <w:r w:rsidRPr="00A64175">
              <w:rPr>
                <w:rFonts w:ascii="Arial" w:hAnsi="Arial" w:cs="Arial"/>
                <w:color w:val="000000"/>
              </w:rPr>
              <w:t xml:space="preserve"> Règlement n°01/22/CEMAC/UMAC/CM/COSUMAF du 21 juillet 2022</w:t>
            </w:r>
            <w:r w:rsidRPr="00A64175">
              <w:rPr>
                <w:rFonts w:ascii="Arial" w:hAnsi="Arial" w:cs="Arial"/>
              </w:rPr>
              <w:t xml:space="preserve"> et à celles du présent Règlement. </w:t>
            </w:r>
          </w:p>
          <w:p w14:paraId="6B7F7A05" w14:textId="77777777" w:rsidR="000E7336" w:rsidRPr="00A64175" w:rsidRDefault="000E7336" w:rsidP="000E7336">
            <w:pPr>
              <w:widowControl w:val="0"/>
              <w:autoSpaceDE w:val="0"/>
              <w:adjustRightInd w:val="0"/>
              <w:jc w:val="both"/>
              <w:rPr>
                <w:rFonts w:ascii="Arial" w:hAnsi="Arial" w:cs="Arial"/>
              </w:rPr>
            </w:pPr>
          </w:p>
        </w:tc>
      </w:tr>
      <w:tr w:rsidR="000E7336" w:rsidRPr="00A64175" w14:paraId="226B37AE" w14:textId="77777777" w:rsidTr="000E7336">
        <w:trPr>
          <w:trHeight w:val="251"/>
        </w:trPr>
        <w:tc>
          <w:tcPr>
            <w:tcW w:w="9493" w:type="dxa"/>
          </w:tcPr>
          <w:p w14:paraId="00680197" w14:textId="30E1F801"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336116">
              <w:rPr>
                <w:rFonts w:ascii="Arial" w:hAnsi="Arial" w:cs="Arial"/>
                <w:b/>
                <w:bCs/>
              </w:rPr>
              <w:t xml:space="preserve">20 </w:t>
            </w:r>
            <w:r w:rsidRPr="00A64175">
              <w:rPr>
                <w:rFonts w:ascii="Arial" w:hAnsi="Arial" w:cs="Arial"/>
                <w:b/>
                <w:bCs/>
              </w:rPr>
              <w:t xml:space="preserve"> – </w:t>
            </w:r>
          </w:p>
          <w:p w14:paraId="3111A7D1" w14:textId="77777777" w:rsidR="000E7336" w:rsidRPr="00A64175" w:rsidRDefault="000E7336" w:rsidP="000E7336">
            <w:pPr>
              <w:widowControl w:val="0"/>
              <w:autoSpaceDE w:val="0"/>
              <w:adjustRightInd w:val="0"/>
              <w:jc w:val="both"/>
              <w:rPr>
                <w:rFonts w:ascii="Arial" w:hAnsi="Arial" w:cs="Arial"/>
                <w:b/>
                <w:bCs/>
              </w:rPr>
            </w:pPr>
          </w:p>
          <w:p w14:paraId="0D5FCBFB" w14:textId="1851AB96" w:rsidR="000E7336" w:rsidRPr="00A64175" w:rsidRDefault="000E7336" w:rsidP="000E7336">
            <w:pPr>
              <w:pStyle w:val="Paragraphedeliste"/>
              <w:widowControl w:val="0"/>
              <w:numPr>
                <w:ilvl w:val="1"/>
                <w:numId w:val="216"/>
              </w:numPr>
              <w:tabs>
                <w:tab w:val="clear" w:pos="1440"/>
              </w:tabs>
              <w:autoSpaceDE w:val="0"/>
              <w:adjustRightInd w:val="0"/>
              <w:spacing w:before="0" w:beforeAutospacing="0" w:after="0" w:afterAutospacing="0" w:line="240" w:lineRule="auto"/>
              <w:ind w:left="457"/>
            </w:pPr>
            <w:r w:rsidRPr="00A64175">
              <w:t>La COSUMAF statue dans un délai de</w:t>
            </w:r>
            <w:r w:rsidR="001A447F">
              <w:t xml:space="preserve"> soixante (60) jours</w:t>
            </w:r>
            <w:r w:rsidRPr="00A64175">
              <w:t xml:space="preserve">  à compter de la réception d’un dossier  complet.</w:t>
            </w:r>
          </w:p>
          <w:p w14:paraId="2F210FE3" w14:textId="77777777" w:rsidR="000E7336" w:rsidRPr="00A64175" w:rsidRDefault="000E7336" w:rsidP="000E7336">
            <w:pPr>
              <w:pStyle w:val="Paragraphedeliste"/>
              <w:widowControl w:val="0"/>
              <w:numPr>
                <w:ilvl w:val="1"/>
                <w:numId w:val="216"/>
              </w:numPr>
              <w:tabs>
                <w:tab w:val="clear" w:pos="1440"/>
              </w:tabs>
              <w:autoSpaceDE w:val="0"/>
              <w:adjustRightInd w:val="0"/>
              <w:spacing w:before="0" w:beforeAutospacing="0" w:after="0" w:afterAutospacing="0" w:line="240" w:lineRule="auto"/>
              <w:ind w:left="457"/>
            </w:pPr>
            <w:r w:rsidRPr="00A64175">
              <w:t>La COSUMAF peut exiger toute information complémentaire utile à l’instruction du dossier d’agrément et indiquer, le cas échéant, les énonciations à modifier ou les informations complémentaires à insérer. Dans ce cas, le délai mentionné au 1</w:t>
            </w:r>
            <w:r w:rsidRPr="00A64175">
              <w:rPr>
                <w:vertAlign w:val="superscript"/>
              </w:rPr>
              <w:t>er</w:t>
            </w:r>
            <w:r w:rsidRPr="00A64175">
              <w:t xml:space="preserve"> paragraphe ne court qu’à partir de la réception par la COSUMAF des compléments d’information.</w:t>
            </w:r>
          </w:p>
        </w:tc>
      </w:tr>
      <w:tr w:rsidR="000E7336" w:rsidRPr="00A64175" w14:paraId="2D885955" w14:textId="77777777" w:rsidTr="000E7336">
        <w:trPr>
          <w:trHeight w:val="251"/>
        </w:trPr>
        <w:tc>
          <w:tcPr>
            <w:tcW w:w="9493" w:type="dxa"/>
          </w:tcPr>
          <w:p w14:paraId="0643DB3E" w14:textId="77777777" w:rsidR="000E7336" w:rsidRPr="00A64175" w:rsidRDefault="000E7336" w:rsidP="000E7336">
            <w:pPr>
              <w:widowControl w:val="0"/>
              <w:autoSpaceDE w:val="0"/>
              <w:adjustRightInd w:val="0"/>
              <w:jc w:val="both"/>
              <w:rPr>
                <w:rFonts w:ascii="Arial" w:hAnsi="Arial" w:cs="Arial"/>
                <w:b/>
                <w:bCs/>
              </w:rPr>
            </w:pPr>
          </w:p>
          <w:p w14:paraId="743E8282" w14:textId="19033D79"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w:t>
            </w:r>
            <w:r w:rsidR="00336116">
              <w:rPr>
                <w:rFonts w:ascii="Arial" w:hAnsi="Arial" w:cs="Arial"/>
                <w:b/>
                <w:bCs/>
              </w:rPr>
              <w:t xml:space="preserve">21 </w:t>
            </w:r>
            <w:r w:rsidRPr="00A64175">
              <w:rPr>
                <w:rFonts w:ascii="Arial" w:hAnsi="Arial" w:cs="Arial"/>
                <w:b/>
                <w:bCs/>
              </w:rPr>
              <w:t xml:space="preserve"> – </w:t>
            </w:r>
            <w:r w:rsidRPr="00A64175">
              <w:rPr>
                <w:rFonts w:ascii="Arial" w:hAnsi="Arial" w:cs="Arial"/>
              </w:rPr>
              <w:t>L’entreprise de marché exerce son activité dans le plus strict respect des dispositions du</w:t>
            </w:r>
            <w:r w:rsidRPr="00A64175">
              <w:rPr>
                <w:rFonts w:ascii="Arial" w:hAnsi="Arial" w:cs="Arial"/>
                <w:color w:val="000000"/>
              </w:rPr>
              <w:t xml:space="preserve"> Règlement n°01/22/CEMAC/UMAC/CM/COSUMAF du 21 juillet 2022</w:t>
            </w:r>
            <w:r w:rsidRPr="00A64175">
              <w:rPr>
                <w:rFonts w:ascii="Arial" w:hAnsi="Arial" w:cs="Arial"/>
              </w:rPr>
              <w:t>, du présent Règlement, de ses règles de fonctionnement et de son cahier des charges.</w:t>
            </w:r>
          </w:p>
          <w:p w14:paraId="1D219CC8"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1280EE23" w14:textId="77777777" w:rsidTr="000E7336">
        <w:trPr>
          <w:trHeight w:val="251"/>
        </w:trPr>
        <w:tc>
          <w:tcPr>
            <w:tcW w:w="9493" w:type="dxa"/>
          </w:tcPr>
          <w:p w14:paraId="62D7DFF4" w14:textId="14EA09D5"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w:t>
            </w:r>
            <w:r w:rsidR="005B705C">
              <w:rPr>
                <w:rFonts w:ascii="Arial" w:hAnsi="Arial" w:cs="Arial"/>
                <w:b/>
                <w:bCs/>
              </w:rPr>
              <w:t>2</w:t>
            </w:r>
            <w:r w:rsidR="00336116">
              <w:rPr>
                <w:rFonts w:ascii="Arial" w:hAnsi="Arial" w:cs="Arial"/>
                <w:b/>
                <w:bCs/>
              </w:rPr>
              <w:t xml:space="preserve">2 </w:t>
            </w:r>
            <w:r w:rsidRPr="00A64175">
              <w:rPr>
                <w:rFonts w:ascii="Arial" w:hAnsi="Arial" w:cs="Arial"/>
                <w:b/>
                <w:bCs/>
              </w:rPr>
              <w:t xml:space="preserve"> –</w:t>
            </w:r>
            <w:r w:rsidRPr="00A64175">
              <w:rPr>
                <w:rFonts w:ascii="Arial" w:hAnsi="Arial" w:cs="Arial"/>
              </w:rPr>
              <w:t xml:space="preserve"> </w:t>
            </w:r>
          </w:p>
          <w:p w14:paraId="0EB777D3" w14:textId="77777777" w:rsidR="000E7336" w:rsidRPr="00A64175" w:rsidRDefault="000E7336" w:rsidP="000E7336">
            <w:pPr>
              <w:pStyle w:val="Paragraphedeliste"/>
              <w:widowControl w:val="0"/>
              <w:numPr>
                <w:ilvl w:val="1"/>
                <w:numId w:val="123"/>
              </w:numPr>
              <w:autoSpaceDE w:val="0"/>
              <w:adjustRightInd w:val="0"/>
              <w:spacing w:before="0" w:beforeAutospacing="0" w:after="0" w:afterAutospacing="0" w:line="240" w:lineRule="auto"/>
              <w:ind w:left="741"/>
              <w:rPr>
                <w:color w:val="000000" w:themeColor="text1"/>
              </w:rPr>
            </w:pPr>
            <w:r w:rsidRPr="00A64175">
              <w:t xml:space="preserve">L’agrément délivre à l’entreprise de marché peut être retiré par décision motivée de la COSUMAF, </w:t>
            </w:r>
            <w:r w:rsidRPr="00A64175">
              <w:rPr>
                <w:color w:val="000000" w:themeColor="text1"/>
              </w:rPr>
              <w:t>si :</w:t>
            </w:r>
          </w:p>
          <w:p w14:paraId="2F7C8783" w14:textId="77777777" w:rsidR="000E7336" w:rsidRPr="00A64175" w:rsidRDefault="000E7336" w:rsidP="000E7336">
            <w:pPr>
              <w:widowControl w:val="0"/>
              <w:autoSpaceDE w:val="0"/>
              <w:adjustRightInd w:val="0"/>
              <w:jc w:val="both"/>
              <w:rPr>
                <w:rFonts w:ascii="Arial" w:hAnsi="Arial" w:cs="Arial"/>
                <w:color w:val="000000" w:themeColor="text1"/>
              </w:rPr>
            </w:pPr>
          </w:p>
          <w:p w14:paraId="5767665C" w14:textId="77777777" w:rsidR="000E7336" w:rsidRPr="00A64175" w:rsidRDefault="000E7336" w:rsidP="000E7336">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t xml:space="preserve">L’entreprise de marché </w:t>
            </w:r>
            <w:r w:rsidRPr="00A64175">
              <w:rPr>
                <w:color w:val="000000" w:themeColor="text1"/>
              </w:rPr>
              <w:t xml:space="preserve">n’a pas fait usage de l’agrément pendant douze mois, renonce expressément à l’agrément ou n’a fourni aucun service ni exercé aucune activité au cours des six derniers mois ; </w:t>
            </w:r>
          </w:p>
          <w:p w14:paraId="34CEB2FC" w14:textId="77777777" w:rsidR="000E7336" w:rsidRPr="00A64175" w:rsidRDefault="000E7336" w:rsidP="000E7336">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A obtenu l’agrément au moyen de fausses déclarations ou par tout autre moyen illicite ; </w:t>
            </w:r>
          </w:p>
          <w:p w14:paraId="78B54609" w14:textId="77777777" w:rsidR="000E7336" w:rsidRPr="00A64175" w:rsidRDefault="000E7336" w:rsidP="000E7336">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Ne respecte plus les conditions de son agrément et n’a pas pris les mesures correctives demandées par la COSUMAF dans un délai déterminé ; </w:t>
            </w:r>
          </w:p>
          <w:p w14:paraId="5D4CB4F7" w14:textId="77777777" w:rsidR="000E7336" w:rsidRPr="00A64175" w:rsidRDefault="000E7336" w:rsidP="000E7336">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A enfreint de manière grave ou systématique les exigences énoncées au présent règlement.</w:t>
            </w:r>
          </w:p>
          <w:p w14:paraId="62C73E92" w14:textId="77777777" w:rsidR="000E7336" w:rsidRPr="00A64175" w:rsidRDefault="000E7336" w:rsidP="000E7336">
            <w:pPr>
              <w:widowControl w:val="0"/>
              <w:autoSpaceDE w:val="0"/>
              <w:adjustRightInd w:val="0"/>
              <w:jc w:val="both"/>
              <w:rPr>
                <w:rFonts w:ascii="Arial" w:hAnsi="Arial" w:cs="Arial"/>
                <w:highlight w:val="cyan"/>
              </w:rPr>
            </w:pPr>
          </w:p>
          <w:p w14:paraId="10B854E3" w14:textId="77777777" w:rsidR="000E7336" w:rsidRPr="00A64175" w:rsidRDefault="000E7336" w:rsidP="000E7336">
            <w:pPr>
              <w:pStyle w:val="Paragraphedeliste"/>
              <w:widowControl w:val="0"/>
              <w:numPr>
                <w:ilvl w:val="1"/>
                <w:numId w:val="123"/>
              </w:numPr>
              <w:autoSpaceDE w:val="0"/>
              <w:adjustRightInd w:val="0"/>
              <w:spacing w:before="0" w:beforeAutospacing="0" w:after="0" w:afterAutospacing="0" w:line="240" w:lineRule="auto"/>
              <w:ind w:left="741"/>
            </w:pPr>
            <w:r w:rsidRPr="00A64175">
              <w:t>Une instruction de la COSUMAF peut préciser les modalités du retrait de l’agrément de l’entreprise de marché.</w:t>
            </w:r>
          </w:p>
          <w:p w14:paraId="0A9D46E2" w14:textId="77777777" w:rsidR="000E7336" w:rsidRPr="00A64175" w:rsidRDefault="000E7336" w:rsidP="000E7336">
            <w:pPr>
              <w:widowControl w:val="0"/>
              <w:autoSpaceDE w:val="0"/>
              <w:adjustRightInd w:val="0"/>
              <w:jc w:val="both"/>
              <w:rPr>
                <w:rFonts w:ascii="Arial" w:hAnsi="Arial" w:cs="Arial"/>
                <w:kern w:val="1"/>
              </w:rPr>
            </w:pPr>
          </w:p>
          <w:p w14:paraId="4EB50B57"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642B0953" w14:textId="77777777" w:rsidTr="000E7336">
        <w:trPr>
          <w:trHeight w:val="251"/>
        </w:trPr>
        <w:tc>
          <w:tcPr>
            <w:tcW w:w="9493" w:type="dxa"/>
            <w:shd w:val="clear" w:color="auto" w:fill="auto"/>
          </w:tcPr>
          <w:p w14:paraId="773C6CE8" w14:textId="77777777" w:rsidR="000E7336" w:rsidRPr="00A64175" w:rsidRDefault="000E7336" w:rsidP="000E7336">
            <w:pPr>
              <w:widowControl w:val="0"/>
              <w:autoSpaceDE w:val="0"/>
              <w:adjustRightInd w:val="0"/>
              <w:jc w:val="both"/>
              <w:rPr>
                <w:rFonts w:ascii="Arial" w:hAnsi="Arial" w:cs="Arial"/>
                <w:b/>
                <w:color w:val="000000" w:themeColor="text1"/>
                <w:kern w:val="1"/>
              </w:rPr>
            </w:pPr>
            <w:r w:rsidRPr="00A64175">
              <w:rPr>
                <w:rFonts w:ascii="Arial" w:hAnsi="Arial" w:cs="Arial"/>
                <w:b/>
                <w:color w:val="000000" w:themeColor="text1"/>
                <w:kern w:val="1"/>
              </w:rPr>
              <w:t>Section II – Statuts, organes sociaux et actionnariat de l’entreprise de marché</w:t>
            </w:r>
          </w:p>
        </w:tc>
      </w:tr>
      <w:tr w:rsidR="000E7336" w:rsidRPr="00A64175" w14:paraId="0D0C7FD8" w14:textId="77777777" w:rsidTr="000E7336">
        <w:trPr>
          <w:trHeight w:val="251"/>
        </w:trPr>
        <w:tc>
          <w:tcPr>
            <w:tcW w:w="9493" w:type="dxa"/>
            <w:shd w:val="clear" w:color="auto" w:fill="auto"/>
          </w:tcPr>
          <w:p w14:paraId="62119788" w14:textId="77777777" w:rsidR="000E7336" w:rsidRPr="00A64175" w:rsidRDefault="000E7336" w:rsidP="000E7336">
            <w:pPr>
              <w:widowControl w:val="0"/>
              <w:autoSpaceDE w:val="0"/>
              <w:adjustRightInd w:val="0"/>
              <w:jc w:val="both"/>
              <w:rPr>
                <w:rFonts w:ascii="Arial" w:hAnsi="Arial" w:cs="Arial"/>
                <w:b/>
                <w:bCs/>
              </w:rPr>
            </w:pPr>
          </w:p>
          <w:p w14:paraId="57EF2933" w14:textId="0876151E" w:rsidR="000E7336" w:rsidRPr="00A64175" w:rsidRDefault="000E7336" w:rsidP="000E7336">
            <w:pPr>
              <w:widowControl w:val="0"/>
              <w:autoSpaceDE w:val="0"/>
              <w:adjustRightInd w:val="0"/>
              <w:jc w:val="both"/>
              <w:rPr>
                <w:rFonts w:ascii="Arial" w:hAnsi="Arial" w:cs="Arial"/>
                <w:b/>
                <w:bCs/>
                <w:color w:val="000000" w:themeColor="text1"/>
              </w:rPr>
            </w:pPr>
            <w:r w:rsidRPr="00A64175">
              <w:rPr>
                <w:rFonts w:ascii="Arial" w:hAnsi="Arial" w:cs="Arial"/>
                <w:b/>
                <w:bCs/>
              </w:rPr>
              <w:t>Article 5</w:t>
            </w:r>
            <w:r w:rsidR="005B705C">
              <w:rPr>
                <w:rFonts w:ascii="Arial" w:hAnsi="Arial" w:cs="Arial"/>
                <w:b/>
                <w:bCs/>
              </w:rPr>
              <w:t>2</w:t>
            </w:r>
            <w:r w:rsidR="0094281A">
              <w:rPr>
                <w:rFonts w:ascii="Arial" w:hAnsi="Arial" w:cs="Arial"/>
                <w:b/>
                <w:bCs/>
              </w:rPr>
              <w:t xml:space="preserve">3 </w:t>
            </w:r>
            <w:r w:rsidRPr="00A64175">
              <w:rPr>
                <w:rFonts w:ascii="Arial" w:hAnsi="Arial" w:cs="Arial"/>
                <w:b/>
                <w:bCs/>
              </w:rPr>
              <w:t xml:space="preserve"> – </w:t>
            </w:r>
            <w:r w:rsidRPr="00A64175">
              <w:rPr>
                <w:rFonts w:ascii="Arial" w:hAnsi="Arial" w:cs="Arial"/>
              </w:rPr>
              <w:t>Les statuts de l’entreprise de marché mentionnent les dénominations des premiers souscripteurs et le pourcentage du capital détenu par chacun d’eux.</w:t>
            </w:r>
          </w:p>
        </w:tc>
      </w:tr>
      <w:tr w:rsidR="000E7336" w:rsidRPr="00A64175" w14:paraId="2378A7A2" w14:textId="77777777" w:rsidTr="000E7336">
        <w:trPr>
          <w:trHeight w:val="251"/>
        </w:trPr>
        <w:tc>
          <w:tcPr>
            <w:tcW w:w="9493" w:type="dxa"/>
          </w:tcPr>
          <w:p w14:paraId="33912DAD" w14:textId="77777777" w:rsidR="000E7336" w:rsidRPr="00A64175" w:rsidRDefault="000E7336" w:rsidP="000E7336">
            <w:pPr>
              <w:widowControl w:val="0"/>
              <w:autoSpaceDE w:val="0"/>
              <w:adjustRightInd w:val="0"/>
              <w:jc w:val="both"/>
              <w:rPr>
                <w:rFonts w:ascii="Arial" w:hAnsi="Arial" w:cs="Arial"/>
                <w:b/>
                <w:bCs/>
              </w:rPr>
            </w:pPr>
          </w:p>
          <w:p w14:paraId="63922621" w14:textId="7BE990F0"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5B705C">
              <w:rPr>
                <w:rFonts w:ascii="Arial" w:hAnsi="Arial" w:cs="Arial"/>
                <w:b/>
                <w:bCs/>
              </w:rPr>
              <w:t>2</w:t>
            </w:r>
            <w:r w:rsidR="0094281A">
              <w:rPr>
                <w:rFonts w:ascii="Arial" w:hAnsi="Arial" w:cs="Arial"/>
                <w:b/>
                <w:bCs/>
              </w:rPr>
              <w:t xml:space="preserve">4 </w:t>
            </w:r>
            <w:r w:rsidRPr="00A64175">
              <w:rPr>
                <w:rFonts w:ascii="Arial" w:hAnsi="Arial" w:cs="Arial"/>
                <w:b/>
                <w:bCs/>
              </w:rPr>
              <w:t xml:space="preserve"> – </w:t>
            </w:r>
          </w:p>
          <w:p w14:paraId="78CDA97C" w14:textId="77777777" w:rsidR="000E7336" w:rsidRPr="00A64175" w:rsidRDefault="000E7336" w:rsidP="000E7336">
            <w:pPr>
              <w:pStyle w:val="Paragraphedeliste"/>
              <w:widowControl w:val="0"/>
              <w:numPr>
                <w:ilvl w:val="0"/>
                <w:numId w:val="222"/>
              </w:numPr>
              <w:autoSpaceDE w:val="0"/>
              <w:adjustRightInd w:val="0"/>
              <w:spacing w:before="0" w:beforeAutospacing="0" w:after="0" w:afterAutospacing="0" w:line="240" w:lineRule="auto"/>
              <w:rPr>
                <w:bCs/>
              </w:rPr>
            </w:pPr>
            <w:r w:rsidRPr="00A64175">
              <w:rPr>
                <w:bCs/>
              </w:rPr>
              <w:t>Les statuts de l’entreprise de marché mentionnent l’interdiction du cumul des fonctions de président du conseil d’administration et de directeur général.</w:t>
            </w:r>
          </w:p>
          <w:p w14:paraId="04EBF0AA" w14:textId="77777777" w:rsidR="000E7336" w:rsidRPr="00A64175" w:rsidRDefault="000E7336" w:rsidP="000E7336">
            <w:pPr>
              <w:widowControl w:val="0"/>
              <w:autoSpaceDE w:val="0"/>
              <w:adjustRightInd w:val="0"/>
              <w:jc w:val="both"/>
              <w:rPr>
                <w:rFonts w:ascii="Arial" w:hAnsi="Arial" w:cs="Arial"/>
                <w:bCs/>
              </w:rPr>
            </w:pPr>
          </w:p>
          <w:p w14:paraId="14A029A3" w14:textId="46671267" w:rsidR="00770108" w:rsidRPr="00173BB2" w:rsidRDefault="000E7336">
            <w:pPr>
              <w:pStyle w:val="Paragraphedeliste"/>
              <w:widowControl w:val="0"/>
              <w:numPr>
                <w:ilvl w:val="0"/>
                <w:numId w:val="222"/>
              </w:numPr>
              <w:autoSpaceDE w:val="0"/>
              <w:adjustRightInd w:val="0"/>
              <w:spacing w:before="0" w:beforeAutospacing="0" w:after="0" w:afterAutospacing="0" w:line="240" w:lineRule="auto"/>
              <w:rPr>
                <w:bCs/>
              </w:rPr>
            </w:pPr>
            <w:r w:rsidRPr="00A64175">
              <w:rPr>
                <w:bCs/>
              </w:rPr>
              <w:t xml:space="preserve">Le président du conseil d’administration de l’entreprise de </w:t>
            </w:r>
            <w:r w:rsidR="00FF16FF" w:rsidRPr="00A64175">
              <w:rPr>
                <w:bCs/>
              </w:rPr>
              <w:t>marché doivent</w:t>
            </w:r>
            <w:r w:rsidRPr="00A64175">
              <w:rPr>
                <w:bCs/>
              </w:rPr>
              <w:t>, avant d’entrer en fonction, obtenir une</w:t>
            </w:r>
            <w:r w:rsidR="009D63C5">
              <w:rPr>
                <w:bCs/>
              </w:rPr>
              <w:t xml:space="preserve"> autorisation</w:t>
            </w:r>
            <w:r w:rsidRPr="00A64175">
              <w:rPr>
                <w:bCs/>
              </w:rPr>
              <w:t xml:space="preserve">  préalable de la COSUMAF</w:t>
            </w:r>
            <w:r w:rsidR="00D263C9">
              <w:rPr>
                <w:bCs/>
              </w:rPr>
              <w:t xml:space="preserve"> y compris en cas de </w:t>
            </w:r>
            <w:r w:rsidR="00D263C9" w:rsidRPr="00A64175">
              <w:rPr>
                <w:bCs/>
              </w:rPr>
              <w:t>remplacement</w:t>
            </w:r>
            <w:r w:rsidRPr="00A64175">
              <w:rPr>
                <w:bCs/>
              </w:rPr>
              <w:t>.</w:t>
            </w:r>
            <w:r w:rsidR="00E2569A">
              <w:rPr>
                <w:bCs/>
              </w:rPr>
              <w:t xml:space="preserve"> </w:t>
            </w:r>
            <w:r w:rsidR="00770108" w:rsidRPr="00E2569A">
              <w:rPr>
                <w:bCs/>
              </w:rPr>
              <w:t>La COSUMAF notifie son autorisa</w:t>
            </w:r>
            <w:r w:rsidR="00770108" w:rsidRPr="00173BB2">
              <w:rPr>
                <w:bCs/>
              </w:rPr>
              <w:t>tion préalable dans un délai de quinze (15) jours ouvrés.</w:t>
            </w:r>
          </w:p>
          <w:p w14:paraId="36473B54" w14:textId="77777777" w:rsidR="00770108" w:rsidRPr="00770108" w:rsidRDefault="00770108" w:rsidP="00480280">
            <w:pPr>
              <w:ind w:left="360"/>
              <w:rPr>
                <w:bCs/>
              </w:rPr>
            </w:pPr>
          </w:p>
          <w:p w14:paraId="318BFDEC" w14:textId="26C7D3F2" w:rsidR="000E7336" w:rsidRPr="00183E99" w:rsidRDefault="00770108" w:rsidP="000E7336">
            <w:pPr>
              <w:pStyle w:val="Paragraphedeliste"/>
              <w:widowControl w:val="0"/>
              <w:numPr>
                <w:ilvl w:val="0"/>
                <w:numId w:val="222"/>
              </w:numPr>
              <w:autoSpaceDE w:val="0"/>
              <w:adjustRightInd w:val="0"/>
              <w:spacing w:before="0" w:beforeAutospacing="0" w:after="0" w:afterAutospacing="0" w:line="240" w:lineRule="auto"/>
              <w:rPr>
                <w:bCs/>
              </w:rPr>
            </w:pPr>
            <w:r>
              <w:rPr>
                <w:bCs/>
              </w:rPr>
              <w:t>L</w:t>
            </w:r>
            <w:r w:rsidRPr="00A64175">
              <w:rPr>
                <w:bCs/>
              </w:rPr>
              <w:t>e directeur général</w:t>
            </w:r>
            <w:r>
              <w:rPr>
                <w:bCs/>
              </w:rPr>
              <w:t xml:space="preserve"> de l’entreprise de marché est soumis à l’agrément de la COSUMAF dans des conditions fixées par Instruction.</w:t>
            </w:r>
          </w:p>
          <w:p w14:paraId="62990599" w14:textId="77777777" w:rsidR="000E7336" w:rsidRPr="00A64175" w:rsidRDefault="000E7336" w:rsidP="000E7336">
            <w:pPr>
              <w:pStyle w:val="Paragraphedeliste"/>
              <w:widowControl w:val="0"/>
              <w:autoSpaceDE w:val="0"/>
              <w:adjustRightInd w:val="0"/>
              <w:spacing w:before="0" w:beforeAutospacing="0" w:after="0" w:afterAutospacing="0" w:line="240" w:lineRule="auto"/>
              <w:rPr>
                <w:b/>
                <w:bCs/>
                <w:color w:val="000000" w:themeColor="text1"/>
              </w:rPr>
            </w:pPr>
          </w:p>
        </w:tc>
      </w:tr>
      <w:tr w:rsidR="000E7336" w:rsidRPr="00A64175" w14:paraId="7E75ED79" w14:textId="77777777" w:rsidTr="000E7336">
        <w:trPr>
          <w:trHeight w:val="251"/>
        </w:trPr>
        <w:tc>
          <w:tcPr>
            <w:tcW w:w="9493" w:type="dxa"/>
          </w:tcPr>
          <w:p w14:paraId="66C3BEA7" w14:textId="6B4A0D2D" w:rsidR="000E7336" w:rsidRPr="00A64175" w:rsidRDefault="000E7336" w:rsidP="000E7336">
            <w:pPr>
              <w:widowControl w:val="0"/>
              <w:tabs>
                <w:tab w:val="left" w:pos="3750"/>
              </w:tabs>
              <w:autoSpaceDE w:val="0"/>
              <w:adjustRightInd w:val="0"/>
              <w:jc w:val="both"/>
              <w:rPr>
                <w:rFonts w:ascii="Arial" w:hAnsi="Arial" w:cs="Arial"/>
                <w:kern w:val="1"/>
              </w:rPr>
            </w:pPr>
            <w:r w:rsidRPr="00A64175">
              <w:rPr>
                <w:rFonts w:ascii="Arial" w:hAnsi="Arial" w:cs="Arial"/>
                <w:b/>
                <w:bCs/>
              </w:rPr>
              <w:t>Article 52</w:t>
            </w:r>
            <w:r w:rsidR="005557A1">
              <w:rPr>
                <w:rFonts w:ascii="Arial" w:hAnsi="Arial" w:cs="Arial"/>
                <w:b/>
                <w:bCs/>
              </w:rPr>
              <w:t xml:space="preserve">5 </w:t>
            </w:r>
            <w:r w:rsidRPr="00A64175">
              <w:rPr>
                <w:rFonts w:ascii="Arial" w:hAnsi="Arial" w:cs="Arial"/>
                <w:b/>
                <w:bCs/>
              </w:rPr>
              <w:t xml:space="preserve"> – </w:t>
            </w:r>
            <w:r w:rsidRPr="00A64175">
              <w:rPr>
                <w:rFonts w:ascii="Arial" w:hAnsi="Arial" w:cs="Arial"/>
              </w:rPr>
              <w:t>Les statuts de l’entreprise de marché sont approuvés par la COSUMAF avant leur adoption, y compris en cas de modification. La COSUMAF veille en toutes circonstances à leur conformité aux dispositions du</w:t>
            </w:r>
            <w:r w:rsidRPr="00A64175">
              <w:rPr>
                <w:rFonts w:ascii="Arial" w:hAnsi="Arial" w:cs="Arial"/>
                <w:color w:val="000000"/>
              </w:rPr>
              <w:t xml:space="preserve"> Règlement n°01/22/CEMAC/UMAC/CM/COSUMAF du 21 juillet </w:t>
            </w:r>
            <w:r w:rsidRPr="00A64175">
              <w:rPr>
                <w:rFonts w:ascii="Arial" w:hAnsi="Arial" w:cs="Arial"/>
              </w:rPr>
              <w:t>2022 et à celles du présent Règlement.</w:t>
            </w:r>
          </w:p>
        </w:tc>
      </w:tr>
      <w:tr w:rsidR="000E7336" w:rsidRPr="00A64175" w14:paraId="6754D0AC" w14:textId="77777777" w:rsidTr="000E7336">
        <w:trPr>
          <w:trHeight w:val="251"/>
        </w:trPr>
        <w:tc>
          <w:tcPr>
            <w:tcW w:w="9493" w:type="dxa"/>
          </w:tcPr>
          <w:p w14:paraId="049871DD" w14:textId="716D18FC" w:rsidR="000E7336" w:rsidRPr="005531B6" w:rsidRDefault="000E7336" w:rsidP="005B705C">
            <w:pPr>
              <w:widowControl w:val="0"/>
              <w:autoSpaceDE w:val="0"/>
              <w:adjustRightInd w:val="0"/>
              <w:rPr>
                <w:bCs/>
              </w:rPr>
            </w:pPr>
          </w:p>
        </w:tc>
      </w:tr>
      <w:tr w:rsidR="000E7336" w:rsidRPr="00A64175" w14:paraId="7B8C0749" w14:textId="77777777" w:rsidTr="000E7336">
        <w:trPr>
          <w:trHeight w:val="251"/>
        </w:trPr>
        <w:tc>
          <w:tcPr>
            <w:tcW w:w="9493" w:type="dxa"/>
          </w:tcPr>
          <w:p w14:paraId="3BD648D3" w14:textId="77777777" w:rsidR="000E7336" w:rsidRPr="00A64175" w:rsidRDefault="000E7336" w:rsidP="000E7336">
            <w:pPr>
              <w:widowControl w:val="0"/>
              <w:autoSpaceDE w:val="0"/>
              <w:adjustRightInd w:val="0"/>
              <w:jc w:val="both"/>
              <w:rPr>
                <w:rFonts w:ascii="Arial" w:hAnsi="Arial" w:cs="Arial"/>
                <w:b/>
                <w:bCs/>
              </w:rPr>
            </w:pPr>
          </w:p>
          <w:p w14:paraId="26B4A789" w14:textId="7725FD3F"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52</w:t>
            </w:r>
            <w:r w:rsidR="005557A1">
              <w:rPr>
                <w:rFonts w:ascii="Arial" w:hAnsi="Arial" w:cs="Arial"/>
                <w:b/>
                <w:bCs/>
              </w:rPr>
              <w:t xml:space="preserve">6 </w:t>
            </w:r>
            <w:r w:rsidRPr="00A64175">
              <w:rPr>
                <w:rFonts w:ascii="Arial" w:hAnsi="Arial" w:cs="Arial"/>
                <w:b/>
                <w:bCs/>
              </w:rPr>
              <w:t xml:space="preserve"> – </w:t>
            </w:r>
            <w:r w:rsidRPr="00A64175">
              <w:rPr>
                <w:rFonts w:ascii="Arial" w:hAnsi="Arial" w:cs="Arial"/>
              </w:rPr>
              <w:t>La désignation des membres du conseil d’administration est soumise à l’</w:t>
            </w:r>
            <w:r w:rsidR="009D63C5">
              <w:rPr>
                <w:rFonts w:ascii="Arial" w:hAnsi="Arial" w:cs="Arial"/>
              </w:rPr>
              <w:t xml:space="preserve">autorisation </w:t>
            </w:r>
            <w:r w:rsidRPr="00A64175">
              <w:rPr>
                <w:rFonts w:ascii="Arial" w:hAnsi="Arial" w:cs="Arial"/>
              </w:rPr>
              <w:t xml:space="preserve"> préalable de la COSUMAF qui peut, par décision motivée, </w:t>
            </w:r>
            <w:r w:rsidR="001A0B0F">
              <w:rPr>
                <w:rFonts w:ascii="Arial" w:hAnsi="Arial" w:cs="Arial"/>
              </w:rPr>
              <w:t>enjoindre à l’entreprise de marché</w:t>
            </w:r>
            <w:r w:rsidR="00D263C9">
              <w:rPr>
                <w:rFonts w:ascii="Arial" w:hAnsi="Arial" w:cs="Arial"/>
              </w:rPr>
              <w:t>,</w:t>
            </w:r>
            <w:r w:rsidR="001A0B0F">
              <w:rPr>
                <w:rFonts w:ascii="Arial" w:hAnsi="Arial" w:cs="Arial"/>
              </w:rPr>
              <w:t xml:space="preserve"> de les </w:t>
            </w:r>
            <w:r w:rsidRPr="00A64175">
              <w:rPr>
                <w:rFonts w:ascii="Arial" w:hAnsi="Arial" w:cs="Arial"/>
              </w:rPr>
              <w:t>démettre de leur mandat.</w:t>
            </w:r>
          </w:p>
        </w:tc>
      </w:tr>
      <w:tr w:rsidR="000E7336" w:rsidRPr="00A64175" w14:paraId="3CE21123" w14:textId="77777777" w:rsidTr="000E7336">
        <w:trPr>
          <w:trHeight w:val="251"/>
        </w:trPr>
        <w:tc>
          <w:tcPr>
            <w:tcW w:w="9493" w:type="dxa"/>
          </w:tcPr>
          <w:p w14:paraId="46007787" w14:textId="77777777" w:rsidR="000E7336" w:rsidRPr="00A64175" w:rsidRDefault="000E7336" w:rsidP="000E7336">
            <w:pPr>
              <w:widowControl w:val="0"/>
              <w:autoSpaceDE w:val="0"/>
              <w:adjustRightInd w:val="0"/>
              <w:jc w:val="both"/>
              <w:rPr>
                <w:rFonts w:ascii="Arial" w:hAnsi="Arial" w:cs="Arial"/>
                <w:b/>
                <w:bCs/>
              </w:rPr>
            </w:pPr>
          </w:p>
          <w:p w14:paraId="1AF64133" w14:textId="2013334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52</w:t>
            </w:r>
            <w:r w:rsidR="005557A1">
              <w:rPr>
                <w:rFonts w:ascii="Arial" w:hAnsi="Arial" w:cs="Arial"/>
                <w:b/>
                <w:bCs/>
              </w:rPr>
              <w:t xml:space="preserve">7 </w:t>
            </w:r>
            <w:r w:rsidRPr="00A64175">
              <w:rPr>
                <w:rFonts w:ascii="Arial" w:hAnsi="Arial" w:cs="Arial"/>
                <w:b/>
                <w:bCs/>
              </w:rPr>
              <w:t xml:space="preserve"> – </w:t>
            </w:r>
          </w:p>
          <w:p w14:paraId="742FFC1E" w14:textId="77777777" w:rsidR="000E7336" w:rsidRPr="00A64175" w:rsidRDefault="000E7336" w:rsidP="000E7336">
            <w:pPr>
              <w:widowControl w:val="0"/>
              <w:autoSpaceDE w:val="0"/>
              <w:adjustRightInd w:val="0"/>
              <w:jc w:val="both"/>
              <w:rPr>
                <w:rFonts w:ascii="Arial" w:hAnsi="Arial" w:cs="Arial"/>
                <w:b/>
                <w:bCs/>
              </w:rPr>
            </w:pPr>
          </w:p>
          <w:p w14:paraId="6FE80CBF" w14:textId="77777777" w:rsidR="000E7336" w:rsidRPr="00A64175" w:rsidRDefault="000E7336" w:rsidP="000E7336">
            <w:pPr>
              <w:pStyle w:val="Paragraphedeliste"/>
              <w:widowControl w:val="0"/>
              <w:numPr>
                <w:ilvl w:val="1"/>
                <w:numId w:val="215"/>
              </w:numPr>
              <w:autoSpaceDE w:val="0"/>
              <w:adjustRightInd w:val="0"/>
              <w:spacing w:before="0" w:beforeAutospacing="0" w:after="0" w:afterAutospacing="0" w:line="240" w:lineRule="auto"/>
              <w:ind w:left="457"/>
            </w:pPr>
            <w:r w:rsidRPr="00A64175">
              <w:t>Le président et les membres du conseil d’administration ainsi que le directeur général jouissent de l’honorabilité requise et possèdent les connaissances, les compétences et l’expérience nécessaires à l’exercice de leurs fonctions.</w:t>
            </w:r>
          </w:p>
          <w:p w14:paraId="343DF359" w14:textId="77777777" w:rsidR="000E7336" w:rsidRPr="00A64175" w:rsidRDefault="000E7336" w:rsidP="000E7336">
            <w:pPr>
              <w:widowControl w:val="0"/>
              <w:autoSpaceDE w:val="0"/>
              <w:adjustRightInd w:val="0"/>
              <w:ind w:left="457"/>
              <w:jc w:val="both"/>
              <w:rPr>
                <w:rFonts w:ascii="Arial" w:hAnsi="Arial" w:cs="Arial"/>
              </w:rPr>
            </w:pPr>
          </w:p>
          <w:p w14:paraId="47AD6FD4" w14:textId="77777777" w:rsidR="000E7336" w:rsidRPr="00A64175" w:rsidRDefault="000E7336" w:rsidP="000E7336">
            <w:pPr>
              <w:pStyle w:val="Paragraphedeliste"/>
              <w:widowControl w:val="0"/>
              <w:numPr>
                <w:ilvl w:val="1"/>
                <w:numId w:val="215"/>
              </w:numPr>
              <w:autoSpaceDE w:val="0"/>
              <w:adjustRightInd w:val="0"/>
              <w:spacing w:before="0" w:beforeAutospacing="0" w:after="0" w:afterAutospacing="0" w:line="240" w:lineRule="auto"/>
              <w:ind w:left="457"/>
            </w:pPr>
            <w:r w:rsidRPr="00A64175">
              <w:t xml:space="preserve">Ils consacrent un temps suffisant à l’exercice de leurs fonctions au sein de l’entreprise de marché. </w:t>
            </w:r>
          </w:p>
          <w:p w14:paraId="63A7F154" w14:textId="77777777" w:rsidR="000E7336" w:rsidRPr="00A64175" w:rsidRDefault="000E7336" w:rsidP="000E7336">
            <w:pPr>
              <w:widowControl w:val="0"/>
              <w:autoSpaceDE w:val="0"/>
              <w:adjustRightInd w:val="0"/>
              <w:jc w:val="both"/>
              <w:rPr>
                <w:rFonts w:ascii="Arial" w:hAnsi="Arial" w:cs="Arial"/>
                <w:b/>
                <w:color w:val="000000" w:themeColor="text1"/>
                <w:kern w:val="1"/>
              </w:rPr>
            </w:pPr>
          </w:p>
        </w:tc>
      </w:tr>
      <w:tr w:rsidR="000E7336" w:rsidRPr="00A64175" w14:paraId="1139FBE9" w14:textId="77777777" w:rsidTr="000E7336">
        <w:trPr>
          <w:trHeight w:val="251"/>
        </w:trPr>
        <w:tc>
          <w:tcPr>
            <w:tcW w:w="9493" w:type="dxa"/>
          </w:tcPr>
          <w:p w14:paraId="47B83B97" w14:textId="78B972DB"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52</w:t>
            </w:r>
            <w:r w:rsidR="005557A1">
              <w:rPr>
                <w:rFonts w:ascii="Arial" w:hAnsi="Arial" w:cs="Arial"/>
                <w:b/>
                <w:bCs/>
              </w:rPr>
              <w:t xml:space="preserve">8 </w:t>
            </w:r>
            <w:r w:rsidRPr="00A64175">
              <w:rPr>
                <w:rFonts w:ascii="Arial" w:hAnsi="Arial" w:cs="Arial"/>
                <w:b/>
                <w:bCs/>
              </w:rPr>
              <w:t xml:space="preserve"> - </w:t>
            </w:r>
            <w:r w:rsidRPr="00A64175">
              <w:rPr>
                <w:rFonts w:ascii="Arial" w:hAnsi="Arial" w:cs="Arial"/>
              </w:rPr>
              <w:t xml:space="preserve">Les entreprises de marché consacrent des ressources humaines et financières adéquates à la formation des personnes mentionnées </w:t>
            </w:r>
            <w:r w:rsidRPr="00CA7CED">
              <w:rPr>
                <w:rFonts w:ascii="Arial" w:hAnsi="Arial" w:cs="Arial"/>
              </w:rPr>
              <w:t xml:space="preserve">à </w:t>
            </w:r>
            <w:r w:rsidRPr="00C21CF0">
              <w:rPr>
                <w:rFonts w:ascii="Arial" w:hAnsi="Arial" w:cs="Arial"/>
              </w:rPr>
              <w:t>l’article 52</w:t>
            </w:r>
            <w:r w:rsidR="00E93B4C" w:rsidRPr="00C21CF0">
              <w:rPr>
                <w:rFonts w:ascii="Arial" w:hAnsi="Arial" w:cs="Arial"/>
              </w:rPr>
              <w:t>7</w:t>
            </w:r>
            <w:r w:rsidRPr="00C21CF0">
              <w:rPr>
                <w:rFonts w:ascii="Arial" w:hAnsi="Arial" w:cs="Arial"/>
              </w:rPr>
              <w:t>.1 du présent règlement général.</w:t>
            </w:r>
          </w:p>
          <w:p w14:paraId="01D2DB76"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50DE5748" w14:textId="77777777" w:rsidTr="000E7336">
        <w:trPr>
          <w:trHeight w:val="251"/>
        </w:trPr>
        <w:tc>
          <w:tcPr>
            <w:tcW w:w="9493" w:type="dxa"/>
          </w:tcPr>
          <w:p w14:paraId="7881DC68" w14:textId="28EF0EDA"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 xml:space="preserve">Article </w:t>
            </w:r>
            <w:r w:rsidR="00BB0020">
              <w:rPr>
                <w:rFonts w:ascii="Arial" w:hAnsi="Arial" w:cs="Arial"/>
                <w:b/>
                <w:bCs/>
              </w:rPr>
              <w:t xml:space="preserve">529 </w:t>
            </w:r>
            <w:r w:rsidRPr="00A64175">
              <w:rPr>
                <w:rFonts w:ascii="Arial" w:hAnsi="Arial" w:cs="Arial"/>
                <w:b/>
                <w:bCs/>
              </w:rPr>
              <w:t xml:space="preserve"> – </w:t>
            </w:r>
            <w:r w:rsidRPr="00A64175">
              <w:rPr>
                <w:rFonts w:ascii="Arial" w:hAnsi="Arial" w:cs="Arial"/>
              </w:rPr>
              <w:t>Les actions de l’entreprise de marché dont la détention directe et indirecte par un actionnaire est inférieure à 5%, sont librement cessibles entre les personnes visées à l’article 107 du</w:t>
            </w:r>
            <w:r w:rsidRPr="00A64175">
              <w:rPr>
                <w:rFonts w:ascii="Arial" w:hAnsi="Arial" w:cs="Arial"/>
                <w:color w:val="000000"/>
              </w:rPr>
              <w:t xml:space="preserve"> Règlement n°01/22/CEMAC/UMAC/CM/COSUMAF du 21 juillet </w:t>
            </w:r>
            <w:r w:rsidRPr="00A64175">
              <w:rPr>
                <w:rFonts w:ascii="Arial" w:hAnsi="Arial" w:cs="Arial"/>
              </w:rPr>
              <w:t>2022, moyennant le prix convenu entre les parties. Lorsque les parties entendent recourir à un expert indépendant pour la fixation du prix des actions, la désignation de cet expert est soumise à l’</w:t>
            </w:r>
            <w:r w:rsidR="009D63C5">
              <w:rPr>
                <w:rFonts w:ascii="Arial" w:hAnsi="Arial" w:cs="Arial"/>
              </w:rPr>
              <w:t xml:space="preserve">autorisation </w:t>
            </w:r>
            <w:r w:rsidRPr="00A64175">
              <w:rPr>
                <w:rFonts w:ascii="Arial" w:hAnsi="Arial" w:cs="Arial"/>
              </w:rPr>
              <w:t xml:space="preserve"> préalable de la COSUMAF.</w:t>
            </w:r>
          </w:p>
          <w:p w14:paraId="28F16C8E"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31E7862E" w14:textId="77777777" w:rsidTr="000E7336">
        <w:trPr>
          <w:trHeight w:val="251"/>
        </w:trPr>
        <w:tc>
          <w:tcPr>
            <w:tcW w:w="9493" w:type="dxa"/>
            <w:shd w:val="clear" w:color="auto" w:fill="auto"/>
          </w:tcPr>
          <w:p w14:paraId="7CC73ADF"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 xml:space="preserve">Section III : Règles de bonne conduite applicables à l’entreprise de marché </w:t>
            </w:r>
          </w:p>
          <w:p w14:paraId="022A756D"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10C9D5F1" w14:textId="77777777" w:rsidTr="000E7336">
        <w:trPr>
          <w:trHeight w:val="251"/>
        </w:trPr>
        <w:tc>
          <w:tcPr>
            <w:tcW w:w="9493" w:type="dxa"/>
            <w:shd w:val="clear" w:color="auto" w:fill="auto"/>
          </w:tcPr>
          <w:p w14:paraId="1A13534E" w14:textId="4ED0997C"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w:t>
            </w:r>
            <w:r w:rsidR="00BB0020">
              <w:rPr>
                <w:rFonts w:ascii="Arial" w:hAnsi="Arial" w:cs="Arial"/>
                <w:b/>
                <w:bCs/>
              </w:rPr>
              <w:t xml:space="preserve">30 </w:t>
            </w:r>
            <w:r w:rsidRPr="00A64175">
              <w:rPr>
                <w:rFonts w:ascii="Arial" w:hAnsi="Arial" w:cs="Arial"/>
                <w:b/>
                <w:bCs/>
              </w:rPr>
              <w:t xml:space="preserve"> – </w:t>
            </w:r>
            <w:r w:rsidRPr="00A64175">
              <w:rPr>
                <w:rFonts w:ascii="Arial" w:hAnsi="Arial" w:cs="Arial"/>
              </w:rPr>
              <w:t>L’entreprise de marché exerce ses activités avec équité, diligence, impartialité et loyauté. Elle veille à la prévention des conflits d’intérêts et à l’intégrité du marché.</w:t>
            </w:r>
          </w:p>
          <w:p w14:paraId="726F917A" w14:textId="77777777" w:rsidR="000E7336" w:rsidRPr="00A64175" w:rsidRDefault="000E7336" w:rsidP="000E7336">
            <w:pPr>
              <w:widowControl w:val="0"/>
              <w:autoSpaceDE w:val="0"/>
              <w:adjustRightInd w:val="0"/>
              <w:jc w:val="both"/>
              <w:rPr>
                <w:rFonts w:ascii="Arial" w:hAnsi="Arial" w:cs="Arial"/>
              </w:rPr>
            </w:pPr>
          </w:p>
          <w:p w14:paraId="3D2CF3BA"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rPr>
              <w:t>L’entreprise de marché n’engage pas ses propres capitaux ni ne négocie par appariement avec interposition de son compte propre sur les plateformes qu’elle gère.</w:t>
            </w:r>
          </w:p>
          <w:p w14:paraId="008EEA89" w14:textId="77777777" w:rsidR="000E7336" w:rsidRPr="00A64175" w:rsidRDefault="000E7336" w:rsidP="000E7336">
            <w:pPr>
              <w:widowControl w:val="0"/>
              <w:autoSpaceDE w:val="0"/>
              <w:adjustRightInd w:val="0"/>
              <w:jc w:val="both"/>
              <w:rPr>
                <w:rFonts w:ascii="Arial" w:hAnsi="Arial" w:cs="Arial"/>
                <w:kern w:val="1"/>
              </w:rPr>
            </w:pPr>
          </w:p>
          <w:p w14:paraId="05C83395" w14:textId="77777777" w:rsidR="000E7336" w:rsidRPr="00A64175" w:rsidRDefault="000E7336" w:rsidP="000E7336">
            <w:pPr>
              <w:widowControl w:val="0"/>
              <w:autoSpaceDE w:val="0"/>
              <w:adjustRightInd w:val="0"/>
              <w:jc w:val="both"/>
              <w:rPr>
                <w:rFonts w:ascii="Arial" w:hAnsi="Arial" w:cs="Arial"/>
              </w:rPr>
            </w:pPr>
            <w:r w:rsidRPr="00A64175">
              <w:rPr>
                <w:rFonts w:ascii="Arial" w:hAnsi="Arial" w:cs="Arial"/>
              </w:rPr>
              <w:t>Elle assure la plus stricte égalité d’accès à l’information publiée par ses soins aux investisseurs, aux épargnants, aux émetteurs, aux intermédiaires et autres professionnels.</w:t>
            </w:r>
          </w:p>
          <w:p w14:paraId="6C6F9C3E"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5D848899" w14:textId="77777777" w:rsidTr="000E7336">
        <w:trPr>
          <w:trHeight w:val="251"/>
        </w:trPr>
        <w:tc>
          <w:tcPr>
            <w:tcW w:w="9493" w:type="dxa"/>
            <w:shd w:val="clear" w:color="auto" w:fill="auto"/>
          </w:tcPr>
          <w:p w14:paraId="2A2149DB" w14:textId="15210F51"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BB0020">
              <w:rPr>
                <w:rFonts w:ascii="Arial" w:hAnsi="Arial" w:cs="Arial"/>
                <w:b/>
                <w:bCs/>
              </w:rPr>
              <w:t xml:space="preserve">31 </w:t>
            </w:r>
            <w:r w:rsidRPr="00A64175">
              <w:rPr>
                <w:rFonts w:ascii="Arial" w:hAnsi="Arial" w:cs="Arial"/>
                <w:b/>
                <w:bCs/>
              </w:rPr>
              <w:t xml:space="preserve"> – </w:t>
            </w:r>
            <w:r w:rsidRPr="00A64175">
              <w:rPr>
                <w:rFonts w:ascii="Arial" w:hAnsi="Arial" w:cs="Arial"/>
              </w:rPr>
              <w:t>L’entreprise de marché veille au respect du secret professionnel par les personnes agissant pour son compte ou placées sous son autorité.</w:t>
            </w:r>
          </w:p>
          <w:p w14:paraId="5A1B1F17"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2D8DE6C1" w14:textId="77777777" w:rsidTr="000E7336">
        <w:trPr>
          <w:trHeight w:val="251"/>
        </w:trPr>
        <w:tc>
          <w:tcPr>
            <w:tcW w:w="9493" w:type="dxa"/>
            <w:shd w:val="clear" w:color="auto" w:fill="auto"/>
          </w:tcPr>
          <w:p w14:paraId="40794E38" w14:textId="55AD15CF"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w:t>
            </w:r>
            <w:r w:rsidR="001A171C">
              <w:rPr>
                <w:rFonts w:ascii="Arial" w:hAnsi="Arial" w:cs="Arial"/>
                <w:b/>
                <w:bCs/>
              </w:rPr>
              <w:t>3</w:t>
            </w:r>
            <w:r w:rsidR="00BB0020">
              <w:rPr>
                <w:rFonts w:ascii="Arial" w:hAnsi="Arial" w:cs="Arial"/>
                <w:b/>
                <w:bCs/>
              </w:rPr>
              <w:t xml:space="preserve">2 </w:t>
            </w:r>
            <w:r w:rsidRPr="00A64175">
              <w:rPr>
                <w:rFonts w:ascii="Arial" w:hAnsi="Arial" w:cs="Arial"/>
                <w:b/>
                <w:bCs/>
              </w:rPr>
              <w:t xml:space="preserve"> – </w:t>
            </w:r>
            <w:r w:rsidRPr="00A64175">
              <w:rPr>
                <w:rFonts w:ascii="Arial" w:hAnsi="Arial" w:cs="Arial"/>
              </w:rPr>
              <w:t xml:space="preserve">L’entreprise de marché veille au respect des règles du marché par </w:t>
            </w:r>
            <w:r w:rsidR="001D48DA">
              <w:rPr>
                <w:rFonts w:ascii="Arial" w:hAnsi="Arial" w:cs="Arial"/>
              </w:rPr>
              <w:t>s</w:t>
            </w:r>
            <w:r w:rsidRPr="00A64175">
              <w:rPr>
                <w:rFonts w:ascii="Arial" w:hAnsi="Arial" w:cs="Arial"/>
              </w:rPr>
              <w:t>es membres. Elle conclut une convention d’admission avec chacun des membres de marché. Aux termes de cette convention, les membres s’engagent notamment à :</w:t>
            </w:r>
          </w:p>
          <w:p w14:paraId="08BA7EC2" w14:textId="77777777" w:rsidR="000E7336" w:rsidRPr="00A64175" w:rsidRDefault="000E7336" w:rsidP="000E7336">
            <w:pPr>
              <w:widowControl w:val="0"/>
              <w:autoSpaceDE w:val="0"/>
              <w:adjustRightInd w:val="0"/>
              <w:jc w:val="both"/>
              <w:rPr>
                <w:rFonts w:ascii="Arial" w:hAnsi="Arial" w:cs="Arial"/>
                <w:kern w:val="1"/>
              </w:rPr>
            </w:pPr>
          </w:p>
          <w:p w14:paraId="759D85BB" w14:textId="77777777" w:rsidR="000E7336" w:rsidRPr="00A64175" w:rsidRDefault="000E7336" w:rsidP="000E7336">
            <w:pPr>
              <w:widowControl w:val="0"/>
              <w:numPr>
                <w:ilvl w:val="0"/>
                <w:numId w:val="17"/>
              </w:numPr>
              <w:tabs>
                <w:tab w:val="left" w:pos="220"/>
                <w:tab w:val="left" w:pos="720"/>
              </w:tabs>
              <w:autoSpaceDE w:val="0"/>
              <w:autoSpaceDN w:val="0"/>
              <w:adjustRightInd w:val="0"/>
              <w:jc w:val="both"/>
              <w:rPr>
                <w:rFonts w:ascii="Arial" w:hAnsi="Arial" w:cs="Arial"/>
                <w:kern w:val="1"/>
              </w:rPr>
            </w:pPr>
            <w:r w:rsidRPr="00A64175">
              <w:rPr>
                <w:rFonts w:ascii="Arial" w:hAnsi="Arial" w:cs="Arial"/>
              </w:rPr>
              <w:t>respecter en permanence les dispositions de son Règlement général ;</w:t>
            </w:r>
          </w:p>
          <w:p w14:paraId="37204C0C"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p w14:paraId="6D123E99" w14:textId="77777777" w:rsidR="000E7336" w:rsidRPr="00A64175" w:rsidRDefault="000E7336" w:rsidP="000E7336">
            <w:pPr>
              <w:widowControl w:val="0"/>
              <w:numPr>
                <w:ilvl w:val="0"/>
                <w:numId w:val="17"/>
              </w:numPr>
              <w:tabs>
                <w:tab w:val="left" w:pos="220"/>
                <w:tab w:val="left" w:pos="720"/>
              </w:tabs>
              <w:autoSpaceDE w:val="0"/>
              <w:autoSpaceDN w:val="0"/>
              <w:adjustRightInd w:val="0"/>
              <w:jc w:val="both"/>
              <w:rPr>
                <w:rFonts w:ascii="Arial" w:hAnsi="Arial" w:cs="Arial"/>
                <w:kern w:val="1"/>
              </w:rPr>
            </w:pPr>
            <w:r w:rsidRPr="00A64175">
              <w:rPr>
                <w:rFonts w:ascii="Arial" w:hAnsi="Arial" w:cs="Arial"/>
              </w:rPr>
              <w:t>répondre à toute demande d’information ;</w:t>
            </w:r>
          </w:p>
          <w:p w14:paraId="6FF87667"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29E35351" w14:textId="77777777" w:rsidR="000E7336" w:rsidRPr="00A64175" w:rsidRDefault="000E7336" w:rsidP="000E7336">
            <w:pPr>
              <w:pStyle w:val="Paragraphedeliste"/>
              <w:numPr>
                <w:ilvl w:val="0"/>
                <w:numId w:val="17"/>
              </w:numPr>
              <w:tabs>
                <w:tab w:val="left" w:pos="1845"/>
              </w:tabs>
              <w:spacing w:before="0" w:beforeAutospacing="0" w:after="0" w:afterAutospacing="0" w:line="240" w:lineRule="auto"/>
            </w:pPr>
            <w:r w:rsidRPr="00A64175">
              <w:t>se soumettre aux contrôles sur place diligentés par elle ;</w:t>
            </w:r>
          </w:p>
          <w:p w14:paraId="110014AF" w14:textId="77777777" w:rsidR="000E7336" w:rsidRPr="000F1951" w:rsidRDefault="000E7336" w:rsidP="000F1951">
            <w:pPr>
              <w:tabs>
                <w:tab w:val="left" w:pos="1845"/>
              </w:tabs>
              <w:ind w:left="360"/>
            </w:pPr>
          </w:p>
          <w:p w14:paraId="4B263146" w14:textId="77777777" w:rsidR="000E7336" w:rsidRPr="00A64175" w:rsidRDefault="000E7336" w:rsidP="000E7336">
            <w:pPr>
              <w:pStyle w:val="Paragraphedeliste"/>
              <w:numPr>
                <w:ilvl w:val="0"/>
                <w:numId w:val="17"/>
              </w:numPr>
              <w:tabs>
                <w:tab w:val="left" w:pos="1845"/>
              </w:tabs>
              <w:spacing w:before="0" w:beforeAutospacing="0" w:after="0" w:afterAutospacing="0" w:line="240" w:lineRule="auto"/>
            </w:pPr>
            <w:r w:rsidRPr="00A64175">
              <w:t>régulariser leur situation à la demande de l’entreprise de marché, si celle-ci constate que le membre de marché ne respecte plus les conditions d’admission.</w:t>
            </w:r>
          </w:p>
          <w:p w14:paraId="133D3102" w14:textId="77777777" w:rsidR="000E7336" w:rsidRPr="00A64175" w:rsidRDefault="000E7336" w:rsidP="000E7336">
            <w:pPr>
              <w:pStyle w:val="Paragraphedeliste"/>
              <w:tabs>
                <w:tab w:val="left" w:pos="1845"/>
              </w:tabs>
            </w:pPr>
          </w:p>
        </w:tc>
      </w:tr>
      <w:tr w:rsidR="000E7336" w:rsidRPr="00A64175" w14:paraId="78C5B2C2" w14:textId="77777777" w:rsidTr="000E7336">
        <w:trPr>
          <w:trHeight w:val="251"/>
        </w:trPr>
        <w:tc>
          <w:tcPr>
            <w:tcW w:w="9493" w:type="dxa"/>
            <w:shd w:val="clear" w:color="auto" w:fill="auto"/>
          </w:tcPr>
          <w:p w14:paraId="37DA4977" w14:textId="740A7C38" w:rsidR="000E7336" w:rsidRPr="00A64175" w:rsidRDefault="000E7336" w:rsidP="000E7336">
            <w:pPr>
              <w:widowControl w:val="0"/>
              <w:tabs>
                <w:tab w:val="left" w:pos="3750"/>
              </w:tabs>
              <w:autoSpaceDE w:val="0"/>
              <w:adjustRightInd w:val="0"/>
              <w:jc w:val="both"/>
              <w:rPr>
                <w:rFonts w:ascii="Arial" w:hAnsi="Arial" w:cs="Arial"/>
                <w:kern w:val="1"/>
              </w:rPr>
            </w:pPr>
            <w:r w:rsidRPr="00A64175">
              <w:rPr>
                <w:rFonts w:ascii="Arial" w:hAnsi="Arial" w:cs="Arial"/>
                <w:b/>
                <w:bCs/>
              </w:rPr>
              <w:t>Article 5</w:t>
            </w:r>
            <w:r w:rsidR="001A171C">
              <w:rPr>
                <w:rFonts w:ascii="Arial" w:hAnsi="Arial" w:cs="Arial"/>
                <w:b/>
                <w:bCs/>
              </w:rPr>
              <w:t>3</w:t>
            </w:r>
            <w:r w:rsidR="00BB0020">
              <w:rPr>
                <w:rFonts w:ascii="Arial" w:hAnsi="Arial" w:cs="Arial"/>
                <w:b/>
                <w:bCs/>
              </w:rPr>
              <w:t xml:space="preserve">3 </w:t>
            </w:r>
            <w:r w:rsidRPr="00A64175">
              <w:rPr>
                <w:rFonts w:ascii="Arial" w:hAnsi="Arial" w:cs="Arial"/>
                <w:b/>
                <w:bCs/>
              </w:rPr>
              <w:t xml:space="preserve"> – </w:t>
            </w:r>
            <w:r w:rsidRPr="00A64175">
              <w:rPr>
                <w:rFonts w:ascii="Arial" w:hAnsi="Arial" w:cs="Arial"/>
              </w:rPr>
              <w:t>Lorsque les agissements d’une entité mentionnée à l’article 114 du</w:t>
            </w:r>
            <w:r w:rsidRPr="00A64175">
              <w:rPr>
                <w:rFonts w:ascii="Arial" w:hAnsi="Arial" w:cs="Arial"/>
                <w:color w:val="000000"/>
              </w:rPr>
              <w:t xml:space="preserve"> Règlement n°01/22/CEMAC/UMAC/CM/COSUMAF du 21 juillet </w:t>
            </w:r>
            <w:r w:rsidR="000F1951" w:rsidRPr="00A64175">
              <w:rPr>
                <w:rFonts w:ascii="Arial" w:hAnsi="Arial" w:cs="Arial"/>
              </w:rPr>
              <w:t>2022,</w:t>
            </w:r>
            <w:r w:rsidRPr="00A64175">
              <w:rPr>
                <w:rFonts w:ascii="Arial" w:hAnsi="Arial" w:cs="Arial"/>
              </w:rPr>
              <w:t xml:space="preserve"> sont de nature à compromettre la sécurité ou l’intégrité du marché, l’entreprise de marché peut suspendre temporairement son intervention sur le marché. Elle en informe immédiatement la COSUMAF et l’association professionnelle.</w:t>
            </w:r>
          </w:p>
          <w:p w14:paraId="4C411B6B"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540E46FE" w14:textId="77777777" w:rsidTr="000E7336">
        <w:trPr>
          <w:trHeight w:val="251"/>
        </w:trPr>
        <w:tc>
          <w:tcPr>
            <w:tcW w:w="9493" w:type="dxa"/>
            <w:shd w:val="clear" w:color="auto" w:fill="auto"/>
          </w:tcPr>
          <w:p w14:paraId="5367A2FA"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Section IV : Règles d’admission aux négociations</w:t>
            </w:r>
          </w:p>
          <w:p w14:paraId="49E43D3E"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5047CE92" w14:textId="77777777" w:rsidTr="000E7336">
        <w:trPr>
          <w:trHeight w:val="251"/>
        </w:trPr>
        <w:tc>
          <w:tcPr>
            <w:tcW w:w="9493" w:type="dxa"/>
            <w:shd w:val="clear" w:color="auto" w:fill="auto"/>
          </w:tcPr>
          <w:p w14:paraId="42C66573" w14:textId="6FB0F755"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53</w:t>
            </w:r>
            <w:r w:rsidR="00BB0020">
              <w:rPr>
                <w:rFonts w:ascii="Arial" w:hAnsi="Arial" w:cs="Arial"/>
                <w:b/>
                <w:bCs/>
              </w:rPr>
              <w:t xml:space="preserve">4 </w:t>
            </w:r>
            <w:r w:rsidRPr="00A64175">
              <w:rPr>
                <w:rFonts w:ascii="Arial" w:hAnsi="Arial" w:cs="Arial"/>
                <w:b/>
                <w:bCs/>
              </w:rPr>
              <w:t xml:space="preserve"> – </w:t>
            </w:r>
          </w:p>
          <w:p w14:paraId="502ECB30" w14:textId="77777777" w:rsidR="000E7336" w:rsidRPr="00A64175" w:rsidRDefault="000E7336" w:rsidP="000E7336">
            <w:pPr>
              <w:widowControl w:val="0"/>
              <w:autoSpaceDE w:val="0"/>
              <w:adjustRightInd w:val="0"/>
              <w:jc w:val="both"/>
              <w:rPr>
                <w:rFonts w:ascii="Arial" w:hAnsi="Arial" w:cs="Arial"/>
                <w:b/>
                <w:bCs/>
              </w:rPr>
            </w:pPr>
          </w:p>
          <w:p w14:paraId="2E35C52F" w14:textId="77777777" w:rsidR="000E7336" w:rsidRPr="00A64175" w:rsidRDefault="000E7336" w:rsidP="000E7336">
            <w:pPr>
              <w:pStyle w:val="Paragraphedeliste"/>
              <w:widowControl w:val="0"/>
              <w:numPr>
                <w:ilvl w:val="0"/>
                <w:numId w:val="223"/>
              </w:numPr>
              <w:autoSpaceDE w:val="0"/>
              <w:adjustRightInd w:val="0"/>
              <w:spacing w:before="0" w:beforeAutospacing="0" w:after="0" w:afterAutospacing="0" w:line="240" w:lineRule="auto"/>
            </w:pPr>
            <w:r w:rsidRPr="00A64175">
              <w:t xml:space="preserve">L’admission d’instruments financiers aux négociations sur un marché réglementé est décidée par l’entreprise de marché, conformément aux dispositions </w:t>
            </w:r>
            <w:r w:rsidRPr="00A64175">
              <w:rPr>
                <w:color w:val="000000" w:themeColor="text1"/>
              </w:rPr>
              <w:t>de l’article 117</w:t>
            </w:r>
            <w:r w:rsidRPr="00A64175">
              <w:rPr>
                <w:color w:val="000000"/>
              </w:rPr>
              <w:t xml:space="preserve"> du Règlement n°01/22/CEMAC/UMAC/CM/COSUMAF du 21 juillet </w:t>
            </w:r>
            <w:r w:rsidRPr="00A64175">
              <w:t>2022</w:t>
            </w:r>
            <w:r w:rsidRPr="00A64175">
              <w:rPr>
                <w:color w:val="000000" w:themeColor="text1"/>
              </w:rPr>
              <w:t xml:space="preserve">  </w:t>
            </w:r>
            <w:r w:rsidRPr="00A64175">
              <w:t xml:space="preserve">et aux règles du marché. Ces règles garantissent que tout instrument financier admis aux négociations sur un marché réglementé est susceptible de faire l’objet d’une négociation équitable, ordonnée et efficace. </w:t>
            </w:r>
          </w:p>
          <w:p w14:paraId="5FDA6042" w14:textId="77777777" w:rsidR="000E7336" w:rsidRPr="00A64175" w:rsidRDefault="000E7336" w:rsidP="000E7336">
            <w:pPr>
              <w:pStyle w:val="Paragraphedeliste"/>
              <w:widowControl w:val="0"/>
              <w:numPr>
                <w:ilvl w:val="0"/>
                <w:numId w:val="223"/>
              </w:numPr>
              <w:autoSpaceDE w:val="0"/>
              <w:adjustRightInd w:val="0"/>
              <w:spacing w:before="0" w:beforeAutospacing="0" w:after="0" w:afterAutospacing="0" w:line="240" w:lineRule="auto"/>
            </w:pPr>
            <w:r w:rsidRPr="00A64175">
              <w:t>L’entreprise de marché met en place et maintient des dispositions afin de vérifier que les émetteurs des instruments financiers admis aux négociations sur le marché régional se conforment aux prescriptions qui leur sont applicables en matière d’information initiale, périodique et spécifique et facilite l’accès des membres aux informations que ces émetteurs rendent publiques.</w:t>
            </w:r>
          </w:p>
          <w:p w14:paraId="57ABA90E" w14:textId="77777777" w:rsidR="000E7336" w:rsidRPr="00A64175" w:rsidRDefault="000E7336" w:rsidP="000E7336">
            <w:pPr>
              <w:pStyle w:val="Paragraphedeliste"/>
              <w:widowControl w:val="0"/>
              <w:numPr>
                <w:ilvl w:val="0"/>
                <w:numId w:val="223"/>
              </w:numPr>
              <w:autoSpaceDE w:val="0"/>
              <w:adjustRightInd w:val="0"/>
              <w:spacing w:before="0" w:beforeAutospacing="0" w:after="0" w:afterAutospacing="0" w:line="240" w:lineRule="auto"/>
            </w:pPr>
            <w:r w:rsidRPr="00A64175">
              <w:t>Les décisions d’admission d’un instrument financier sont rendues publiques par l’entreprise de marché.</w:t>
            </w:r>
          </w:p>
          <w:p w14:paraId="6F815932" w14:textId="77777777" w:rsidR="000E7336" w:rsidRPr="00A64175" w:rsidRDefault="000E7336" w:rsidP="000E7336">
            <w:pPr>
              <w:pStyle w:val="Paragraphedeliste"/>
              <w:widowControl w:val="0"/>
              <w:autoSpaceDE w:val="0"/>
              <w:adjustRightInd w:val="0"/>
            </w:pPr>
          </w:p>
        </w:tc>
      </w:tr>
      <w:tr w:rsidR="000E7336" w:rsidRPr="00A64175" w14:paraId="3E622980" w14:textId="77777777" w:rsidTr="000E7336">
        <w:trPr>
          <w:trHeight w:val="251"/>
        </w:trPr>
        <w:tc>
          <w:tcPr>
            <w:tcW w:w="9493" w:type="dxa"/>
            <w:shd w:val="clear" w:color="auto" w:fill="auto"/>
          </w:tcPr>
          <w:p w14:paraId="6DCC972B"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Section V : Règles d’exécution des transactions</w:t>
            </w:r>
          </w:p>
          <w:p w14:paraId="5CD04E8C"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7D3B4A3B" w14:textId="77777777" w:rsidTr="000E7336">
        <w:trPr>
          <w:trHeight w:val="251"/>
        </w:trPr>
        <w:tc>
          <w:tcPr>
            <w:tcW w:w="9493" w:type="dxa"/>
            <w:shd w:val="clear" w:color="auto" w:fill="auto"/>
          </w:tcPr>
          <w:p w14:paraId="56DEE8C4" w14:textId="6468EA88"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53</w:t>
            </w:r>
            <w:r w:rsidR="00E408DF">
              <w:rPr>
                <w:rFonts w:ascii="Arial" w:hAnsi="Arial" w:cs="Arial"/>
                <w:b/>
                <w:bCs/>
              </w:rPr>
              <w:t xml:space="preserve">5 </w:t>
            </w:r>
            <w:r w:rsidRPr="00A64175">
              <w:rPr>
                <w:rFonts w:ascii="Arial" w:hAnsi="Arial" w:cs="Arial"/>
                <w:b/>
                <w:bCs/>
              </w:rPr>
              <w:t xml:space="preserve"> – </w:t>
            </w:r>
          </w:p>
          <w:p w14:paraId="40949C2B" w14:textId="77777777" w:rsidR="000E7336" w:rsidRPr="00A64175" w:rsidRDefault="000E7336" w:rsidP="000E7336">
            <w:pPr>
              <w:widowControl w:val="0"/>
              <w:autoSpaceDE w:val="0"/>
              <w:adjustRightInd w:val="0"/>
              <w:jc w:val="both"/>
              <w:rPr>
                <w:rFonts w:ascii="Arial" w:hAnsi="Arial" w:cs="Arial"/>
                <w:b/>
                <w:bCs/>
              </w:rPr>
            </w:pPr>
          </w:p>
          <w:p w14:paraId="2037E5DB" w14:textId="77777777" w:rsidR="000E7336" w:rsidRPr="00A64175" w:rsidRDefault="000E7336" w:rsidP="000E7336">
            <w:pPr>
              <w:pStyle w:val="Paragraphedeliste"/>
              <w:widowControl w:val="0"/>
              <w:numPr>
                <w:ilvl w:val="0"/>
                <w:numId w:val="224"/>
              </w:numPr>
              <w:autoSpaceDE w:val="0"/>
              <w:adjustRightInd w:val="0"/>
              <w:spacing w:before="0" w:beforeAutospacing="0" w:after="0" w:afterAutospacing="0" w:line="240" w:lineRule="auto"/>
            </w:pPr>
            <w:r w:rsidRPr="00A64175">
              <w:t>Le Règlement général de l’entreprise de marché détermine les modalités d’exécution des transactions sur le marché.</w:t>
            </w:r>
          </w:p>
          <w:p w14:paraId="1B79B9EF" w14:textId="77777777" w:rsidR="000E7336" w:rsidRPr="00A64175" w:rsidRDefault="000E7336" w:rsidP="000E7336">
            <w:pPr>
              <w:pStyle w:val="Paragraphedeliste"/>
              <w:widowControl w:val="0"/>
              <w:numPr>
                <w:ilvl w:val="0"/>
                <w:numId w:val="224"/>
              </w:numPr>
              <w:autoSpaceDE w:val="0"/>
              <w:adjustRightInd w:val="0"/>
              <w:spacing w:before="0" w:beforeAutospacing="0" w:after="0" w:afterAutospacing="0" w:line="240" w:lineRule="auto"/>
            </w:pPr>
            <w:r w:rsidRPr="00A64175">
              <w:t>L’entreprise de marché précise le mécanisme de confrontation générale de l’offre et de la demande, le mode de détermination des prix ainsi que les modalités d’intervention des sociétés de bourse dans la conclusion des transactions.</w:t>
            </w:r>
          </w:p>
          <w:p w14:paraId="27DEC238" w14:textId="77777777" w:rsidR="000E7336" w:rsidRPr="00A64175" w:rsidRDefault="000E7336" w:rsidP="000E7336">
            <w:pPr>
              <w:pStyle w:val="Paragraphedeliste"/>
              <w:widowControl w:val="0"/>
              <w:numPr>
                <w:ilvl w:val="0"/>
                <w:numId w:val="224"/>
              </w:numPr>
              <w:autoSpaceDE w:val="0"/>
              <w:adjustRightInd w:val="0"/>
              <w:spacing w:before="0" w:beforeAutospacing="0" w:after="0" w:afterAutospacing="0" w:line="240" w:lineRule="auto"/>
            </w:pPr>
            <w:r w:rsidRPr="00A64175">
              <w:t xml:space="preserve">L’entreprise de marché prévoie que les membres de marché horodatent les ordres dès leur émission vers le marché réglementé et, dans le cas où les membres du marché reçoivent des ordres de donneurs d’ordres, qu’ils horodatent également ces ordres dès leur réception. </w:t>
            </w:r>
          </w:p>
          <w:p w14:paraId="27CDA142" w14:textId="77777777" w:rsidR="000E7336" w:rsidRPr="00A64175" w:rsidRDefault="000E7336" w:rsidP="000E7336">
            <w:pPr>
              <w:pStyle w:val="Paragraphedeliste"/>
              <w:widowControl w:val="0"/>
              <w:numPr>
                <w:ilvl w:val="0"/>
                <w:numId w:val="224"/>
              </w:numPr>
              <w:autoSpaceDE w:val="0"/>
              <w:adjustRightInd w:val="0"/>
              <w:spacing w:before="0" w:beforeAutospacing="0" w:after="0" w:afterAutospacing="0" w:line="240" w:lineRule="auto"/>
            </w:pPr>
            <w:r w:rsidRPr="00A64175">
              <w:t>Les règles du marché précisent les principes de priorité applicables aux ordres de même sens et de même prix qui sont produits simultanément sur le marché.</w:t>
            </w:r>
          </w:p>
          <w:p w14:paraId="16B01C53"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274B6336" w14:textId="77777777" w:rsidTr="000E7336">
        <w:trPr>
          <w:trHeight w:val="251"/>
        </w:trPr>
        <w:tc>
          <w:tcPr>
            <w:tcW w:w="9493" w:type="dxa"/>
            <w:shd w:val="clear" w:color="auto" w:fill="auto"/>
          </w:tcPr>
          <w:p w14:paraId="669BAE78" w14:textId="4A3F7B31"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53</w:t>
            </w:r>
            <w:r w:rsidR="00E408DF">
              <w:rPr>
                <w:rFonts w:ascii="Arial" w:hAnsi="Arial" w:cs="Arial"/>
                <w:b/>
                <w:bCs/>
              </w:rPr>
              <w:t xml:space="preserve">6 </w:t>
            </w:r>
            <w:r w:rsidRPr="00A64175">
              <w:rPr>
                <w:rFonts w:ascii="Arial" w:hAnsi="Arial" w:cs="Arial"/>
                <w:b/>
                <w:bCs/>
              </w:rPr>
              <w:t xml:space="preserve"> – </w:t>
            </w:r>
            <w:r w:rsidRPr="00A64175">
              <w:rPr>
                <w:rFonts w:ascii="Arial" w:hAnsi="Arial" w:cs="Arial"/>
              </w:rPr>
              <w:t>Le Règlement général de l’entreprise de marché précise les règles de fonctionnement du marché. Sont notamment déterminés :</w:t>
            </w:r>
          </w:p>
          <w:p w14:paraId="7D81274D" w14:textId="77777777" w:rsidR="000E7336" w:rsidRPr="00A64175" w:rsidRDefault="000E7336" w:rsidP="000E7336">
            <w:pPr>
              <w:widowControl w:val="0"/>
              <w:autoSpaceDE w:val="0"/>
              <w:adjustRightInd w:val="0"/>
              <w:jc w:val="both"/>
              <w:rPr>
                <w:rFonts w:ascii="Arial" w:hAnsi="Arial" w:cs="Arial"/>
                <w:kern w:val="1"/>
              </w:rPr>
            </w:pPr>
          </w:p>
          <w:p w14:paraId="5ECDC2E3" w14:textId="77777777" w:rsidR="000E7336" w:rsidRPr="00A64175" w:rsidRDefault="000E7336" w:rsidP="000E7336">
            <w:pPr>
              <w:widowControl w:val="0"/>
              <w:numPr>
                <w:ilvl w:val="0"/>
                <w:numId w:val="16"/>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catégories d’ordres exécutables ;</w:t>
            </w:r>
          </w:p>
          <w:p w14:paraId="16BA5981"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p w14:paraId="060877F1" w14:textId="77777777" w:rsidR="000E7336" w:rsidRPr="00A64175" w:rsidRDefault="000E7336" w:rsidP="000E7336">
            <w:pPr>
              <w:widowControl w:val="0"/>
              <w:numPr>
                <w:ilvl w:val="0"/>
                <w:numId w:val="16"/>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jours et horaires des négociations ;</w:t>
            </w:r>
          </w:p>
          <w:p w14:paraId="0DEE165F"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01DCE85F" w14:textId="77777777" w:rsidR="000E7336" w:rsidRPr="00A64175" w:rsidRDefault="000E7336" w:rsidP="000E7336">
            <w:pPr>
              <w:widowControl w:val="0"/>
              <w:numPr>
                <w:ilvl w:val="0"/>
                <w:numId w:val="16"/>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conditions de suspension des négociations ;</w:t>
            </w:r>
          </w:p>
          <w:p w14:paraId="12CB3E49"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1A212BB9" w14:textId="77777777" w:rsidR="000E7336" w:rsidRPr="00A64175" w:rsidRDefault="000E7336" w:rsidP="000E7336">
            <w:pPr>
              <w:widowControl w:val="0"/>
              <w:numPr>
                <w:ilvl w:val="0"/>
                <w:numId w:val="16"/>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dispositions à prendre en cas de suspension des négociations ;</w:t>
            </w:r>
          </w:p>
          <w:p w14:paraId="05972157" w14:textId="77777777" w:rsidR="000E7336" w:rsidRPr="00A64175" w:rsidRDefault="000E7336" w:rsidP="000E7336">
            <w:pPr>
              <w:widowControl w:val="0"/>
              <w:tabs>
                <w:tab w:val="left" w:pos="220"/>
                <w:tab w:val="left" w:pos="720"/>
              </w:tabs>
              <w:autoSpaceDE w:val="0"/>
              <w:adjustRightInd w:val="0"/>
              <w:jc w:val="both"/>
              <w:rPr>
                <w:rFonts w:ascii="Arial" w:hAnsi="Arial" w:cs="Arial"/>
                <w:kern w:val="1"/>
              </w:rPr>
            </w:pPr>
          </w:p>
          <w:p w14:paraId="11E6C4E0" w14:textId="77777777" w:rsidR="000E7336" w:rsidRPr="00A64175" w:rsidRDefault="000E7336" w:rsidP="000E7336">
            <w:pPr>
              <w:widowControl w:val="0"/>
              <w:numPr>
                <w:ilvl w:val="0"/>
                <w:numId w:val="16"/>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conditions d’annulation des transactions irrégulières.</w:t>
            </w:r>
          </w:p>
          <w:p w14:paraId="5D1B76AD" w14:textId="77777777" w:rsidR="000E7336" w:rsidRPr="00A64175" w:rsidRDefault="000E7336" w:rsidP="000E7336">
            <w:pPr>
              <w:widowControl w:val="0"/>
              <w:autoSpaceDE w:val="0"/>
              <w:adjustRightInd w:val="0"/>
              <w:jc w:val="both"/>
              <w:rPr>
                <w:rFonts w:ascii="Arial" w:hAnsi="Arial" w:cs="Arial"/>
                <w:b/>
                <w:bCs/>
              </w:rPr>
            </w:pPr>
          </w:p>
          <w:p w14:paraId="01A4B89F"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0B71CAE4" w14:textId="77777777" w:rsidTr="000E7336">
        <w:trPr>
          <w:trHeight w:val="251"/>
        </w:trPr>
        <w:tc>
          <w:tcPr>
            <w:tcW w:w="9493" w:type="dxa"/>
            <w:shd w:val="clear" w:color="auto" w:fill="auto"/>
          </w:tcPr>
          <w:p w14:paraId="1229D1FB" w14:textId="509F4C23"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AC7D0D">
              <w:rPr>
                <w:rFonts w:ascii="Arial" w:hAnsi="Arial" w:cs="Arial"/>
                <w:b/>
                <w:bCs/>
              </w:rPr>
              <w:t xml:space="preserve">37 </w:t>
            </w:r>
            <w:r w:rsidRPr="00A64175">
              <w:rPr>
                <w:rFonts w:ascii="Arial" w:hAnsi="Arial" w:cs="Arial"/>
                <w:b/>
                <w:bCs/>
              </w:rPr>
              <w:t xml:space="preserve"> – </w:t>
            </w:r>
            <w:r w:rsidRPr="00A64175">
              <w:rPr>
                <w:rFonts w:ascii="Arial" w:hAnsi="Arial" w:cs="Arial"/>
              </w:rPr>
              <w:t>L’entreprise de marché publie immédiatement, pour chaque transaction effectuée sur le marché, la nature du titre concerné, le cours et la quantité enregistrés.</w:t>
            </w:r>
          </w:p>
          <w:p w14:paraId="69695479" w14:textId="77777777" w:rsidR="000E7336" w:rsidRPr="00A64175" w:rsidRDefault="000E7336" w:rsidP="000E7336">
            <w:pPr>
              <w:widowControl w:val="0"/>
              <w:autoSpaceDE w:val="0"/>
              <w:adjustRightInd w:val="0"/>
              <w:jc w:val="both"/>
              <w:rPr>
                <w:rFonts w:ascii="Arial" w:hAnsi="Arial" w:cs="Arial"/>
                <w:kern w:val="1"/>
              </w:rPr>
            </w:pPr>
          </w:p>
          <w:p w14:paraId="08DA96B1"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rPr>
              <w:t>Elle communique immédiatement à la COSUMAF les informations relatives aux transactions qui lui ont été déclarées par les sociétés de bourse.</w:t>
            </w:r>
          </w:p>
          <w:p w14:paraId="44D3AF4F" w14:textId="77777777" w:rsidR="000E7336" w:rsidRPr="00A64175" w:rsidRDefault="000E7336" w:rsidP="000E7336">
            <w:pPr>
              <w:widowControl w:val="0"/>
              <w:autoSpaceDE w:val="0"/>
              <w:adjustRightInd w:val="0"/>
              <w:jc w:val="both"/>
              <w:rPr>
                <w:rFonts w:ascii="Arial" w:hAnsi="Arial" w:cs="Arial"/>
                <w:kern w:val="1"/>
              </w:rPr>
            </w:pPr>
          </w:p>
          <w:p w14:paraId="07F94D95"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rPr>
              <w:t>Elle publie également, après chaque séance de cotation, des informations sur l’ensemble des transactions réalisées en précisant, pour chaque valeur, la nature du titre négocié, le cours et la quantité négociée.</w:t>
            </w:r>
          </w:p>
          <w:p w14:paraId="0222057B" w14:textId="77777777" w:rsidR="000E7336" w:rsidRPr="00A64175" w:rsidRDefault="000E7336" w:rsidP="000E7336">
            <w:pPr>
              <w:widowControl w:val="0"/>
              <w:autoSpaceDE w:val="0"/>
              <w:adjustRightInd w:val="0"/>
              <w:jc w:val="both"/>
              <w:rPr>
                <w:rFonts w:ascii="Arial" w:hAnsi="Arial" w:cs="Arial"/>
                <w:kern w:val="1"/>
              </w:rPr>
            </w:pPr>
          </w:p>
          <w:p w14:paraId="6E38E392" w14:textId="77777777" w:rsidR="000E7336" w:rsidRPr="00A64175" w:rsidRDefault="000E7336" w:rsidP="000E7336">
            <w:pPr>
              <w:widowControl w:val="0"/>
              <w:autoSpaceDE w:val="0"/>
              <w:adjustRightInd w:val="0"/>
              <w:jc w:val="both"/>
              <w:rPr>
                <w:rFonts w:ascii="Arial" w:hAnsi="Arial" w:cs="Arial"/>
              </w:rPr>
            </w:pPr>
            <w:r w:rsidRPr="00A64175">
              <w:rPr>
                <w:rFonts w:ascii="Arial" w:hAnsi="Arial" w:cs="Arial"/>
              </w:rPr>
              <w:t>Dans le cadre des publications visées au présent article, l’entreprise de marché assure l’égalité d’accès à l’information de tous les intervenants.</w:t>
            </w:r>
          </w:p>
          <w:p w14:paraId="177F5879"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0E3F4FE1" w14:textId="77777777" w:rsidTr="000E7336">
        <w:trPr>
          <w:trHeight w:val="251"/>
        </w:trPr>
        <w:tc>
          <w:tcPr>
            <w:tcW w:w="9493" w:type="dxa"/>
            <w:shd w:val="clear" w:color="auto" w:fill="auto"/>
          </w:tcPr>
          <w:p w14:paraId="27813165" w14:textId="3D39D456"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53</w:t>
            </w:r>
            <w:r w:rsidR="00AC7D0D">
              <w:rPr>
                <w:rFonts w:ascii="Arial" w:hAnsi="Arial" w:cs="Arial"/>
                <w:b/>
                <w:bCs/>
              </w:rPr>
              <w:t xml:space="preserve">8 </w:t>
            </w:r>
            <w:r w:rsidRPr="00A64175">
              <w:rPr>
                <w:rFonts w:ascii="Arial" w:hAnsi="Arial" w:cs="Arial"/>
                <w:b/>
                <w:bCs/>
              </w:rPr>
              <w:t xml:space="preserve"> - </w:t>
            </w:r>
            <w:r w:rsidRPr="00A64175">
              <w:rPr>
                <w:rFonts w:ascii="Arial" w:hAnsi="Arial" w:cs="Arial"/>
              </w:rPr>
              <w:t>L’entreprise de marché met en place des systèmes, des procédures et des mécanismes efficaces assurant que ses systèmes de négociation sont résilients, possèdent une capacité suffisante de gestion de volumes élevés d’ordres et de messages et permettent un processus de négociation ordonné en période de tension sur les marchés. L’entreprise de marché met en place des mécanismes assurant la continuité des activités en cas de défaillance imprévue de ses systèmes de négociation.</w:t>
            </w:r>
          </w:p>
          <w:p w14:paraId="2250BBBF"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16C3C2D6" w14:textId="77777777" w:rsidTr="000E7336">
        <w:trPr>
          <w:trHeight w:val="251"/>
        </w:trPr>
        <w:tc>
          <w:tcPr>
            <w:tcW w:w="9493" w:type="dxa"/>
            <w:shd w:val="clear" w:color="auto" w:fill="auto"/>
          </w:tcPr>
          <w:p w14:paraId="2DE814C6"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Section VI : Suspension des cotations</w:t>
            </w:r>
          </w:p>
          <w:p w14:paraId="3B71C5F3"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078DB560" w14:textId="77777777" w:rsidTr="000E7336">
        <w:trPr>
          <w:trHeight w:val="251"/>
        </w:trPr>
        <w:tc>
          <w:tcPr>
            <w:tcW w:w="9493" w:type="dxa"/>
            <w:shd w:val="clear" w:color="auto" w:fill="auto"/>
          </w:tcPr>
          <w:p w14:paraId="6F165120" w14:textId="3B5EE52A" w:rsidR="000E7336" w:rsidRPr="00A64175" w:rsidRDefault="000E7336" w:rsidP="000E7336">
            <w:pPr>
              <w:widowControl w:val="0"/>
              <w:autoSpaceDE w:val="0"/>
              <w:adjustRightInd w:val="0"/>
              <w:jc w:val="both"/>
              <w:rPr>
                <w:rFonts w:ascii="Arial" w:hAnsi="Arial" w:cs="Arial"/>
                <w:bCs/>
              </w:rPr>
            </w:pPr>
            <w:r w:rsidRPr="00A64175">
              <w:rPr>
                <w:rFonts w:ascii="Arial" w:hAnsi="Arial" w:cs="Arial"/>
                <w:b/>
                <w:bCs/>
              </w:rPr>
              <w:t>Article 53</w:t>
            </w:r>
            <w:r w:rsidR="00A50E75">
              <w:rPr>
                <w:rFonts w:ascii="Arial" w:hAnsi="Arial" w:cs="Arial"/>
                <w:b/>
                <w:bCs/>
              </w:rPr>
              <w:t xml:space="preserve">9 </w:t>
            </w:r>
            <w:r w:rsidRPr="00A64175">
              <w:rPr>
                <w:rFonts w:ascii="Arial" w:hAnsi="Arial" w:cs="Arial"/>
                <w:b/>
                <w:bCs/>
              </w:rPr>
              <w:t>–</w:t>
            </w:r>
            <w:r w:rsidRPr="00A64175">
              <w:rPr>
                <w:rFonts w:ascii="Arial" w:hAnsi="Arial" w:cs="Arial"/>
                <w:bCs/>
              </w:rPr>
              <w:t xml:space="preserve"> </w:t>
            </w:r>
          </w:p>
          <w:p w14:paraId="46331A1B" w14:textId="77777777" w:rsidR="000E7336" w:rsidRPr="00A64175" w:rsidRDefault="000E7336" w:rsidP="000E7336">
            <w:pPr>
              <w:widowControl w:val="0"/>
              <w:autoSpaceDE w:val="0"/>
              <w:adjustRightInd w:val="0"/>
              <w:jc w:val="both"/>
              <w:rPr>
                <w:rFonts w:ascii="Arial" w:hAnsi="Arial" w:cs="Arial"/>
                <w:bCs/>
              </w:rPr>
            </w:pPr>
          </w:p>
          <w:p w14:paraId="317D63CA"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Les règles du marché fixent les principes applicables en matière de suspension des négociations. Elles prévoient également les conditions :</w:t>
            </w:r>
          </w:p>
          <w:p w14:paraId="3269F807" w14:textId="77777777" w:rsidR="000E7336" w:rsidRPr="00A64175" w:rsidRDefault="000E7336" w:rsidP="000E7336">
            <w:pPr>
              <w:widowControl w:val="0"/>
              <w:autoSpaceDE w:val="0"/>
              <w:adjustRightInd w:val="0"/>
              <w:jc w:val="both"/>
              <w:rPr>
                <w:rFonts w:ascii="Arial" w:hAnsi="Arial" w:cs="Arial"/>
                <w:bCs/>
              </w:rPr>
            </w:pPr>
          </w:p>
          <w:p w14:paraId="265CEE80" w14:textId="77777777" w:rsidR="000E7336" w:rsidRPr="00A64175" w:rsidRDefault="000E7336" w:rsidP="000E7336">
            <w:pPr>
              <w:pStyle w:val="Paragraphedeliste"/>
              <w:widowControl w:val="0"/>
              <w:numPr>
                <w:ilvl w:val="0"/>
                <w:numId w:val="219"/>
              </w:numPr>
              <w:autoSpaceDE w:val="0"/>
              <w:adjustRightInd w:val="0"/>
              <w:spacing w:before="0" w:beforeAutospacing="0" w:after="0" w:afterAutospacing="0" w:line="240" w:lineRule="auto"/>
              <w:rPr>
                <w:bCs/>
              </w:rPr>
            </w:pPr>
            <w:r w:rsidRPr="00A64175">
              <w:rPr>
                <w:bCs/>
              </w:rPr>
              <w:t xml:space="preserve">d’interruption technique des négociations d’un instrument financier en cas de fluctuation importante du prix de cet instrument financier sur le marché, notamment lorsque la variation du cours atteint, pendant une même séance ou d’une séance à l’autre, l’un des seuils fixés par l’entreprise de marché ; </w:t>
            </w:r>
          </w:p>
          <w:p w14:paraId="563662B1" w14:textId="77777777" w:rsidR="000E7336" w:rsidRPr="00A64175" w:rsidRDefault="000E7336" w:rsidP="000E7336">
            <w:pPr>
              <w:pStyle w:val="Paragraphedeliste"/>
              <w:widowControl w:val="0"/>
              <w:numPr>
                <w:ilvl w:val="0"/>
                <w:numId w:val="219"/>
              </w:numPr>
              <w:autoSpaceDE w:val="0"/>
              <w:adjustRightInd w:val="0"/>
              <w:spacing w:before="0" w:beforeAutospacing="0" w:after="0" w:afterAutospacing="0" w:line="240" w:lineRule="auto"/>
              <w:rPr>
                <w:bCs/>
              </w:rPr>
            </w:pPr>
            <w:r w:rsidRPr="00A64175">
              <w:rPr>
                <w:bCs/>
              </w:rPr>
              <w:t>dans lesquelles les ordres dépassant des seuils de volume et de prix préalablement définis ou des ordres manifestement erronés sont rejetés.</w:t>
            </w:r>
          </w:p>
          <w:p w14:paraId="7F74F0FF" w14:textId="77777777" w:rsidR="000E7336" w:rsidRPr="00A64175" w:rsidRDefault="000E7336" w:rsidP="000E7336">
            <w:pPr>
              <w:widowControl w:val="0"/>
              <w:autoSpaceDE w:val="0"/>
              <w:adjustRightInd w:val="0"/>
              <w:jc w:val="both"/>
              <w:rPr>
                <w:rFonts w:ascii="Arial" w:hAnsi="Arial" w:cs="Arial"/>
                <w:bCs/>
              </w:rPr>
            </w:pPr>
          </w:p>
          <w:p w14:paraId="444E5887"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Les règles du marché prévoient les conditions dans lesquelles l’entreprise de marché est habilitée à annuler une ou plusieurs transactions ou, dans des cas exceptionnels, des transactions manifestement erronées ou irrégulières. Elles précisent les modalités d’information du marché.</w:t>
            </w:r>
          </w:p>
          <w:p w14:paraId="0CA7107B" w14:textId="77777777" w:rsidR="000E7336" w:rsidRPr="00A64175" w:rsidRDefault="000E7336" w:rsidP="000E7336">
            <w:pPr>
              <w:widowControl w:val="0"/>
              <w:autoSpaceDE w:val="0"/>
              <w:adjustRightInd w:val="0"/>
              <w:ind w:left="-44"/>
              <w:jc w:val="both"/>
              <w:rPr>
                <w:rFonts w:ascii="Arial" w:hAnsi="Arial" w:cs="Arial"/>
                <w:bCs/>
              </w:rPr>
            </w:pPr>
          </w:p>
          <w:p w14:paraId="00300592"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 xml:space="preserve">L’entreprise de marché veille à ce que les paramètres de suspension de la négociation soient calibrés de façon à tenir compte de la liquidité des différentes catégories et sous-catégories d'actifs, de la nature du modèle de marché et des catégories d'utilisateurs et soient suffisants pour éviter des dysfonctionnements importants perturbant le bon fonctionnement de la négociation. </w:t>
            </w:r>
          </w:p>
          <w:p w14:paraId="4D525F12" w14:textId="77777777" w:rsidR="000E7336" w:rsidRPr="00A64175" w:rsidRDefault="000E7336" w:rsidP="000E7336">
            <w:pPr>
              <w:widowControl w:val="0"/>
              <w:autoSpaceDE w:val="0"/>
              <w:adjustRightInd w:val="0"/>
              <w:ind w:left="-44"/>
              <w:jc w:val="both"/>
              <w:rPr>
                <w:rFonts w:ascii="Arial" w:hAnsi="Arial" w:cs="Arial"/>
                <w:bCs/>
              </w:rPr>
            </w:pPr>
          </w:p>
          <w:p w14:paraId="6C1615BF"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 xml:space="preserve">L’entreprise de marché notifie la COSUMAF des paramètres de suspension de la négociation, ainsi que tout changement notable apporté à ces paramètres, d’une manière cohérente et permettant les comparaisons. </w:t>
            </w:r>
          </w:p>
          <w:p w14:paraId="264D314E" w14:textId="77777777" w:rsidR="000E7336" w:rsidRPr="00A64175" w:rsidRDefault="000E7336" w:rsidP="000E7336">
            <w:pPr>
              <w:widowControl w:val="0"/>
              <w:autoSpaceDE w:val="0"/>
              <w:adjustRightInd w:val="0"/>
              <w:ind w:left="-44"/>
              <w:jc w:val="both"/>
              <w:rPr>
                <w:rFonts w:ascii="Arial" w:hAnsi="Arial" w:cs="Arial"/>
                <w:bCs/>
              </w:rPr>
            </w:pPr>
          </w:p>
          <w:p w14:paraId="7A694CFB"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L’émetteur d’un instrument financier admis sur la plate-forme de négociation peut en demander la suspension auprès du gestionnaire afin de pouvoir informer le public dans des conditions satisfaisante.</w:t>
            </w:r>
          </w:p>
          <w:p w14:paraId="34BB3C9C" w14:textId="77777777" w:rsidR="000E7336" w:rsidRPr="00A64175" w:rsidRDefault="000E7336" w:rsidP="000E7336">
            <w:pPr>
              <w:widowControl w:val="0"/>
              <w:autoSpaceDE w:val="0"/>
              <w:adjustRightInd w:val="0"/>
              <w:ind w:left="-44"/>
              <w:jc w:val="both"/>
              <w:rPr>
                <w:rFonts w:ascii="Arial" w:hAnsi="Arial" w:cs="Arial"/>
                <w:bCs/>
              </w:rPr>
            </w:pPr>
          </w:p>
          <w:p w14:paraId="0E10F73B"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La suspension de négociation d’un instrument financier peut également être requise auprès de l’entreprise de marché par la COSUMAF.</w:t>
            </w:r>
          </w:p>
          <w:p w14:paraId="3BE93BA5" w14:textId="77777777" w:rsidR="000E7336" w:rsidRPr="00A64175" w:rsidRDefault="000E7336" w:rsidP="000E7336">
            <w:pPr>
              <w:widowControl w:val="0"/>
              <w:autoSpaceDE w:val="0"/>
              <w:adjustRightInd w:val="0"/>
              <w:ind w:left="-44"/>
              <w:jc w:val="both"/>
              <w:rPr>
                <w:rFonts w:ascii="Arial" w:hAnsi="Arial" w:cs="Arial"/>
                <w:bCs/>
              </w:rPr>
            </w:pPr>
          </w:p>
          <w:p w14:paraId="7DA1FF08" w14:textId="77777777" w:rsidR="000E7336" w:rsidRPr="00A64175" w:rsidRDefault="000E7336" w:rsidP="000E7336">
            <w:pPr>
              <w:pStyle w:val="Paragraphedeliste"/>
              <w:widowControl w:val="0"/>
              <w:numPr>
                <w:ilvl w:val="0"/>
                <w:numId w:val="226"/>
              </w:numPr>
              <w:autoSpaceDE w:val="0"/>
              <w:adjustRightInd w:val="0"/>
              <w:spacing w:before="0" w:beforeAutospacing="0" w:after="0" w:afterAutospacing="0" w:line="240" w:lineRule="auto"/>
              <w:ind w:left="316"/>
              <w:rPr>
                <w:bCs/>
              </w:rPr>
            </w:pPr>
            <w:r w:rsidRPr="00A64175">
              <w:rPr>
                <w:bCs/>
              </w:rPr>
              <w:t>L’entreprise de marché qui suspend un instrument financier, suspend également de négociation les contrats financiers qui y sont liés ou y font référence lorsque cela est nécessaire pour atteindre l’objectif recherché.</w:t>
            </w:r>
          </w:p>
          <w:p w14:paraId="4AC1CACB" w14:textId="77777777" w:rsidR="000E7336" w:rsidRPr="00C06AD1" w:rsidRDefault="000E7336" w:rsidP="00C06AD1">
            <w:pPr>
              <w:widowControl w:val="0"/>
              <w:autoSpaceDE w:val="0"/>
              <w:adjustRightInd w:val="0"/>
              <w:ind w:left="-44"/>
              <w:rPr>
                <w:bCs/>
              </w:rPr>
            </w:pPr>
          </w:p>
        </w:tc>
      </w:tr>
      <w:tr w:rsidR="000E7336" w:rsidRPr="00A64175" w14:paraId="2E5A56D7" w14:textId="77777777" w:rsidTr="000E7336">
        <w:trPr>
          <w:trHeight w:val="251"/>
        </w:trPr>
        <w:tc>
          <w:tcPr>
            <w:tcW w:w="9493" w:type="dxa"/>
            <w:shd w:val="clear" w:color="auto" w:fill="auto"/>
          </w:tcPr>
          <w:p w14:paraId="6273DF5E" w14:textId="73D4BAF3"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A50E75">
              <w:rPr>
                <w:rFonts w:ascii="Arial" w:hAnsi="Arial" w:cs="Arial"/>
                <w:b/>
                <w:bCs/>
              </w:rPr>
              <w:t xml:space="preserve">40 </w:t>
            </w:r>
            <w:r w:rsidRPr="00A64175">
              <w:rPr>
                <w:rFonts w:ascii="Arial" w:hAnsi="Arial" w:cs="Arial"/>
                <w:b/>
                <w:bCs/>
              </w:rPr>
              <w:t xml:space="preserve"> - </w:t>
            </w:r>
            <w:r w:rsidRPr="00A64175">
              <w:rPr>
                <w:rFonts w:ascii="Arial" w:hAnsi="Arial" w:cs="Arial"/>
                <w:bCs/>
              </w:rPr>
              <w:t>La cotation est également suspendue à la demande de la COSUMAF lorsque l’émetteur concerné fait l’objet d’une procédure de liquidation des biens en application des dispositions de l’Acte Uniforme OHADA portant organisation des procédures collectives d’apurement du passif.</w:t>
            </w:r>
          </w:p>
          <w:p w14:paraId="124CFB88"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10AA6251" w14:textId="77777777" w:rsidTr="000E7336">
        <w:trPr>
          <w:trHeight w:val="251"/>
        </w:trPr>
        <w:tc>
          <w:tcPr>
            <w:tcW w:w="9493" w:type="dxa"/>
            <w:shd w:val="clear" w:color="auto" w:fill="auto"/>
          </w:tcPr>
          <w:p w14:paraId="5AC2460D" w14:textId="2386C088"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w:t>
            </w:r>
            <w:r w:rsidR="00A50E75">
              <w:rPr>
                <w:rFonts w:ascii="Arial" w:hAnsi="Arial" w:cs="Arial"/>
                <w:b/>
                <w:bCs/>
              </w:rPr>
              <w:t xml:space="preserve">41 </w:t>
            </w:r>
            <w:r w:rsidRPr="00A64175">
              <w:rPr>
                <w:rFonts w:ascii="Arial" w:hAnsi="Arial" w:cs="Arial"/>
                <w:b/>
                <w:bCs/>
              </w:rPr>
              <w:t xml:space="preserve"> – </w:t>
            </w:r>
            <w:r w:rsidRPr="00A64175">
              <w:rPr>
                <w:rFonts w:ascii="Arial" w:hAnsi="Arial" w:cs="Arial"/>
              </w:rPr>
              <w:t>L’entreprise de marché met en place des systèmes, des procédures et des mécanismes efficaces permettant de rejeter les ordres dépassant des seuils de volume et de prix qu’il a préalablement établis ou les ordres manifestement erronés, de suspendre ou de limiter temporairement la négociation en cas de fluctuation importante du prix d’un instrument financier sur le marché et dans des cas exceptionnels, d’annuler, de modifier ou de corriger des transactions.</w:t>
            </w:r>
          </w:p>
          <w:p w14:paraId="6A0659A8"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53CB425C" w14:textId="77777777" w:rsidTr="000E7336">
        <w:trPr>
          <w:trHeight w:val="251"/>
        </w:trPr>
        <w:tc>
          <w:tcPr>
            <w:tcW w:w="9493" w:type="dxa"/>
            <w:shd w:val="clear" w:color="auto" w:fill="auto"/>
          </w:tcPr>
          <w:p w14:paraId="738A808F" w14:textId="001F2F1F"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b/>
                <w:bCs/>
              </w:rPr>
              <w:t>Article 5</w:t>
            </w:r>
            <w:r w:rsidR="001A171C">
              <w:rPr>
                <w:rFonts w:ascii="Arial" w:hAnsi="Arial" w:cs="Arial"/>
                <w:b/>
                <w:bCs/>
              </w:rPr>
              <w:t>4</w:t>
            </w:r>
            <w:r w:rsidR="00A50E75">
              <w:rPr>
                <w:rFonts w:ascii="Arial" w:hAnsi="Arial" w:cs="Arial"/>
                <w:b/>
                <w:bCs/>
              </w:rPr>
              <w:t xml:space="preserve">2 </w:t>
            </w:r>
            <w:r w:rsidRPr="00A64175">
              <w:rPr>
                <w:rFonts w:ascii="Arial" w:hAnsi="Arial" w:cs="Arial"/>
                <w:b/>
                <w:bCs/>
              </w:rPr>
              <w:t xml:space="preserve"> –</w:t>
            </w:r>
            <w:r w:rsidRPr="00A64175">
              <w:rPr>
                <w:rFonts w:ascii="Arial" w:hAnsi="Arial" w:cs="Arial"/>
                <w:bCs/>
              </w:rPr>
              <w:t xml:space="preserve"> L’entreprise de marché est tenue d’informer immédiatement la COSUMAF et de rendre publique la décision en cas de suspension ou de reprise de la cotation d’un ou de plusieurs instruments financiers. La suspension ou la reprise de la cotation donne lieu à la publication d’un avis motivé de l’entreprise de marché.</w:t>
            </w:r>
          </w:p>
          <w:p w14:paraId="2372E490" w14:textId="77777777" w:rsidR="000E7336" w:rsidRPr="00A64175" w:rsidRDefault="000E7336" w:rsidP="000E7336">
            <w:pPr>
              <w:widowControl w:val="0"/>
              <w:autoSpaceDE w:val="0"/>
              <w:adjustRightInd w:val="0"/>
              <w:jc w:val="both"/>
              <w:rPr>
                <w:rFonts w:ascii="Arial" w:hAnsi="Arial" w:cs="Arial"/>
                <w:b/>
                <w:bCs/>
                <w:color w:val="000000" w:themeColor="text1"/>
              </w:rPr>
            </w:pPr>
          </w:p>
          <w:p w14:paraId="09B73079"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2EA87675" w14:textId="77777777" w:rsidTr="000E7336">
        <w:trPr>
          <w:trHeight w:val="251"/>
        </w:trPr>
        <w:tc>
          <w:tcPr>
            <w:tcW w:w="9493" w:type="dxa"/>
            <w:shd w:val="clear" w:color="auto" w:fill="auto"/>
          </w:tcPr>
          <w:p w14:paraId="37BDAA4D"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Section VII: Radiation d’un instrument financier à la négociation</w:t>
            </w:r>
          </w:p>
          <w:p w14:paraId="023B0E83"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1582A2D7" w14:textId="77777777" w:rsidTr="000E7336">
        <w:trPr>
          <w:trHeight w:val="251"/>
        </w:trPr>
        <w:tc>
          <w:tcPr>
            <w:tcW w:w="9493" w:type="dxa"/>
            <w:shd w:val="clear" w:color="auto" w:fill="auto"/>
          </w:tcPr>
          <w:p w14:paraId="0FD52932" w14:textId="33673B51" w:rsidR="000E7336" w:rsidRPr="00A64175" w:rsidRDefault="000E7336" w:rsidP="000E7336">
            <w:pPr>
              <w:widowControl w:val="0"/>
              <w:autoSpaceDE w:val="0"/>
              <w:adjustRightInd w:val="0"/>
              <w:jc w:val="both"/>
              <w:rPr>
                <w:rFonts w:ascii="Arial" w:hAnsi="Arial" w:cs="Arial"/>
                <w:bCs/>
              </w:rPr>
            </w:pPr>
            <w:r w:rsidRPr="00A64175">
              <w:rPr>
                <w:rFonts w:ascii="Arial" w:hAnsi="Arial" w:cs="Arial"/>
                <w:b/>
                <w:bCs/>
              </w:rPr>
              <w:t>Article 5</w:t>
            </w:r>
            <w:r w:rsidR="001A171C">
              <w:rPr>
                <w:rFonts w:ascii="Arial" w:hAnsi="Arial" w:cs="Arial"/>
                <w:b/>
                <w:bCs/>
              </w:rPr>
              <w:t>4</w:t>
            </w:r>
            <w:r w:rsidR="00A50E75">
              <w:rPr>
                <w:rFonts w:ascii="Arial" w:hAnsi="Arial" w:cs="Arial"/>
                <w:b/>
                <w:bCs/>
              </w:rPr>
              <w:t xml:space="preserve">3 </w:t>
            </w:r>
            <w:r w:rsidRPr="00A64175">
              <w:rPr>
                <w:rFonts w:ascii="Arial" w:hAnsi="Arial" w:cs="Arial"/>
                <w:b/>
                <w:bCs/>
              </w:rPr>
              <w:t xml:space="preserve"> –</w:t>
            </w:r>
            <w:r w:rsidRPr="00A64175">
              <w:rPr>
                <w:rFonts w:ascii="Arial" w:hAnsi="Arial" w:cs="Arial"/>
                <w:bCs/>
              </w:rPr>
              <w:t xml:space="preserve"> Les règles du marché fixent les principes applicables en matière de radiations des négociations d’un instrument financier de la côte de la Bourse Régionale. </w:t>
            </w:r>
          </w:p>
          <w:p w14:paraId="7F9A209A" w14:textId="77777777" w:rsidR="000E7336" w:rsidRPr="00A64175" w:rsidRDefault="000E7336" w:rsidP="000E7336">
            <w:pPr>
              <w:widowControl w:val="0"/>
              <w:autoSpaceDE w:val="0"/>
              <w:adjustRightInd w:val="0"/>
              <w:jc w:val="both"/>
              <w:rPr>
                <w:rFonts w:ascii="Arial" w:hAnsi="Arial" w:cs="Arial"/>
                <w:bCs/>
              </w:rPr>
            </w:pPr>
          </w:p>
          <w:p w14:paraId="56E1B20C" w14:textId="77777777" w:rsidR="000E7336" w:rsidRPr="00A64175" w:rsidRDefault="000E7336" w:rsidP="000E7336">
            <w:pPr>
              <w:widowControl w:val="0"/>
              <w:autoSpaceDE w:val="0"/>
              <w:adjustRightInd w:val="0"/>
              <w:jc w:val="both"/>
              <w:rPr>
                <w:rFonts w:ascii="Arial" w:hAnsi="Arial" w:cs="Arial"/>
                <w:bCs/>
              </w:rPr>
            </w:pPr>
            <w:r w:rsidRPr="00A64175">
              <w:rPr>
                <w:rFonts w:ascii="Arial" w:hAnsi="Arial" w:cs="Arial"/>
                <w:bCs/>
              </w:rPr>
              <w:t xml:space="preserve"> La radiation d’un instrument financier de la cote du marché réglementé peut être décidée par l’entreprise de marché notamment dans les cas suivants :</w:t>
            </w:r>
          </w:p>
          <w:p w14:paraId="2B786B2D" w14:textId="77777777" w:rsidR="000E7336" w:rsidRPr="00A64175" w:rsidRDefault="000E7336" w:rsidP="000E7336">
            <w:pPr>
              <w:widowControl w:val="0"/>
              <w:autoSpaceDE w:val="0"/>
              <w:adjustRightInd w:val="0"/>
              <w:jc w:val="both"/>
              <w:rPr>
                <w:rFonts w:ascii="Arial" w:hAnsi="Arial" w:cs="Arial"/>
                <w:kern w:val="1"/>
              </w:rPr>
            </w:pPr>
          </w:p>
          <w:p w14:paraId="45B457A4" w14:textId="021A26B3" w:rsidR="000E7336" w:rsidRPr="00A64175" w:rsidRDefault="00C06AD1" w:rsidP="000E7336">
            <w:pPr>
              <w:pStyle w:val="Paragraphedeliste"/>
              <w:widowControl w:val="0"/>
              <w:numPr>
                <w:ilvl w:val="0"/>
                <w:numId w:val="16"/>
              </w:numPr>
              <w:autoSpaceDE w:val="0"/>
              <w:adjustRightInd w:val="0"/>
              <w:spacing w:before="0" w:beforeAutospacing="0" w:after="0" w:afterAutospacing="0" w:line="240" w:lineRule="auto"/>
              <w:rPr>
                <w:kern w:val="1"/>
              </w:rPr>
            </w:pPr>
            <w:r w:rsidRPr="00A64175">
              <w:rPr>
                <w:kern w:val="1"/>
              </w:rPr>
              <w:t>non-respect</w:t>
            </w:r>
            <w:r w:rsidR="000E7336" w:rsidRPr="00A64175">
              <w:rPr>
                <w:kern w:val="1"/>
              </w:rPr>
              <w:t xml:space="preserve"> des conditions de séjour à la cote ;</w:t>
            </w:r>
          </w:p>
          <w:p w14:paraId="3293148F" w14:textId="77777777" w:rsidR="000E7336" w:rsidRPr="00A64175" w:rsidRDefault="000E7336" w:rsidP="000E7336">
            <w:pPr>
              <w:widowControl w:val="0"/>
              <w:autoSpaceDE w:val="0"/>
              <w:adjustRightInd w:val="0"/>
              <w:ind w:left="360"/>
              <w:jc w:val="both"/>
              <w:rPr>
                <w:rFonts w:ascii="Arial" w:hAnsi="Arial" w:cs="Arial"/>
                <w:kern w:val="1"/>
              </w:rPr>
            </w:pPr>
          </w:p>
          <w:p w14:paraId="4F886D97" w14:textId="77777777" w:rsidR="000E7336" w:rsidRPr="00A64175" w:rsidRDefault="000E7336" w:rsidP="000E7336">
            <w:pPr>
              <w:pStyle w:val="Paragraphedeliste"/>
              <w:widowControl w:val="0"/>
              <w:numPr>
                <w:ilvl w:val="0"/>
                <w:numId w:val="71"/>
              </w:numPr>
              <w:autoSpaceDE w:val="0"/>
              <w:adjustRightInd w:val="0"/>
              <w:spacing w:before="0" w:beforeAutospacing="0" w:after="0" w:afterAutospacing="0" w:line="240" w:lineRule="auto"/>
              <w:rPr>
                <w:kern w:val="1"/>
              </w:rPr>
            </w:pPr>
            <w:r w:rsidRPr="00A64175">
              <w:rPr>
                <w:kern w:val="1"/>
              </w:rPr>
              <w:t>insuffisance de liquidité de l’instrument financier concerné ;</w:t>
            </w:r>
          </w:p>
          <w:p w14:paraId="3FE12A2C" w14:textId="77777777" w:rsidR="000E7336" w:rsidRPr="00A64175" w:rsidRDefault="000E7336" w:rsidP="000E7336">
            <w:pPr>
              <w:widowControl w:val="0"/>
              <w:autoSpaceDE w:val="0"/>
              <w:adjustRightInd w:val="0"/>
              <w:ind w:left="360"/>
              <w:jc w:val="both"/>
              <w:rPr>
                <w:rFonts w:ascii="Arial" w:hAnsi="Arial" w:cs="Arial"/>
                <w:kern w:val="1"/>
              </w:rPr>
            </w:pPr>
          </w:p>
          <w:p w14:paraId="3C1BBE8A" w14:textId="24043567" w:rsidR="000E7336" w:rsidRPr="00A64175" w:rsidRDefault="00C06AD1" w:rsidP="000E7336">
            <w:pPr>
              <w:pStyle w:val="Paragraphedeliste"/>
              <w:widowControl w:val="0"/>
              <w:numPr>
                <w:ilvl w:val="0"/>
                <w:numId w:val="72"/>
              </w:numPr>
              <w:autoSpaceDE w:val="0"/>
              <w:adjustRightInd w:val="0"/>
              <w:spacing w:before="0" w:beforeAutospacing="0" w:after="0" w:afterAutospacing="0" w:line="240" w:lineRule="auto"/>
              <w:rPr>
                <w:kern w:val="1"/>
              </w:rPr>
            </w:pPr>
            <w:r w:rsidRPr="00A64175">
              <w:rPr>
                <w:kern w:val="1"/>
              </w:rPr>
              <w:t>non-respect</w:t>
            </w:r>
            <w:r w:rsidR="000E7336" w:rsidRPr="00A64175">
              <w:rPr>
                <w:kern w:val="1"/>
              </w:rPr>
              <w:t xml:space="preserve"> d’une résolution de l’assemblée générale ordinaire des actionnaires relative à la mise en paiement de dividendes.</w:t>
            </w:r>
          </w:p>
          <w:p w14:paraId="0F6984D5" w14:textId="77777777" w:rsidR="000E7336" w:rsidRPr="00A64175" w:rsidRDefault="000E7336" w:rsidP="000E7336">
            <w:pPr>
              <w:widowControl w:val="0"/>
              <w:autoSpaceDE w:val="0"/>
              <w:adjustRightInd w:val="0"/>
              <w:ind w:left="360"/>
              <w:jc w:val="both"/>
              <w:rPr>
                <w:rFonts w:ascii="Arial" w:hAnsi="Arial" w:cs="Arial"/>
                <w:kern w:val="1"/>
              </w:rPr>
            </w:pPr>
          </w:p>
          <w:p w14:paraId="5E19AAE8"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kern w:val="1"/>
              </w:rPr>
              <w:t>La radiation d’un instrument financier de la cote peut également être demandée à l’entreprise de marché par l’émetteur concerné.</w:t>
            </w:r>
          </w:p>
          <w:p w14:paraId="19BE63B8" w14:textId="77777777" w:rsidR="000E7336" w:rsidRPr="00A64175" w:rsidRDefault="000E7336" w:rsidP="000E7336">
            <w:pPr>
              <w:widowControl w:val="0"/>
              <w:autoSpaceDE w:val="0"/>
              <w:adjustRightInd w:val="0"/>
              <w:jc w:val="both"/>
              <w:rPr>
                <w:rFonts w:ascii="Arial" w:hAnsi="Arial" w:cs="Arial"/>
                <w:kern w:val="1"/>
              </w:rPr>
            </w:pPr>
          </w:p>
          <w:p w14:paraId="380450BA"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kern w:val="1"/>
              </w:rPr>
              <w:t>La radiation peut être décidée par l’entreprise de marché à la demande de la COSUMAF en cas de violation par un émetteur des dispositions législatives ou réglementaires ou en cas d’ouverture d’une procédure de liquidation des biens à l’encontre de cet émetteur, en application des dispositions de l’Acte Uniforme OHADA portant organisation des procédures collectives d’apurement du passif.</w:t>
            </w:r>
          </w:p>
          <w:p w14:paraId="1899C2F8" w14:textId="77777777" w:rsidR="000E7336" w:rsidRPr="00A64175" w:rsidRDefault="000E7336" w:rsidP="000E7336">
            <w:pPr>
              <w:widowControl w:val="0"/>
              <w:autoSpaceDE w:val="0"/>
              <w:adjustRightInd w:val="0"/>
              <w:jc w:val="both"/>
              <w:rPr>
                <w:rFonts w:ascii="Arial" w:hAnsi="Arial" w:cs="Arial"/>
                <w:kern w:val="1"/>
              </w:rPr>
            </w:pPr>
          </w:p>
          <w:p w14:paraId="5DD95DF0"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bCs/>
              </w:rPr>
              <w:t>L’entreprise de marché est tenue d’informer immédiatement la COSUMAF et de rendre publique la décision de radiation. La radiation donne lieu à la publication d’un avis motivé de l’entreprise de marché.</w:t>
            </w:r>
          </w:p>
          <w:p w14:paraId="76F5A2B7" w14:textId="77777777" w:rsidR="000E7336" w:rsidRPr="00A64175" w:rsidRDefault="000E7336" w:rsidP="000E7336">
            <w:pPr>
              <w:widowControl w:val="0"/>
              <w:autoSpaceDE w:val="0"/>
              <w:adjustRightInd w:val="0"/>
              <w:jc w:val="both"/>
              <w:rPr>
                <w:rFonts w:ascii="Arial" w:hAnsi="Arial" w:cs="Arial"/>
                <w:b/>
                <w:bCs/>
                <w:color w:val="000000" w:themeColor="text1"/>
              </w:rPr>
            </w:pPr>
          </w:p>
          <w:p w14:paraId="48704136"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2889A30A" w14:textId="77777777" w:rsidTr="000E7336">
        <w:trPr>
          <w:trHeight w:val="251"/>
        </w:trPr>
        <w:tc>
          <w:tcPr>
            <w:tcW w:w="9493" w:type="dxa"/>
            <w:shd w:val="clear" w:color="auto" w:fill="auto"/>
          </w:tcPr>
          <w:p w14:paraId="4FADCD00"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 xml:space="preserve">Section VIII : Administration provisoire </w:t>
            </w:r>
          </w:p>
          <w:p w14:paraId="599E49FF" w14:textId="77777777" w:rsidR="000E7336" w:rsidRPr="00A64175" w:rsidRDefault="000E7336" w:rsidP="000E7336">
            <w:pPr>
              <w:widowControl w:val="0"/>
              <w:autoSpaceDE w:val="0"/>
              <w:adjustRightInd w:val="0"/>
              <w:jc w:val="both"/>
              <w:rPr>
                <w:rFonts w:ascii="Arial" w:hAnsi="Arial" w:cs="Arial"/>
                <w:b/>
                <w:kern w:val="1"/>
              </w:rPr>
            </w:pPr>
          </w:p>
        </w:tc>
      </w:tr>
      <w:tr w:rsidR="000E7336" w:rsidRPr="00A64175" w14:paraId="31BA3D04" w14:textId="77777777" w:rsidTr="000E7336">
        <w:trPr>
          <w:trHeight w:val="251"/>
        </w:trPr>
        <w:tc>
          <w:tcPr>
            <w:tcW w:w="9493" w:type="dxa"/>
            <w:shd w:val="clear" w:color="auto" w:fill="auto"/>
          </w:tcPr>
          <w:p w14:paraId="43408396" w14:textId="3EA05208"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b/>
                <w:bCs/>
              </w:rPr>
              <w:t>Article 54</w:t>
            </w:r>
            <w:r w:rsidR="00A50E75">
              <w:rPr>
                <w:rFonts w:ascii="Arial" w:hAnsi="Arial" w:cs="Arial"/>
                <w:b/>
                <w:bCs/>
              </w:rPr>
              <w:t xml:space="preserve">4 </w:t>
            </w:r>
            <w:r w:rsidRPr="00A64175">
              <w:rPr>
                <w:rFonts w:ascii="Arial" w:hAnsi="Arial" w:cs="Arial"/>
                <w:b/>
                <w:bCs/>
              </w:rPr>
              <w:t xml:space="preserve"> –</w:t>
            </w:r>
            <w:r w:rsidRPr="00A64175">
              <w:rPr>
                <w:rFonts w:ascii="Arial" w:hAnsi="Arial" w:cs="Arial"/>
                <w:bCs/>
              </w:rPr>
              <w:t xml:space="preserve"> Lorsque le fonctionnement normal de l’entreprise de marché est rendu impossible, ou en cas de risque grave affectant la sécurité ou le bon fonctionnement du marché, la COSUMAF peut désigner un administrateur provisoire auquel sont transférés tous les pouvoirs d’administration, de gestion, de direction et de représentation de la personne morale.</w:t>
            </w:r>
          </w:p>
          <w:p w14:paraId="1D04D9E0" w14:textId="77777777" w:rsidR="000E7336" w:rsidRPr="00A64175" w:rsidRDefault="000E7336" w:rsidP="000E7336">
            <w:pPr>
              <w:widowControl w:val="0"/>
              <w:autoSpaceDE w:val="0"/>
              <w:adjustRightInd w:val="0"/>
              <w:jc w:val="both"/>
              <w:rPr>
                <w:rFonts w:ascii="Arial" w:hAnsi="Arial" w:cs="Arial"/>
                <w:kern w:val="1"/>
              </w:rPr>
            </w:pPr>
          </w:p>
          <w:p w14:paraId="5E272BAF"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kern w:val="1"/>
              </w:rPr>
              <w:t>L’administrateur provisoire désigné doit être une personne physique justifiant d’une expérience significative en matière financière et jouissant de l’honorabilité nécessaire à l’exercice de sa mission. Il ne peut en aucun cas s’agir d’un membre des organes d’administration, de gestion ou de direction de l’entreprise de marché.</w:t>
            </w:r>
          </w:p>
          <w:p w14:paraId="1FC3B317"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3632534C" w14:textId="77777777" w:rsidTr="000E7336">
        <w:trPr>
          <w:trHeight w:val="251"/>
        </w:trPr>
        <w:tc>
          <w:tcPr>
            <w:tcW w:w="9493" w:type="dxa"/>
            <w:shd w:val="clear" w:color="auto" w:fill="auto"/>
          </w:tcPr>
          <w:p w14:paraId="50C39D1E" w14:textId="041069B6"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b/>
                <w:bCs/>
              </w:rPr>
              <w:t>Article 54</w:t>
            </w:r>
            <w:r w:rsidR="009C2E4E">
              <w:rPr>
                <w:rFonts w:ascii="Arial" w:hAnsi="Arial" w:cs="Arial"/>
                <w:b/>
                <w:bCs/>
              </w:rPr>
              <w:t xml:space="preserve">5 </w:t>
            </w:r>
            <w:r w:rsidRPr="00A64175">
              <w:rPr>
                <w:rFonts w:ascii="Arial" w:hAnsi="Arial" w:cs="Arial"/>
                <w:b/>
                <w:bCs/>
              </w:rPr>
              <w:t xml:space="preserve"> –</w:t>
            </w:r>
            <w:r w:rsidRPr="00A64175">
              <w:rPr>
                <w:rFonts w:ascii="Arial" w:hAnsi="Arial" w:cs="Arial"/>
                <w:bCs/>
              </w:rPr>
              <w:t xml:space="preserve"> La désignation mentionnée à </w:t>
            </w:r>
            <w:r w:rsidRPr="00D40672">
              <w:rPr>
                <w:rFonts w:ascii="Arial" w:hAnsi="Arial" w:cs="Arial"/>
                <w:bCs/>
              </w:rPr>
              <w:t>l’article 54</w:t>
            </w:r>
            <w:r w:rsidR="00D40672" w:rsidRPr="00D40672">
              <w:rPr>
                <w:rFonts w:ascii="Arial" w:hAnsi="Arial" w:cs="Arial"/>
                <w:bCs/>
              </w:rPr>
              <w:t>4</w:t>
            </w:r>
            <w:r w:rsidR="00A50E75" w:rsidRPr="00D40672">
              <w:rPr>
                <w:rFonts w:ascii="Arial" w:hAnsi="Arial" w:cs="Arial"/>
                <w:bCs/>
              </w:rPr>
              <w:t xml:space="preserve"> </w:t>
            </w:r>
            <w:r w:rsidRPr="00D40672">
              <w:rPr>
                <w:rFonts w:ascii="Arial" w:hAnsi="Arial" w:cs="Arial"/>
                <w:bCs/>
              </w:rPr>
              <w:t xml:space="preserve"> du présent règlement général</w:t>
            </w:r>
            <w:r w:rsidRPr="00A64175">
              <w:rPr>
                <w:rFonts w:ascii="Arial" w:hAnsi="Arial" w:cs="Arial"/>
                <w:bCs/>
              </w:rPr>
              <w:t xml:space="preserve">  est faite à la demande des organes d’administration, de gestion ou de direction, soit d’un ou plusieurs actionnaires ou de la COSUMAF lorsque la gestion du marché ne peut plus être assurée dans des conditions garantissant son bon fonctionnement.</w:t>
            </w:r>
          </w:p>
          <w:p w14:paraId="7B6F597E" w14:textId="77777777" w:rsidR="000E7336" w:rsidRPr="00A64175" w:rsidRDefault="000E7336" w:rsidP="000E7336">
            <w:pPr>
              <w:widowControl w:val="0"/>
              <w:autoSpaceDE w:val="0"/>
              <w:adjustRightInd w:val="0"/>
              <w:jc w:val="both"/>
              <w:rPr>
                <w:rFonts w:ascii="Arial" w:hAnsi="Arial" w:cs="Arial"/>
                <w:kern w:val="1"/>
              </w:rPr>
            </w:pPr>
          </w:p>
          <w:p w14:paraId="79C92F8E"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kern w:val="1"/>
              </w:rPr>
              <w:t>La décision de nomination de l’administrateur provisoire fixe l’étendue de sa mission et ses pouvoirs, la durée de son mandat et sa rémunération, qui est à la charge de l’entreprise de marché.</w:t>
            </w:r>
          </w:p>
        </w:tc>
      </w:tr>
      <w:tr w:rsidR="000E7336" w:rsidRPr="00A64175" w14:paraId="4D50369A" w14:textId="77777777" w:rsidTr="000E7336">
        <w:trPr>
          <w:trHeight w:val="251"/>
        </w:trPr>
        <w:tc>
          <w:tcPr>
            <w:tcW w:w="9493" w:type="dxa"/>
            <w:shd w:val="clear" w:color="auto" w:fill="auto"/>
          </w:tcPr>
          <w:p w14:paraId="2D0BE729" w14:textId="77777777" w:rsidR="000E7336" w:rsidRPr="00A64175" w:rsidRDefault="000E7336" w:rsidP="000E7336">
            <w:pPr>
              <w:widowControl w:val="0"/>
              <w:autoSpaceDE w:val="0"/>
              <w:adjustRightInd w:val="0"/>
              <w:jc w:val="both"/>
              <w:rPr>
                <w:rFonts w:ascii="Arial" w:hAnsi="Arial" w:cs="Arial"/>
                <w:b/>
                <w:bCs/>
              </w:rPr>
            </w:pPr>
          </w:p>
          <w:p w14:paraId="3CAFE2EA" w14:textId="2E8A5EAC" w:rsidR="000E7336" w:rsidRPr="00A64175" w:rsidRDefault="000E7336" w:rsidP="000E7336">
            <w:pPr>
              <w:widowControl w:val="0"/>
              <w:autoSpaceDE w:val="0"/>
              <w:adjustRightInd w:val="0"/>
              <w:jc w:val="both"/>
              <w:rPr>
                <w:rFonts w:ascii="Arial" w:hAnsi="Arial" w:cs="Arial"/>
                <w:bCs/>
              </w:rPr>
            </w:pPr>
            <w:r w:rsidRPr="00A64175">
              <w:rPr>
                <w:rFonts w:ascii="Arial" w:hAnsi="Arial" w:cs="Arial"/>
                <w:b/>
                <w:bCs/>
              </w:rPr>
              <w:t>Article 54</w:t>
            </w:r>
            <w:r w:rsidR="009C2E4E">
              <w:rPr>
                <w:rFonts w:ascii="Arial" w:hAnsi="Arial" w:cs="Arial"/>
                <w:b/>
                <w:bCs/>
              </w:rPr>
              <w:t xml:space="preserve">6 </w:t>
            </w:r>
            <w:r w:rsidRPr="00A64175">
              <w:rPr>
                <w:rFonts w:ascii="Arial" w:hAnsi="Arial" w:cs="Arial"/>
                <w:b/>
                <w:bCs/>
              </w:rPr>
              <w:t>–</w:t>
            </w:r>
            <w:r w:rsidRPr="00A64175">
              <w:rPr>
                <w:rFonts w:ascii="Arial" w:hAnsi="Arial" w:cs="Arial"/>
                <w:bCs/>
              </w:rPr>
              <w:t xml:space="preserve"> </w:t>
            </w:r>
          </w:p>
          <w:p w14:paraId="42A10EBD" w14:textId="77777777" w:rsidR="000E7336" w:rsidRPr="00A64175" w:rsidRDefault="000E7336" w:rsidP="000E7336">
            <w:pPr>
              <w:widowControl w:val="0"/>
              <w:autoSpaceDE w:val="0"/>
              <w:adjustRightInd w:val="0"/>
              <w:jc w:val="both"/>
              <w:rPr>
                <w:rFonts w:ascii="Arial" w:hAnsi="Arial" w:cs="Arial"/>
                <w:bCs/>
              </w:rPr>
            </w:pPr>
          </w:p>
          <w:p w14:paraId="37BF396F" w14:textId="77777777" w:rsidR="000E7336" w:rsidRPr="00A64175" w:rsidRDefault="000E7336" w:rsidP="000E7336">
            <w:pPr>
              <w:pStyle w:val="Paragraphedeliste"/>
              <w:widowControl w:val="0"/>
              <w:numPr>
                <w:ilvl w:val="0"/>
                <w:numId w:val="225"/>
              </w:numPr>
              <w:autoSpaceDE w:val="0"/>
              <w:adjustRightInd w:val="0"/>
              <w:spacing w:before="0" w:beforeAutospacing="0" w:after="0" w:afterAutospacing="0" w:line="240" w:lineRule="auto"/>
              <w:rPr>
                <w:kern w:val="1"/>
              </w:rPr>
            </w:pPr>
            <w:r w:rsidRPr="00A64175">
              <w:rPr>
                <w:bCs/>
              </w:rPr>
              <w:t>L’administrateur provisoire peut être révoqué et remplacé selon les formes prévues pour sa nomination.</w:t>
            </w:r>
          </w:p>
          <w:p w14:paraId="3E0B29D2" w14:textId="77777777" w:rsidR="000E7336" w:rsidRPr="00A64175" w:rsidRDefault="000E7336" w:rsidP="000E7336">
            <w:pPr>
              <w:pStyle w:val="Paragraphedeliste"/>
              <w:widowControl w:val="0"/>
              <w:numPr>
                <w:ilvl w:val="0"/>
                <w:numId w:val="225"/>
              </w:numPr>
              <w:autoSpaceDE w:val="0"/>
              <w:adjustRightInd w:val="0"/>
              <w:spacing w:before="0" w:beforeAutospacing="0" w:after="0" w:afterAutospacing="0" w:line="240" w:lineRule="auto"/>
              <w:rPr>
                <w:kern w:val="1"/>
              </w:rPr>
            </w:pPr>
            <w:r w:rsidRPr="00A64175">
              <w:rPr>
                <w:kern w:val="1"/>
              </w:rPr>
              <w:t>Tout actionnaire peut saisir la COSUMAF en vue d’obtenir la révocation de l’administrateur provisoire si cette demande est dûment motivée.</w:t>
            </w:r>
          </w:p>
        </w:tc>
      </w:tr>
      <w:tr w:rsidR="000E7336" w:rsidRPr="00A64175" w14:paraId="37BD6636" w14:textId="77777777" w:rsidTr="000E7336">
        <w:trPr>
          <w:trHeight w:val="251"/>
        </w:trPr>
        <w:tc>
          <w:tcPr>
            <w:tcW w:w="9493" w:type="dxa"/>
            <w:shd w:val="clear" w:color="auto" w:fill="auto"/>
          </w:tcPr>
          <w:p w14:paraId="194B9F91" w14:textId="77777777" w:rsidR="000E7336" w:rsidRPr="00A64175" w:rsidRDefault="000E7336" w:rsidP="000E7336">
            <w:pPr>
              <w:widowControl w:val="0"/>
              <w:autoSpaceDE w:val="0"/>
              <w:adjustRightInd w:val="0"/>
              <w:jc w:val="both"/>
              <w:rPr>
                <w:rFonts w:ascii="Arial" w:hAnsi="Arial" w:cs="Arial"/>
                <w:b/>
                <w:bCs/>
              </w:rPr>
            </w:pPr>
          </w:p>
          <w:p w14:paraId="05354D8E" w14:textId="77777777" w:rsidR="000E7336" w:rsidRPr="00A64175" w:rsidRDefault="000E7336" w:rsidP="000E7336">
            <w:pPr>
              <w:widowControl w:val="0"/>
              <w:autoSpaceDE w:val="0"/>
              <w:adjustRightInd w:val="0"/>
              <w:jc w:val="both"/>
              <w:rPr>
                <w:rFonts w:ascii="Arial" w:hAnsi="Arial" w:cs="Arial"/>
                <w:b/>
                <w:bCs/>
              </w:rPr>
            </w:pPr>
          </w:p>
          <w:p w14:paraId="68ECE5D3" w14:textId="77777777"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Section IX : Dispositions diverses</w:t>
            </w:r>
          </w:p>
          <w:p w14:paraId="6339B40E"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3AEFFFAB" w14:textId="77777777" w:rsidTr="000E7336">
        <w:trPr>
          <w:trHeight w:val="251"/>
        </w:trPr>
        <w:tc>
          <w:tcPr>
            <w:tcW w:w="9493" w:type="dxa"/>
            <w:shd w:val="clear" w:color="auto" w:fill="auto"/>
          </w:tcPr>
          <w:p w14:paraId="7806F962" w14:textId="0875299F" w:rsidR="000E7336" w:rsidRPr="00A64175" w:rsidRDefault="000E7336" w:rsidP="000E7336">
            <w:pPr>
              <w:widowControl w:val="0"/>
              <w:autoSpaceDE w:val="0"/>
              <w:adjustRightInd w:val="0"/>
              <w:jc w:val="both"/>
              <w:rPr>
                <w:rFonts w:ascii="Arial" w:hAnsi="Arial" w:cs="Arial"/>
              </w:rPr>
            </w:pPr>
            <w:r w:rsidRPr="00A64175">
              <w:rPr>
                <w:rFonts w:ascii="Arial" w:hAnsi="Arial" w:cs="Arial"/>
                <w:b/>
                <w:bCs/>
              </w:rPr>
              <w:t>Article 54</w:t>
            </w:r>
            <w:r w:rsidR="009C2E4E">
              <w:rPr>
                <w:rFonts w:ascii="Arial" w:hAnsi="Arial" w:cs="Arial"/>
                <w:b/>
                <w:bCs/>
              </w:rPr>
              <w:t xml:space="preserve">7 </w:t>
            </w:r>
            <w:r w:rsidRPr="00A64175">
              <w:rPr>
                <w:rFonts w:ascii="Arial" w:hAnsi="Arial" w:cs="Arial"/>
                <w:b/>
                <w:bCs/>
              </w:rPr>
              <w:t xml:space="preserve"> – </w:t>
            </w:r>
            <w:r w:rsidRPr="00A64175">
              <w:rPr>
                <w:rFonts w:ascii="Arial" w:hAnsi="Arial" w:cs="Arial"/>
              </w:rPr>
              <w:t>L’entreprise de marché justifie en toutes circonstances de sa capacité opérationnelle à assurer la sécurité et l’intégrité du Marché Financier Régional.</w:t>
            </w:r>
          </w:p>
          <w:p w14:paraId="3E9A27A7" w14:textId="77777777" w:rsidR="000E7336" w:rsidRPr="00A64175" w:rsidRDefault="000E7336" w:rsidP="000E7336">
            <w:pPr>
              <w:widowControl w:val="0"/>
              <w:autoSpaceDE w:val="0"/>
              <w:adjustRightInd w:val="0"/>
              <w:jc w:val="both"/>
              <w:rPr>
                <w:rFonts w:ascii="Arial" w:hAnsi="Arial" w:cs="Arial"/>
                <w:b/>
                <w:bCs/>
              </w:rPr>
            </w:pPr>
          </w:p>
        </w:tc>
      </w:tr>
      <w:tr w:rsidR="000E7336" w:rsidRPr="00A64175" w14:paraId="02818339" w14:textId="77777777" w:rsidTr="000E7336">
        <w:trPr>
          <w:trHeight w:val="251"/>
        </w:trPr>
        <w:tc>
          <w:tcPr>
            <w:tcW w:w="9493" w:type="dxa"/>
            <w:shd w:val="clear" w:color="auto" w:fill="auto"/>
          </w:tcPr>
          <w:p w14:paraId="24302055" w14:textId="2687FF2C"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9C2E4E">
              <w:rPr>
                <w:rFonts w:ascii="Arial" w:hAnsi="Arial" w:cs="Arial"/>
                <w:b/>
                <w:bCs/>
              </w:rPr>
              <w:t xml:space="preserve">48 </w:t>
            </w:r>
            <w:r w:rsidRPr="00A64175">
              <w:rPr>
                <w:rFonts w:ascii="Arial" w:hAnsi="Arial" w:cs="Arial"/>
                <w:b/>
                <w:bCs/>
              </w:rPr>
              <w:t xml:space="preserve"> – </w:t>
            </w:r>
            <w:r w:rsidRPr="00A64175">
              <w:rPr>
                <w:rFonts w:ascii="Arial" w:hAnsi="Arial" w:cs="Arial"/>
              </w:rPr>
              <w:t>L’entreprise de marché communique sans délai à la COSUMAF les modifications survenues dans sa situation lorsqu’elles affectent les éléments constitutifs du dossier d’agrément.</w:t>
            </w:r>
          </w:p>
          <w:p w14:paraId="65553538" w14:textId="77777777" w:rsidR="000E7336" w:rsidRPr="00A64175" w:rsidRDefault="000E7336" w:rsidP="000E7336">
            <w:pPr>
              <w:widowControl w:val="0"/>
              <w:autoSpaceDE w:val="0"/>
              <w:adjustRightInd w:val="0"/>
              <w:jc w:val="both"/>
              <w:rPr>
                <w:rFonts w:ascii="Arial" w:hAnsi="Arial" w:cs="Arial"/>
                <w:kern w:val="1"/>
              </w:rPr>
            </w:pPr>
          </w:p>
          <w:p w14:paraId="10E7851B"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rPr>
              <w:t xml:space="preserve">La COSUMAF émet un avis favorable aux modifications proposées si elles sont conformes aux exigences du dossier d’agrément. La COSUMAF peut également demander à l’entreprise de marché des informations complémentaires. </w:t>
            </w:r>
          </w:p>
          <w:p w14:paraId="1CEA1588" w14:textId="77777777" w:rsidR="000E7336" w:rsidRPr="00A64175" w:rsidRDefault="000E7336" w:rsidP="000E7336">
            <w:pPr>
              <w:widowControl w:val="0"/>
              <w:autoSpaceDE w:val="0"/>
              <w:adjustRightInd w:val="0"/>
              <w:jc w:val="both"/>
              <w:rPr>
                <w:rFonts w:ascii="Arial" w:hAnsi="Arial" w:cs="Arial"/>
                <w:kern w:val="1"/>
              </w:rPr>
            </w:pPr>
          </w:p>
          <w:p w14:paraId="5B48C923" w14:textId="77777777" w:rsidR="000E7336" w:rsidRPr="00A64175" w:rsidRDefault="000E7336" w:rsidP="000E7336">
            <w:pPr>
              <w:widowControl w:val="0"/>
              <w:autoSpaceDE w:val="0"/>
              <w:adjustRightInd w:val="0"/>
              <w:jc w:val="both"/>
              <w:rPr>
                <w:rFonts w:ascii="Arial" w:hAnsi="Arial" w:cs="Arial"/>
                <w:kern w:val="1"/>
              </w:rPr>
            </w:pPr>
            <w:r w:rsidRPr="00A64175">
              <w:rPr>
                <w:rFonts w:ascii="Arial" w:hAnsi="Arial" w:cs="Arial"/>
              </w:rPr>
              <w:t>La COSUMAF statue sur les modifications proposées dans le délai d’un (1) mois à compter de la date de réception de la demande de modification ou, le cas échéant, des informations complémentaires exigées.</w:t>
            </w:r>
          </w:p>
          <w:p w14:paraId="12592F8A" w14:textId="77777777" w:rsidR="000E7336" w:rsidRPr="00A64175" w:rsidRDefault="000E7336" w:rsidP="000E7336">
            <w:pPr>
              <w:widowControl w:val="0"/>
              <w:autoSpaceDE w:val="0"/>
              <w:adjustRightInd w:val="0"/>
              <w:jc w:val="both"/>
              <w:rPr>
                <w:rFonts w:ascii="Arial" w:hAnsi="Arial" w:cs="Arial"/>
                <w:b/>
                <w:bCs/>
                <w:color w:val="000000" w:themeColor="text1"/>
              </w:rPr>
            </w:pPr>
          </w:p>
        </w:tc>
      </w:tr>
      <w:tr w:rsidR="000E7336" w:rsidRPr="00A64175" w14:paraId="6C96F00A" w14:textId="77777777" w:rsidTr="000E7336">
        <w:trPr>
          <w:trHeight w:val="251"/>
        </w:trPr>
        <w:tc>
          <w:tcPr>
            <w:tcW w:w="9493" w:type="dxa"/>
            <w:shd w:val="clear" w:color="auto" w:fill="auto"/>
          </w:tcPr>
          <w:p w14:paraId="3D93DD20" w14:textId="77777777" w:rsidR="000E7336" w:rsidRPr="00A64175" w:rsidRDefault="000E7336" w:rsidP="000E7336">
            <w:pPr>
              <w:widowControl w:val="0"/>
              <w:autoSpaceDE w:val="0"/>
              <w:adjustRightInd w:val="0"/>
              <w:jc w:val="both"/>
              <w:rPr>
                <w:rFonts w:ascii="Arial" w:hAnsi="Arial" w:cs="Arial"/>
                <w:kern w:val="1"/>
              </w:rPr>
            </w:pPr>
          </w:p>
        </w:tc>
      </w:tr>
      <w:tr w:rsidR="000E7336" w:rsidRPr="00A64175" w14:paraId="79093065" w14:textId="77777777" w:rsidTr="000E7336">
        <w:trPr>
          <w:trHeight w:val="251"/>
        </w:trPr>
        <w:tc>
          <w:tcPr>
            <w:tcW w:w="9493" w:type="dxa"/>
            <w:shd w:val="clear" w:color="auto" w:fill="auto"/>
          </w:tcPr>
          <w:p w14:paraId="75839130" w14:textId="395A7B86" w:rsidR="000E7336" w:rsidRPr="00A64175" w:rsidRDefault="000E7336" w:rsidP="000E7336">
            <w:pPr>
              <w:widowControl w:val="0"/>
              <w:autoSpaceDE w:val="0"/>
              <w:adjustRightInd w:val="0"/>
              <w:jc w:val="both"/>
              <w:rPr>
                <w:rFonts w:ascii="Arial" w:hAnsi="Arial" w:cs="Arial"/>
                <w:b/>
                <w:bCs/>
              </w:rPr>
            </w:pPr>
            <w:r w:rsidRPr="00A64175">
              <w:rPr>
                <w:rFonts w:ascii="Arial" w:hAnsi="Arial" w:cs="Arial"/>
                <w:b/>
                <w:bCs/>
              </w:rPr>
              <w:t>Article 5</w:t>
            </w:r>
            <w:r w:rsidR="009C2E4E">
              <w:rPr>
                <w:rFonts w:ascii="Arial" w:hAnsi="Arial" w:cs="Arial"/>
                <w:b/>
                <w:bCs/>
              </w:rPr>
              <w:t xml:space="preserve">49 </w:t>
            </w:r>
            <w:r w:rsidRPr="00A64175">
              <w:rPr>
                <w:rFonts w:ascii="Arial" w:hAnsi="Arial" w:cs="Arial"/>
                <w:b/>
                <w:bCs/>
              </w:rPr>
              <w:t xml:space="preserve"> – </w:t>
            </w:r>
            <w:r w:rsidRPr="00A64175">
              <w:rPr>
                <w:rFonts w:ascii="Arial" w:hAnsi="Arial" w:cs="Arial"/>
              </w:rPr>
              <w:t xml:space="preserve">Le Règlement général de l’entreprise de marché précise les modalités de règlement des litiges entre : </w:t>
            </w:r>
          </w:p>
          <w:p w14:paraId="5365CB75" w14:textId="77777777" w:rsidR="000E7336" w:rsidRPr="00A64175" w:rsidRDefault="000E7336" w:rsidP="000E7336">
            <w:pPr>
              <w:widowControl w:val="0"/>
              <w:autoSpaceDE w:val="0"/>
              <w:adjustRightInd w:val="0"/>
              <w:jc w:val="both"/>
              <w:rPr>
                <w:rFonts w:ascii="Arial" w:hAnsi="Arial" w:cs="Arial"/>
                <w:kern w:val="1"/>
              </w:rPr>
            </w:pPr>
          </w:p>
          <w:p w14:paraId="033B2C70" w14:textId="77777777" w:rsidR="000E7336" w:rsidRPr="00A64175" w:rsidRDefault="000E7336" w:rsidP="000E7336">
            <w:pPr>
              <w:widowControl w:val="0"/>
              <w:numPr>
                <w:ilvl w:val="0"/>
                <w:numId w:val="1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l’entreprise de marché et les sociétés de bourse ;</w:t>
            </w:r>
          </w:p>
          <w:p w14:paraId="10246B81"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p w14:paraId="603CEAC9" w14:textId="77777777" w:rsidR="000E7336" w:rsidRPr="00A64175" w:rsidRDefault="000E7336" w:rsidP="000E7336">
            <w:pPr>
              <w:widowControl w:val="0"/>
              <w:numPr>
                <w:ilvl w:val="0"/>
                <w:numId w:val="1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sociétés de bourse ;</w:t>
            </w:r>
          </w:p>
          <w:p w14:paraId="1C081755" w14:textId="77777777" w:rsidR="000E7336" w:rsidRPr="00A64175" w:rsidRDefault="000E7336" w:rsidP="000E7336">
            <w:pPr>
              <w:widowControl w:val="0"/>
              <w:tabs>
                <w:tab w:val="left" w:pos="220"/>
                <w:tab w:val="left" w:pos="720"/>
              </w:tabs>
              <w:autoSpaceDE w:val="0"/>
              <w:adjustRightInd w:val="0"/>
              <w:ind w:left="720"/>
              <w:jc w:val="both"/>
              <w:rPr>
                <w:rFonts w:ascii="Arial" w:hAnsi="Arial" w:cs="Arial"/>
                <w:kern w:val="1"/>
              </w:rPr>
            </w:pPr>
          </w:p>
          <w:p w14:paraId="7D73EA72" w14:textId="77777777" w:rsidR="000E7336" w:rsidRPr="00A64175" w:rsidRDefault="000E7336" w:rsidP="000E7336">
            <w:pPr>
              <w:widowControl w:val="0"/>
              <w:numPr>
                <w:ilvl w:val="0"/>
                <w:numId w:val="15"/>
              </w:numPr>
              <w:tabs>
                <w:tab w:val="left" w:pos="220"/>
                <w:tab w:val="left" w:pos="720"/>
              </w:tabs>
              <w:autoSpaceDE w:val="0"/>
              <w:autoSpaceDN w:val="0"/>
              <w:adjustRightInd w:val="0"/>
              <w:jc w:val="both"/>
              <w:rPr>
                <w:rFonts w:ascii="Arial" w:hAnsi="Arial" w:cs="Arial"/>
                <w:kern w:val="1"/>
              </w:rPr>
            </w:pPr>
            <w:r w:rsidRPr="00A64175">
              <w:rPr>
                <w:rFonts w:ascii="Arial" w:hAnsi="Arial" w:cs="Arial"/>
              </w:rPr>
              <w:t>les sociétés de bourse et leurs donneurs d’ordre ;</w:t>
            </w:r>
          </w:p>
          <w:p w14:paraId="62F61E0F" w14:textId="77777777" w:rsidR="000E7336" w:rsidRPr="00A64175" w:rsidRDefault="000E7336" w:rsidP="000E7336">
            <w:pPr>
              <w:ind w:left="360"/>
              <w:jc w:val="both"/>
              <w:rPr>
                <w:rFonts w:ascii="Arial" w:hAnsi="Arial" w:cs="Arial"/>
                <w:kern w:val="1"/>
              </w:rPr>
            </w:pPr>
          </w:p>
          <w:p w14:paraId="16EC0F07" w14:textId="77777777" w:rsidR="000E7336" w:rsidRPr="00A64175" w:rsidRDefault="000E7336" w:rsidP="000E7336">
            <w:pPr>
              <w:widowControl w:val="0"/>
              <w:numPr>
                <w:ilvl w:val="0"/>
                <w:numId w:val="15"/>
              </w:numPr>
              <w:tabs>
                <w:tab w:val="left" w:pos="220"/>
                <w:tab w:val="left" w:pos="720"/>
              </w:tabs>
              <w:autoSpaceDE w:val="0"/>
              <w:autoSpaceDN w:val="0"/>
              <w:adjustRightInd w:val="0"/>
              <w:jc w:val="both"/>
              <w:rPr>
                <w:rFonts w:ascii="Arial" w:hAnsi="Arial" w:cs="Arial"/>
                <w:kern w:val="1"/>
              </w:rPr>
            </w:pPr>
            <w:r w:rsidRPr="00A64175">
              <w:rPr>
                <w:rFonts w:ascii="Arial" w:hAnsi="Arial" w:cs="Arial"/>
                <w:kern w:val="1"/>
              </w:rPr>
              <w:t>l’entreprise de marché et les autres institutions financières.</w:t>
            </w:r>
          </w:p>
        </w:tc>
      </w:tr>
    </w:tbl>
    <w:p w14:paraId="7B6B237C" w14:textId="77777777" w:rsidR="007058CC" w:rsidRPr="00A64175" w:rsidRDefault="007058CC" w:rsidP="00A64175">
      <w:pPr>
        <w:jc w:val="both"/>
        <w:rPr>
          <w:rFonts w:ascii="Arial" w:hAnsi="Arial" w:cs="Arial"/>
          <w:sz w:val="22"/>
          <w:szCs w:val="22"/>
        </w:rPr>
      </w:pPr>
    </w:p>
    <w:p w14:paraId="583D510B" w14:textId="1F0D6A6E" w:rsidR="007058CC" w:rsidRPr="00A64175" w:rsidRDefault="007058CC" w:rsidP="00A64175">
      <w:pPr>
        <w:jc w:val="both"/>
        <w:rPr>
          <w:rFonts w:ascii="Arial" w:hAnsi="Arial" w:cs="Arial"/>
          <w:sz w:val="22"/>
          <w:szCs w:val="22"/>
        </w:rPr>
      </w:pPr>
    </w:p>
    <w:p w14:paraId="0AEA9031" w14:textId="77777777" w:rsidR="00044ACE" w:rsidRPr="00A64175" w:rsidRDefault="00044ACE" w:rsidP="00A64175">
      <w:pPr>
        <w:jc w:val="both"/>
        <w:rPr>
          <w:rFonts w:ascii="Arial" w:hAnsi="Arial" w:cs="Arial"/>
          <w:sz w:val="22"/>
          <w:szCs w:val="22"/>
        </w:rPr>
      </w:pPr>
    </w:p>
    <w:p w14:paraId="0085F3DE" w14:textId="0B2B194E" w:rsidR="00173BB2" w:rsidRPr="00A64175" w:rsidRDefault="00173BB2" w:rsidP="00173BB2">
      <w:pPr>
        <w:jc w:val="both"/>
        <w:rPr>
          <w:rFonts w:ascii="Arial" w:hAnsi="Arial" w:cs="Arial"/>
          <w:b/>
          <w:bCs/>
          <w:sz w:val="22"/>
          <w:szCs w:val="22"/>
        </w:rPr>
      </w:pPr>
      <w:r w:rsidRPr="00A64175">
        <w:rPr>
          <w:rFonts w:ascii="Arial" w:hAnsi="Arial" w:cs="Arial"/>
          <w:b/>
          <w:bCs/>
          <w:sz w:val="22"/>
          <w:szCs w:val="22"/>
        </w:rPr>
        <w:t>CHAPITRE II –  DEPOSITAIRE CENTRAL</w:t>
      </w:r>
    </w:p>
    <w:p w14:paraId="2DE92B1F" w14:textId="77777777" w:rsidR="00173BB2" w:rsidRPr="00A64175" w:rsidRDefault="00173BB2" w:rsidP="00173BB2">
      <w:pPr>
        <w:jc w:val="both"/>
        <w:rPr>
          <w:rFonts w:ascii="Arial" w:hAnsi="Arial" w:cs="Arial"/>
          <w:b/>
          <w:bCs/>
          <w:color w:val="000000" w:themeColor="text1"/>
          <w:sz w:val="22"/>
          <w:szCs w:val="22"/>
        </w:rPr>
      </w:pPr>
    </w:p>
    <w:p w14:paraId="652802D3" w14:textId="77777777" w:rsidR="00173BB2" w:rsidRPr="00A64175" w:rsidRDefault="00173BB2" w:rsidP="00173BB2">
      <w:pPr>
        <w:jc w:val="both"/>
        <w:rPr>
          <w:rFonts w:ascii="Arial" w:hAnsi="Arial" w:cs="Arial"/>
          <w:b/>
          <w:bCs/>
          <w:color w:val="000000" w:themeColor="text1"/>
          <w:sz w:val="22"/>
          <w:szCs w:val="22"/>
        </w:rPr>
      </w:pPr>
      <w:r w:rsidRPr="00A64175">
        <w:rPr>
          <w:rFonts w:ascii="Arial" w:hAnsi="Arial" w:cs="Arial"/>
          <w:b/>
          <w:bCs/>
          <w:color w:val="000000" w:themeColor="text1"/>
          <w:sz w:val="22"/>
          <w:szCs w:val="22"/>
        </w:rPr>
        <w:t>Section I : Agrément du Dépositaire Central</w:t>
      </w:r>
    </w:p>
    <w:p w14:paraId="4B0157B1" w14:textId="77777777" w:rsidR="00173BB2" w:rsidRPr="00A64175" w:rsidRDefault="00173BB2" w:rsidP="00173BB2">
      <w:pPr>
        <w:widowControl w:val="0"/>
        <w:autoSpaceDE w:val="0"/>
        <w:adjustRightInd w:val="0"/>
        <w:jc w:val="both"/>
        <w:rPr>
          <w:rFonts w:ascii="Arial" w:hAnsi="Arial" w:cs="Arial"/>
          <w:b/>
          <w:bCs/>
          <w:color w:val="000000" w:themeColor="text1"/>
          <w:sz w:val="22"/>
          <w:szCs w:val="22"/>
        </w:rPr>
      </w:pPr>
    </w:p>
    <w:p w14:paraId="0D8E0D33" w14:textId="3EAC1C2D" w:rsidR="00173BB2" w:rsidRPr="00A64175" w:rsidRDefault="00173BB2" w:rsidP="00173BB2">
      <w:pPr>
        <w:widowControl w:val="0"/>
        <w:autoSpaceDE w:val="0"/>
        <w:adjustRightInd w:val="0"/>
        <w:jc w:val="both"/>
        <w:rPr>
          <w:rFonts w:ascii="Arial" w:hAnsi="Arial" w:cs="Arial"/>
          <w:color w:val="000000" w:themeColor="text1"/>
          <w:sz w:val="22"/>
          <w:szCs w:val="22"/>
        </w:rPr>
      </w:pPr>
      <w:r w:rsidRPr="00A64175">
        <w:rPr>
          <w:rFonts w:ascii="Arial" w:hAnsi="Arial" w:cs="Arial"/>
          <w:b/>
          <w:bCs/>
          <w:color w:val="000000" w:themeColor="text1"/>
          <w:sz w:val="22"/>
          <w:szCs w:val="22"/>
        </w:rPr>
        <w:t>Article 5</w:t>
      </w:r>
      <w:r w:rsidR="007A4507">
        <w:rPr>
          <w:rFonts w:ascii="Arial" w:hAnsi="Arial" w:cs="Arial"/>
          <w:b/>
          <w:bCs/>
          <w:color w:val="000000" w:themeColor="text1"/>
          <w:sz w:val="22"/>
          <w:szCs w:val="22"/>
        </w:rPr>
        <w:t xml:space="preserve">50 </w:t>
      </w:r>
      <w:r w:rsidRPr="00A64175">
        <w:rPr>
          <w:rFonts w:ascii="Arial" w:hAnsi="Arial" w:cs="Arial"/>
          <w:b/>
          <w:bCs/>
          <w:color w:val="000000" w:themeColor="text1"/>
          <w:sz w:val="22"/>
          <w:szCs w:val="22"/>
        </w:rPr>
        <w:t xml:space="preserve"> –</w:t>
      </w:r>
      <w:r w:rsidRPr="00A64175">
        <w:rPr>
          <w:rFonts w:ascii="Arial" w:hAnsi="Arial" w:cs="Arial"/>
          <w:color w:val="000000" w:themeColor="text1"/>
          <w:sz w:val="22"/>
          <w:szCs w:val="22"/>
        </w:rPr>
        <w:t xml:space="preserve"> Pour exercer ses activités, le Dépositaire Central, constitue un dossier de demande d’agrément qu’elle adresse à la COSUMAF, par lettre recommandée avec demande d’avis de réception. Un récépissé de dépôt est délivré.</w:t>
      </w:r>
    </w:p>
    <w:p w14:paraId="1D9D2696"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p>
    <w:p w14:paraId="30DDFFCA"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r w:rsidRPr="00A64175">
        <w:rPr>
          <w:rFonts w:ascii="Arial" w:hAnsi="Arial" w:cs="Arial"/>
          <w:color w:val="000000" w:themeColor="text1"/>
          <w:sz w:val="22"/>
          <w:szCs w:val="22"/>
        </w:rPr>
        <w:t>La demande d’agrément est accompagnée de toutes les informations nécessaires pour permettre à la COSUMAF de s’assurer que le Dépositaire Central a mis en place, au moment de l’agrément, toutes les dispositions nécessaires pour se conformer aux obligations qui lui incombent en vertu du présent règlement.</w:t>
      </w:r>
    </w:p>
    <w:p w14:paraId="4FAAC42B"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p>
    <w:p w14:paraId="65349304"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r w:rsidRPr="00A64175">
        <w:rPr>
          <w:rFonts w:ascii="Arial" w:hAnsi="Arial" w:cs="Arial"/>
          <w:color w:val="000000" w:themeColor="text1"/>
          <w:sz w:val="22"/>
          <w:szCs w:val="22"/>
        </w:rPr>
        <w:t>La demande d’agrément comprend un programme d’activités précisant le type d’activités envisagées et l’organisation structurelle du dépositaire central, ainsi que les règles de fonctionnement du dépositaire central et du ou des systèmes de règlement livraison d'instruments financiers qu'ils gèrent.</w:t>
      </w:r>
    </w:p>
    <w:p w14:paraId="2CF8E1C9" w14:textId="77777777" w:rsidR="00173BB2" w:rsidRPr="00A64175" w:rsidRDefault="00173BB2" w:rsidP="00173BB2">
      <w:pPr>
        <w:widowControl w:val="0"/>
        <w:autoSpaceDE w:val="0"/>
        <w:adjustRightInd w:val="0"/>
        <w:jc w:val="both"/>
        <w:rPr>
          <w:rFonts w:ascii="Arial" w:hAnsi="Arial" w:cs="Arial"/>
          <w:color w:val="000000" w:themeColor="text1"/>
          <w:kern w:val="1"/>
          <w:sz w:val="22"/>
          <w:szCs w:val="22"/>
        </w:rPr>
      </w:pPr>
    </w:p>
    <w:p w14:paraId="62FAB3FC"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r w:rsidRPr="00A64175">
        <w:rPr>
          <w:rFonts w:ascii="Arial" w:hAnsi="Arial" w:cs="Arial"/>
          <w:color w:val="000000" w:themeColor="text1"/>
          <w:sz w:val="22"/>
          <w:szCs w:val="22"/>
        </w:rPr>
        <w:t>Une instruction de la COSUMAF précise le contenu du dossier de demande d’agrément.</w:t>
      </w:r>
    </w:p>
    <w:p w14:paraId="46D7ADD4"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p>
    <w:p w14:paraId="5B346B57" w14:textId="77777777" w:rsidR="00173BB2" w:rsidRPr="00A64175" w:rsidRDefault="00173BB2" w:rsidP="00173BB2">
      <w:pPr>
        <w:widowControl w:val="0"/>
        <w:autoSpaceDE w:val="0"/>
        <w:adjustRightInd w:val="0"/>
        <w:jc w:val="both"/>
        <w:rPr>
          <w:rFonts w:ascii="Arial" w:hAnsi="Arial" w:cs="Arial"/>
          <w:color w:val="000000" w:themeColor="text1"/>
          <w:kern w:val="1"/>
          <w:sz w:val="22"/>
          <w:szCs w:val="22"/>
        </w:rPr>
      </w:pPr>
    </w:p>
    <w:p w14:paraId="0506D3D5" w14:textId="3D42C7C6" w:rsidR="00173BB2" w:rsidRPr="00A64175" w:rsidRDefault="00173BB2" w:rsidP="00173BB2">
      <w:pPr>
        <w:jc w:val="both"/>
        <w:rPr>
          <w:rFonts w:ascii="Arial" w:hAnsi="Arial" w:cs="Arial"/>
          <w:color w:val="000000" w:themeColor="text1"/>
          <w:sz w:val="22"/>
          <w:szCs w:val="22"/>
        </w:rPr>
      </w:pPr>
      <w:r w:rsidRPr="00A64175">
        <w:rPr>
          <w:rFonts w:ascii="Arial" w:hAnsi="Arial" w:cs="Arial"/>
          <w:b/>
          <w:bCs/>
          <w:color w:val="000000" w:themeColor="text1"/>
          <w:sz w:val="22"/>
          <w:szCs w:val="22"/>
        </w:rPr>
        <w:t>Article 5</w:t>
      </w:r>
      <w:r w:rsidR="003C3592">
        <w:rPr>
          <w:rFonts w:ascii="Arial" w:hAnsi="Arial" w:cs="Arial"/>
          <w:b/>
          <w:bCs/>
          <w:color w:val="000000" w:themeColor="text1"/>
          <w:sz w:val="22"/>
          <w:szCs w:val="22"/>
        </w:rPr>
        <w:t xml:space="preserve">51 </w:t>
      </w:r>
      <w:r w:rsidRPr="00A64175">
        <w:rPr>
          <w:rFonts w:ascii="Arial" w:hAnsi="Arial" w:cs="Arial"/>
          <w:b/>
          <w:bCs/>
          <w:color w:val="000000" w:themeColor="text1"/>
          <w:sz w:val="22"/>
          <w:szCs w:val="22"/>
        </w:rPr>
        <w:t xml:space="preserve"> – </w:t>
      </w:r>
      <w:r w:rsidRPr="00A64175">
        <w:rPr>
          <w:rFonts w:ascii="Arial" w:hAnsi="Arial" w:cs="Arial"/>
          <w:color w:val="000000" w:themeColor="text1"/>
          <w:sz w:val="22"/>
          <w:szCs w:val="22"/>
        </w:rPr>
        <w:t>La COSUMAF s’assure au moment de l’examen de la demande d’agrément de l’adéquation des moyens humains, financiers et techniques dont dispose le Dépositaire Central.</w:t>
      </w:r>
    </w:p>
    <w:p w14:paraId="71F94314" w14:textId="77777777" w:rsidR="00173BB2" w:rsidRPr="00A64175" w:rsidRDefault="00173BB2" w:rsidP="00173BB2">
      <w:pPr>
        <w:jc w:val="both"/>
        <w:rPr>
          <w:rFonts w:ascii="Arial" w:hAnsi="Arial" w:cs="Arial"/>
          <w:color w:val="000000" w:themeColor="text1"/>
          <w:sz w:val="22"/>
          <w:szCs w:val="22"/>
        </w:rPr>
      </w:pPr>
    </w:p>
    <w:p w14:paraId="028F5905" w14:textId="27919FC4" w:rsidR="00173BB2" w:rsidRPr="00A64175" w:rsidRDefault="00173BB2" w:rsidP="00173BB2">
      <w:pPr>
        <w:widowControl w:val="0"/>
        <w:autoSpaceDE w:val="0"/>
        <w:adjustRightInd w:val="0"/>
        <w:jc w:val="both"/>
        <w:rPr>
          <w:rFonts w:ascii="Arial" w:hAnsi="Arial" w:cs="Arial"/>
          <w:color w:val="000000" w:themeColor="text1"/>
          <w:sz w:val="22"/>
          <w:szCs w:val="22"/>
        </w:rPr>
      </w:pPr>
      <w:r w:rsidRPr="00A64175">
        <w:rPr>
          <w:rFonts w:ascii="Arial" w:hAnsi="Arial" w:cs="Arial"/>
          <w:b/>
          <w:bCs/>
          <w:color w:val="000000" w:themeColor="text1"/>
          <w:sz w:val="22"/>
          <w:szCs w:val="22"/>
        </w:rPr>
        <w:t>Article 5</w:t>
      </w:r>
      <w:r w:rsidR="003D1E8E">
        <w:rPr>
          <w:rFonts w:ascii="Arial" w:hAnsi="Arial" w:cs="Arial"/>
          <w:b/>
          <w:bCs/>
          <w:color w:val="000000" w:themeColor="text1"/>
          <w:sz w:val="22"/>
          <w:szCs w:val="22"/>
        </w:rPr>
        <w:t xml:space="preserve">52 </w:t>
      </w:r>
      <w:r w:rsidRPr="00A64175">
        <w:rPr>
          <w:rFonts w:ascii="Arial" w:hAnsi="Arial" w:cs="Arial"/>
          <w:b/>
          <w:bCs/>
          <w:color w:val="000000" w:themeColor="text1"/>
          <w:sz w:val="22"/>
          <w:szCs w:val="22"/>
        </w:rPr>
        <w:t xml:space="preserve"> – </w:t>
      </w:r>
      <w:r w:rsidRPr="00A64175">
        <w:rPr>
          <w:rFonts w:ascii="Arial" w:hAnsi="Arial" w:cs="Arial"/>
          <w:color w:val="000000" w:themeColor="text1"/>
          <w:sz w:val="22"/>
          <w:szCs w:val="22"/>
        </w:rPr>
        <w:t>La COSUMAF statue dans un délai de trois (3) mois à compter de la date de réception de la demande d’agrément, si celle-ci est complète.</w:t>
      </w:r>
    </w:p>
    <w:p w14:paraId="5056C6F1" w14:textId="77777777" w:rsidR="00173BB2" w:rsidRPr="00A64175" w:rsidRDefault="00173BB2" w:rsidP="00173BB2">
      <w:pPr>
        <w:widowControl w:val="0"/>
        <w:autoSpaceDE w:val="0"/>
        <w:adjustRightInd w:val="0"/>
        <w:jc w:val="both"/>
        <w:rPr>
          <w:rFonts w:ascii="Arial" w:hAnsi="Arial" w:cs="Arial"/>
          <w:color w:val="000000" w:themeColor="text1"/>
          <w:sz w:val="22"/>
          <w:szCs w:val="22"/>
        </w:rPr>
      </w:pPr>
    </w:p>
    <w:p w14:paraId="2C1AF940" w14:textId="5B1AF949" w:rsidR="00173BB2" w:rsidRDefault="00173BB2" w:rsidP="00173BB2">
      <w:pPr>
        <w:widowControl w:val="0"/>
        <w:autoSpaceDE w:val="0"/>
        <w:adjustRightInd w:val="0"/>
        <w:jc w:val="both"/>
        <w:rPr>
          <w:rFonts w:ascii="Arial" w:hAnsi="Arial" w:cs="Arial"/>
          <w:sz w:val="22"/>
          <w:szCs w:val="22"/>
        </w:rPr>
      </w:pPr>
      <w:r w:rsidRPr="00A64175">
        <w:rPr>
          <w:rFonts w:ascii="Arial" w:hAnsi="Arial" w:cs="Arial"/>
          <w:b/>
          <w:bCs/>
          <w:color w:val="000000" w:themeColor="text1"/>
          <w:sz w:val="22"/>
          <w:szCs w:val="22"/>
        </w:rPr>
        <w:t>Article 5</w:t>
      </w:r>
      <w:r w:rsidR="003D1E8E">
        <w:rPr>
          <w:rFonts w:ascii="Arial" w:hAnsi="Arial" w:cs="Arial"/>
          <w:b/>
          <w:bCs/>
          <w:color w:val="000000" w:themeColor="text1"/>
          <w:sz w:val="22"/>
          <w:szCs w:val="22"/>
        </w:rPr>
        <w:t xml:space="preserve">53 </w:t>
      </w:r>
      <w:r w:rsidRPr="00A64175">
        <w:rPr>
          <w:rFonts w:ascii="Arial" w:hAnsi="Arial" w:cs="Arial"/>
          <w:b/>
          <w:bCs/>
          <w:color w:val="000000" w:themeColor="text1"/>
          <w:sz w:val="22"/>
          <w:szCs w:val="22"/>
        </w:rPr>
        <w:t xml:space="preserve"> - </w:t>
      </w:r>
      <w:r w:rsidRPr="00A64175">
        <w:rPr>
          <w:rFonts w:ascii="Arial" w:hAnsi="Arial" w:cs="Arial"/>
          <w:sz w:val="22"/>
          <w:szCs w:val="22"/>
        </w:rPr>
        <w:t xml:space="preserve">L’agrément du </w:t>
      </w:r>
      <w:r w:rsidRPr="00A64175">
        <w:rPr>
          <w:rFonts w:ascii="Arial" w:hAnsi="Arial" w:cs="Arial"/>
          <w:color w:val="000000" w:themeColor="text1"/>
          <w:sz w:val="22"/>
          <w:szCs w:val="22"/>
        </w:rPr>
        <w:t xml:space="preserve">Dépositaire Central </w:t>
      </w:r>
      <w:r w:rsidRPr="00A64175">
        <w:rPr>
          <w:rFonts w:ascii="Arial" w:hAnsi="Arial" w:cs="Arial"/>
          <w:sz w:val="22"/>
          <w:szCs w:val="22"/>
        </w:rPr>
        <w:t xml:space="preserve">est soumis à des frais d’agrément dont le montant est fixé dans une </w:t>
      </w:r>
      <w:r>
        <w:rPr>
          <w:rFonts w:ascii="Arial" w:hAnsi="Arial" w:cs="Arial"/>
          <w:sz w:val="22"/>
          <w:szCs w:val="22"/>
        </w:rPr>
        <w:t xml:space="preserve">Instruction </w:t>
      </w:r>
      <w:r w:rsidRPr="00A64175">
        <w:rPr>
          <w:rFonts w:ascii="Arial" w:hAnsi="Arial" w:cs="Arial"/>
          <w:sz w:val="22"/>
          <w:szCs w:val="22"/>
        </w:rPr>
        <w:t xml:space="preserve"> de la COSUMAF</w:t>
      </w:r>
      <w:r>
        <w:rPr>
          <w:rFonts w:ascii="Arial" w:hAnsi="Arial" w:cs="Arial"/>
          <w:sz w:val="22"/>
          <w:szCs w:val="22"/>
        </w:rPr>
        <w:t>.</w:t>
      </w:r>
    </w:p>
    <w:p w14:paraId="11051ABB" w14:textId="77777777" w:rsidR="00173BB2" w:rsidRPr="00A64175" w:rsidRDefault="00173BB2" w:rsidP="00173BB2">
      <w:pPr>
        <w:widowControl w:val="0"/>
        <w:autoSpaceDE w:val="0"/>
        <w:adjustRightInd w:val="0"/>
        <w:jc w:val="both"/>
        <w:rPr>
          <w:rFonts w:ascii="Arial" w:hAnsi="Arial" w:cs="Arial"/>
          <w:sz w:val="22"/>
          <w:szCs w:val="22"/>
        </w:rPr>
      </w:pPr>
    </w:p>
    <w:p w14:paraId="77175F08" w14:textId="0E317172" w:rsidR="00173BB2" w:rsidRPr="00D40672" w:rsidRDefault="00173BB2" w:rsidP="00A64175">
      <w:pPr>
        <w:widowControl w:val="0"/>
        <w:autoSpaceDE w:val="0"/>
        <w:adjustRightInd w:val="0"/>
        <w:jc w:val="both"/>
        <w:rPr>
          <w:rFonts w:ascii="Arial" w:hAnsi="Arial" w:cs="Arial"/>
          <w:sz w:val="22"/>
          <w:szCs w:val="22"/>
        </w:rPr>
      </w:pPr>
      <w:r w:rsidRPr="00173BB2">
        <w:rPr>
          <w:rFonts w:ascii="Arial" w:hAnsi="Arial" w:cs="Arial"/>
          <w:sz w:val="22"/>
          <w:szCs w:val="22"/>
        </w:rPr>
        <w:t>Le Dépositaire Central verse chaque année à la COSUMAF une redevance et</w:t>
      </w:r>
      <w:r>
        <w:rPr>
          <w:rFonts w:ascii="Arial" w:hAnsi="Arial" w:cs="Arial"/>
          <w:sz w:val="22"/>
          <w:szCs w:val="22"/>
        </w:rPr>
        <w:t xml:space="preserve"> une commission</w:t>
      </w:r>
      <w:r w:rsidRPr="00173BB2">
        <w:rPr>
          <w:rFonts w:ascii="Arial" w:hAnsi="Arial" w:cs="Arial"/>
          <w:sz w:val="22"/>
          <w:szCs w:val="22"/>
        </w:rPr>
        <w:t xml:space="preserve">  de rétrocession dont le</w:t>
      </w:r>
      <w:r>
        <w:rPr>
          <w:rFonts w:ascii="Arial" w:hAnsi="Arial" w:cs="Arial"/>
          <w:sz w:val="22"/>
          <w:szCs w:val="22"/>
        </w:rPr>
        <w:t>s</w:t>
      </w:r>
      <w:r w:rsidRPr="00173BB2">
        <w:rPr>
          <w:rFonts w:ascii="Arial" w:hAnsi="Arial" w:cs="Arial"/>
          <w:sz w:val="22"/>
          <w:szCs w:val="22"/>
        </w:rPr>
        <w:t xml:space="preserve"> montant</w:t>
      </w:r>
      <w:r>
        <w:rPr>
          <w:rFonts w:ascii="Arial" w:hAnsi="Arial" w:cs="Arial"/>
          <w:sz w:val="22"/>
          <w:szCs w:val="22"/>
        </w:rPr>
        <w:t>s</w:t>
      </w:r>
      <w:r w:rsidRPr="00173BB2">
        <w:rPr>
          <w:rFonts w:ascii="Arial" w:hAnsi="Arial" w:cs="Arial"/>
          <w:sz w:val="22"/>
          <w:szCs w:val="22"/>
        </w:rPr>
        <w:t xml:space="preserve"> et les critères sont définis dans</w:t>
      </w:r>
      <w:r w:rsidR="00D40672">
        <w:rPr>
          <w:rFonts w:ascii="Arial" w:hAnsi="Arial" w:cs="Arial"/>
          <w:sz w:val="22"/>
          <w:szCs w:val="22"/>
        </w:rPr>
        <w:t xml:space="preserve"> une instruction de la COSUMAF.</w:t>
      </w:r>
    </w:p>
    <w:p w14:paraId="56A5B3C9" w14:textId="77777777" w:rsidR="00173BB2" w:rsidRDefault="00173BB2" w:rsidP="00A64175">
      <w:pPr>
        <w:widowControl w:val="0"/>
        <w:autoSpaceDE w:val="0"/>
        <w:adjustRightInd w:val="0"/>
        <w:jc w:val="both"/>
        <w:rPr>
          <w:rFonts w:ascii="Arial" w:hAnsi="Arial" w:cs="Arial"/>
          <w:b/>
          <w:color w:val="000000" w:themeColor="text1"/>
          <w:sz w:val="22"/>
          <w:szCs w:val="22"/>
        </w:rPr>
      </w:pPr>
    </w:p>
    <w:p w14:paraId="79D7EE1F" w14:textId="32D78871" w:rsidR="00044ACE" w:rsidRPr="00A64175" w:rsidRDefault="000A04E5" w:rsidP="00A64175">
      <w:pPr>
        <w:widowControl w:val="0"/>
        <w:autoSpaceDE w:val="0"/>
        <w:adjustRightInd w:val="0"/>
        <w:jc w:val="both"/>
        <w:rPr>
          <w:rFonts w:ascii="Arial" w:hAnsi="Arial" w:cs="Arial"/>
          <w:color w:val="000000" w:themeColor="text1"/>
          <w:sz w:val="22"/>
          <w:szCs w:val="22"/>
        </w:rPr>
      </w:pPr>
      <w:r w:rsidRPr="00A64175">
        <w:rPr>
          <w:rFonts w:ascii="Arial" w:hAnsi="Arial" w:cs="Arial"/>
          <w:b/>
          <w:color w:val="000000" w:themeColor="text1"/>
          <w:sz w:val="22"/>
          <w:szCs w:val="22"/>
        </w:rPr>
        <w:t xml:space="preserve">Article </w:t>
      </w:r>
      <w:r w:rsidR="00044ACE" w:rsidRPr="00A64175">
        <w:rPr>
          <w:rFonts w:ascii="Arial" w:hAnsi="Arial" w:cs="Arial"/>
          <w:b/>
          <w:color w:val="000000" w:themeColor="text1"/>
          <w:sz w:val="22"/>
          <w:szCs w:val="22"/>
        </w:rPr>
        <w:t>5</w:t>
      </w:r>
      <w:r w:rsidR="00393549">
        <w:rPr>
          <w:rFonts w:ascii="Arial" w:hAnsi="Arial" w:cs="Arial"/>
          <w:b/>
          <w:color w:val="000000" w:themeColor="text1"/>
          <w:sz w:val="22"/>
          <w:szCs w:val="22"/>
        </w:rPr>
        <w:t xml:space="preserve">54 </w:t>
      </w:r>
      <w:r w:rsidR="00044ACE" w:rsidRPr="00A64175">
        <w:rPr>
          <w:rFonts w:ascii="Arial" w:hAnsi="Arial" w:cs="Arial"/>
          <w:b/>
          <w:color w:val="000000" w:themeColor="text1"/>
          <w:sz w:val="22"/>
          <w:szCs w:val="22"/>
        </w:rPr>
        <w:t xml:space="preserve"> - </w:t>
      </w:r>
      <w:r w:rsidR="00044ACE" w:rsidRPr="00A64175">
        <w:rPr>
          <w:rFonts w:ascii="Arial" w:hAnsi="Arial" w:cs="Arial"/>
          <w:color w:val="000000" w:themeColor="text1"/>
          <w:sz w:val="22"/>
          <w:szCs w:val="22"/>
        </w:rPr>
        <w:t>Le Dépositaire Central établit ses règles de fonctionnement. Les Règles de fonctionnement du Dépositaire Central doivent, en toutes circonstances, être conformes à celles du présent Règlement.</w:t>
      </w:r>
    </w:p>
    <w:p w14:paraId="67DF6566" w14:textId="77777777" w:rsidR="000A04E5" w:rsidRPr="00A64175" w:rsidRDefault="000A04E5" w:rsidP="00A64175">
      <w:pPr>
        <w:widowControl w:val="0"/>
        <w:autoSpaceDE w:val="0"/>
        <w:adjustRightInd w:val="0"/>
        <w:jc w:val="both"/>
        <w:rPr>
          <w:rFonts w:ascii="Arial" w:hAnsi="Arial" w:cs="Arial"/>
          <w:color w:val="000000" w:themeColor="text1"/>
          <w:sz w:val="22"/>
          <w:szCs w:val="22"/>
        </w:rPr>
      </w:pPr>
    </w:p>
    <w:p w14:paraId="6BD72175" w14:textId="3D3CBF4A" w:rsidR="00044ACE" w:rsidRPr="00A64175" w:rsidRDefault="000A04E5" w:rsidP="00A64175">
      <w:pPr>
        <w:widowControl w:val="0"/>
        <w:autoSpaceDE w:val="0"/>
        <w:adjustRightInd w:val="0"/>
        <w:jc w:val="both"/>
        <w:rPr>
          <w:rFonts w:ascii="Arial" w:hAnsi="Arial" w:cs="Arial"/>
          <w:color w:val="000000" w:themeColor="text1"/>
          <w:sz w:val="22"/>
          <w:szCs w:val="22"/>
        </w:rPr>
      </w:pPr>
      <w:r w:rsidRPr="00A64175">
        <w:rPr>
          <w:rFonts w:ascii="Arial" w:hAnsi="Arial" w:cs="Arial"/>
          <w:b/>
          <w:bCs/>
          <w:color w:val="000000" w:themeColor="text1"/>
          <w:sz w:val="22"/>
          <w:szCs w:val="22"/>
        </w:rPr>
        <w:t>Article 5</w:t>
      </w:r>
      <w:r w:rsidR="00393549">
        <w:rPr>
          <w:rFonts w:ascii="Arial" w:hAnsi="Arial" w:cs="Arial"/>
          <w:b/>
          <w:bCs/>
          <w:color w:val="000000" w:themeColor="text1"/>
          <w:sz w:val="22"/>
          <w:szCs w:val="22"/>
        </w:rPr>
        <w:t xml:space="preserve">55 </w:t>
      </w:r>
      <w:r w:rsidR="00044ACE" w:rsidRPr="00A64175">
        <w:rPr>
          <w:rFonts w:ascii="Arial" w:hAnsi="Arial" w:cs="Arial"/>
          <w:b/>
          <w:bCs/>
          <w:color w:val="000000" w:themeColor="text1"/>
          <w:sz w:val="22"/>
          <w:szCs w:val="22"/>
        </w:rPr>
        <w:t xml:space="preserve"> - </w:t>
      </w:r>
      <w:r w:rsidR="00044ACE" w:rsidRPr="00A64175">
        <w:rPr>
          <w:rFonts w:ascii="Arial" w:hAnsi="Arial" w:cs="Arial"/>
          <w:color w:val="000000" w:themeColor="text1"/>
          <w:sz w:val="22"/>
          <w:szCs w:val="22"/>
        </w:rPr>
        <w:t xml:space="preserve">Ces règles précisent les modalités d’exécution de ses fonctions telles qu’énumérées au présent Règlement, notamment : </w:t>
      </w:r>
    </w:p>
    <w:p w14:paraId="372B6BA2" w14:textId="77777777" w:rsidR="00044ACE" w:rsidRPr="00A64175" w:rsidRDefault="00044ACE" w:rsidP="00A64175">
      <w:pPr>
        <w:widowControl w:val="0"/>
        <w:autoSpaceDE w:val="0"/>
        <w:adjustRightInd w:val="0"/>
        <w:jc w:val="both"/>
        <w:rPr>
          <w:rFonts w:ascii="Arial" w:hAnsi="Arial" w:cs="Arial"/>
          <w:color w:val="000000" w:themeColor="text1"/>
          <w:kern w:val="1"/>
          <w:sz w:val="22"/>
          <w:szCs w:val="22"/>
        </w:rPr>
      </w:pPr>
    </w:p>
    <w:p w14:paraId="17CCEF82" w14:textId="77777777" w:rsidR="00044ACE" w:rsidRPr="00A64175" w:rsidRDefault="00044ACE" w:rsidP="00A64175">
      <w:pPr>
        <w:numPr>
          <w:ilvl w:val="0"/>
          <w:numId w:val="227"/>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L’organisation générale du dépositaire central, notamment les caractéristiques du système de règlement et de livraison d'instruments financiers qu'il gère et les conditions dans lesquelles il fournit ses services ;</w:t>
      </w:r>
    </w:p>
    <w:p w14:paraId="2C0D16E9" w14:textId="77777777" w:rsidR="00044ACE" w:rsidRPr="00A64175" w:rsidRDefault="00044ACE" w:rsidP="00A64175">
      <w:pPr>
        <w:numPr>
          <w:ilvl w:val="0"/>
          <w:numId w:val="227"/>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La liste de son actionnariat ;</w:t>
      </w:r>
    </w:p>
    <w:p w14:paraId="0D34A377" w14:textId="77777777" w:rsidR="00044ACE" w:rsidRPr="00A64175" w:rsidRDefault="00044ACE" w:rsidP="00A64175">
      <w:pPr>
        <w:numPr>
          <w:ilvl w:val="0"/>
          <w:numId w:val="228"/>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conditions d'accès et d'ouverture des comptes des émetteurs, des infrastructures et structures de marché, des intermédiaires de marche et de toutes autres personnes auxquelles le dépositaire central offre des services ;</w:t>
      </w:r>
    </w:p>
    <w:p w14:paraId="376FD643" w14:textId="77777777" w:rsidR="00044ACE" w:rsidRPr="00A64175" w:rsidRDefault="00044ACE" w:rsidP="00A64175">
      <w:pPr>
        <w:numPr>
          <w:ilvl w:val="0"/>
          <w:numId w:val="229"/>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catégories d’instruments et de contrats financiers admis à ses opérations en précisant, pour chaque catégorie, les modalités de conservation des titres concernés, ainsi que leurs conditions de radiation de ces titres ;</w:t>
      </w:r>
    </w:p>
    <w:p w14:paraId="587B8D7F" w14:textId="77777777" w:rsidR="00044ACE" w:rsidRPr="00A64175" w:rsidRDefault="00044ACE" w:rsidP="00A64175">
      <w:pPr>
        <w:numPr>
          <w:ilvl w:val="0"/>
          <w:numId w:val="230"/>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mesures pour prévenir les défauts de règlement et y remédier ;</w:t>
      </w:r>
    </w:p>
    <w:p w14:paraId="16F03414" w14:textId="77777777" w:rsidR="00044ACE" w:rsidRPr="00A64175" w:rsidRDefault="00044ACE" w:rsidP="00A64175">
      <w:pPr>
        <w:numPr>
          <w:ilvl w:val="0"/>
          <w:numId w:val="231"/>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procédures de rachat d'office prévues ainsi que l'obligation pour les participants du dépositaire central de s'y soumettre ;</w:t>
      </w:r>
    </w:p>
    <w:p w14:paraId="180AAF2C" w14:textId="77777777" w:rsidR="00044ACE" w:rsidRPr="00A64175" w:rsidRDefault="00044ACE" w:rsidP="00A64175">
      <w:pPr>
        <w:numPr>
          <w:ilvl w:val="0"/>
          <w:numId w:val="231"/>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modalités de fonctionnement du système de règlement et de livraison d'instruments financiers qu'il exploite, notamment :</w:t>
      </w:r>
    </w:p>
    <w:p w14:paraId="6CEEDE88" w14:textId="77777777" w:rsidR="00044ACE" w:rsidRPr="00A64175" w:rsidRDefault="00044ACE" w:rsidP="00A64175">
      <w:pPr>
        <w:pStyle w:val="Paragraphedeliste"/>
        <w:numPr>
          <w:ilvl w:val="1"/>
          <w:numId w:val="232"/>
        </w:numPr>
        <w:shd w:val="clear" w:color="auto" w:fill="FFFFFF"/>
        <w:spacing w:before="0" w:beforeAutospacing="0" w:after="150" w:afterAutospacing="0"/>
        <w:rPr>
          <w:rFonts w:eastAsia="Times New Roman"/>
          <w:color w:val="000000" w:themeColor="text1"/>
          <w:sz w:val="22"/>
          <w:szCs w:val="22"/>
        </w:rPr>
      </w:pPr>
      <w:r w:rsidRPr="00A64175">
        <w:rPr>
          <w:rFonts w:eastAsia="Times New Roman"/>
          <w:color w:val="000000" w:themeColor="text1"/>
          <w:sz w:val="22"/>
          <w:szCs w:val="22"/>
        </w:rPr>
        <w:t>le moment et les modalités selon lesquelles une instruction est considérée comme introduite dans le système ;</w:t>
      </w:r>
    </w:p>
    <w:p w14:paraId="22DC0669" w14:textId="77777777" w:rsidR="00044ACE" w:rsidRPr="00A64175" w:rsidRDefault="00044ACE" w:rsidP="00A64175">
      <w:pPr>
        <w:pStyle w:val="Paragraphedeliste"/>
        <w:numPr>
          <w:ilvl w:val="1"/>
          <w:numId w:val="232"/>
        </w:numPr>
        <w:shd w:val="clear" w:color="auto" w:fill="FFFFFF"/>
        <w:spacing w:before="0" w:beforeAutospacing="0" w:after="150" w:afterAutospacing="0"/>
        <w:rPr>
          <w:rFonts w:eastAsia="Times New Roman"/>
          <w:color w:val="000000" w:themeColor="text1"/>
          <w:sz w:val="22"/>
          <w:szCs w:val="22"/>
        </w:rPr>
      </w:pPr>
      <w:r w:rsidRPr="00A64175">
        <w:rPr>
          <w:rFonts w:eastAsia="Times New Roman"/>
          <w:color w:val="000000" w:themeColor="text1"/>
          <w:sz w:val="22"/>
          <w:szCs w:val="22"/>
        </w:rPr>
        <w:t>le moment et les modalités selon lesquelles une instruction est considérée comme irrévocable dans le système ;</w:t>
      </w:r>
    </w:p>
    <w:p w14:paraId="6DEEBF7C" w14:textId="77777777" w:rsidR="00044ACE" w:rsidRPr="00A64175" w:rsidRDefault="00044ACE" w:rsidP="00A64175">
      <w:pPr>
        <w:pStyle w:val="Paragraphedeliste"/>
        <w:numPr>
          <w:ilvl w:val="1"/>
          <w:numId w:val="232"/>
        </w:numPr>
        <w:shd w:val="clear" w:color="auto" w:fill="FFFFFF"/>
        <w:spacing w:before="0" w:beforeAutospacing="0" w:after="150" w:afterAutospacing="0"/>
        <w:rPr>
          <w:rFonts w:eastAsia="Times New Roman"/>
          <w:color w:val="000000" w:themeColor="text1"/>
          <w:sz w:val="22"/>
          <w:szCs w:val="22"/>
        </w:rPr>
      </w:pPr>
      <w:r w:rsidRPr="00A64175">
        <w:rPr>
          <w:rFonts w:eastAsia="Times New Roman"/>
          <w:color w:val="000000" w:themeColor="text1"/>
          <w:sz w:val="22"/>
          <w:szCs w:val="22"/>
        </w:rPr>
        <w:t xml:space="preserve">la date du dénouement effectif de la négociation ; </w:t>
      </w:r>
    </w:p>
    <w:p w14:paraId="7B34F3FA" w14:textId="77777777" w:rsidR="00044ACE" w:rsidRPr="00A64175" w:rsidRDefault="00044ACE" w:rsidP="00A64175">
      <w:pPr>
        <w:pStyle w:val="Paragraphedeliste"/>
        <w:numPr>
          <w:ilvl w:val="1"/>
          <w:numId w:val="232"/>
        </w:numPr>
        <w:shd w:val="clear" w:color="auto" w:fill="FFFFFF"/>
        <w:spacing w:before="0" w:beforeAutospacing="0" w:after="150" w:afterAutospacing="0"/>
        <w:rPr>
          <w:rFonts w:eastAsia="Times New Roman"/>
          <w:color w:val="000000" w:themeColor="text1"/>
          <w:sz w:val="22"/>
          <w:szCs w:val="22"/>
        </w:rPr>
      </w:pPr>
      <w:r w:rsidRPr="00A64175">
        <w:rPr>
          <w:rFonts w:eastAsia="Times New Roman"/>
          <w:color w:val="000000" w:themeColor="text1"/>
          <w:sz w:val="22"/>
          <w:szCs w:val="22"/>
        </w:rPr>
        <w:t>les conditions de participation au système de règlement et de livraison d'instruments financiers.</w:t>
      </w:r>
    </w:p>
    <w:p w14:paraId="3980A872" w14:textId="77777777" w:rsidR="00044ACE" w:rsidRPr="00A64175" w:rsidRDefault="00044ACE" w:rsidP="00A64175">
      <w:pPr>
        <w:numPr>
          <w:ilvl w:val="0"/>
          <w:numId w:val="233"/>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règles et procédures applicables en cas de défaillance d'un participant au système de règlement et de livraison d'instruments financiers ;</w:t>
      </w:r>
    </w:p>
    <w:p w14:paraId="17CAE32D" w14:textId="77777777" w:rsidR="00044ACE" w:rsidRPr="00A64175" w:rsidRDefault="00044ACE" w:rsidP="00A64175">
      <w:pPr>
        <w:numPr>
          <w:ilvl w:val="0"/>
          <w:numId w:val="234"/>
        </w:numPr>
        <w:shd w:val="clear" w:color="auto" w:fill="FFFFFF"/>
        <w:spacing w:after="15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Les modalités et les délais de circulation des titres de références nominatives ;</w:t>
      </w:r>
    </w:p>
    <w:p w14:paraId="5D79ECF1" w14:textId="77777777" w:rsidR="00044ACE" w:rsidRPr="00A64175" w:rsidRDefault="00044ACE" w:rsidP="00A64175">
      <w:pPr>
        <w:widowControl w:val="0"/>
        <w:numPr>
          <w:ilvl w:val="0"/>
          <w:numId w:val="235"/>
        </w:numPr>
        <w:shd w:val="clear" w:color="auto" w:fill="FFFFFF"/>
        <w:autoSpaceDE w:val="0"/>
        <w:autoSpaceDN w:val="0"/>
        <w:adjustRightInd w:val="0"/>
        <w:spacing w:after="150"/>
        <w:jc w:val="both"/>
        <w:rPr>
          <w:rStyle w:val="Accentuation"/>
          <w:rFonts w:ascii="Arial" w:hAnsi="Arial" w:cs="Arial"/>
          <w:i w:val="0"/>
          <w:iCs w:val="0"/>
          <w:sz w:val="22"/>
          <w:szCs w:val="22"/>
        </w:rPr>
      </w:pPr>
      <w:r w:rsidRPr="00A64175">
        <w:rPr>
          <w:rFonts w:ascii="Arial" w:eastAsia="Times New Roman" w:hAnsi="Arial" w:cs="Arial"/>
          <w:color w:val="000000" w:themeColor="text1"/>
          <w:sz w:val="22"/>
          <w:szCs w:val="22"/>
        </w:rPr>
        <w:t>Les modalités d'application de la procédure</w:t>
      </w:r>
      <w:r w:rsidRPr="00A64175">
        <w:rPr>
          <w:rFonts w:ascii="Arial" w:hAnsi="Arial" w:cs="Arial"/>
          <w:b/>
          <w:bCs/>
          <w:i/>
          <w:iCs/>
          <w:color w:val="000000" w:themeColor="text1"/>
          <w:sz w:val="22"/>
          <w:szCs w:val="22"/>
          <w:shd w:val="clear" w:color="auto" w:fill="FFFFFF"/>
        </w:rPr>
        <w:t xml:space="preserve"> </w:t>
      </w:r>
      <w:r w:rsidRPr="00A64175">
        <w:rPr>
          <w:rStyle w:val="Accentuation"/>
          <w:rFonts w:ascii="Arial" w:hAnsi="Arial" w:cs="Arial"/>
          <w:bCs/>
          <w:sz w:val="22"/>
          <w:szCs w:val="22"/>
          <w:shd w:val="clear" w:color="auto" w:fill="FFFFFF"/>
        </w:rPr>
        <w:t>permettant aux émetteurs d’identifier les porteurs de leurs titres ;</w:t>
      </w:r>
    </w:p>
    <w:p w14:paraId="2983D137" w14:textId="77777777" w:rsidR="00044ACE" w:rsidRPr="00A64175" w:rsidRDefault="00044ACE" w:rsidP="00A64175">
      <w:pPr>
        <w:widowControl w:val="0"/>
        <w:numPr>
          <w:ilvl w:val="0"/>
          <w:numId w:val="235"/>
        </w:numPr>
        <w:shd w:val="clear" w:color="auto" w:fill="FFFFFF"/>
        <w:autoSpaceDE w:val="0"/>
        <w:autoSpaceDN w:val="0"/>
        <w:adjustRightInd w:val="0"/>
        <w:spacing w:after="150"/>
        <w:jc w:val="both"/>
        <w:rPr>
          <w:rFonts w:ascii="Arial" w:hAnsi="Arial" w:cs="Arial"/>
          <w:color w:val="000000" w:themeColor="text1"/>
          <w:sz w:val="22"/>
          <w:szCs w:val="22"/>
        </w:rPr>
      </w:pPr>
      <w:r w:rsidRPr="00A64175">
        <w:rPr>
          <w:rFonts w:ascii="Arial" w:hAnsi="Arial" w:cs="Arial"/>
          <w:color w:val="000000" w:themeColor="text1"/>
          <w:sz w:val="22"/>
          <w:szCs w:val="22"/>
        </w:rPr>
        <w:t>Les modalités de règlement des litiges, entre le Dépositaire Central et ses adhérents, voir entre ses adhérents.</w:t>
      </w:r>
    </w:p>
    <w:p w14:paraId="40FDE187" w14:textId="77777777" w:rsidR="00044ACE" w:rsidRPr="00A64175" w:rsidRDefault="00044ACE" w:rsidP="00A64175">
      <w:pPr>
        <w:jc w:val="both"/>
        <w:rPr>
          <w:rFonts w:ascii="Arial" w:hAnsi="Arial" w:cs="Arial"/>
          <w:color w:val="000000" w:themeColor="text1"/>
          <w:sz w:val="22"/>
          <w:szCs w:val="22"/>
          <w:shd w:val="clear" w:color="auto" w:fill="FFFFFF"/>
        </w:rPr>
      </w:pPr>
      <w:r w:rsidRPr="00A64175">
        <w:rPr>
          <w:rFonts w:ascii="Arial" w:hAnsi="Arial" w:cs="Arial"/>
          <w:color w:val="000000" w:themeColor="text1"/>
          <w:kern w:val="1"/>
          <w:sz w:val="22"/>
          <w:szCs w:val="22"/>
        </w:rPr>
        <w:t xml:space="preserve">La COSUMAF </w:t>
      </w:r>
      <w:r w:rsidRPr="00A64175">
        <w:rPr>
          <w:rFonts w:ascii="Arial" w:hAnsi="Arial" w:cs="Arial"/>
          <w:color w:val="000000" w:themeColor="text1"/>
          <w:sz w:val="22"/>
          <w:szCs w:val="22"/>
          <w:shd w:val="clear" w:color="auto" w:fill="FFFFFF"/>
        </w:rPr>
        <w:t xml:space="preserve">se prononce sur les modifications de ces règles dans un délai d’un (01) mois à compter de la réception de la demande ou, le cas échéant, des informations complémentaires qu'elle a demandées. </w:t>
      </w:r>
    </w:p>
    <w:p w14:paraId="25B788E1" w14:textId="77777777" w:rsidR="000A04E5" w:rsidRPr="00A64175" w:rsidRDefault="000A04E5" w:rsidP="00A64175">
      <w:pPr>
        <w:jc w:val="both"/>
        <w:rPr>
          <w:rFonts w:ascii="Arial" w:hAnsi="Arial" w:cs="Arial"/>
          <w:color w:val="000000" w:themeColor="text1"/>
          <w:sz w:val="22"/>
          <w:szCs w:val="22"/>
          <w:shd w:val="clear" w:color="auto" w:fill="FFFFFF"/>
        </w:rPr>
      </w:pPr>
    </w:p>
    <w:p w14:paraId="66C1DADF" w14:textId="7E7EBA1A" w:rsidR="00044ACE" w:rsidRPr="00A64175" w:rsidRDefault="000A04E5" w:rsidP="00A64175">
      <w:pPr>
        <w:shd w:val="clear" w:color="auto" w:fill="FFFFFF"/>
        <w:spacing w:after="150"/>
        <w:jc w:val="both"/>
        <w:rPr>
          <w:rFonts w:ascii="Arial" w:eastAsia="Times New Roman" w:hAnsi="Arial" w:cs="Arial"/>
          <w:color w:val="000000" w:themeColor="text1"/>
          <w:sz w:val="22"/>
          <w:szCs w:val="22"/>
        </w:rPr>
      </w:pPr>
      <w:r w:rsidRPr="00A64175">
        <w:rPr>
          <w:rFonts w:ascii="Arial" w:hAnsi="Arial" w:cs="Arial"/>
          <w:b/>
          <w:bCs/>
          <w:color w:val="000000" w:themeColor="text1"/>
          <w:sz w:val="22"/>
          <w:szCs w:val="22"/>
        </w:rPr>
        <w:t>Article 5</w:t>
      </w:r>
      <w:r w:rsidR="00795FFE">
        <w:rPr>
          <w:rFonts w:ascii="Arial" w:hAnsi="Arial" w:cs="Arial"/>
          <w:b/>
          <w:bCs/>
          <w:color w:val="000000" w:themeColor="text1"/>
          <w:sz w:val="22"/>
          <w:szCs w:val="22"/>
        </w:rPr>
        <w:t xml:space="preserve">56 </w:t>
      </w:r>
      <w:r w:rsidR="00044ACE" w:rsidRPr="00A64175">
        <w:rPr>
          <w:rFonts w:ascii="Arial" w:hAnsi="Arial" w:cs="Arial"/>
          <w:b/>
          <w:bCs/>
          <w:color w:val="000000" w:themeColor="text1"/>
          <w:sz w:val="22"/>
          <w:szCs w:val="22"/>
        </w:rPr>
        <w:t xml:space="preserve"> - </w:t>
      </w:r>
      <w:r w:rsidR="00044ACE" w:rsidRPr="00A64175">
        <w:rPr>
          <w:rFonts w:ascii="Arial" w:hAnsi="Arial" w:cs="Arial"/>
          <w:color w:val="000000" w:themeColor="text1"/>
          <w:sz w:val="22"/>
          <w:szCs w:val="22"/>
        </w:rPr>
        <w:t xml:space="preserve">Aux fins de son agrément et de sa surveillance, ainsi que de l’information de ses clients, le dépositaire central dispose des règles, des procédures et de contrats clairs et compréhensibles pour tous les systèmes de règlement-livraison de titres qu’il exploite et tous les autres services qu’il fournit. </w:t>
      </w:r>
      <w:r w:rsidR="00044ACE" w:rsidRPr="00A64175">
        <w:rPr>
          <w:rFonts w:ascii="Arial" w:eastAsia="Times New Roman" w:hAnsi="Arial" w:cs="Arial"/>
          <w:color w:val="000000" w:themeColor="text1"/>
          <w:sz w:val="22"/>
          <w:szCs w:val="22"/>
        </w:rPr>
        <w:t>Le dépositaire central veille au respect de ses règles de fonctionnement par les personnes qui y sont soumises.</w:t>
      </w:r>
    </w:p>
    <w:p w14:paraId="35F68D41" w14:textId="77777777" w:rsidR="00044ACE" w:rsidRPr="00A64175" w:rsidRDefault="00044ACE" w:rsidP="00A64175">
      <w:pPr>
        <w:widowControl w:val="0"/>
        <w:autoSpaceDE w:val="0"/>
        <w:adjustRightInd w:val="0"/>
        <w:jc w:val="both"/>
        <w:rPr>
          <w:rFonts w:ascii="Arial" w:eastAsia="Times New Roman" w:hAnsi="Arial" w:cs="Arial"/>
          <w:color w:val="000000" w:themeColor="text1"/>
          <w:sz w:val="22"/>
          <w:szCs w:val="22"/>
        </w:rPr>
      </w:pPr>
      <w:r w:rsidRPr="00A64175">
        <w:rPr>
          <w:rFonts w:ascii="Arial" w:eastAsia="Times New Roman" w:hAnsi="Arial" w:cs="Arial"/>
          <w:color w:val="000000" w:themeColor="text1"/>
          <w:sz w:val="22"/>
          <w:szCs w:val="22"/>
        </w:rPr>
        <w:t>Lorsqu'un dépositaire central constate le non-respect de ses règles de fonctionnement, il en informe immédiatement la COSUMAF.</w:t>
      </w:r>
    </w:p>
    <w:p w14:paraId="42E64DB4" w14:textId="77777777" w:rsidR="000A04E5" w:rsidRPr="00A64175" w:rsidRDefault="000A04E5" w:rsidP="00A64175">
      <w:pPr>
        <w:widowControl w:val="0"/>
        <w:autoSpaceDE w:val="0"/>
        <w:adjustRightInd w:val="0"/>
        <w:jc w:val="both"/>
        <w:rPr>
          <w:rFonts w:ascii="Arial" w:eastAsia="Times New Roman" w:hAnsi="Arial" w:cs="Arial"/>
          <w:color w:val="000000" w:themeColor="text1"/>
          <w:sz w:val="22"/>
          <w:szCs w:val="22"/>
        </w:rPr>
      </w:pPr>
    </w:p>
    <w:p w14:paraId="4E95D433" w14:textId="77777777" w:rsidR="00044ACE" w:rsidRPr="00A64175" w:rsidRDefault="00044ACE" w:rsidP="00A64175">
      <w:pPr>
        <w:widowControl w:val="0"/>
        <w:autoSpaceDE w:val="0"/>
        <w:adjustRightInd w:val="0"/>
        <w:jc w:val="both"/>
        <w:rPr>
          <w:rFonts w:ascii="Arial" w:hAnsi="Arial" w:cs="Arial"/>
          <w:color w:val="000000" w:themeColor="text1"/>
          <w:sz w:val="22"/>
          <w:szCs w:val="22"/>
        </w:rPr>
      </w:pPr>
      <w:r w:rsidRPr="00A64175">
        <w:rPr>
          <w:rFonts w:ascii="Arial" w:hAnsi="Arial" w:cs="Arial"/>
          <w:color w:val="000000" w:themeColor="text1"/>
          <w:sz w:val="22"/>
          <w:szCs w:val="22"/>
        </w:rPr>
        <w:t>La COSUMAF peut préciser par voie d’instruction les conditions dans lesquelles le Dépositaire Central établit ces règles, des procédures et de contrats.</w:t>
      </w:r>
    </w:p>
    <w:p w14:paraId="28759BCA" w14:textId="77777777" w:rsidR="000A04E5" w:rsidRPr="00A64175" w:rsidRDefault="000A04E5" w:rsidP="00A64175">
      <w:pPr>
        <w:widowControl w:val="0"/>
        <w:autoSpaceDE w:val="0"/>
        <w:adjustRightInd w:val="0"/>
        <w:jc w:val="both"/>
        <w:rPr>
          <w:rFonts w:ascii="Arial" w:hAnsi="Arial" w:cs="Arial"/>
          <w:color w:val="000000" w:themeColor="text1"/>
          <w:sz w:val="22"/>
          <w:szCs w:val="22"/>
        </w:rPr>
      </w:pPr>
    </w:p>
    <w:p w14:paraId="64FA7D58" w14:textId="56E2AAF3" w:rsidR="00044ACE" w:rsidRPr="00A64175" w:rsidRDefault="000A04E5" w:rsidP="00A64175">
      <w:pPr>
        <w:widowControl w:val="0"/>
        <w:autoSpaceDE w:val="0"/>
        <w:adjustRightInd w:val="0"/>
        <w:jc w:val="both"/>
        <w:rPr>
          <w:rFonts w:ascii="Arial" w:hAnsi="Arial" w:cs="Arial"/>
          <w:b/>
          <w:bCs/>
          <w:color w:val="000000" w:themeColor="text1"/>
          <w:sz w:val="22"/>
          <w:szCs w:val="22"/>
        </w:rPr>
      </w:pPr>
      <w:r w:rsidRPr="00A64175">
        <w:rPr>
          <w:rFonts w:ascii="Arial" w:hAnsi="Arial" w:cs="Arial"/>
          <w:b/>
          <w:bCs/>
          <w:color w:val="000000" w:themeColor="text1"/>
          <w:sz w:val="22"/>
          <w:szCs w:val="22"/>
        </w:rPr>
        <w:t>Article 5</w:t>
      </w:r>
      <w:r w:rsidR="00BB3A59">
        <w:rPr>
          <w:rFonts w:ascii="Arial" w:hAnsi="Arial" w:cs="Arial"/>
          <w:b/>
          <w:bCs/>
          <w:color w:val="000000" w:themeColor="text1"/>
          <w:sz w:val="22"/>
          <w:szCs w:val="22"/>
        </w:rPr>
        <w:t xml:space="preserve">57 </w:t>
      </w:r>
      <w:r w:rsidR="00044ACE" w:rsidRPr="00A64175">
        <w:rPr>
          <w:rFonts w:ascii="Arial" w:hAnsi="Arial" w:cs="Arial"/>
          <w:b/>
          <w:bCs/>
          <w:color w:val="000000" w:themeColor="text1"/>
          <w:sz w:val="22"/>
          <w:szCs w:val="22"/>
        </w:rPr>
        <w:t xml:space="preserve"> – </w:t>
      </w:r>
      <w:r w:rsidR="00044ACE" w:rsidRPr="00A64175">
        <w:rPr>
          <w:rFonts w:ascii="Arial" w:hAnsi="Arial" w:cs="Arial"/>
          <w:color w:val="000000" w:themeColor="text1"/>
          <w:sz w:val="22"/>
          <w:szCs w:val="22"/>
        </w:rPr>
        <w:t>Le Dépositaire Central doit, en toutes circonstances :</w:t>
      </w:r>
    </w:p>
    <w:p w14:paraId="78A78A7B" w14:textId="77777777" w:rsidR="00044ACE" w:rsidRPr="00A64175" w:rsidRDefault="00044ACE" w:rsidP="00A64175">
      <w:pPr>
        <w:widowControl w:val="0"/>
        <w:autoSpaceDE w:val="0"/>
        <w:adjustRightInd w:val="0"/>
        <w:jc w:val="both"/>
        <w:rPr>
          <w:rFonts w:ascii="Arial" w:hAnsi="Arial" w:cs="Arial"/>
          <w:color w:val="000000" w:themeColor="text1"/>
          <w:kern w:val="1"/>
          <w:sz w:val="22"/>
          <w:szCs w:val="22"/>
        </w:rPr>
      </w:pPr>
    </w:p>
    <w:p w14:paraId="4E789801"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Faire preuve d'intégrité</w:t>
      </w:r>
    </w:p>
    <w:p w14:paraId="036C3A01"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Veiller à l’égalité de traitement et d’information des intervenants des Etats membres de la CEMAC ; </w:t>
      </w:r>
    </w:p>
    <w:p w14:paraId="69F9F175" w14:textId="77777777" w:rsidR="00044ACE" w:rsidRPr="00A64175" w:rsidRDefault="00044ACE" w:rsidP="00A64175">
      <w:pPr>
        <w:pStyle w:val="Paragraphedeliste"/>
        <w:widowControl w:val="0"/>
        <w:numPr>
          <w:ilvl w:val="0"/>
          <w:numId w:val="14"/>
        </w:numPr>
        <w:tabs>
          <w:tab w:val="left" w:pos="220"/>
          <w:tab w:val="left" w:pos="720"/>
        </w:tabs>
        <w:autoSpaceDE w:val="0"/>
        <w:adjustRightInd w:val="0"/>
        <w:spacing w:before="0" w:beforeAutospacing="0" w:after="0" w:afterAutospacing="0" w:line="240" w:lineRule="auto"/>
        <w:rPr>
          <w:color w:val="000000" w:themeColor="text1"/>
          <w:kern w:val="1"/>
          <w:sz w:val="22"/>
          <w:szCs w:val="22"/>
        </w:rPr>
      </w:pPr>
      <w:r w:rsidRPr="00A64175">
        <w:rPr>
          <w:color w:val="000000" w:themeColor="text1"/>
          <w:sz w:val="22"/>
          <w:szCs w:val="22"/>
        </w:rPr>
        <w:t>Contribuer au bon fonctionnement du marché et à la préservation de la stabilité financière ;</w:t>
      </w:r>
    </w:p>
    <w:p w14:paraId="34B0FF14" w14:textId="77777777" w:rsidR="00044ACE" w:rsidRPr="00A64175" w:rsidRDefault="00044ACE" w:rsidP="00A64175">
      <w:pPr>
        <w:pStyle w:val="Paragraphedeliste"/>
        <w:widowControl w:val="0"/>
        <w:numPr>
          <w:ilvl w:val="0"/>
          <w:numId w:val="14"/>
        </w:numPr>
        <w:tabs>
          <w:tab w:val="left" w:pos="220"/>
          <w:tab w:val="left" w:pos="720"/>
        </w:tabs>
        <w:autoSpaceDE w:val="0"/>
        <w:adjustRightInd w:val="0"/>
        <w:spacing w:before="0" w:beforeAutospacing="0" w:after="0" w:afterAutospacing="0" w:line="240" w:lineRule="auto"/>
        <w:rPr>
          <w:color w:val="000000" w:themeColor="text1"/>
          <w:kern w:val="1"/>
          <w:sz w:val="22"/>
          <w:szCs w:val="22"/>
        </w:rPr>
      </w:pPr>
      <w:r w:rsidRPr="00A64175">
        <w:rPr>
          <w:color w:val="000000" w:themeColor="text1"/>
          <w:sz w:val="22"/>
          <w:szCs w:val="22"/>
        </w:rPr>
        <w:t>Veiller à la fiabilité des systèmes qu’il gère ;</w:t>
      </w:r>
    </w:p>
    <w:p w14:paraId="0536797C"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Assurer la transparence de ses opérations ;</w:t>
      </w:r>
    </w:p>
    <w:p w14:paraId="15DF4E02"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Veiller à la sécurité des transactions ;</w:t>
      </w:r>
    </w:p>
    <w:p w14:paraId="32C072E7"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Prévenir les pratiques illicites de ses adhérents ;</w:t>
      </w:r>
    </w:p>
    <w:p w14:paraId="1C04C908" w14:textId="77777777" w:rsidR="00044ACE" w:rsidRPr="00A64175" w:rsidRDefault="00044ACE" w:rsidP="00A64175">
      <w:pPr>
        <w:widowControl w:val="0"/>
        <w:numPr>
          <w:ilvl w:val="0"/>
          <w:numId w:val="14"/>
        </w:numPr>
        <w:tabs>
          <w:tab w:val="left" w:pos="220"/>
          <w:tab w:val="left" w:pos="720"/>
        </w:tabs>
        <w:autoSpaceDE w:val="0"/>
        <w:autoSpaceDN w:val="0"/>
        <w:adjustRightInd w:val="0"/>
        <w:jc w:val="both"/>
        <w:rPr>
          <w:rFonts w:ascii="Arial" w:hAnsi="Arial" w:cs="Arial"/>
          <w:color w:val="000000" w:themeColor="text1"/>
          <w:kern w:val="1"/>
          <w:sz w:val="22"/>
          <w:szCs w:val="22"/>
        </w:rPr>
      </w:pPr>
      <w:r w:rsidRPr="00A64175">
        <w:rPr>
          <w:rFonts w:ascii="Arial" w:hAnsi="Arial" w:cs="Arial"/>
          <w:color w:val="000000" w:themeColor="text1"/>
          <w:sz w:val="22"/>
          <w:szCs w:val="22"/>
        </w:rPr>
        <w:t>Veiller à la protection des investisseurs.</w:t>
      </w:r>
    </w:p>
    <w:p w14:paraId="7EA10BD3" w14:textId="77777777" w:rsidR="00044ACE" w:rsidRPr="00A64175" w:rsidRDefault="00044ACE" w:rsidP="00A64175">
      <w:pPr>
        <w:widowControl w:val="0"/>
        <w:autoSpaceDE w:val="0"/>
        <w:adjustRightInd w:val="0"/>
        <w:jc w:val="both"/>
        <w:rPr>
          <w:rFonts w:ascii="Arial" w:eastAsia="Times New Roman" w:hAnsi="Arial" w:cs="Arial"/>
          <w:color w:val="000000" w:themeColor="text1"/>
          <w:sz w:val="22"/>
          <w:szCs w:val="22"/>
        </w:rPr>
      </w:pPr>
    </w:p>
    <w:p w14:paraId="3CF41B57" w14:textId="77777777" w:rsidR="000A04E5" w:rsidRPr="00A64175" w:rsidRDefault="000A04E5" w:rsidP="00A64175">
      <w:pPr>
        <w:widowControl w:val="0"/>
        <w:autoSpaceDE w:val="0"/>
        <w:adjustRightInd w:val="0"/>
        <w:jc w:val="both"/>
        <w:rPr>
          <w:rFonts w:ascii="Arial" w:eastAsia="Times New Roman" w:hAnsi="Arial" w:cs="Arial"/>
          <w:color w:val="000000" w:themeColor="text1"/>
          <w:sz w:val="22"/>
          <w:szCs w:val="22"/>
        </w:rPr>
      </w:pPr>
    </w:p>
    <w:tbl>
      <w:tblPr>
        <w:tblStyle w:val="Grilledutableau"/>
        <w:tblW w:w="9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5"/>
      </w:tblGrid>
      <w:tr w:rsidR="00044ACE" w:rsidRPr="00A64175" w14:paraId="153C8300" w14:textId="77777777" w:rsidTr="00044ACE">
        <w:trPr>
          <w:trHeight w:val="3950"/>
        </w:trPr>
        <w:tc>
          <w:tcPr>
            <w:tcW w:w="9445" w:type="dxa"/>
          </w:tcPr>
          <w:p w14:paraId="034F8848" w14:textId="1547EDC8"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58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Sans préjudice d’éventuelles mesures correctives, l’agrément octroyé au Dépositaire Central peut être retiré par décision motivée de la COSUMAF, si :</w:t>
            </w:r>
          </w:p>
          <w:p w14:paraId="1D2BD18E" w14:textId="77777777" w:rsidR="00044ACE" w:rsidRPr="00A64175" w:rsidRDefault="00044ACE" w:rsidP="00A64175">
            <w:pPr>
              <w:widowControl w:val="0"/>
              <w:autoSpaceDE w:val="0"/>
              <w:adjustRightInd w:val="0"/>
              <w:jc w:val="both"/>
              <w:rPr>
                <w:rFonts w:ascii="Arial" w:hAnsi="Arial" w:cs="Arial"/>
                <w:color w:val="000000" w:themeColor="text1"/>
              </w:rPr>
            </w:pPr>
          </w:p>
          <w:p w14:paraId="3512EC30"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Le dépositaire central n’a pas fait usage de l’agrément pendant douze mois, renonce expressément à l’agrément ou n’a fourni aucun service ni exercé aucune activité au cours des six derniers mois ; </w:t>
            </w:r>
          </w:p>
          <w:p w14:paraId="31FBAF60"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A obtenu l’agrément au moyen de fausses déclarations ou par tout autre moyen illicite ; </w:t>
            </w:r>
          </w:p>
          <w:p w14:paraId="1F83C9B9"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Ne respecte plus les conditions d’octroi de l’agrément et n’a pas pris les mesures correctives demandées par la COSUMAF dans un délai déterminé ; </w:t>
            </w:r>
          </w:p>
          <w:p w14:paraId="1DDE7B80"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A enfreint de manière grave ou systématique les exigences énoncées au présent règlement.</w:t>
            </w:r>
          </w:p>
          <w:p w14:paraId="7BC9B942" w14:textId="77777777" w:rsidR="000A04E5" w:rsidRPr="00A64175" w:rsidRDefault="000A04E5" w:rsidP="00A64175">
            <w:pPr>
              <w:pStyle w:val="Paragraphedeliste"/>
              <w:widowControl w:val="0"/>
              <w:autoSpaceDE w:val="0"/>
              <w:adjustRightInd w:val="0"/>
              <w:spacing w:before="0" w:beforeAutospacing="0" w:after="0" w:afterAutospacing="0" w:line="240" w:lineRule="auto"/>
              <w:rPr>
                <w:b/>
                <w:bCs/>
                <w:color w:val="000000" w:themeColor="text1"/>
              </w:rPr>
            </w:pPr>
          </w:p>
          <w:p w14:paraId="7B34A74D"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r w:rsidRPr="00A64175">
              <w:rPr>
                <w:rFonts w:ascii="Arial" w:hAnsi="Arial" w:cs="Arial"/>
                <w:color w:val="000000" w:themeColor="text1"/>
              </w:rPr>
              <w:t xml:space="preserve">Dès qu’elle a connaissance de l’une de ces circonstances la COSUMAF consulte immédiatement la BEAC sur la nécessité de retirer l’agrément. </w:t>
            </w:r>
          </w:p>
          <w:p w14:paraId="2E0331F4"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p>
          <w:p w14:paraId="4BA03695"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r w:rsidRPr="00A64175">
              <w:rPr>
                <w:rFonts w:ascii="Arial" w:hAnsi="Arial" w:cs="Arial"/>
                <w:color w:val="000000" w:themeColor="text1"/>
              </w:rPr>
              <w:t xml:space="preserve">La COSUMAF peut limiter le retrait de l’agrément à un service, à une activité ou à un instrument financier particulier. </w:t>
            </w:r>
          </w:p>
          <w:p w14:paraId="5C5ABCE8"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p>
          <w:p w14:paraId="200DF4C3"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r w:rsidRPr="00A64175">
              <w:rPr>
                <w:rFonts w:ascii="Arial" w:hAnsi="Arial" w:cs="Arial"/>
                <w:color w:val="000000" w:themeColor="text1"/>
              </w:rPr>
              <w:t>En cas de retrait d’agrément, Le dépositaire central établit, met en œuvre et garde opérationnelle une procédure adéquate garantissant que les actifs de ses clients et participants soient rapidement et de manière ordonnée réglés et transférés vers un autre dépositaire central.</w:t>
            </w:r>
          </w:p>
          <w:p w14:paraId="5273A692"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p>
          <w:p w14:paraId="39C9FEB0" w14:textId="77777777" w:rsidR="00044ACE" w:rsidRPr="00A64175" w:rsidRDefault="00044ACE" w:rsidP="00A64175">
            <w:pPr>
              <w:jc w:val="both"/>
              <w:rPr>
                <w:rFonts w:ascii="Arial" w:hAnsi="Arial" w:cs="Arial"/>
                <w:color w:val="000000" w:themeColor="text1"/>
              </w:rPr>
            </w:pPr>
            <w:r w:rsidRPr="00A64175">
              <w:rPr>
                <w:rFonts w:ascii="Arial" w:hAnsi="Arial" w:cs="Arial"/>
                <w:color w:val="000000" w:themeColor="text1"/>
              </w:rPr>
              <w:t>Une instruction de la COSUMAF précise les conditions du retrait de l’agrément du Dépositaire Central.</w:t>
            </w:r>
          </w:p>
        </w:tc>
      </w:tr>
      <w:tr w:rsidR="00044ACE" w:rsidRPr="00A64175" w14:paraId="6F85DE1A" w14:textId="77777777" w:rsidTr="00044ACE">
        <w:tc>
          <w:tcPr>
            <w:tcW w:w="9445" w:type="dxa"/>
          </w:tcPr>
          <w:p w14:paraId="4D7A6167"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04D52552" w14:textId="77777777" w:rsidR="000A04E5" w:rsidRPr="00A64175" w:rsidRDefault="000A04E5" w:rsidP="00A64175">
            <w:pPr>
              <w:widowControl w:val="0"/>
              <w:autoSpaceDE w:val="0"/>
              <w:adjustRightInd w:val="0"/>
              <w:jc w:val="both"/>
              <w:rPr>
                <w:rFonts w:ascii="Arial" w:hAnsi="Arial" w:cs="Arial"/>
                <w:b/>
                <w:bCs/>
                <w:color w:val="000000" w:themeColor="text1"/>
              </w:rPr>
            </w:pPr>
          </w:p>
          <w:p w14:paraId="6AF7946B"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 xml:space="preserve">Section II : Les fonctions du Dépositaire Central    </w:t>
            </w:r>
          </w:p>
          <w:p w14:paraId="3705AB35" w14:textId="77777777" w:rsidR="00044ACE" w:rsidRPr="00A64175" w:rsidRDefault="00044ACE" w:rsidP="00A64175">
            <w:pPr>
              <w:jc w:val="both"/>
              <w:rPr>
                <w:rFonts w:ascii="Arial" w:hAnsi="Arial" w:cs="Arial"/>
                <w:color w:val="000000" w:themeColor="text1"/>
              </w:rPr>
            </w:pPr>
          </w:p>
        </w:tc>
      </w:tr>
      <w:tr w:rsidR="00044ACE" w:rsidRPr="00A64175" w14:paraId="24C92D72" w14:textId="77777777" w:rsidTr="00044ACE">
        <w:tc>
          <w:tcPr>
            <w:tcW w:w="9445" w:type="dxa"/>
          </w:tcPr>
          <w:p w14:paraId="7DA68114" w14:textId="3ED2D2B4" w:rsidR="00044ACE" w:rsidRPr="00A64175" w:rsidRDefault="00044ACE" w:rsidP="00A64175">
            <w:pPr>
              <w:tabs>
                <w:tab w:val="left" w:pos="1335"/>
              </w:tabs>
              <w:jc w:val="both"/>
              <w:rPr>
                <w:rFonts w:ascii="Arial" w:hAnsi="Arial" w:cs="Arial"/>
                <w:b/>
                <w:color w:val="000000" w:themeColor="text1"/>
              </w:rPr>
            </w:pPr>
            <w:r w:rsidRPr="00A64175">
              <w:rPr>
                <w:rFonts w:ascii="Arial" w:hAnsi="Arial" w:cs="Arial"/>
                <w:b/>
                <w:color w:val="000000" w:themeColor="text1"/>
              </w:rPr>
              <w:t>Sous-section I </w:t>
            </w:r>
            <w:r w:rsidR="000E7336" w:rsidRPr="00A64175">
              <w:rPr>
                <w:rFonts w:ascii="Arial" w:hAnsi="Arial" w:cs="Arial"/>
                <w:b/>
                <w:color w:val="000000" w:themeColor="text1"/>
              </w:rPr>
              <w:t>: La</w:t>
            </w:r>
            <w:r w:rsidRPr="00A64175">
              <w:rPr>
                <w:rFonts w:ascii="Arial" w:hAnsi="Arial" w:cs="Arial"/>
                <w:b/>
                <w:color w:val="000000" w:themeColor="text1"/>
              </w:rPr>
              <w:t xml:space="preserve"> fonction notariale</w:t>
            </w:r>
          </w:p>
          <w:p w14:paraId="77B2E35C"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4CBAE5F" w14:textId="77777777" w:rsidTr="00044ACE">
        <w:tc>
          <w:tcPr>
            <w:tcW w:w="9445" w:type="dxa"/>
          </w:tcPr>
          <w:p w14:paraId="54E12CFA" w14:textId="002BAC3F"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59 </w:t>
            </w:r>
            <w:r w:rsidR="00044ACE" w:rsidRPr="00A64175">
              <w:rPr>
                <w:rFonts w:ascii="Arial" w:hAnsi="Arial" w:cs="Arial"/>
                <w:b/>
                <w:bCs/>
                <w:color w:val="000000" w:themeColor="text1"/>
              </w:rPr>
              <w:t xml:space="preserve"> – </w:t>
            </w:r>
            <w:r w:rsidR="00044ACE" w:rsidRPr="00A64175">
              <w:rPr>
                <w:rFonts w:ascii="Arial" w:hAnsi="Arial" w:cs="Arial"/>
                <w:color w:val="000000" w:themeColor="text1"/>
              </w:rPr>
              <w:t>Dans le cadre des émissions dont il assure la fonction notariale, le dépositaire central :</w:t>
            </w:r>
          </w:p>
          <w:p w14:paraId="5D87665C" w14:textId="77777777" w:rsidR="00044ACE" w:rsidRPr="00A64175" w:rsidRDefault="00044ACE" w:rsidP="00A64175">
            <w:pPr>
              <w:pStyle w:val="NormalWeb"/>
              <w:numPr>
                <w:ilvl w:val="0"/>
                <w:numId w:val="236"/>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Enregistre dans un compte spécifique les titres financiers admis à ses opérations ;</w:t>
            </w:r>
          </w:p>
          <w:p w14:paraId="2E6EB4B6" w14:textId="77777777" w:rsidR="00044ACE" w:rsidRPr="00A64175" w:rsidRDefault="00044ACE" w:rsidP="00A64175">
            <w:pPr>
              <w:pStyle w:val="NormalWeb"/>
              <w:numPr>
                <w:ilvl w:val="0"/>
                <w:numId w:val="236"/>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Lorsque son agrément comprend la fourniture du service lie aux opérations sur titres, prend toutes dispositions nécessaires pour permettre l'exercice des droits attachés aux instruments financiers enregistrés en comptes courants ;</w:t>
            </w:r>
          </w:p>
          <w:p w14:paraId="68176310" w14:textId="77777777" w:rsidR="00044ACE" w:rsidRPr="00A64175" w:rsidRDefault="00044ACE" w:rsidP="00A64175">
            <w:pPr>
              <w:pStyle w:val="NormalWeb"/>
              <w:numPr>
                <w:ilvl w:val="0"/>
                <w:numId w:val="237"/>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Transmet les informations nominatives relatives aux titulaires d'instruments financiers entre les personnes ayant accès au dépositaire central de titres et les personnes morales émettrices ;</w:t>
            </w:r>
          </w:p>
          <w:p w14:paraId="64403873" w14:textId="77777777" w:rsidR="00044ACE" w:rsidRPr="00A64175" w:rsidRDefault="00044ACE" w:rsidP="00A64175">
            <w:pPr>
              <w:pStyle w:val="NormalWeb"/>
              <w:numPr>
                <w:ilvl w:val="0"/>
                <w:numId w:val="238"/>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Émet des certificats représentatifs d'instruments financiers de droit CEMAC à destination d’institutions Hors zone CEMAC.</w:t>
            </w:r>
          </w:p>
          <w:p w14:paraId="79D102E0" w14:textId="77777777" w:rsidR="00044ACE" w:rsidRPr="00A64175" w:rsidRDefault="00044ACE"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Les règles de fonctionnement du dépositaire central définissent les modalités d'exercice de ces dispositions.</w:t>
            </w:r>
          </w:p>
          <w:p w14:paraId="0EC2733D" w14:textId="77777777" w:rsidR="000A04E5" w:rsidRPr="00A64175" w:rsidRDefault="000A04E5" w:rsidP="00A64175">
            <w:pPr>
              <w:pStyle w:val="NormalWeb"/>
              <w:shd w:val="clear" w:color="auto" w:fill="FFFFFF"/>
              <w:spacing w:before="0" w:beforeAutospacing="0" w:after="150" w:afterAutospacing="0"/>
              <w:jc w:val="both"/>
              <w:rPr>
                <w:rFonts w:ascii="Arial" w:hAnsi="Arial" w:cs="Arial"/>
                <w:color w:val="000000" w:themeColor="text1"/>
                <w:sz w:val="22"/>
                <w:szCs w:val="22"/>
              </w:rPr>
            </w:pPr>
          </w:p>
        </w:tc>
      </w:tr>
      <w:tr w:rsidR="00044ACE" w:rsidRPr="00A64175" w14:paraId="2B09775E" w14:textId="77777777" w:rsidTr="00044ACE">
        <w:tc>
          <w:tcPr>
            <w:tcW w:w="9445" w:type="dxa"/>
          </w:tcPr>
          <w:p w14:paraId="24ED49BB" w14:textId="05C9D0A1" w:rsidR="00044ACE" w:rsidRPr="00A64175" w:rsidRDefault="00044ACE" w:rsidP="00A64175">
            <w:pPr>
              <w:tabs>
                <w:tab w:val="left" w:pos="1335"/>
              </w:tabs>
              <w:jc w:val="both"/>
              <w:rPr>
                <w:rFonts w:ascii="Arial" w:hAnsi="Arial" w:cs="Arial"/>
                <w:b/>
                <w:color w:val="000000" w:themeColor="text1"/>
              </w:rPr>
            </w:pPr>
            <w:r w:rsidRPr="00A64175">
              <w:rPr>
                <w:rFonts w:ascii="Arial" w:hAnsi="Arial" w:cs="Arial"/>
                <w:b/>
                <w:color w:val="000000" w:themeColor="text1"/>
              </w:rPr>
              <w:t>Sous-section II </w:t>
            </w:r>
            <w:r w:rsidR="000E7336" w:rsidRPr="00A64175">
              <w:rPr>
                <w:rFonts w:ascii="Arial" w:hAnsi="Arial" w:cs="Arial"/>
                <w:b/>
                <w:color w:val="000000" w:themeColor="text1"/>
              </w:rPr>
              <w:t>: Intégrité</w:t>
            </w:r>
            <w:r w:rsidRPr="00A64175">
              <w:rPr>
                <w:rFonts w:ascii="Arial" w:hAnsi="Arial" w:cs="Arial"/>
                <w:b/>
                <w:color w:val="000000" w:themeColor="text1"/>
              </w:rPr>
              <w:t xml:space="preserve"> des émissions</w:t>
            </w:r>
          </w:p>
          <w:p w14:paraId="3E324EE5" w14:textId="77777777" w:rsidR="00044ACE" w:rsidRPr="00A64175" w:rsidRDefault="00044ACE" w:rsidP="00A64175">
            <w:pPr>
              <w:jc w:val="both"/>
              <w:rPr>
                <w:rFonts w:ascii="Arial" w:hAnsi="Arial" w:cs="Arial"/>
                <w:b/>
                <w:bCs/>
                <w:color w:val="000000" w:themeColor="text1"/>
              </w:rPr>
            </w:pPr>
          </w:p>
        </w:tc>
      </w:tr>
      <w:tr w:rsidR="00044ACE" w:rsidRPr="00A64175" w14:paraId="2A4E969A" w14:textId="77777777" w:rsidTr="00044ACE">
        <w:tc>
          <w:tcPr>
            <w:tcW w:w="9445" w:type="dxa"/>
          </w:tcPr>
          <w:p w14:paraId="25351243" w14:textId="7A2B4495"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60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Les découverts ou soldes débiteurs de comptes de titres et la création de titres ne sont pas autorisés au sein d’un système de règlement de titres exploité par le dépositaire central.</w:t>
            </w:r>
          </w:p>
          <w:p w14:paraId="000A6844"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2FB2603C" w14:textId="77777777" w:rsidTr="00044ACE">
        <w:tc>
          <w:tcPr>
            <w:tcW w:w="9445" w:type="dxa"/>
          </w:tcPr>
          <w:p w14:paraId="23F457A2" w14:textId="336290E5"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61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prend les mesures de rapprochement comptable appropriées afin de vérifier que le nombre de titres qui composent une émission ou une partie d’émission qui lui est confiée est égal à la somme des titres enregistrés sur les comptes de titres des participants au système de règlement de titres qu’il exploite et, le cas échéant, sur les comptes de titulaires qu’il tient. </w:t>
            </w:r>
          </w:p>
          <w:p w14:paraId="7E557690" w14:textId="5A260C43" w:rsidR="00044ACE" w:rsidRPr="00A64175" w:rsidRDefault="00044ACE" w:rsidP="00A64175">
            <w:pPr>
              <w:tabs>
                <w:tab w:val="left" w:pos="1335"/>
              </w:tabs>
              <w:jc w:val="both"/>
              <w:rPr>
                <w:rFonts w:ascii="Arial" w:hAnsi="Arial" w:cs="Arial"/>
                <w:color w:val="000000" w:themeColor="text1"/>
              </w:rPr>
            </w:pPr>
          </w:p>
        </w:tc>
      </w:tr>
      <w:tr w:rsidR="00044ACE" w:rsidRPr="00A64175" w14:paraId="64AB3304" w14:textId="77777777" w:rsidTr="00044ACE">
        <w:tc>
          <w:tcPr>
            <w:tcW w:w="9445" w:type="dxa"/>
          </w:tcPr>
          <w:p w14:paraId="6922A341" w14:textId="77777777" w:rsidR="00044ACE" w:rsidRPr="00A64175" w:rsidRDefault="00044ACE" w:rsidP="00A64175">
            <w:pPr>
              <w:tabs>
                <w:tab w:val="left" w:pos="1335"/>
              </w:tabs>
              <w:jc w:val="both"/>
              <w:rPr>
                <w:rFonts w:ascii="Arial" w:hAnsi="Arial" w:cs="Arial"/>
                <w:b/>
                <w:bCs/>
                <w:color w:val="000000" w:themeColor="text1"/>
              </w:rPr>
            </w:pPr>
          </w:p>
          <w:p w14:paraId="70DDDD10" w14:textId="061DCC6A"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62 </w:t>
            </w:r>
            <w:r w:rsidR="00044ACE" w:rsidRPr="00A64175">
              <w:rPr>
                <w:rFonts w:ascii="Arial" w:hAnsi="Arial" w:cs="Arial"/>
                <w:b/>
                <w:bCs/>
                <w:color w:val="000000" w:themeColor="text1"/>
              </w:rPr>
              <w:t xml:space="preserve"> – </w:t>
            </w:r>
            <w:r w:rsidR="00044ACE" w:rsidRPr="00A64175">
              <w:rPr>
                <w:rFonts w:ascii="Arial" w:hAnsi="Arial" w:cs="Arial"/>
                <w:color w:val="000000" w:themeColor="text1"/>
              </w:rPr>
              <w:t>Le Dépositaire central peut, sous réserve d’</w:t>
            </w:r>
            <w:r w:rsidR="009D63C5">
              <w:rPr>
                <w:rFonts w:ascii="Arial" w:hAnsi="Arial" w:cs="Arial"/>
                <w:color w:val="000000" w:themeColor="text1"/>
              </w:rPr>
              <w:t xml:space="preserve">autorisation </w:t>
            </w:r>
            <w:r w:rsidR="00044ACE" w:rsidRPr="00A64175">
              <w:rPr>
                <w:rFonts w:ascii="Arial" w:hAnsi="Arial" w:cs="Arial"/>
                <w:color w:val="000000" w:themeColor="text1"/>
              </w:rPr>
              <w:t xml:space="preserve"> préalable de la COSUMAF, admettre à ses opérations des instruments financiers dont il ne tient pas le compte d’émission. </w:t>
            </w:r>
          </w:p>
          <w:p w14:paraId="0A769099" w14:textId="77777777" w:rsidR="00044ACE" w:rsidRPr="00A64175" w:rsidRDefault="00044ACE" w:rsidP="00A64175">
            <w:pPr>
              <w:tabs>
                <w:tab w:val="left" w:pos="1335"/>
              </w:tabs>
              <w:jc w:val="both"/>
              <w:rPr>
                <w:rFonts w:ascii="Arial" w:hAnsi="Arial" w:cs="Arial"/>
                <w:color w:val="000000" w:themeColor="text1"/>
              </w:rPr>
            </w:pPr>
          </w:p>
          <w:p w14:paraId="0195F2B6" w14:textId="77777777" w:rsidR="00044ACE" w:rsidRPr="00A64175" w:rsidRDefault="00044ACE" w:rsidP="00A64175">
            <w:pPr>
              <w:tabs>
                <w:tab w:val="left" w:pos="1335"/>
              </w:tabs>
              <w:jc w:val="both"/>
              <w:rPr>
                <w:rFonts w:ascii="Arial" w:hAnsi="Arial" w:cs="Arial"/>
                <w:color w:val="000000" w:themeColor="text1"/>
              </w:rPr>
            </w:pPr>
            <w:r w:rsidRPr="00A64175">
              <w:rPr>
                <w:rFonts w:ascii="Arial" w:hAnsi="Arial" w:cs="Arial"/>
                <w:color w:val="000000" w:themeColor="text1"/>
              </w:rPr>
              <w:t>Le cas échéant, et si d’autres entités, par exemple, l’émetteur un teneur de registre, un autre dépositaire de fonds d’investissement, un dépositaire central hors zone CEMAC, participent au processus de rapprochement comptable pour une émission donnée, le dépositaire central et toute autre entité concernée conviennent de mesures adéquates de coopération et d’échange d’informations afin de maintenir l’intégrité de l’émission.</w:t>
            </w:r>
          </w:p>
          <w:p w14:paraId="708CDB46" w14:textId="77777777" w:rsidR="00044ACE" w:rsidRPr="00A64175" w:rsidRDefault="00044ACE" w:rsidP="00A64175">
            <w:pPr>
              <w:tabs>
                <w:tab w:val="left" w:pos="1335"/>
              </w:tabs>
              <w:jc w:val="both"/>
              <w:rPr>
                <w:rFonts w:ascii="Arial" w:hAnsi="Arial" w:cs="Arial"/>
                <w:color w:val="000000" w:themeColor="text1"/>
              </w:rPr>
            </w:pPr>
          </w:p>
          <w:p w14:paraId="2E5A98F8" w14:textId="77777777" w:rsidR="00044ACE" w:rsidRPr="00A64175" w:rsidRDefault="00044ACE" w:rsidP="00A64175">
            <w:pPr>
              <w:tabs>
                <w:tab w:val="left" w:pos="1335"/>
              </w:tabs>
              <w:jc w:val="both"/>
              <w:rPr>
                <w:rFonts w:ascii="Arial" w:hAnsi="Arial" w:cs="Arial"/>
                <w:color w:val="000000" w:themeColor="text1"/>
              </w:rPr>
            </w:pPr>
          </w:p>
        </w:tc>
      </w:tr>
      <w:tr w:rsidR="00044ACE" w:rsidRPr="00A64175" w14:paraId="25DBD724" w14:textId="77777777" w:rsidTr="00044ACE">
        <w:tc>
          <w:tcPr>
            <w:tcW w:w="9445" w:type="dxa"/>
          </w:tcPr>
          <w:p w14:paraId="16D100E4" w14:textId="77777777" w:rsidR="00044ACE" w:rsidRPr="00A64175" w:rsidRDefault="00044ACE" w:rsidP="00A64175">
            <w:pPr>
              <w:tabs>
                <w:tab w:val="left" w:pos="1335"/>
              </w:tabs>
              <w:jc w:val="both"/>
              <w:rPr>
                <w:rFonts w:ascii="Arial" w:hAnsi="Arial" w:cs="Arial"/>
                <w:b/>
                <w:color w:val="000000" w:themeColor="text1"/>
              </w:rPr>
            </w:pPr>
            <w:r w:rsidRPr="00A64175">
              <w:rPr>
                <w:rFonts w:ascii="Arial" w:hAnsi="Arial" w:cs="Arial"/>
                <w:b/>
                <w:color w:val="000000" w:themeColor="text1"/>
              </w:rPr>
              <w:t xml:space="preserve">Sous-section III Gestion du système de Règlement livraison </w:t>
            </w:r>
          </w:p>
          <w:p w14:paraId="6B1BD589"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700A2A18" w14:textId="77777777" w:rsidTr="00044ACE">
        <w:tc>
          <w:tcPr>
            <w:tcW w:w="9445" w:type="dxa"/>
          </w:tcPr>
          <w:p w14:paraId="7DD948FB" w14:textId="317ABBD4"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w:t>
            </w:r>
            <w:r w:rsidR="000A04E5" w:rsidRPr="00A64175">
              <w:rPr>
                <w:rFonts w:ascii="Arial" w:hAnsi="Arial" w:cs="Arial"/>
                <w:b/>
                <w:bCs/>
                <w:color w:val="000000" w:themeColor="text1"/>
              </w:rPr>
              <w:t>le 5</w:t>
            </w:r>
            <w:r w:rsidR="00BB3A59">
              <w:rPr>
                <w:rFonts w:ascii="Arial" w:hAnsi="Arial" w:cs="Arial"/>
                <w:b/>
                <w:bCs/>
                <w:color w:val="000000" w:themeColor="text1"/>
              </w:rPr>
              <w:t xml:space="preserve">63 </w:t>
            </w:r>
            <w:r w:rsidRPr="00A64175">
              <w:rPr>
                <w:rFonts w:ascii="Arial" w:hAnsi="Arial" w:cs="Arial"/>
                <w:b/>
                <w:bCs/>
                <w:color w:val="000000" w:themeColor="text1"/>
              </w:rPr>
              <w:t xml:space="preserve"> –</w:t>
            </w:r>
            <w:r w:rsidRPr="00A64175">
              <w:rPr>
                <w:rFonts w:ascii="Arial" w:hAnsi="Arial" w:cs="Arial"/>
                <w:color w:val="000000" w:themeColor="text1"/>
              </w:rPr>
              <w:t>Le système de règlement et de livraison de titres géré par le dépositaire central a pour fonction principale d’assurer le traitement des instructions de ses participants en vue d’opérer, d’une part, la livraison des titres et, d’autre part, le règlement concomitant des espèces dans les livres de la Banque des Etats de l’Afrique Centrale, qui assure les fonctions de Banque de Règlement des opérations initiées sur le Marché Financier Régional.</w:t>
            </w:r>
          </w:p>
          <w:p w14:paraId="13D1BB46" w14:textId="77777777" w:rsidR="00044ACE" w:rsidRPr="00A64175" w:rsidRDefault="00044ACE" w:rsidP="00A64175">
            <w:pPr>
              <w:jc w:val="both"/>
              <w:rPr>
                <w:rFonts w:ascii="Arial" w:hAnsi="Arial" w:cs="Arial"/>
                <w:color w:val="000000" w:themeColor="text1"/>
              </w:rPr>
            </w:pPr>
          </w:p>
        </w:tc>
      </w:tr>
      <w:tr w:rsidR="00044ACE" w:rsidRPr="00A64175" w14:paraId="5C157673" w14:textId="77777777" w:rsidTr="00044ACE">
        <w:tc>
          <w:tcPr>
            <w:tcW w:w="9445" w:type="dxa"/>
          </w:tcPr>
          <w:p w14:paraId="50FDC75D" w14:textId="33826E5F"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64 </w:t>
            </w:r>
            <w:r w:rsidR="00044ACE" w:rsidRPr="00A64175">
              <w:rPr>
                <w:rFonts w:ascii="Arial" w:hAnsi="Arial" w:cs="Arial"/>
                <w:b/>
                <w:bCs/>
                <w:color w:val="000000" w:themeColor="text1"/>
              </w:rPr>
              <w:t xml:space="preserve"> – </w:t>
            </w:r>
            <w:r w:rsidR="00044ACE" w:rsidRPr="00A64175">
              <w:rPr>
                <w:rFonts w:ascii="Arial" w:hAnsi="Arial" w:cs="Arial"/>
                <w:color w:val="000000" w:themeColor="text1"/>
              </w:rPr>
              <w:t>Les valeurs mobilières et autres instruments financiers émis dans le cadre d’un appel public à l’épargne ou d’un placement</w:t>
            </w:r>
            <w:r w:rsidR="003A3122" w:rsidRPr="00A64175">
              <w:rPr>
                <w:rFonts w:ascii="Arial" w:hAnsi="Arial" w:cs="Arial"/>
                <w:color w:val="000000" w:themeColor="text1"/>
              </w:rPr>
              <w:t xml:space="preserve"> privé, sont enregistrés dans les</w:t>
            </w:r>
            <w:r w:rsidR="00044ACE" w:rsidRPr="00A64175">
              <w:rPr>
                <w:rFonts w:ascii="Arial" w:hAnsi="Arial" w:cs="Arial"/>
                <w:color w:val="000000" w:themeColor="text1"/>
              </w:rPr>
              <w:t xml:space="preserve"> livre</w:t>
            </w:r>
            <w:r w:rsidR="003A3122" w:rsidRPr="00A64175">
              <w:rPr>
                <w:rFonts w:ascii="Arial" w:hAnsi="Arial" w:cs="Arial"/>
                <w:color w:val="000000" w:themeColor="text1"/>
              </w:rPr>
              <w:t>s</w:t>
            </w:r>
            <w:r w:rsidR="00044ACE" w:rsidRPr="00A64175">
              <w:rPr>
                <w:rFonts w:ascii="Arial" w:hAnsi="Arial" w:cs="Arial"/>
                <w:color w:val="000000" w:themeColor="text1"/>
              </w:rPr>
              <w:t xml:space="preserve"> du dépositaire central. </w:t>
            </w:r>
          </w:p>
          <w:p w14:paraId="2794442B" w14:textId="77777777" w:rsidR="003A3122" w:rsidRPr="00A64175" w:rsidRDefault="003A3122" w:rsidP="00A64175">
            <w:pPr>
              <w:widowControl w:val="0"/>
              <w:autoSpaceDE w:val="0"/>
              <w:adjustRightInd w:val="0"/>
              <w:jc w:val="both"/>
              <w:rPr>
                <w:rFonts w:ascii="Arial" w:hAnsi="Arial" w:cs="Arial"/>
                <w:color w:val="000000" w:themeColor="text1"/>
              </w:rPr>
            </w:pPr>
          </w:p>
          <w:p w14:paraId="7E07EC80" w14:textId="0DD8666B" w:rsidR="003A3122" w:rsidRPr="00A64175" w:rsidRDefault="000672FC" w:rsidP="00A64175">
            <w:pPr>
              <w:widowControl w:val="0"/>
              <w:autoSpaceDE w:val="0"/>
              <w:adjustRightInd w:val="0"/>
              <w:jc w:val="both"/>
              <w:rPr>
                <w:rFonts w:ascii="Arial" w:hAnsi="Arial" w:cs="Arial"/>
                <w:color w:val="000000" w:themeColor="text1"/>
              </w:rPr>
            </w:pPr>
            <w:r>
              <w:rPr>
                <w:rFonts w:ascii="Arial" w:hAnsi="Arial" w:cs="Arial"/>
                <w:b/>
                <w:bCs/>
                <w:color w:val="000000" w:themeColor="text1"/>
              </w:rPr>
              <w:t xml:space="preserve">Article </w:t>
            </w:r>
            <w:r w:rsidR="000A04E5" w:rsidRPr="00A64175">
              <w:rPr>
                <w:rFonts w:ascii="Arial" w:hAnsi="Arial" w:cs="Arial"/>
                <w:b/>
                <w:bCs/>
                <w:color w:val="000000" w:themeColor="text1"/>
              </w:rPr>
              <w:t>56</w:t>
            </w:r>
            <w:r w:rsidR="00BB3A59">
              <w:rPr>
                <w:rFonts w:ascii="Arial" w:hAnsi="Arial" w:cs="Arial"/>
                <w:b/>
                <w:bCs/>
                <w:color w:val="000000" w:themeColor="text1"/>
              </w:rPr>
              <w:t xml:space="preserve">5 </w:t>
            </w:r>
            <w:r w:rsidR="00BB62D8" w:rsidRPr="00A64175">
              <w:rPr>
                <w:rFonts w:ascii="Arial" w:hAnsi="Arial" w:cs="Arial"/>
                <w:b/>
                <w:bCs/>
                <w:color w:val="000000" w:themeColor="text1"/>
              </w:rPr>
              <w:t xml:space="preserve"> – </w:t>
            </w:r>
            <w:r w:rsidR="003A3122" w:rsidRPr="00A64175">
              <w:rPr>
                <w:rFonts w:ascii="Arial" w:hAnsi="Arial" w:cs="Arial"/>
                <w:color w:val="000000" w:themeColor="text1"/>
              </w:rPr>
              <w:t xml:space="preserve">En application des dispositions de l’article </w:t>
            </w:r>
            <w:r w:rsidR="00532A25" w:rsidRPr="00A64175">
              <w:rPr>
                <w:rFonts w:ascii="Arial" w:hAnsi="Arial" w:cs="Arial"/>
                <w:color w:val="000000" w:themeColor="text1"/>
              </w:rPr>
              <w:t xml:space="preserve">7 du </w:t>
            </w:r>
            <w:r w:rsidR="00532A25" w:rsidRPr="00A64175">
              <w:rPr>
                <w:rFonts w:ascii="Arial" w:hAnsi="Arial" w:cs="Arial"/>
                <w:color w:val="000000"/>
              </w:rPr>
              <w:t>Règlement n°01/22/CEMAC/UMAC/CM/COSUMAF du 21 juillet 2022, les titres financiers peuvent être inscrits dans un dispositif d’enregistrement électronique partagé soumis à des dispositions spécifiques précisés dans une instruction de la COSUMAF.</w:t>
            </w:r>
          </w:p>
          <w:p w14:paraId="32D62350"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 xml:space="preserve"> </w:t>
            </w:r>
          </w:p>
        </w:tc>
      </w:tr>
      <w:tr w:rsidR="00044ACE" w:rsidRPr="00A64175" w14:paraId="58496DC4" w14:textId="77777777" w:rsidTr="00044ACE">
        <w:tc>
          <w:tcPr>
            <w:tcW w:w="9445" w:type="dxa"/>
          </w:tcPr>
          <w:p w14:paraId="3E6DF112" w14:textId="5C0097F0" w:rsidR="00044ACE" w:rsidRPr="00A64175" w:rsidRDefault="000A04E5" w:rsidP="00A64175">
            <w:pPr>
              <w:widowControl w:val="0"/>
              <w:autoSpaceDE w:val="0"/>
              <w:adjustRightInd w:val="0"/>
              <w:jc w:val="both"/>
              <w:rPr>
                <w:rFonts w:ascii="Arial" w:hAnsi="Arial" w:cs="Arial"/>
                <w:b/>
                <w:bCs/>
                <w:color w:val="000000" w:themeColor="text1"/>
              </w:rPr>
            </w:pPr>
            <w:r w:rsidRPr="00A64175">
              <w:rPr>
                <w:rFonts w:ascii="Arial" w:hAnsi="Arial" w:cs="Arial"/>
                <w:b/>
                <w:bCs/>
                <w:color w:val="000000" w:themeColor="text1"/>
              </w:rPr>
              <w:t>Article 56</w:t>
            </w:r>
            <w:r w:rsidR="00BB3A59">
              <w:rPr>
                <w:rFonts w:ascii="Arial" w:hAnsi="Arial" w:cs="Arial"/>
                <w:b/>
                <w:bCs/>
                <w:color w:val="000000" w:themeColor="text1"/>
              </w:rPr>
              <w:t xml:space="preserve">6 </w:t>
            </w:r>
            <w:r w:rsidR="00044ACE" w:rsidRPr="00A64175">
              <w:rPr>
                <w:rFonts w:ascii="Arial" w:hAnsi="Arial" w:cs="Arial"/>
                <w:b/>
                <w:bCs/>
                <w:color w:val="000000" w:themeColor="text1"/>
              </w:rPr>
              <w:t xml:space="preserve"> – </w:t>
            </w:r>
            <w:r w:rsidR="00044ACE" w:rsidRPr="00A64175">
              <w:rPr>
                <w:rFonts w:ascii="Arial" w:hAnsi="Arial" w:cs="Arial"/>
                <w:color w:val="000000" w:themeColor="text1"/>
              </w:rPr>
              <w:t xml:space="preserve">L'acheteur et le vendeur d'instruments financiers sont, dès l'exécution de l'ordre, définitivement engagés, le premier à payer, le second à livrer, à la date de règlement-livraison prévue par la réglementation. </w:t>
            </w:r>
          </w:p>
          <w:p w14:paraId="1AC60A78"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3A8C69A6"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color w:val="000000" w:themeColor="text1"/>
              </w:rPr>
              <w:t xml:space="preserve">Le transfert de propriété de titres financiers résulte de l'inscription de ces titres au compte-titres de l'acquéreur chez son intermédiaire de marche habilite à la tenue de compte conservateur. </w:t>
            </w:r>
          </w:p>
          <w:p w14:paraId="37BDC6CB"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06802A26"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color w:val="000000" w:themeColor="text1"/>
                <w:shd w:val="clear" w:color="auto" w:fill="FFFFFF"/>
              </w:rPr>
              <w:t>L'enregistrement comptable des instruments financiers aux comptes de l'acheteur et du vendeur est effectué dès que leur teneur de compte conservateur a connaissance de l'exécution de l'ordre. Cet enregistrement comptable vaut inscription en compte et emporte transfert de propriété, à la date de dénouement effectif de la négociation. </w:t>
            </w:r>
          </w:p>
          <w:p w14:paraId="7DDDA375" w14:textId="77777777" w:rsidR="00044ACE" w:rsidRPr="00A64175" w:rsidRDefault="00044ACE" w:rsidP="00A64175">
            <w:pPr>
              <w:widowControl w:val="0"/>
              <w:autoSpaceDE w:val="0"/>
              <w:adjustRightInd w:val="0"/>
              <w:jc w:val="both"/>
              <w:rPr>
                <w:rFonts w:ascii="Arial" w:hAnsi="Arial" w:cs="Arial"/>
                <w:color w:val="000000" w:themeColor="text1"/>
              </w:rPr>
            </w:pPr>
          </w:p>
          <w:p w14:paraId="3AD4AD6D"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En cas d'absence de dénouement total de la cession dans un délai fixé par les règles du système de règlement et de livraison du dépositaire central, l'enregistrement comptable est annulé.</w:t>
            </w:r>
          </w:p>
          <w:p w14:paraId="0C0DF40F"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En cas de dénouement partiel affectant plusieurs acheteurs, les enregistrements comptables sont annulés au prorata des droits de chacun.</w:t>
            </w:r>
          </w:p>
          <w:p w14:paraId="0E58A58A"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L'annulation des enregistrements comptables est sans préjudice des recours des parties concernées.</w:t>
            </w:r>
          </w:p>
          <w:p w14:paraId="79D35A8C" w14:textId="77777777" w:rsidR="00044ACE" w:rsidRPr="00A64175" w:rsidRDefault="00044ACE" w:rsidP="00A64175">
            <w:pPr>
              <w:jc w:val="both"/>
              <w:rPr>
                <w:rFonts w:ascii="Arial" w:hAnsi="Arial" w:cs="Arial"/>
                <w:color w:val="000000" w:themeColor="text1"/>
              </w:rPr>
            </w:pPr>
            <w:r w:rsidRPr="00A64175">
              <w:rPr>
                <w:rFonts w:ascii="Arial" w:hAnsi="Arial" w:cs="Arial"/>
                <w:color w:val="000000" w:themeColor="text1"/>
              </w:rPr>
              <w:t>Les dispositions de l’Acte Uniforme OHADA portant organisation des procédures collectives d’apurement du passif ne font pas obstacle à l'application du présent article. Aucun créancier du client défaillant ne peut opposer un droit quelconque sur ces titres financiers ou espèces.</w:t>
            </w:r>
          </w:p>
          <w:p w14:paraId="3C45AEA3" w14:textId="77777777" w:rsidR="00044ACE" w:rsidRPr="00A64175" w:rsidRDefault="00044ACE" w:rsidP="00A64175">
            <w:pPr>
              <w:jc w:val="both"/>
              <w:rPr>
                <w:rFonts w:ascii="Arial" w:hAnsi="Arial" w:cs="Arial"/>
                <w:color w:val="000000" w:themeColor="text1"/>
              </w:rPr>
            </w:pPr>
          </w:p>
        </w:tc>
      </w:tr>
      <w:tr w:rsidR="00044ACE" w:rsidRPr="00A64175" w14:paraId="6D41B20D" w14:textId="77777777" w:rsidTr="00044ACE">
        <w:tc>
          <w:tcPr>
            <w:tcW w:w="9445" w:type="dxa"/>
          </w:tcPr>
          <w:p w14:paraId="1404EE25" w14:textId="1156A7FC" w:rsidR="00044ACE" w:rsidRPr="00A64175" w:rsidRDefault="000A04E5" w:rsidP="00A64175">
            <w:pPr>
              <w:shd w:val="clear" w:color="auto" w:fill="FFFFFF"/>
              <w:spacing w:after="150"/>
              <w:jc w:val="both"/>
              <w:rPr>
                <w:rFonts w:ascii="Arial" w:eastAsia="Times New Roman" w:hAnsi="Arial" w:cs="Arial"/>
                <w:color w:val="000000" w:themeColor="text1"/>
              </w:rPr>
            </w:pPr>
            <w:r w:rsidRPr="00A64175">
              <w:rPr>
                <w:rFonts w:ascii="Arial" w:hAnsi="Arial" w:cs="Arial"/>
                <w:b/>
                <w:bCs/>
                <w:color w:val="000000" w:themeColor="text1"/>
              </w:rPr>
              <w:t>Article 56</w:t>
            </w:r>
            <w:r w:rsidR="00BB3A59">
              <w:rPr>
                <w:rFonts w:ascii="Arial" w:hAnsi="Arial" w:cs="Arial"/>
                <w:b/>
                <w:bCs/>
                <w:color w:val="000000" w:themeColor="text1"/>
              </w:rPr>
              <w:t xml:space="preserve">7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eastAsia="Times New Roman" w:hAnsi="Arial" w:cs="Arial"/>
                <w:color w:val="000000" w:themeColor="text1"/>
              </w:rPr>
              <w:t>En cas de négociations effectuées sur la BVMAC, l'acheteur bénéficie, dès le jour de l'exécution de l'ordre, de la propriété des droits financiers détachés entre le jour de la négociation et la date de l'inscription des titres en compte.</w:t>
            </w:r>
          </w:p>
          <w:p w14:paraId="1C30B12C"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Par dérogation, les règles de la BVMAC peuvent prévoir que, pour tout ou partie des titres de créance admis à la négociation, l'acheteur ne bénéficie de la propriété de ces droits financiers qu'une fois intervenu, à son profit, le transfert de propriété desdits instruments financiers.</w:t>
            </w:r>
          </w:p>
          <w:p w14:paraId="1309B383"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Un enregistrement en cours de journée dans les livres du dépositaire central, matérialisant un dénouement au profit d'un teneur de compte conservateur, vaut transfert de propriété au profit de ce teneur de compte conservateur, s'il est l'acquéreur de ces titres ou si son client acquéreur ne les a pas encore payés.</w:t>
            </w:r>
          </w:p>
          <w:p w14:paraId="763869D9"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eastAsia="Times New Roman" w:hAnsi="Arial" w:cs="Arial"/>
                <w:color w:val="000000" w:themeColor="text1"/>
              </w:rPr>
              <w:t>L'enregistrement, dans les livres du dépositaire central, en cours de journée, matérialise un dénouement au profit du client acquéreur du teneur de compte conservateur, si ledit client a payé les titres.</w:t>
            </w:r>
          </w:p>
        </w:tc>
      </w:tr>
      <w:tr w:rsidR="00044ACE" w:rsidRPr="00A64175" w14:paraId="1612CDD4" w14:textId="77777777" w:rsidTr="00044ACE">
        <w:tc>
          <w:tcPr>
            <w:tcW w:w="9445" w:type="dxa"/>
          </w:tcPr>
          <w:p w14:paraId="0C587F42" w14:textId="77777777" w:rsidR="00044ACE" w:rsidRPr="00A64175" w:rsidRDefault="00044ACE" w:rsidP="00A64175">
            <w:pPr>
              <w:widowControl w:val="0"/>
              <w:autoSpaceDE w:val="0"/>
              <w:adjustRightInd w:val="0"/>
              <w:jc w:val="both"/>
              <w:rPr>
                <w:rFonts w:ascii="Arial" w:hAnsi="Arial" w:cs="Arial"/>
                <w:b/>
                <w:color w:val="000000" w:themeColor="text1"/>
              </w:rPr>
            </w:pPr>
          </w:p>
          <w:p w14:paraId="3A16B50F"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 xml:space="preserve">Sous-section IV : </w:t>
            </w:r>
            <w:r w:rsidRPr="00A64175">
              <w:rPr>
                <w:rFonts w:ascii="Arial" w:hAnsi="Arial" w:cs="Arial"/>
                <w:b/>
                <w:bCs/>
                <w:color w:val="000000" w:themeColor="text1"/>
              </w:rPr>
              <w:t xml:space="preserve">Vente à découvert </w:t>
            </w:r>
          </w:p>
          <w:p w14:paraId="142CCF20"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2EEA275" w14:textId="77777777" w:rsidTr="00044ACE">
        <w:tc>
          <w:tcPr>
            <w:tcW w:w="9445" w:type="dxa"/>
          </w:tcPr>
          <w:p w14:paraId="6A6EF144" w14:textId="28783C54"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56</w:t>
            </w:r>
            <w:r w:rsidR="00BB3A59">
              <w:rPr>
                <w:rFonts w:ascii="Arial" w:hAnsi="Arial" w:cs="Arial"/>
                <w:b/>
                <w:bCs/>
                <w:color w:val="000000" w:themeColor="text1"/>
              </w:rPr>
              <w:t xml:space="preserve">8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Il est interdit à un vendeur d'instruments financiers d’émettre un ordre de vente s'il ne dispose pas sur son compte des instruments financiers appelés à être cédés, ou s'il n'a pas pris les mesures nécessaires auprès d'une tierce partie afin de disposer d'assurances raisonnables sur sa capacité à livrer ces instruments financiers, au plus tard à la date prévue pour la livraison consécutive à la négociation. </w:t>
            </w:r>
          </w:p>
          <w:p w14:paraId="3D2AA0D5" w14:textId="77777777" w:rsidR="00044ACE" w:rsidRPr="00A64175" w:rsidRDefault="00044ACE" w:rsidP="00A64175">
            <w:pPr>
              <w:widowControl w:val="0"/>
              <w:autoSpaceDE w:val="0"/>
              <w:adjustRightInd w:val="0"/>
              <w:jc w:val="both"/>
              <w:rPr>
                <w:rFonts w:ascii="Arial" w:hAnsi="Arial" w:cs="Arial"/>
                <w:color w:val="000000" w:themeColor="text1"/>
              </w:rPr>
            </w:pPr>
          </w:p>
          <w:p w14:paraId="2768F122"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L’intermédiaire auquel l'ordre est transmis peut exiger, lors de la réception de l'ordre ou dès son exécution, la constitution dans ses livres, à titre de couverture, d'une provision en espèces en cas d'achat, en instruments financiers objets de la vente en cas de vente. La COSUMAF peut préciser les modalités d’application des ventes à découvert par voie d’instruction.</w:t>
            </w:r>
          </w:p>
          <w:p w14:paraId="7FF77273" w14:textId="77777777" w:rsidR="00044ACE" w:rsidRPr="00A64175" w:rsidRDefault="00044ACE" w:rsidP="00A64175">
            <w:pPr>
              <w:jc w:val="both"/>
              <w:rPr>
                <w:rFonts w:ascii="Arial" w:hAnsi="Arial" w:cs="Arial"/>
                <w:color w:val="000000" w:themeColor="text1"/>
              </w:rPr>
            </w:pPr>
          </w:p>
        </w:tc>
      </w:tr>
      <w:tr w:rsidR="00044ACE" w:rsidRPr="00A64175" w14:paraId="2216BD17" w14:textId="77777777" w:rsidTr="00044ACE">
        <w:tc>
          <w:tcPr>
            <w:tcW w:w="9445" w:type="dxa"/>
          </w:tcPr>
          <w:p w14:paraId="27DB45F0"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 xml:space="preserve">Sous-section V : Obligations de reporting </w:t>
            </w:r>
          </w:p>
        </w:tc>
      </w:tr>
      <w:tr w:rsidR="00044ACE" w:rsidRPr="00A64175" w14:paraId="2FAD4880" w14:textId="77777777" w:rsidTr="00044ACE">
        <w:tc>
          <w:tcPr>
            <w:tcW w:w="9445" w:type="dxa"/>
          </w:tcPr>
          <w:p w14:paraId="5D60D7F9" w14:textId="77777777" w:rsidR="00044ACE" w:rsidRPr="00A64175" w:rsidRDefault="00044ACE" w:rsidP="00A64175">
            <w:pPr>
              <w:pStyle w:val="NormalWeb"/>
              <w:shd w:val="clear" w:color="auto" w:fill="FFFFFF"/>
              <w:spacing w:before="0" w:beforeAutospacing="0" w:after="150" w:afterAutospacing="0"/>
              <w:jc w:val="both"/>
              <w:rPr>
                <w:rFonts w:ascii="Arial" w:hAnsi="Arial" w:cs="Arial"/>
                <w:b/>
                <w:bCs/>
                <w:color w:val="000000" w:themeColor="text1"/>
                <w:sz w:val="22"/>
                <w:szCs w:val="22"/>
              </w:rPr>
            </w:pPr>
          </w:p>
          <w:p w14:paraId="674A4345" w14:textId="06E2354C" w:rsidR="00044ACE" w:rsidRPr="00A64175" w:rsidRDefault="000A04E5"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color w:val="000000" w:themeColor="text1"/>
                <w:sz w:val="22"/>
                <w:szCs w:val="22"/>
              </w:rPr>
              <w:t>Article 56</w:t>
            </w:r>
            <w:r w:rsidR="00BB3A59">
              <w:rPr>
                <w:rFonts w:ascii="Arial" w:hAnsi="Arial" w:cs="Arial"/>
                <w:b/>
                <w:bCs/>
                <w:color w:val="000000" w:themeColor="text1"/>
                <w:sz w:val="22"/>
                <w:szCs w:val="22"/>
              </w:rPr>
              <w:t xml:space="preserve">9 </w:t>
            </w:r>
            <w:r w:rsidRPr="00A64175">
              <w:rPr>
                <w:rFonts w:ascii="Arial" w:hAnsi="Arial" w:cs="Arial"/>
                <w:b/>
                <w:bCs/>
                <w:color w:val="000000" w:themeColor="text1"/>
                <w:sz w:val="22"/>
                <w:szCs w:val="22"/>
              </w:rPr>
              <w:t xml:space="preserve"> </w:t>
            </w:r>
            <w:r w:rsidR="00044ACE" w:rsidRPr="00A64175">
              <w:rPr>
                <w:rFonts w:ascii="Arial" w:hAnsi="Arial" w:cs="Arial"/>
                <w:b/>
                <w:bCs/>
                <w:color w:val="000000" w:themeColor="text1"/>
                <w:sz w:val="22"/>
                <w:szCs w:val="22"/>
              </w:rPr>
              <w:t xml:space="preserve">- </w:t>
            </w:r>
            <w:r w:rsidR="00044ACE" w:rsidRPr="00A64175">
              <w:rPr>
                <w:rFonts w:ascii="Arial" w:hAnsi="Arial" w:cs="Arial"/>
                <w:bCs/>
                <w:color w:val="000000" w:themeColor="text1"/>
                <w:sz w:val="22"/>
                <w:szCs w:val="22"/>
              </w:rPr>
              <w:t>Le</w:t>
            </w:r>
            <w:r w:rsidR="00044ACE" w:rsidRPr="00A64175">
              <w:rPr>
                <w:rFonts w:ascii="Arial" w:hAnsi="Arial" w:cs="Arial"/>
                <w:color w:val="000000" w:themeColor="text1"/>
                <w:sz w:val="22"/>
                <w:szCs w:val="22"/>
              </w:rPr>
              <w:t xml:space="preserve"> dépositaire central rend compte quotidiennement à la COSUMAF et la BEAC :</w:t>
            </w:r>
          </w:p>
          <w:p w14:paraId="2703A9C6" w14:textId="77777777" w:rsidR="00044ACE" w:rsidRPr="00A64175" w:rsidRDefault="00044ACE" w:rsidP="00A64175">
            <w:pPr>
              <w:pStyle w:val="NormalWeb"/>
              <w:numPr>
                <w:ilvl w:val="0"/>
                <w:numId w:val="239"/>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Des soldes des comptes de titres financiers admis à ses opérations ;</w:t>
            </w:r>
          </w:p>
          <w:p w14:paraId="5294E67F" w14:textId="77777777" w:rsidR="00044ACE" w:rsidRPr="00A64175" w:rsidRDefault="00044ACE" w:rsidP="00A64175">
            <w:pPr>
              <w:pStyle w:val="NormalWeb"/>
              <w:numPr>
                <w:ilvl w:val="0"/>
                <w:numId w:val="239"/>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Des opérations de livraison des instruments financiers et, d'autre part, s'il y lieu, de règlement des espèces ;</w:t>
            </w:r>
          </w:p>
          <w:p w14:paraId="355B809C" w14:textId="77777777" w:rsidR="00044ACE" w:rsidRPr="00A64175" w:rsidRDefault="00044ACE" w:rsidP="00A64175">
            <w:pPr>
              <w:pStyle w:val="NormalWeb"/>
              <w:numPr>
                <w:ilvl w:val="0"/>
                <w:numId w:val="239"/>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Des suspens en instruments financiers et en espèces.</w:t>
            </w:r>
          </w:p>
          <w:p w14:paraId="1261BEC9"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préciser les modalités de reporting par voie d’instruction.</w:t>
            </w:r>
          </w:p>
          <w:p w14:paraId="4AE0DDE4"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7D83CAE" w14:textId="77777777" w:rsidTr="00044ACE">
        <w:trPr>
          <w:trHeight w:val="359"/>
        </w:trPr>
        <w:tc>
          <w:tcPr>
            <w:tcW w:w="9445" w:type="dxa"/>
          </w:tcPr>
          <w:p w14:paraId="25C313B8"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 xml:space="preserve">Sous-section VI : </w:t>
            </w:r>
            <w:r w:rsidRPr="00A64175">
              <w:rPr>
                <w:rFonts w:ascii="Arial" w:hAnsi="Arial" w:cs="Arial"/>
                <w:b/>
                <w:bCs/>
                <w:color w:val="000000" w:themeColor="text1"/>
              </w:rPr>
              <w:t>Gouvernance, contrôle interne et contrôle de la conformité</w:t>
            </w:r>
          </w:p>
        </w:tc>
      </w:tr>
      <w:tr w:rsidR="00044ACE" w:rsidRPr="00A64175" w14:paraId="1419C34A" w14:textId="77777777" w:rsidTr="00044ACE">
        <w:tc>
          <w:tcPr>
            <w:tcW w:w="9445" w:type="dxa"/>
          </w:tcPr>
          <w:p w14:paraId="4D9CB9F3" w14:textId="77777777" w:rsidR="00044ACE" w:rsidRPr="00A64175" w:rsidRDefault="00044ACE" w:rsidP="00A64175">
            <w:pPr>
              <w:tabs>
                <w:tab w:val="left" w:pos="1335"/>
              </w:tabs>
              <w:jc w:val="both"/>
              <w:rPr>
                <w:rFonts w:ascii="Arial" w:hAnsi="Arial" w:cs="Arial"/>
                <w:b/>
                <w:bCs/>
                <w:color w:val="000000" w:themeColor="text1"/>
              </w:rPr>
            </w:pPr>
          </w:p>
          <w:p w14:paraId="109677D9" w14:textId="2AA76E52"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70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exerce ses activités avec équité, diligence, impartialité, loyauté et dans le plus strict respect de l’intégrité du marché.</w:t>
            </w:r>
          </w:p>
          <w:p w14:paraId="778067C4"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B35AC5E" w14:textId="77777777" w:rsidTr="00044ACE">
        <w:tc>
          <w:tcPr>
            <w:tcW w:w="9445" w:type="dxa"/>
          </w:tcPr>
          <w:p w14:paraId="3B65B5BD" w14:textId="50B3CF3F"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71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dispose d’un solide dispositif de gouvernance, comprenant notamment une structure organisationnelle claire avec un partage des responsabilités défini, transparent et cohérent, des procédures efficaces de détection, de gestion, de contrôle et de déclaration des risques auxquels il est ou pourrait être exposé, et des politiques de rémunération appropriées ainsi que des mécanismes adéquats de contrôle interne, y compris des procédures administratives et comptables saines.  Il rend accessibles au public son dispositif de gouvernance et les règles qui régissent ses activités. </w:t>
            </w:r>
          </w:p>
          <w:p w14:paraId="47F9F4EB"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7220FDBA" w14:textId="77777777" w:rsidTr="00044ACE">
        <w:tc>
          <w:tcPr>
            <w:tcW w:w="9445" w:type="dxa"/>
          </w:tcPr>
          <w:p w14:paraId="3522798D" w14:textId="50B6A94D"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1A171C">
              <w:rPr>
                <w:rFonts w:ascii="Arial" w:hAnsi="Arial" w:cs="Arial"/>
                <w:b/>
                <w:bCs/>
                <w:color w:val="000000" w:themeColor="text1"/>
              </w:rPr>
              <w:t>7</w:t>
            </w:r>
            <w:r w:rsidR="00BB3A59">
              <w:rPr>
                <w:rFonts w:ascii="Arial" w:hAnsi="Arial" w:cs="Arial"/>
                <w:b/>
                <w:bCs/>
                <w:color w:val="000000" w:themeColor="text1"/>
              </w:rPr>
              <w:t xml:space="preserve">2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adopte des politiques et des procédures suffisamment efficaces pour garantir le respect du présent règlement, y compris le respect de toutes ses dispositions par leurs dirigeants et leur personnel. </w:t>
            </w:r>
          </w:p>
          <w:p w14:paraId="069DE32E"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28CDE83E" w14:textId="77777777" w:rsidTr="00044ACE">
        <w:tc>
          <w:tcPr>
            <w:tcW w:w="9445" w:type="dxa"/>
          </w:tcPr>
          <w:p w14:paraId="76B2B43D" w14:textId="626E0ACB" w:rsidR="00044ACE" w:rsidRPr="00A64175" w:rsidRDefault="000A04E5" w:rsidP="00A64175">
            <w:pPr>
              <w:widowControl w:val="0"/>
              <w:autoSpaceDE w:val="0"/>
              <w:adjustRightInd w:val="0"/>
              <w:jc w:val="both"/>
              <w:rPr>
                <w:rFonts w:ascii="Arial" w:hAnsi="Arial" w:cs="Arial"/>
                <w:kern w:val="1"/>
                <w:highlight w:val="yellow"/>
              </w:rPr>
            </w:pPr>
            <w:r w:rsidRPr="00A64175">
              <w:rPr>
                <w:rFonts w:ascii="Arial" w:hAnsi="Arial" w:cs="Arial"/>
                <w:b/>
                <w:bCs/>
                <w:color w:val="000000" w:themeColor="text1"/>
              </w:rPr>
              <w:t>Article 5</w:t>
            </w:r>
            <w:r w:rsidR="001A171C">
              <w:rPr>
                <w:rFonts w:ascii="Arial" w:hAnsi="Arial" w:cs="Arial"/>
                <w:b/>
                <w:bCs/>
                <w:color w:val="000000" w:themeColor="text1"/>
              </w:rPr>
              <w:t>7</w:t>
            </w:r>
            <w:r w:rsidR="00BB3A59">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w:t>
            </w:r>
            <w:r w:rsidR="00044ACE" w:rsidRPr="00A64175">
              <w:rPr>
                <w:rFonts w:ascii="Arial" w:hAnsi="Arial" w:cs="Arial"/>
              </w:rPr>
              <w:t xml:space="preserve">est tenu de mettre en place, une structure de contrôle interne et de désigner un responsable de cette fonction. Le responsable du contrôle interne est également le responsable de la conformité. Sa mission du responsable du contrôle interne est de s’assurer du respect de la réglementation qui leur est applicable. Il doit disposer d’une position hiérarchique qui garantit son indépendance à l’égard des autres fonctions opérationnelles de l’organisme. </w:t>
            </w:r>
          </w:p>
          <w:p w14:paraId="40B9891D"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55EC797" w14:textId="77777777" w:rsidTr="00044ACE">
        <w:tc>
          <w:tcPr>
            <w:tcW w:w="9445" w:type="dxa"/>
          </w:tcPr>
          <w:p w14:paraId="7E5349AB" w14:textId="655F2EF1" w:rsidR="00044ACE" w:rsidRPr="00A64175" w:rsidRDefault="000A04E5" w:rsidP="00A64175">
            <w:pPr>
              <w:widowControl w:val="0"/>
              <w:autoSpaceDE w:val="0"/>
              <w:adjustRightInd w:val="0"/>
              <w:jc w:val="both"/>
              <w:rPr>
                <w:rFonts w:ascii="Arial" w:hAnsi="Arial" w:cs="Arial"/>
                <w:kern w:val="1"/>
                <w:highlight w:val="cyan"/>
              </w:rPr>
            </w:pPr>
            <w:r w:rsidRPr="00A64175">
              <w:rPr>
                <w:rFonts w:ascii="Arial" w:hAnsi="Arial" w:cs="Arial"/>
                <w:b/>
                <w:bCs/>
                <w:color w:val="000000" w:themeColor="text1"/>
              </w:rPr>
              <w:t>Article 57</w:t>
            </w:r>
            <w:r w:rsidR="00BB3A59">
              <w:rPr>
                <w:rFonts w:ascii="Arial" w:hAnsi="Arial" w:cs="Arial"/>
                <w:b/>
                <w:bCs/>
                <w:color w:val="000000" w:themeColor="text1"/>
              </w:rPr>
              <w:t xml:space="preserve">4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w:t>
            </w:r>
            <w:r w:rsidR="00044ACE" w:rsidRPr="00A64175">
              <w:rPr>
                <w:rFonts w:ascii="Arial" w:hAnsi="Arial" w:cs="Arial"/>
              </w:rPr>
              <w:t>responsable du contrôle interne est également le responsable de la conformité établit chaque année un rapport du contrôle interne et de la conformité, transmis aux organes exécutifs de ces organismes et à la COSUMAF, au plus tard le 31 mars de l’année suivante. Le contenu et la forme de ce rapport sont fixés dans une instruction de la COSUMAF.</w:t>
            </w:r>
          </w:p>
          <w:p w14:paraId="5C3E1955" w14:textId="77777777" w:rsidR="00044ACE" w:rsidRPr="00A64175" w:rsidRDefault="00044ACE" w:rsidP="00A64175">
            <w:pPr>
              <w:tabs>
                <w:tab w:val="left" w:pos="1335"/>
              </w:tabs>
              <w:jc w:val="both"/>
              <w:rPr>
                <w:rFonts w:ascii="Arial" w:hAnsi="Arial" w:cs="Arial"/>
                <w:b/>
                <w:bCs/>
                <w:color w:val="000000" w:themeColor="text1"/>
              </w:rPr>
            </w:pPr>
          </w:p>
        </w:tc>
      </w:tr>
      <w:tr w:rsidR="00044ACE" w:rsidRPr="00A64175" w14:paraId="6ABAE19F" w14:textId="77777777" w:rsidTr="00044ACE">
        <w:tc>
          <w:tcPr>
            <w:tcW w:w="9445" w:type="dxa"/>
          </w:tcPr>
          <w:p w14:paraId="301BD368" w14:textId="72966096"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57</w:t>
            </w:r>
            <w:r w:rsidR="00BB3A59">
              <w:rPr>
                <w:rFonts w:ascii="Arial" w:hAnsi="Arial" w:cs="Arial"/>
                <w:b/>
                <w:bCs/>
                <w:color w:val="000000" w:themeColor="text1"/>
              </w:rPr>
              <w:t xml:space="preserve">5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veille en toutes circonstances à prévenir les conflits d’intérêts. Il maintient et applique des règles organisationnelles et administratives écrites efficaces pour détecter et gérer tout </w:t>
            </w:r>
            <w:r w:rsidR="00044ACE" w:rsidRPr="00A64175">
              <w:rPr>
                <w:rFonts w:ascii="Arial" w:hAnsi="Arial" w:cs="Arial"/>
                <w:bCs/>
                <w:color w:val="000000" w:themeColor="text1"/>
              </w:rPr>
              <w:t>conflit d’intérêts</w:t>
            </w:r>
            <w:r w:rsidR="00044ACE" w:rsidRPr="00A64175">
              <w:rPr>
                <w:rFonts w:ascii="Arial" w:hAnsi="Arial" w:cs="Arial"/>
                <w:color w:val="000000" w:themeColor="text1"/>
              </w:rPr>
              <w:t xml:space="preserve"> potentiel entre eux-mêmes, y compris leurs dirigeants, leur personnel, les membres de leur organe de direction ou toute personne qui leur est liée directement ou indirectement, et leurs participants ou les clients de ceux-ci.  Il dispose de procédures adéquates pour résoudre les conflits d’intérêts et les appliquent chaque fois qu’un conflit potentiel se présente.</w:t>
            </w:r>
          </w:p>
          <w:p w14:paraId="368A17AC"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1E5686AD" w14:textId="77777777" w:rsidTr="00044ACE">
        <w:tc>
          <w:tcPr>
            <w:tcW w:w="9445" w:type="dxa"/>
          </w:tcPr>
          <w:p w14:paraId="1E6E7D2F" w14:textId="5893CAEC" w:rsidR="00044ACE" w:rsidRPr="00A64175" w:rsidRDefault="000A04E5"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57</w:t>
            </w:r>
            <w:r w:rsidR="00BB3A59">
              <w:rPr>
                <w:rFonts w:ascii="Arial" w:hAnsi="Arial" w:cs="Arial"/>
                <w:b/>
                <w:bCs/>
                <w:color w:val="000000" w:themeColor="text1"/>
              </w:rPr>
              <w:t xml:space="preserve">6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se dote de règles transparentes pour le traitement des plaintes.</w:t>
            </w:r>
          </w:p>
          <w:p w14:paraId="0FC5478C"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19A8E72" w14:textId="77777777" w:rsidTr="00044ACE">
        <w:tc>
          <w:tcPr>
            <w:tcW w:w="9445" w:type="dxa"/>
          </w:tcPr>
          <w:p w14:paraId="787952E4" w14:textId="06325D95" w:rsidR="00044ACE" w:rsidRPr="00A64175" w:rsidRDefault="000A04E5"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57</w:t>
            </w:r>
            <w:r w:rsidR="00BB3A59">
              <w:rPr>
                <w:rFonts w:ascii="Arial" w:hAnsi="Arial" w:cs="Arial"/>
                <w:b/>
                <w:bCs/>
                <w:color w:val="000000" w:themeColor="text1"/>
              </w:rPr>
              <w:t xml:space="preserve">7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assure la plus stricte égalité d’accès à l’information publiée par ses soins aux investisseurs, aux épargnants, aux émetteurs, aux intermédiaires et autres professionnels agréés situés dans les Etats membres de la CEMAC.</w:t>
            </w:r>
          </w:p>
          <w:p w14:paraId="616DEFEF"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0E42AD58" w14:textId="77777777" w:rsidTr="00044ACE">
        <w:tc>
          <w:tcPr>
            <w:tcW w:w="9445" w:type="dxa"/>
          </w:tcPr>
          <w:p w14:paraId="31579776" w14:textId="17698F83" w:rsidR="00044ACE" w:rsidRPr="00A64175" w:rsidRDefault="000A04E5"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57</w:t>
            </w:r>
            <w:r w:rsidR="00BB3A59">
              <w:rPr>
                <w:rFonts w:ascii="Arial" w:hAnsi="Arial" w:cs="Arial"/>
                <w:b/>
                <w:bCs/>
                <w:color w:val="000000" w:themeColor="text1"/>
              </w:rPr>
              <w:t xml:space="preserve">8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veille au respect de la réglementation du marché financier et du secret professionnel par les personnes agissant pour son compte ou placées sous sa responsabilité. La COSUMAF peut préciser les modalités d’application des règles de gouvernance, par voie d’instruction.</w:t>
            </w:r>
          </w:p>
          <w:p w14:paraId="085A60DD"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1D7D9073" w14:textId="77777777" w:rsidTr="00044ACE">
        <w:tc>
          <w:tcPr>
            <w:tcW w:w="9445" w:type="dxa"/>
          </w:tcPr>
          <w:p w14:paraId="2F00BF25"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 xml:space="preserve">Sous-section VII : </w:t>
            </w:r>
            <w:r w:rsidRPr="00A64175">
              <w:rPr>
                <w:rFonts w:ascii="Arial" w:hAnsi="Arial" w:cs="Arial"/>
                <w:b/>
                <w:bCs/>
                <w:color w:val="000000" w:themeColor="text1"/>
              </w:rPr>
              <w:t xml:space="preserve">Dispositif de gestion des risques </w:t>
            </w:r>
          </w:p>
          <w:p w14:paraId="4AB1AE6E"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214B8B41" w14:textId="77777777" w:rsidTr="00044ACE">
        <w:tc>
          <w:tcPr>
            <w:tcW w:w="9445" w:type="dxa"/>
          </w:tcPr>
          <w:p w14:paraId="751B4120" w14:textId="45141803" w:rsidR="00044ACE" w:rsidRPr="00A64175" w:rsidRDefault="00250ACA"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57</w:t>
            </w:r>
            <w:r w:rsidR="00BB3A59">
              <w:rPr>
                <w:rFonts w:ascii="Arial" w:hAnsi="Arial" w:cs="Arial"/>
                <w:b/>
                <w:bCs/>
                <w:color w:val="000000" w:themeColor="text1"/>
              </w:rPr>
              <w:t xml:space="preserve">9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a des objectifs clairement définis et réalisables, notamment en ce qui concerne les niveaux de service minimum, les perspectives en matière de gestion des risques et les priorités économiques. </w:t>
            </w:r>
          </w:p>
          <w:p w14:paraId="319E4F0E"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E80190B" w14:textId="77777777" w:rsidTr="00044ACE">
        <w:tc>
          <w:tcPr>
            <w:tcW w:w="9445" w:type="dxa"/>
          </w:tcPr>
          <w:p w14:paraId="6A29F4CF" w14:textId="338B000F"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80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adopte un cadre de gestion des risques solide pour gérer de manière globale le risque juridique, économique et opérationnel et les autres risques directs ou indirects, y compris des mesures visant à limiter les cas de fraude et de négligence. Les conditions d’application du présent Article sont définies dans une instruction de la COSUMAF. </w:t>
            </w:r>
          </w:p>
          <w:p w14:paraId="66A18BE1"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A4C958E" w14:textId="77777777" w:rsidTr="00044ACE">
        <w:tc>
          <w:tcPr>
            <w:tcW w:w="9445" w:type="dxa"/>
          </w:tcPr>
          <w:p w14:paraId="734DA0D2" w14:textId="2FEF9C93"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BB3A59">
              <w:rPr>
                <w:rFonts w:ascii="Arial" w:hAnsi="Arial" w:cs="Arial"/>
                <w:b/>
                <w:bCs/>
                <w:color w:val="000000" w:themeColor="text1"/>
              </w:rPr>
              <w:t xml:space="preserve">81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dispose de systèmes de gestion et de contrôle solides ainsi que d’outils informatiques pour identifier, suivre et gérer ses risques économiques généraux, y compris pour ce qui est des pertes résultant d’une mauvaise exécution de sa stratégie d’entreprise, des flux de trésorerie et des frais de fonctionnement.</w:t>
            </w:r>
          </w:p>
          <w:p w14:paraId="041F92BA"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B7258A2" w14:textId="77777777" w:rsidTr="00044ACE">
        <w:tc>
          <w:tcPr>
            <w:tcW w:w="9445" w:type="dxa"/>
          </w:tcPr>
          <w:p w14:paraId="771233F6" w14:textId="0ECC13D9"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69216C">
              <w:rPr>
                <w:rFonts w:ascii="Arial" w:hAnsi="Arial" w:cs="Arial"/>
                <w:b/>
                <w:bCs/>
                <w:color w:val="000000" w:themeColor="text1"/>
              </w:rPr>
              <w:t>8</w:t>
            </w:r>
            <w:r w:rsidR="00BB3A59">
              <w:rPr>
                <w:rFonts w:ascii="Arial" w:hAnsi="Arial" w:cs="Arial"/>
                <w:b/>
                <w:bCs/>
                <w:color w:val="000000" w:themeColor="text1"/>
              </w:rPr>
              <w:t xml:space="preserve">2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identifie les sources de risque opérationnel, tant internes qu’externes, et réduit au minimum leur incidence potentielle par la mise en place d’outils informatiques, de contrôles et de procédures appropriés, y compris pour tous les systèmes de règlement de titres qu’il exploite. </w:t>
            </w:r>
          </w:p>
          <w:p w14:paraId="10605A3C"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2657525F" w14:textId="77777777" w:rsidTr="00044ACE">
        <w:tc>
          <w:tcPr>
            <w:tcW w:w="9445" w:type="dxa"/>
          </w:tcPr>
          <w:p w14:paraId="4CBF1877" w14:textId="28AA2DC2" w:rsidR="00044ACE" w:rsidRPr="00A64175" w:rsidRDefault="00250ACA" w:rsidP="00A64175">
            <w:pPr>
              <w:widowControl w:val="0"/>
              <w:autoSpaceDE w:val="0"/>
              <w:adjustRightInd w:val="0"/>
              <w:jc w:val="both"/>
              <w:rPr>
                <w:rFonts w:ascii="Arial" w:hAnsi="Arial" w:cs="Arial"/>
                <w:b/>
                <w:bCs/>
                <w:color w:val="000000" w:themeColor="text1"/>
              </w:rPr>
            </w:pPr>
            <w:r w:rsidRPr="00A64175">
              <w:rPr>
                <w:rFonts w:ascii="Arial" w:hAnsi="Arial" w:cs="Arial"/>
                <w:b/>
                <w:bCs/>
                <w:color w:val="000000" w:themeColor="text1"/>
              </w:rPr>
              <w:t>Article 5</w:t>
            </w:r>
            <w:r w:rsidR="0069216C">
              <w:rPr>
                <w:rFonts w:ascii="Arial" w:hAnsi="Arial" w:cs="Arial"/>
                <w:b/>
                <w:bCs/>
                <w:color w:val="000000" w:themeColor="text1"/>
              </w:rPr>
              <w:t>8</w:t>
            </w:r>
            <w:r w:rsidR="00BB3A59">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adopte des procédures de maîtrise des risques permettant notamment de préserver les droits de ses adhérents dans le cas de défaut de livraison ou de règlement espèces d’un ou plusieurs participants.</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Les procédures adoptées précisent :</w:t>
            </w:r>
          </w:p>
          <w:p w14:paraId="5A1A705C"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43555F2D" w14:textId="77777777" w:rsidR="00044ACE" w:rsidRPr="00A64175" w:rsidRDefault="00044ACE" w:rsidP="00A64175">
            <w:pPr>
              <w:widowControl w:val="0"/>
              <w:numPr>
                <w:ilvl w:val="0"/>
                <w:numId w:val="12"/>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Les modalités de résolution des défauts de livraison des titres ou de règlement des espèces ;</w:t>
            </w:r>
          </w:p>
          <w:p w14:paraId="3D310E73" w14:textId="77777777" w:rsidR="00044ACE" w:rsidRPr="00A64175" w:rsidRDefault="00044ACE" w:rsidP="00A64175">
            <w:pPr>
              <w:widowControl w:val="0"/>
              <w:tabs>
                <w:tab w:val="left" w:pos="220"/>
                <w:tab w:val="left" w:pos="720"/>
              </w:tabs>
              <w:autoSpaceDE w:val="0"/>
              <w:adjustRightInd w:val="0"/>
              <w:ind w:left="720"/>
              <w:jc w:val="both"/>
              <w:rPr>
                <w:rFonts w:ascii="Arial" w:hAnsi="Arial" w:cs="Arial"/>
                <w:color w:val="000000" w:themeColor="text1"/>
                <w:kern w:val="1"/>
              </w:rPr>
            </w:pPr>
          </w:p>
          <w:p w14:paraId="1E042819" w14:textId="77777777" w:rsidR="00044ACE" w:rsidRPr="00A64175" w:rsidRDefault="00044ACE" w:rsidP="00A64175">
            <w:pPr>
              <w:widowControl w:val="0"/>
              <w:numPr>
                <w:ilvl w:val="0"/>
                <w:numId w:val="11"/>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 xml:space="preserve">Le contenu de la notification à adresser à l’intermédiaire défaillant ; </w:t>
            </w:r>
          </w:p>
          <w:p w14:paraId="20830427" w14:textId="77777777" w:rsidR="00044ACE" w:rsidRPr="00A64175" w:rsidRDefault="00044ACE" w:rsidP="00A64175">
            <w:pPr>
              <w:widowControl w:val="0"/>
              <w:tabs>
                <w:tab w:val="left" w:pos="220"/>
                <w:tab w:val="left" w:pos="720"/>
              </w:tabs>
              <w:autoSpaceDE w:val="0"/>
              <w:adjustRightInd w:val="0"/>
              <w:jc w:val="both"/>
              <w:rPr>
                <w:rFonts w:ascii="Arial" w:hAnsi="Arial" w:cs="Arial"/>
                <w:color w:val="000000" w:themeColor="text1"/>
                <w:kern w:val="1"/>
              </w:rPr>
            </w:pPr>
          </w:p>
          <w:p w14:paraId="5D430111" w14:textId="77777777" w:rsidR="00044ACE" w:rsidRPr="00A64175" w:rsidRDefault="00044ACE" w:rsidP="00A64175">
            <w:pPr>
              <w:widowControl w:val="0"/>
              <w:numPr>
                <w:ilvl w:val="0"/>
                <w:numId w:val="11"/>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Les sanctions et pénalités applicables et appliques ;</w:t>
            </w:r>
          </w:p>
          <w:p w14:paraId="6E8CCC27" w14:textId="77777777" w:rsidR="00044ACE" w:rsidRPr="00A64175" w:rsidRDefault="00044ACE" w:rsidP="00A64175">
            <w:pPr>
              <w:widowControl w:val="0"/>
              <w:tabs>
                <w:tab w:val="left" w:pos="220"/>
                <w:tab w:val="left" w:pos="720"/>
              </w:tabs>
              <w:autoSpaceDE w:val="0"/>
              <w:adjustRightInd w:val="0"/>
              <w:jc w:val="both"/>
              <w:rPr>
                <w:rFonts w:ascii="Arial" w:hAnsi="Arial" w:cs="Arial"/>
                <w:color w:val="000000" w:themeColor="text1"/>
                <w:kern w:val="1"/>
              </w:rPr>
            </w:pPr>
          </w:p>
          <w:p w14:paraId="2A80F259" w14:textId="77777777" w:rsidR="00044ACE" w:rsidRPr="00A64175" w:rsidRDefault="00044ACE" w:rsidP="00A64175">
            <w:pPr>
              <w:widowControl w:val="0"/>
              <w:numPr>
                <w:ilvl w:val="0"/>
                <w:numId w:val="11"/>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Les modalités d’intervention du Fonds de Garantie du Marché, qui se substitue à l’intermédiaire défaillant, en cas de défaut de livraison des titres ou de règlement des espèces, pour couvrir ses engagements ;</w:t>
            </w:r>
          </w:p>
          <w:p w14:paraId="2FDE15AD" w14:textId="77777777" w:rsidR="00044ACE" w:rsidRPr="00A64175" w:rsidRDefault="00044ACE" w:rsidP="00A64175">
            <w:pPr>
              <w:widowControl w:val="0"/>
              <w:tabs>
                <w:tab w:val="left" w:pos="220"/>
                <w:tab w:val="left" w:pos="720"/>
              </w:tabs>
              <w:autoSpaceDE w:val="0"/>
              <w:adjustRightInd w:val="0"/>
              <w:jc w:val="both"/>
              <w:rPr>
                <w:rFonts w:ascii="Arial" w:hAnsi="Arial" w:cs="Arial"/>
                <w:color w:val="000000" w:themeColor="text1"/>
                <w:kern w:val="1"/>
              </w:rPr>
            </w:pPr>
          </w:p>
          <w:p w14:paraId="75F2636A" w14:textId="77777777" w:rsidR="00044ACE" w:rsidRPr="00A64175" w:rsidRDefault="00044ACE" w:rsidP="00A64175">
            <w:pPr>
              <w:widowControl w:val="0"/>
              <w:numPr>
                <w:ilvl w:val="0"/>
                <w:numId w:val="11"/>
              </w:numPr>
              <w:tabs>
                <w:tab w:val="left" w:pos="220"/>
                <w:tab w:val="left" w:pos="720"/>
              </w:tabs>
              <w:autoSpaceDE w:val="0"/>
              <w:autoSpaceDN w:val="0"/>
              <w:adjustRightInd w:val="0"/>
              <w:jc w:val="both"/>
              <w:rPr>
                <w:rFonts w:ascii="Arial" w:hAnsi="Arial" w:cs="Arial"/>
                <w:b/>
                <w:bCs/>
                <w:color w:val="000000" w:themeColor="text1"/>
              </w:rPr>
            </w:pPr>
            <w:r w:rsidRPr="00A64175">
              <w:rPr>
                <w:rFonts w:ascii="Arial" w:hAnsi="Arial" w:cs="Arial"/>
                <w:color w:val="000000" w:themeColor="text1"/>
              </w:rPr>
              <w:t>Toute autre disposition permettant d’assurer la continuité du marché et la bonne fin des transactions.</w:t>
            </w:r>
          </w:p>
          <w:p w14:paraId="6EDCC3FA" w14:textId="77777777" w:rsidR="00044ACE" w:rsidRPr="00A64175" w:rsidRDefault="00044ACE" w:rsidP="00A64175">
            <w:pPr>
              <w:widowControl w:val="0"/>
              <w:tabs>
                <w:tab w:val="left" w:pos="220"/>
                <w:tab w:val="left" w:pos="720"/>
              </w:tabs>
              <w:autoSpaceDE w:val="0"/>
              <w:adjustRightInd w:val="0"/>
              <w:ind w:left="720"/>
              <w:jc w:val="both"/>
              <w:rPr>
                <w:rFonts w:ascii="Arial" w:hAnsi="Arial" w:cs="Arial"/>
                <w:b/>
                <w:bCs/>
                <w:color w:val="000000" w:themeColor="text1"/>
              </w:rPr>
            </w:pPr>
          </w:p>
        </w:tc>
      </w:tr>
      <w:tr w:rsidR="00044ACE" w:rsidRPr="00A64175" w14:paraId="0F59075F" w14:textId="77777777" w:rsidTr="00044ACE">
        <w:tc>
          <w:tcPr>
            <w:tcW w:w="9445" w:type="dxa"/>
          </w:tcPr>
          <w:p w14:paraId="7EFFC66C" w14:textId="52AE4E93"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58</w:t>
            </w:r>
            <w:r w:rsidR="00BB3A59">
              <w:rPr>
                <w:rFonts w:ascii="Arial" w:hAnsi="Arial" w:cs="Arial"/>
                <w:b/>
                <w:bCs/>
                <w:color w:val="000000" w:themeColor="text1"/>
              </w:rPr>
              <w:t xml:space="preserve">4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garde opérationnels des outils informatiques appropriés présentant un degré de sécurité et de fiabilité élevé et une capacité appropriée. Les outils informatiques gèrent de manière appropriée la complexité, la diversité et le type des services fournis et des activités exercées, de manière à garantir des normes de sécurité élevées et l’intégrité et la confidentialité des informations conservées. </w:t>
            </w:r>
          </w:p>
          <w:p w14:paraId="356C1B1D"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5F652B2" w14:textId="77777777" w:rsidTr="00044ACE">
        <w:tc>
          <w:tcPr>
            <w:tcW w:w="9445" w:type="dxa"/>
          </w:tcPr>
          <w:p w14:paraId="657C8733" w14:textId="741CCEB7"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58</w:t>
            </w:r>
            <w:r w:rsidR="00BB3A59">
              <w:rPr>
                <w:rFonts w:ascii="Arial" w:hAnsi="Arial" w:cs="Arial"/>
                <w:b/>
                <w:bCs/>
                <w:color w:val="000000" w:themeColor="text1"/>
              </w:rPr>
              <w:t xml:space="preserve">5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 Dépositaire Central détient ses actifs financie</w:t>
            </w:r>
            <w:r w:rsidRPr="00A64175">
              <w:rPr>
                <w:rFonts w:ascii="Arial" w:hAnsi="Arial" w:cs="Arial"/>
                <w:color w:val="000000" w:themeColor="text1"/>
              </w:rPr>
              <w:t>rs auprès de la banque centrale</w:t>
            </w:r>
            <w:r w:rsidR="00044ACE" w:rsidRPr="00A64175">
              <w:rPr>
                <w:rFonts w:ascii="Arial" w:hAnsi="Arial" w:cs="Arial"/>
                <w:color w:val="000000" w:themeColor="text1"/>
              </w:rPr>
              <w:t>. Il peut disposer rapidement de ses actifs en cas de besoin. Il n’investit ses ressources financières qu’en espèces ou dans des instruments financiers très liquides comportant un risque de marché et de crédit minimal. Ces investissements doivent pouvoir être liquidés à bref délai, avec un effet négatif minimal sur les prix.</w:t>
            </w:r>
          </w:p>
          <w:p w14:paraId="755B9880"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016D41A" w14:textId="77777777" w:rsidTr="00044ACE">
        <w:tc>
          <w:tcPr>
            <w:tcW w:w="9445" w:type="dxa"/>
          </w:tcPr>
          <w:p w14:paraId="65CF5B97"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 xml:space="preserve">Le capital, complété par les bénéfices non distribués et les réserves du Dépositaire Central, est proportionnel au risque découlant de ses activités. Il doit être suffisant, à tout moment, pour :  </w:t>
            </w:r>
          </w:p>
          <w:p w14:paraId="5EF9A365" w14:textId="77777777" w:rsidR="00044ACE" w:rsidRPr="00A64175" w:rsidRDefault="00044ACE" w:rsidP="00A64175">
            <w:pPr>
              <w:widowControl w:val="0"/>
              <w:autoSpaceDE w:val="0"/>
              <w:adjustRightInd w:val="0"/>
              <w:jc w:val="both"/>
              <w:rPr>
                <w:rFonts w:ascii="Arial" w:hAnsi="Arial" w:cs="Arial"/>
                <w:color w:val="000000" w:themeColor="text1"/>
              </w:rPr>
            </w:pPr>
          </w:p>
          <w:p w14:paraId="29FE36FB" w14:textId="77777777" w:rsidR="00044ACE" w:rsidRPr="00A64175" w:rsidRDefault="00044ACE" w:rsidP="00A64175">
            <w:pPr>
              <w:pStyle w:val="Paragraphedeliste"/>
              <w:widowControl w:val="0"/>
              <w:numPr>
                <w:ilvl w:val="0"/>
                <w:numId w:val="13"/>
              </w:numPr>
              <w:autoSpaceDE w:val="0"/>
              <w:adjustRightInd w:val="0"/>
              <w:spacing w:before="0" w:beforeAutospacing="0" w:after="0" w:afterAutospacing="0" w:line="240" w:lineRule="auto"/>
              <w:rPr>
                <w:color w:val="000000" w:themeColor="text1"/>
              </w:rPr>
            </w:pPr>
            <w:r w:rsidRPr="00A64175">
              <w:rPr>
                <w:color w:val="000000" w:themeColor="text1"/>
              </w:rPr>
              <w:t xml:space="preserve">Garantir que le Dépositaire Central bénéficie d’une protection adéquate à l’égard du risque opérationnel, juridique, économique, de garde et d’investissement, de telle manière que la continuité de l’exploitation soit assurée et qu’il puisse continuer à fournir ses services ; </w:t>
            </w:r>
          </w:p>
          <w:p w14:paraId="188FF422" w14:textId="77777777" w:rsidR="00044ACE" w:rsidRPr="00A64175" w:rsidRDefault="00044ACE" w:rsidP="00A64175">
            <w:pPr>
              <w:pStyle w:val="Paragraphedeliste"/>
              <w:widowControl w:val="0"/>
              <w:numPr>
                <w:ilvl w:val="0"/>
                <w:numId w:val="13"/>
              </w:numPr>
              <w:autoSpaceDE w:val="0"/>
              <w:adjustRightInd w:val="0"/>
              <w:spacing w:before="0" w:beforeAutospacing="0" w:after="0" w:afterAutospacing="0" w:line="240" w:lineRule="auto"/>
              <w:rPr>
                <w:b/>
                <w:bCs/>
                <w:color w:val="000000" w:themeColor="text1"/>
              </w:rPr>
            </w:pPr>
            <w:r w:rsidRPr="00A64175">
              <w:rPr>
                <w:color w:val="000000" w:themeColor="text1"/>
              </w:rPr>
              <w:t xml:space="preserve">Assurer une liquidation ou une restructuration ordonnée de ses activités sur une période appropriée d’au moins six mois dans le cadre d’un éventail de scénarios de crise. </w:t>
            </w:r>
          </w:p>
          <w:p w14:paraId="659571A0" w14:textId="77777777" w:rsidR="00044ACE" w:rsidRPr="00A64175" w:rsidRDefault="00044ACE" w:rsidP="00A64175">
            <w:pPr>
              <w:widowControl w:val="0"/>
              <w:autoSpaceDE w:val="0"/>
              <w:adjustRightInd w:val="0"/>
              <w:jc w:val="both"/>
              <w:rPr>
                <w:rFonts w:ascii="Arial" w:hAnsi="Arial" w:cs="Arial"/>
                <w:color w:val="000000" w:themeColor="text1"/>
              </w:rPr>
            </w:pPr>
          </w:p>
          <w:p w14:paraId="3134E696"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 xml:space="preserve">Le Dépositaire Central tient à jour un plan pour : </w:t>
            </w:r>
          </w:p>
          <w:p w14:paraId="557ECBB4" w14:textId="77777777" w:rsidR="00044ACE" w:rsidRPr="00A64175" w:rsidRDefault="00044ACE" w:rsidP="00A64175">
            <w:pPr>
              <w:widowControl w:val="0"/>
              <w:autoSpaceDE w:val="0"/>
              <w:adjustRightInd w:val="0"/>
              <w:jc w:val="both"/>
              <w:rPr>
                <w:rFonts w:ascii="Arial" w:hAnsi="Arial" w:cs="Arial"/>
                <w:color w:val="000000" w:themeColor="text1"/>
              </w:rPr>
            </w:pPr>
          </w:p>
          <w:p w14:paraId="7C598F9B" w14:textId="77777777" w:rsidR="00044ACE" w:rsidRPr="00A64175" w:rsidRDefault="00044ACE" w:rsidP="00A64175">
            <w:pPr>
              <w:pStyle w:val="Paragraphedeliste"/>
              <w:widowControl w:val="0"/>
              <w:numPr>
                <w:ilvl w:val="3"/>
                <w:numId w:val="245"/>
              </w:numPr>
              <w:autoSpaceDE w:val="0"/>
              <w:adjustRightInd w:val="0"/>
              <w:spacing w:before="0" w:beforeAutospacing="0" w:after="0" w:afterAutospacing="0" w:line="240" w:lineRule="auto"/>
              <w:ind w:left="751"/>
              <w:rPr>
                <w:color w:val="000000" w:themeColor="text1"/>
              </w:rPr>
            </w:pPr>
            <w:r w:rsidRPr="00A64175">
              <w:rPr>
                <w:color w:val="000000" w:themeColor="text1"/>
              </w:rPr>
              <w:t xml:space="preserve">lever des capitaux propres supplémentaires, pour le cas où son capital approcherait un seuil déterminer par la COSUMAF et la BEAC ou tomberait sous ce seuil ; </w:t>
            </w:r>
          </w:p>
          <w:p w14:paraId="12E717A3" w14:textId="77777777" w:rsidR="00044ACE" w:rsidRPr="00A64175" w:rsidRDefault="00044ACE" w:rsidP="00A64175">
            <w:pPr>
              <w:pStyle w:val="Paragraphedeliste"/>
              <w:widowControl w:val="0"/>
              <w:numPr>
                <w:ilvl w:val="3"/>
                <w:numId w:val="245"/>
              </w:numPr>
              <w:autoSpaceDE w:val="0"/>
              <w:adjustRightInd w:val="0"/>
              <w:spacing w:before="0" w:beforeAutospacing="0" w:after="0" w:afterAutospacing="0" w:line="240" w:lineRule="auto"/>
              <w:ind w:left="751"/>
              <w:rPr>
                <w:color w:val="000000" w:themeColor="text1"/>
              </w:rPr>
            </w:pPr>
            <w:r w:rsidRPr="00A64175">
              <w:rPr>
                <w:color w:val="000000" w:themeColor="text1"/>
              </w:rPr>
              <w:t xml:space="preserve">assurer une liquidation ou une restructuration ordonnée de ses activités et services au cas où il ne serait pas en mesure de lever de nouveaux capitaux. </w:t>
            </w:r>
          </w:p>
          <w:p w14:paraId="4682721A" w14:textId="77777777" w:rsidR="00044ACE" w:rsidRPr="00A64175" w:rsidRDefault="00044ACE" w:rsidP="00A64175">
            <w:pPr>
              <w:widowControl w:val="0"/>
              <w:autoSpaceDE w:val="0"/>
              <w:adjustRightInd w:val="0"/>
              <w:jc w:val="both"/>
              <w:rPr>
                <w:rFonts w:ascii="Arial" w:hAnsi="Arial" w:cs="Arial"/>
                <w:color w:val="000000" w:themeColor="text1"/>
              </w:rPr>
            </w:pPr>
          </w:p>
          <w:p w14:paraId="15601787"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 xml:space="preserve">Le plan est approuvé par l’organe de gestion ou un comité approprié de l’organe de gestion et est régulièrement mis à jour. Chaque mise à jour du plan est transmise à la COSUMAF et la BEAC. La COSUMAF et la BEAC peuvent demander que le Dépositaire Central prenne des mesures supplémentaires ou prévoie d’autres dispositions si elle estime le plan du Dépositaire Central insuffisant. </w:t>
            </w:r>
            <w:r w:rsidRPr="00A64175">
              <w:rPr>
                <w:rFonts w:ascii="Arial" w:hAnsi="Arial" w:cs="Arial"/>
                <w:color w:val="000000" w:themeColor="text1"/>
                <w:shd w:val="clear" w:color="auto" w:fill="F2F2F2" w:themeFill="background1" w:themeFillShade="F2"/>
              </w:rPr>
              <w:t>La COSUMAF peut préciser les modalités d’application des règles relatives à la gestion des risques, par voie</w:t>
            </w:r>
            <w:r w:rsidRPr="00A64175">
              <w:rPr>
                <w:rFonts w:ascii="Arial" w:hAnsi="Arial" w:cs="Arial"/>
                <w:color w:val="000000" w:themeColor="text1"/>
              </w:rPr>
              <w:t xml:space="preserve"> d’instruction.</w:t>
            </w:r>
          </w:p>
          <w:p w14:paraId="227365D8"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72AFFD8" w14:textId="77777777" w:rsidTr="00044ACE">
        <w:tc>
          <w:tcPr>
            <w:tcW w:w="9445" w:type="dxa"/>
          </w:tcPr>
          <w:p w14:paraId="46D3D1F8"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Sous-section VIII : Obligation de Conservation des données</w:t>
            </w:r>
          </w:p>
        </w:tc>
      </w:tr>
      <w:tr w:rsidR="00044ACE" w:rsidRPr="00A64175" w14:paraId="25BA9540" w14:textId="77777777" w:rsidTr="00044ACE">
        <w:tc>
          <w:tcPr>
            <w:tcW w:w="9445" w:type="dxa"/>
          </w:tcPr>
          <w:p w14:paraId="57A5D8C2" w14:textId="77777777" w:rsidR="00044ACE" w:rsidRPr="00A64175" w:rsidRDefault="00044ACE" w:rsidP="00A64175">
            <w:pPr>
              <w:tabs>
                <w:tab w:val="left" w:pos="1335"/>
              </w:tabs>
              <w:jc w:val="both"/>
              <w:rPr>
                <w:rFonts w:ascii="Arial" w:hAnsi="Arial" w:cs="Arial"/>
                <w:b/>
                <w:bCs/>
                <w:color w:val="000000" w:themeColor="text1"/>
              </w:rPr>
            </w:pPr>
          </w:p>
          <w:p w14:paraId="10797BC5" w14:textId="15EBCF6E" w:rsidR="00044ACE" w:rsidRPr="00A64175" w:rsidRDefault="00250ACA"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58</w:t>
            </w:r>
            <w:r w:rsidR="006C1DFB">
              <w:rPr>
                <w:rFonts w:ascii="Arial" w:hAnsi="Arial" w:cs="Arial"/>
                <w:b/>
                <w:bCs/>
                <w:color w:val="000000" w:themeColor="text1"/>
              </w:rPr>
              <w:t xml:space="preserve">6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Le dépositaire central conserve pour une </w:t>
            </w:r>
            <w:r w:rsidR="00044ACE" w:rsidRPr="000672FC">
              <w:rPr>
                <w:rFonts w:ascii="Arial" w:hAnsi="Arial" w:cs="Arial"/>
                <w:color w:val="000000" w:themeColor="text1"/>
              </w:rPr>
              <w:t xml:space="preserve">durée minimale de </w:t>
            </w:r>
            <w:r w:rsidR="00E2569A" w:rsidRPr="000672FC">
              <w:rPr>
                <w:rFonts w:ascii="Arial" w:hAnsi="Arial" w:cs="Arial"/>
                <w:color w:val="000000" w:themeColor="text1"/>
              </w:rPr>
              <w:t xml:space="preserve">cinq (5) </w:t>
            </w:r>
            <w:r w:rsidR="00044ACE" w:rsidRPr="000672FC">
              <w:rPr>
                <w:rFonts w:ascii="Arial" w:hAnsi="Arial" w:cs="Arial"/>
                <w:color w:val="000000" w:themeColor="text1"/>
              </w:rPr>
              <w:t xml:space="preserve"> ans </w:t>
            </w:r>
            <w:r w:rsidR="00044ACE" w:rsidRPr="00A64175">
              <w:rPr>
                <w:rFonts w:ascii="Arial" w:hAnsi="Arial" w:cs="Arial"/>
                <w:color w:val="000000" w:themeColor="text1"/>
              </w:rPr>
              <w:t>tous les enregistrements relatifs aux services fournis et aux activités exercées, afin de permettre à l’autorité compétente de contrôler le respect des exigences du présent règlement.  Il met ces informations visées à la disposition de toute autre autorité publique qui, en vertu du droit de l’Union ou du droit de leur État membre d’origine, a le pouvoir de demander accès à ces enregistrements, à la demande de celles-ci et aux fins de l’accomplissement de leur mandat. La COSUMAF précise les modalités d’application de conservations des données, par voie d’instruction.</w:t>
            </w:r>
          </w:p>
          <w:p w14:paraId="267D1285"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1F8E009F" w14:textId="77777777" w:rsidR="00250ACA" w:rsidRPr="00A64175" w:rsidRDefault="00250ACA" w:rsidP="00A64175">
            <w:pPr>
              <w:widowControl w:val="0"/>
              <w:autoSpaceDE w:val="0"/>
              <w:adjustRightInd w:val="0"/>
              <w:jc w:val="both"/>
              <w:rPr>
                <w:rFonts w:ascii="Arial" w:hAnsi="Arial" w:cs="Arial"/>
                <w:b/>
                <w:bCs/>
                <w:color w:val="000000" w:themeColor="text1"/>
              </w:rPr>
            </w:pPr>
          </w:p>
        </w:tc>
      </w:tr>
      <w:tr w:rsidR="00044ACE" w:rsidRPr="00A64175" w14:paraId="50131E52" w14:textId="77777777" w:rsidTr="00044ACE">
        <w:tc>
          <w:tcPr>
            <w:tcW w:w="9445" w:type="dxa"/>
          </w:tcPr>
          <w:p w14:paraId="01FC88A7"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Sous-section IX : Conditions d’accès aux opérations du dépositaire centrale et à son système de règlement- livraison</w:t>
            </w:r>
          </w:p>
        </w:tc>
      </w:tr>
      <w:tr w:rsidR="00044ACE" w:rsidRPr="00A64175" w14:paraId="30686C6A" w14:textId="77777777" w:rsidTr="00044ACE">
        <w:tc>
          <w:tcPr>
            <w:tcW w:w="9445" w:type="dxa"/>
          </w:tcPr>
          <w:p w14:paraId="087F1DB7" w14:textId="77777777" w:rsidR="00044ACE" w:rsidRPr="00A64175" w:rsidRDefault="00044ACE" w:rsidP="00A64175">
            <w:pPr>
              <w:widowControl w:val="0"/>
              <w:autoSpaceDE w:val="0"/>
              <w:adjustRightInd w:val="0"/>
              <w:jc w:val="both"/>
              <w:rPr>
                <w:rFonts w:ascii="Arial" w:hAnsi="Arial" w:cs="Arial"/>
                <w:color w:val="000000" w:themeColor="text1"/>
              </w:rPr>
            </w:pPr>
          </w:p>
          <w:p w14:paraId="0FA3AB82" w14:textId="0A2E42E7" w:rsidR="00044ACE" w:rsidRPr="00A64175" w:rsidRDefault="00250ACA"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color w:val="000000" w:themeColor="text1"/>
                <w:sz w:val="22"/>
                <w:szCs w:val="22"/>
              </w:rPr>
              <w:t>Article 58</w:t>
            </w:r>
            <w:r w:rsidR="006C1DFB">
              <w:rPr>
                <w:rFonts w:ascii="Arial" w:hAnsi="Arial" w:cs="Arial"/>
                <w:b/>
                <w:bCs/>
                <w:color w:val="000000" w:themeColor="text1"/>
                <w:sz w:val="22"/>
                <w:szCs w:val="22"/>
              </w:rPr>
              <w:t xml:space="preserve">7 </w:t>
            </w:r>
            <w:r w:rsidR="00044ACE" w:rsidRPr="00A64175">
              <w:rPr>
                <w:rFonts w:ascii="Arial" w:hAnsi="Arial" w:cs="Arial"/>
                <w:b/>
                <w:bCs/>
                <w:color w:val="000000" w:themeColor="text1"/>
                <w:sz w:val="22"/>
                <w:szCs w:val="22"/>
              </w:rPr>
              <w:t xml:space="preserve"> - </w:t>
            </w:r>
            <w:r w:rsidR="00044ACE" w:rsidRPr="00A64175">
              <w:rPr>
                <w:rFonts w:ascii="Arial" w:hAnsi="Arial" w:cs="Arial"/>
                <w:color w:val="000000" w:themeColor="text1"/>
                <w:sz w:val="22"/>
                <w:szCs w:val="22"/>
              </w:rPr>
              <w:t>Les relations entre le dépositaire central et les personnes morales auxquelles ce dernier fournit un accès ou service sont régies par une convention. Ces conventions font notamment obligation aux personnes morales concernées de :</w:t>
            </w:r>
          </w:p>
          <w:p w14:paraId="14F74C48" w14:textId="77777777" w:rsidR="00044ACE" w:rsidRPr="00A64175" w:rsidRDefault="00044ACE" w:rsidP="00A64175">
            <w:pPr>
              <w:pStyle w:val="NormalWeb"/>
              <w:numPr>
                <w:ilvl w:val="0"/>
                <w:numId w:val="241"/>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Répondre à toute demande d'information du dépositaire central ;</w:t>
            </w:r>
          </w:p>
          <w:p w14:paraId="6E362684" w14:textId="77777777" w:rsidR="00044ACE" w:rsidRPr="00A64175" w:rsidRDefault="00044ACE" w:rsidP="00A64175">
            <w:pPr>
              <w:pStyle w:val="NormalWeb"/>
              <w:numPr>
                <w:ilvl w:val="0"/>
                <w:numId w:val="241"/>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Respecter en permanence les règles de fonctionnement du dépositaire central ;</w:t>
            </w:r>
          </w:p>
          <w:p w14:paraId="2E709748" w14:textId="77777777" w:rsidR="00044ACE" w:rsidRPr="00A64175" w:rsidRDefault="00044ACE" w:rsidP="00A64175">
            <w:pPr>
              <w:pStyle w:val="NormalWeb"/>
              <w:numPr>
                <w:ilvl w:val="0"/>
                <w:numId w:val="241"/>
              </w:numPr>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Régulariser leur situation à la demande du dépositaire central si celui-ci constate un manquement à ses règles ou à la réglementation en vigueur ou qu'ils ne respectent plus les conditions de la convention.</w:t>
            </w:r>
          </w:p>
        </w:tc>
      </w:tr>
      <w:tr w:rsidR="00044ACE" w:rsidRPr="00A64175" w14:paraId="64ACF134" w14:textId="77777777" w:rsidTr="00044ACE">
        <w:tc>
          <w:tcPr>
            <w:tcW w:w="9445" w:type="dxa"/>
          </w:tcPr>
          <w:p w14:paraId="3113EE62" w14:textId="6729F329" w:rsidR="00044ACE" w:rsidRPr="00A64175" w:rsidRDefault="00250ACA" w:rsidP="00A64175">
            <w:pPr>
              <w:pStyle w:val="NormalWeb"/>
              <w:shd w:val="clear" w:color="auto" w:fill="FFFFFF"/>
              <w:spacing w:before="0" w:beforeAutospacing="0" w:after="150" w:afterAutospacing="0"/>
              <w:jc w:val="both"/>
              <w:rPr>
                <w:rFonts w:ascii="Arial" w:hAnsi="Arial" w:cs="Arial"/>
                <w:b/>
                <w:bCs/>
                <w:color w:val="000000" w:themeColor="text1"/>
                <w:sz w:val="22"/>
                <w:szCs w:val="22"/>
              </w:rPr>
            </w:pPr>
            <w:r w:rsidRPr="00A64175">
              <w:rPr>
                <w:rFonts w:ascii="Arial" w:hAnsi="Arial" w:cs="Arial"/>
                <w:b/>
                <w:bCs/>
                <w:color w:val="000000" w:themeColor="text1"/>
                <w:sz w:val="22"/>
                <w:szCs w:val="22"/>
              </w:rPr>
              <w:t>Article 58</w:t>
            </w:r>
            <w:r w:rsidR="006C1DFB">
              <w:rPr>
                <w:rFonts w:ascii="Arial" w:hAnsi="Arial" w:cs="Arial"/>
                <w:b/>
                <w:bCs/>
                <w:color w:val="000000" w:themeColor="text1"/>
                <w:sz w:val="22"/>
                <w:szCs w:val="22"/>
              </w:rPr>
              <w:t xml:space="preserve">8 </w:t>
            </w:r>
            <w:r w:rsidRPr="00A64175">
              <w:rPr>
                <w:rFonts w:ascii="Arial" w:hAnsi="Arial" w:cs="Arial"/>
                <w:b/>
                <w:bCs/>
                <w:color w:val="000000" w:themeColor="text1"/>
                <w:sz w:val="22"/>
                <w:szCs w:val="22"/>
              </w:rPr>
              <w:t xml:space="preserve"> </w:t>
            </w:r>
            <w:r w:rsidR="00044ACE" w:rsidRPr="00A64175">
              <w:rPr>
                <w:rFonts w:ascii="Arial" w:hAnsi="Arial" w:cs="Arial"/>
                <w:b/>
                <w:bCs/>
                <w:color w:val="000000" w:themeColor="text1"/>
                <w:sz w:val="22"/>
                <w:szCs w:val="22"/>
              </w:rPr>
              <w:t xml:space="preserve">- </w:t>
            </w:r>
            <w:r w:rsidR="00044ACE" w:rsidRPr="00A64175">
              <w:rPr>
                <w:rFonts w:ascii="Arial" w:hAnsi="Arial" w:cs="Arial"/>
                <w:color w:val="000000" w:themeColor="text1"/>
                <w:sz w:val="22"/>
                <w:szCs w:val="22"/>
              </w:rPr>
              <w:t xml:space="preserve">Pour chaque système de règlement et de livraison qu’il exploite, le dépositaire central dispose de critères transparents, objectifs et non discriminatoires, tenant dûment compte des risques pour la stabilité financière et le bon fonctionnement du marché. </w:t>
            </w:r>
          </w:p>
        </w:tc>
      </w:tr>
      <w:tr w:rsidR="00044ACE" w:rsidRPr="00A64175" w14:paraId="1AD2A94A" w14:textId="77777777" w:rsidTr="00044ACE">
        <w:tc>
          <w:tcPr>
            <w:tcW w:w="9445" w:type="dxa"/>
          </w:tcPr>
          <w:p w14:paraId="59AE3C4B" w14:textId="097B9F11" w:rsidR="00044ACE" w:rsidRPr="00A64175" w:rsidRDefault="00250ACA"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color w:val="000000" w:themeColor="text1"/>
                <w:sz w:val="22"/>
                <w:szCs w:val="22"/>
              </w:rPr>
              <w:t>Article 58</w:t>
            </w:r>
            <w:r w:rsidR="006C1DFB">
              <w:rPr>
                <w:rFonts w:ascii="Arial" w:hAnsi="Arial" w:cs="Arial"/>
                <w:b/>
                <w:bCs/>
                <w:color w:val="000000" w:themeColor="text1"/>
                <w:sz w:val="22"/>
                <w:szCs w:val="22"/>
              </w:rPr>
              <w:t xml:space="preserve">9 </w:t>
            </w:r>
            <w:r w:rsidRPr="00A64175">
              <w:rPr>
                <w:rFonts w:ascii="Arial" w:hAnsi="Arial" w:cs="Arial"/>
                <w:b/>
                <w:bCs/>
                <w:color w:val="000000" w:themeColor="text1"/>
                <w:sz w:val="22"/>
                <w:szCs w:val="22"/>
              </w:rPr>
              <w:t xml:space="preserve"> </w:t>
            </w:r>
            <w:r w:rsidR="00044ACE" w:rsidRPr="00A64175">
              <w:rPr>
                <w:rFonts w:ascii="Arial" w:hAnsi="Arial" w:cs="Arial"/>
                <w:b/>
                <w:bCs/>
                <w:color w:val="000000" w:themeColor="text1"/>
                <w:sz w:val="22"/>
                <w:szCs w:val="22"/>
              </w:rPr>
              <w:t xml:space="preserve">- </w:t>
            </w:r>
            <w:r w:rsidR="00044ACE" w:rsidRPr="00A64175">
              <w:rPr>
                <w:rFonts w:ascii="Arial" w:hAnsi="Arial" w:cs="Arial"/>
                <w:color w:val="000000" w:themeColor="text1"/>
                <w:sz w:val="22"/>
                <w:szCs w:val="22"/>
              </w:rPr>
              <w:t>En vue d'admettre comme participant au système de règlement et de livraison d'instruments financiers qu'il gère, le dépositaire central s'assure notamment et documente que :</w:t>
            </w:r>
          </w:p>
          <w:p w14:paraId="0C4BF260" w14:textId="77777777" w:rsidR="00044ACE" w:rsidRPr="00A64175" w:rsidRDefault="00044ACE" w:rsidP="00A64175">
            <w:pPr>
              <w:pStyle w:val="NormalWeb"/>
              <w:numPr>
                <w:ilvl w:val="0"/>
                <w:numId w:val="242"/>
              </w:numPr>
              <w:shd w:val="clear" w:color="auto" w:fill="FFFFFF"/>
              <w:spacing w:before="0" w:beforeAutospacing="0" w:after="150" w:afterAutospacing="0"/>
              <w:ind w:left="710"/>
              <w:jc w:val="both"/>
              <w:rPr>
                <w:rFonts w:ascii="Arial" w:hAnsi="Arial" w:cs="Arial"/>
                <w:color w:val="000000" w:themeColor="text1"/>
                <w:sz w:val="22"/>
                <w:szCs w:val="22"/>
              </w:rPr>
            </w:pPr>
            <w:r w:rsidRPr="00A64175">
              <w:rPr>
                <w:rFonts w:ascii="Arial" w:hAnsi="Arial" w:cs="Arial"/>
                <w:color w:val="000000" w:themeColor="text1"/>
                <w:sz w:val="22"/>
                <w:szCs w:val="22"/>
              </w:rPr>
              <w:t>Cet établissement est agréé et soumis à des dispositions réglementaires de lutte contre le blanchiment d'argent et contre le financement du terrorisme dont la surveillance est confiée à une autorité publique ou assimilée ;</w:t>
            </w:r>
          </w:p>
          <w:p w14:paraId="589DFA48" w14:textId="77777777" w:rsidR="00044ACE" w:rsidRPr="00A64175" w:rsidRDefault="00044ACE" w:rsidP="00A64175">
            <w:pPr>
              <w:pStyle w:val="NormalWeb"/>
              <w:numPr>
                <w:ilvl w:val="0"/>
                <w:numId w:val="242"/>
              </w:numPr>
              <w:shd w:val="clear" w:color="auto" w:fill="FFFFFF"/>
              <w:spacing w:before="0" w:beforeAutospacing="0" w:after="150" w:afterAutospacing="0"/>
              <w:ind w:left="710"/>
              <w:jc w:val="both"/>
              <w:rPr>
                <w:rFonts w:ascii="Arial" w:hAnsi="Arial" w:cs="Arial"/>
                <w:color w:val="000000" w:themeColor="text1"/>
                <w:sz w:val="22"/>
                <w:szCs w:val="22"/>
              </w:rPr>
            </w:pPr>
            <w:r w:rsidRPr="00A64175">
              <w:rPr>
                <w:rFonts w:ascii="Arial" w:hAnsi="Arial" w:cs="Arial"/>
                <w:color w:val="000000" w:themeColor="text1"/>
                <w:sz w:val="22"/>
                <w:szCs w:val="22"/>
              </w:rPr>
              <w:t>Toutes décisions relatives à l'insolvabilité de l'établissement seront notifiées au dépositaire central, qui en informera sans délai la COSUMAF et la BEAC.</w:t>
            </w:r>
          </w:p>
          <w:p w14:paraId="3F9778D8" w14:textId="77777777" w:rsidR="00044ACE" w:rsidRPr="00A64175" w:rsidRDefault="00044ACE"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Le dépositaire central vérifie et documente que les conditions de participation requises dans les règles du système sont et continuent d'être respectées tant que l'établissement est un participant du système.</w:t>
            </w:r>
          </w:p>
          <w:p w14:paraId="3103C465" w14:textId="77777777" w:rsidR="00044ACE" w:rsidRPr="00A64175" w:rsidRDefault="00044ACE"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color w:val="000000" w:themeColor="text1"/>
                <w:sz w:val="22"/>
                <w:szCs w:val="22"/>
              </w:rPr>
              <w:t>Il informe sans délai la COSUMAF et la BEAC de l'admission de l'établissement concerné en tant que participant à son système.</w:t>
            </w:r>
          </w:p>
          <w:p w14:paraId="78922CEE" w14:textId="77777777" w:rsidR="00044ACE" w:rsidRPr="00A64175" w:rsidRDefault="00044ACE" w:rsidP="00A64175">
            <w:pPr>
              <w:pStyle w:val="NormalWeb"/>
              <w:shd w:val="clear" w:color="auto" w:fill="FFFFFF"/>
              <w:spacing w:before="0" w:beforeAutospacing="0" w:after="150" w:afterAutospacing="0"/>
              <w:jc w:val="both"/>
              <w:rPr>
                <w:rFonts w:ascii="Arial" w:hAnsi="Arial" w:cs="Arial"/>
                <w:b/>
                <w:bCs/>
                <w:color w:val="000000" w:themeColor="text1"/>
                <w:sz w:val="22"/>
                <w:szCs w:val="22"/>
              </w:rPr>
            </w:pPr>
            <w:r w:rsidRPr="00A64175">
              <w:rPr>
                <w:rFonts w:ascii="Arial" w:hAnsi="Arial" w:cs="Arial"/>
                <w:color w:val="000000" w:themeColor="text1"/>
                <w:sz w:val="22"/>
                <w:szCs w:val="22"/>
              </w:rPr>
              <w:t>L’admission ne peut être envisagée qu’en l’absence d’opposition de la COSUMAF et de la BEAC dans un délai de quarante-cinq (45) jours à compter de la date à laquelle le Dépositaire Central les a saisis.</w:t>
            </w:r>
          </w:p>
        </w:tc>
      </w:tr>
      <w:tr w:rsidR="00044ACE" w:rsidRPr="00A64175" w14:paraId="28C12444" w14:textId="77777777" w:rsidTr="00044ACE">
        <w:tc>
          <w:tcPr>
            <w:tcW w:w="9445" w:type="dxa"/>
          </w:tcPr>
          <w:p w14:paraId="1EB5350E" w14:textId="5E655B91" w:rsidR="00044ACE" w:rsidRPr="00A64175" w:rsidRDefault="00250ACA" w:rsidP="00A64175">
            <w:pPr>
              <w:pStyle w:val="NormalWeb"/>
              <w:shd w:val="clear" w:color="auto" w:fill="FFFFFF"/>
              <w:spacing w:before="0" w:beforeAutospacing="0" w:after="150" w:afterAutospacing="0"/>
              <w:jc w:val="both"/>
              <w:rPr>
                <w:rFonts w:ascii="Arial" w:hAnsi="Arial" w:cs="Arial"/>
                <w:b/>
                <w:bCs/>
                <w:color w:val="000000" w:themeColor="text1"/>
                <w:sz w:val="22"/>
                <w:szCs w:val="22"/>
              </w:rPr>
            </w:pPr>
            <w:r w:rsidRPr="00A64175">
              <w:rPr>
                <w:rFonts w:ascii="Arial" w:hAnsi="Arial" w:cs="Arial"/>
                <w:b/>
                <w:bCs/>
                <w:color w:val="000000" w:themeColor="text1"/>
                <w:sz w:val="22"/>
                <w:szCs w:val="22"/>
              </w:rPr>
              <w:t>Article 5</w:t>
            </w:r>
            <w:r w:rsidR="006C1DFB">
              <w:rPr>
                <w:rFonts w:ascii="Arial" w:hAnsi="Arial" w:cs="Arial"/>
                <w:b/>
                <w:bCs/>
                <w:color w:val="000000" w:themeColor="text1"/>
                <w:sz w:val="22"/>
                <w:szCs w:val="22"/>
              </w:rPr>
              <w:t xml:space="preserve">90 </w:t>
            </w:r>
            <w:r w:rsidR="00044ACE" w:rsidRPr="00A64175">
              <w:rPr>
                <w:rFonts w:ascii="Arial" w:hAnsi="Arial" w:cs="Arial"/>
                <w:b/>
                <w:bCs/>
                <w:color w:val="000000" w:themeColor="text1"/>
                <w:sz w:val="22"/>
                <w:szCs w:val="22"/>
              </w:rPr>
              <w:t xml:space="preserve"> - </w:t>
            </w:r>
            <w:r w:rsidR="00044ACE" w:rsidRPr="00A64175">
              <w:rPr>
                <w:rFonts w:ascii="Arial" w:hAnsi="Arial" w:cs="Arial"/>
                <w:color w:val="000000" w:themeColor="text1"/>
                <w:sz w:val="22"/>
                <w:szCs w:val="22"/>
              </w:rPr>
              <w:t xml:space="preserve">En toutes circonstances, le Dépositaire Central vérifie que ses règles de fonctionnement sont respectées en permanence, par ses adhérents. </w:t>
            </w:r>
          </w:p>
        </w:tc>
      </w:tr>
      <w:tr w:rsidR="00044ACE" w:rsidRPr="00A64175" w14:paraId="6FE9C8CD" w14:textId="77777777" w:rsidTr="00044ACE">
        <w:tc>
          <w:tcPr>
            <w:tcW w:w="9445" w:type="dxa"/>
          </w:tcPr>
          <w:p w14:paraId="149917CD"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color w:val="000000" w:themeColor="text1"/>
              </w:rPr>
              <w:t>Les adhérents aux opérations du Dépositaire Central doivent s’engager à :</w:t>
            </w:r>
          </w:p>
          <w:p w14:paraId="5032D7CE"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498DECDA" w14:textId="77777777" w:rsidR="00044ACE" w:rsidRPr="00A64175" w:rsidRDefault="00044ACE" w:rsidP="00A64175">
            <w:pPr>
              <w:widowControl w:val="0"/>
              <w:numPr>
                <w:ilvl w:val="0"/>
                <w:numId w:val="10"/>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Respecter les dispositions des règles de fonctionnement du Dépositaire central ;</w:t>
            </w:r>
          </w:p>
          <w:p w14:paraId="64C43A10" w14:textId="77777777" w:rsidR="00044ACE" w:rsidRPr="00A64175" w:rsidRDefault="00044ACE" w:rsidP="00A64175">
            <w:pPr>
              <w:widowControl w:val="0"/>
              <w:numPr>
                <w:ilvl w:val="0"/>
                <w:numId w:val="10"/>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Se soumettre aux contrôles initiés par lui ;</w:t>
            </w:r>
          </w:p>
          <w:p w14:paraId="56F473F8" w14:textId="77777777" w:rsidR="00044ACE" w:rsidRPr="00A64175" w:rsidRDefault="00044ACE" w:rsidP="00A64175">
            <w:pPr>
              <w:widowControl w:val="0"/>
              <w:numPr>
                <w:ilvl w:val="0"/>
                <w:numId w:val="10"/>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Régulariser leur situation lorsqu’elle n’est plus conforme aux conditions d’adhésion ;</w:t>
            </w:r>
          </w:p>
          <w:p w14:paraId="7B11CA1B" w14:textId="77777777" w:rsidR="00044ACE" w:rsidRPr="00A64175" w:rsidRDefault="00044ACE" w:rsidP="00A64175">
            <w:pPr>
              <w:widowControl w:val="0"/>
              <w:numPr>
                <w:ilvl w:val="0"/>
                <w:numId w:val="10"/>
              </w:numPr>
              <w:tabs>
                <w:tab w:val="left" w:pos="220"/>
                <w:tab w:val="left" w:pos="720"/>
              </w:tabs>
              <w:autoSpaceDE w:val="0"/>
              <w:autoSpaceDN w:val="0"/>
              <w:adjustRightInd w:val="0"/>
              <w:jc w:val="both"/>
              <w:rPr>
                <w:rFonts w:ascii="Arial" w:hAnsi="Arial" w:cs="Arial"/>
                <w:color w:val="000000" w:themeColor="text1"/>
                <w:kern w:val="1"/>
              </w:rPr>
            </w:pPr>
            <w:r w:rsidRPr="00A64175">
              <w:rPr>
                <w:rFonts w:ascii="Arial" w:hAnsi="Arial" w:cs="Arial"/>
                <w:color w:val="000000" w:themeColor="text1"/>
              </w:rPr>
              <w:t>Répondre à toute demande d’information</w:t>
            </w:r>
          </w:p>
          <w:p w14:paraId="748365EA"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07F1255" w14:textId="77777777" w:rsidTr="00044ACE">
        <w:tc>
          <w:tcPr>
            <w:tcW w:w="9445" w:type="dxa"/>
          </w:tcPr>
          <w:p w14:paraId="76C957FB" w14:textId="3B0CFF5F" w:rsidR="00044ACE" w:rsidRPr="00A64175" w:rsidRDefault="00250ACA"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5</w:t>
            </w:r>
            <w:r w:rsidR="006C1DFB">
              <w:rPr>
                <w:rFonts w:ascii="Arial" w:hAnsi="Arial" w:cs="Arial"/>
                <w:b/>
                <w:bCs/>
                <w:color w:val="000000" w:themeColor="text1"/>
              </w:rPr>
              <w:t xml:space="preserve">91 </w:t>
            </w:r>
            <w:r w:rsidR="00044ACE" w:rsidRPr="00A64175">
              <w:rPr>
                <w:rFonts w:ascii="Arial" w:hAnsi="Arial" w:cs="Arial"/>
                <w:b/>
                <w:bCs/>
                <w:color w:val="000000" w:themeColor="text1"/>
              </w:rPr>
              <w:t xml:space="preserve"> - </w:t>
            </w:r>
            <w:r w:rsidR="00044ACE" w:rsidRPr="00A64175">
              <w:rPr>
                <w:rFonts w:ascii="Arial" w:hAnsi="Arial" w:cs="Arial"/>
                <w:color w:val="000000" w:themeColor="text1"/>
              </w:rPr>
              <w:t xml:space="preserve">Pour chaque système de règlement de titres qu’il exploite, ainsi que pour chacun des </w:t>
            </w:r>
            <w:r w:rsidRPr="00A64175">
              <w:rPr>
                <w:rFonts w:ascii="Arial" w:hAnsi="Arial" w:cs="Arial"/>
                <w:color w:val="000000" w:themeColor="text1"/>
              </w:rPr>
              <w:t>autres services qu’il fournit, l</w:t>
            </w:r>
            <w:r w:rsidR="00044ACE" w:rsidRPr="00A64175">
              <w:rPr>
                <w:rFonts w:ascii="Arial" w:hAnsi="Arial" w:cs="Arial"/>
                <w:color w:val="000000" w:themeColor="text1"/>
              </w:rPr>
              <w:t>e dépositaire central rend publics les prix et les frais facturés pour les services qu’il fournit. Il indique séparément les prix et les frais pour chaque service et chaque fonction, y compris les remises et les rabais, ainsi que les conditions à remplir pour bénéficier de ces réductions. Il permet à ses clients d’accéder séparément aux différents services proposés.</w:t>
            </w:r>
          </w:p>
          <w:p w14:paraId="3470B03B"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25412D99" w14:textId="77777777" w:rsidR="00250ACA" w:rsidRPr="00A64175" w:rsidRDefault="00250ACA" w:rsidP="00A64175">
            <w:pPr>
              <w:widowControl w:val="0"/>
              <w:autoSpaceDE w:val="0"/>
              <w:adjustRightInd w:val="0"/>
              <w:jc w:val="both"/>
              <w:rPr>
                <w:rFonts w:ascii="Arial" w:hAnsi="Arial" w:cs="Arial"/>
                <w:b/>
                <w:bCs/>
                <w:color w:val="000000" w:themeColor="text1"/>
              </w:rPr>
            </w:pPr>
          </w:p>
        </w:tc>
      </w:tr>
      <w:tr w:rsidR="00044ACE" w:rsidRPr="00A64175" w14:paraId="3572FA3A" w14:textId="77777777" w:rsidTr="00044ACE">
        <w:tc>
          <w:tcPr>
            <w:tcW w:w="9445" w:type="dxa"/>
          </w:tcPr>
          <w:p w14:paraId="35EF3938"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color w:val="000000" w:themeColor="text1"/>
              </w:rPr>
              <w:t xml:space="preserve">Sous-section X : Conditions d’Accès entre le dépositaire central et un autre organisme central. </w:t>
            </w:r>
          </w:p>
        </w:tc>
      </w:tr>
      <w:tr w:rsidR="00044ACE" w:rsidRPr="00A64175" w14:paraId="46AC865B" w14:textId="77777777" w:rsidTr="00044ACE">
        <w:tc>
          <w:tcPr>
            <w:tcW w:w="9445" w:type="dxa"/>
          </w:tcPr>
          <w:p w14:paraId="16F65798"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038B1181" w14:textId="2D341FD2"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5</w:t>
            </w:r>
            <w:r w:rsidR="0069216C">
              <w:rPr>
                <w:rFonts w:ascii="Arial" w:hAnsi="Arial" w:cs="Arial"/>
                <w:b/>
                <w:bCs/>
                <w:color w:val="000000" w:themeColor="text1"/>
              </w:rPr>
              <w:t>9</w:t>
            </w:r>
            <w:r w:rsidR="006C1DFB">
              <w:rPr>
                <w:rFonts w:ascii="Arial" w:hAnsi="Arial" w:cs="Arial"/>
                <w:b/>
                <w:bCs/>
                <w:color w:val="000000" w:themeColor="text1"/>
              </w:rPr>
              <w:t xml:space="preserve">2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La chambre de compensation et la BVMAC fournissent au dépositaire central un accès transparent et non discriminatoire à leurs flux de transaction. Pour l’accès à un tel flux, ils peuvent exiger du Dépositaire central une rémunération commerciale raisonnable basée sur leur prix de revient majoré, sauf convention contraire entre les parties. Le Dépositaire central fournit à La chambre de compensation et la BVMAC un accès transparent et non discriminatoire à leur système de règlement de titres. </w:t>
            </w:r>
          </w:p>
          <w:p w14:paraId="092B2695" w14:textId="77777777" w:rsidR="00044ACE" w:rsidRPr="00A64175" w:rsidRDefault="00044ACE" w:rsidP="00A64175">
            <w:pPr>
              <w:widowControl w:val="0"/>
              <w:autoSpaceDE w:val="0"/>
              <w:adjustRightInd w:val="0"/>
              <w:jc w:val="both"/>
              <w:rPr>
                <w:rFonts w:ascii="Arial" w:hAnsi="Arial" w:cs="Arial"/>
                <w:color w:val="000000" w:themeColor="text1"/>
              </w:rPr>
            </w:pPr>
          </w:p>
          <w:p w14:paraId="5773D5C1"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Pour cet accès, Le Dépositaire central peut exiger une rémunération commerciale raisonnable basée sur le prix de revient majoré, sauf convention contraire entre les parties. La COSUMAF peut préciser les conditions d’accès aux systèmes du Dépositaire Central, par voie d’instruction.</w:t>
            </w:r>
          </w:p>
          <w:p w14:paraId="11DC2CBA"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7F9D0F4F" w14:textId="77777777" w:rsidTr="00044ACE">
        <w:tc>
          <w:tcPr>
            <w:tcW w:w="9445" w:type="dxa"/>
          </w:tcPr>
          <w:p w14:paraId="63AB2008" w14:textId="77777777" w:rsidR="00044ACE" w:rsidRPr="00A64175" w:rsidRDefault="00044ACE" w:rsidP="00A64175">
            <w:pPr>
              <w:widowControl w:val="0"/>
              <w:autoSpaceDE w:val="0"/>
              <w:adjustRightInd w:val="0"/>
              <w:jc w:val="both"/>
              <w:rPr>
                <w:rFonts w:ascii="Arial" w:hAnsi="Arial" w:cs="Arial"/>
                <w:b/>
                <w:color w:val="000000" w:themeColor="text1"/>
              </w:rPr>
            </w:pPr>
            <w:r w:rsidRPr="00A64175">
              <w:rPr>
                <w:rFonts w:ascii="Arial" w:hAnsi="Arial" w:cs="Arial"/>
                <w:b/>
                <w:color w:val="000000" w:themeColor="text1"/>
              </w:rPr>
              <w:t>Sous-section XI : Obligation anti-blanchiment</w:t>
            </w:r>
          </w:p>
          <w:p w14:paraId="36F8BDFB"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62BE8E5F" w14:textId="77777777" w:rsidTr="00044ACE">
        <w:tc>
          <w:tcPr>
            <w:tcW w:w="9445" w:type="dxa"/>
          </w:tcPr>
          <w:p w14:paraId="476154B1" w14:textId="25FEFD7E" w:rsidR="00044ACE" w:rsidRPr="00A64175" w:rsidRDefault="00250ACA" w:rsidP="00A64175">
            <w:pPr>
              <w:widowControl w:val="0"/>
              <w:autoSpaceDE w:val="0"/>
              <w:adjustRightInd w:val="0"/>
              <w:jc w:val="both"/>
              <w:rPr>
                <w:rFonts w:ascii="Arial" w:hAnsi="Arial" w:cs="Arial"/>
                <w:color w:val="000000" w:themeColor="text1"/>
                <w:shd w:val="clear" w:color="auto" w:fill="FFFFFF"/>
              </w:rPr>
            </w:pPr>
            <w:r w:rsidRPr="00A64175">
              <w:rPr>
                <w:rFonts w:ascii="Arial" w:hAnsi="Arial" w:cs="Arial"/>
                <w:b/>
                <w:bCs/>
                <w:color w:val="000000" w:themeColor="text1"/>
              </w:rPr>
              <w:t>Article 5</w:t>
            </w:r>
            <w:r w:rsidR="0069216C">
              <w:rPr>
                <w:rFonts w:ascii="Arial" w:hAnsi="Arial" w:cs="Arial"/>
                <w:b/>
                <w:bCs/>
                <w:color w:val="000000" w:themeColor="text1"/>
              </w:rPr>
              <w:t>9</w:t>
            </w:r>
            <w:r w:rsidR="006C1DFB">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bCs/>
                <w:color w:val="000000" w:themeColor="text1"/>
              </w:rPr>
              <w:t>L</w:t>
            </w:r>
            <w:r w:rsidR="00044ACE" w:rsidRPr="00A64175">
              <w:rPr>
                <w:rFonts w:ascii="Arial" w:hAnsi="Arial" w:cs="Arial"/>
                <w:color w:val="000000" w:themeColor="text1"/>
                <w:shd w:val="clear" w:color="auto" w:fill="FFFFFF"/>
              </w:rPr>
              <w:t>e dépositaire central définit et met en place une organisation et des procédures internes tenant compte d'une identification et d'une évaluation des risques ainsi qu'une politique adaptée à ces risques pour lutter contre le blanchiment des capitaux et le financement du terrorisme.</w:t>
            </w:r>
          </w:p>
          <w:p w14:paraId="7BFAE20A"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313A45F6" w14:textId="77777777" w:rsidTr="00044ACE">
        <w:tc>
          <w:tcPr>
            <w:tcW w:w="9445" w:type="dxa"/>
          </w:tcPr>
          <w:p w14:paraId="4368AC5A" w14:textId="0231C651" w:rsidR="00044ACE" w:rsidRPr="00A64175" w:rsidRDefault="00250ACA" w:rsidP="00A64175">
            <w:pPr>
              <w:shd w:val="clear" w:color="auto" w:fill="FFFFFF"/>
              <w:spacing w:after="150"/>
              <w:jc w:val="both"/>
              <w:rPr>
                <w:rFonts w:ascii="Arial" w:eastAsia="Times New Roman" w:hAnsi="Arial" w:cs="Arial"/>
                <w:color w:val="000000" w:themeColor="text1"/>
              </w:rPr>
            </w:pPr>
            <w:r w:rsidRPr="00A64175">
              <w:rPr>
                <w:rFonts w:ascii="Arial" w:hAnsi="Arial" w:cs="Arial"/>
                <w:b/>
                <w:bCs/>
                <w:color w:val="000000" w:themeColor="text1"/>
              </w:rPr>
              <w:t>Article 59</w:t>
            </w:r>
            <w:r w:rsidR="006C1DFB">
              <w:rPr>
                <w:rFonts w:ascii="Arial" w:hAnsi="Arial" w:cs="Arial"/>
                <w:b/>
                <w:bCs/>
                <w:color w:val="000000" w:themeColor="text1"/>
              </w:rPr>
              <w:t xml:space="preserve">4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eastAsia="Times New Roman" w:hAnsi="Arial" w:cs="Arial"/>
                <w:color w:val="000000" w:themeColor="text1"/>
              </w:rPr>
              <w:t>Le responsable de la mise en œuvre du dispositif de lutte contre le blanchiment de capitaux et le financement du terrorisme est un membre de la direction, qui peut déléguer tout ou partie de cette mise en œuvre à l'un des salariés du dépositaire aux conditions suivantes :</w:t>
            </w:r>
          </w:p>
          <w:p w14:paraId="21A8CA5F" w14:textId="77777777" w:rsidR="00044ACE" w:rsidRPr="00A64175" w:rsidRDefault="00044ACE" w:rsidP="00A64175">
            <w:pPr>
              <w:pStyle w:val="Paragraphedeliste"/>
              <w:numPr>
                <w:ilvl w:val="3"/>
                <w:numId w:val="246"/>
              </w:numPr>
              <w:shd w:val="clear" w:color="auto" w:fill="FFFFFF"/>
              <w:spacing w:before="0" w:beforeAutospacing="0" w:after="150" w:afterAutospacing="0" w:line="240" w:lineRule="auto"/>
              <w:ind w:left="893"/>
              <w:rPr>
                <w:rFonts w:eastAsia="Times New Roman"/>
                <w:color w:val="000000" w:themeColor="text1"/>
              </w:rPr>
            </w:pPr>
            <w:r w:rsidRPr="00A64175">
              <w:rPr>
                <w:rFonts w:eastAsia="Times New Roman"/>
                <w:color w:val="000000" w:themeColor="text1"/>
              </w:rPr>
              <w:t>Le délégataire dispose de l'autorité, des ressources et de l'expertise nécessaires et d'un accès à toutes les informations pertinentes ;</w:t>
            </w:r>
          </w:p>
          <w:p w14:paraId="63685189" w14:textId="77777777" w:rsidR="00044ACE" w:rsidRPr="00A64175" w:rsidRDefault="00044ACE" w:rsidP="00A64175">
            <w:pPr>
              <w:pStyle w:val="Paragraphedeliste"/>
              <w:numPr>
                <w:ilvl w:val="3"/>
                <w:numId w:val="246"/>
              </w:numPr>
              <w:shd w:val="clear" w:color="auto" w:fill="FFFFFF"/>
              <w:spacing w:before="0" w:beforeAutospacing="0" w:after="150" w:afterAutospacing="0" w:line="240" w:lineRule="auto"/>
              <w:ind w:left="893"/>
              <w:rPr>
                <w:rFonts w:eastAsia="Times New Roman"/>
                <w:color w:val="000000" w:themeColor="text1"/>
              </w:rPr>
            </w:pPr>
            <w:r w:rsidRPr="00A64175">
              <w:rPr>
                <w:rFonts w:eastAsia="Times New Roman"/>
                <w:color w:val="000000" w:themeColor="text1"/>
              </w:rPr>
              <w:t>Le délégataire n'est pas impliqué dans l'exécution des services et activités qu'il contrôle.</w:t>
            </w:r>
          </w:p>
          <w:p w14:paraId="340CE95C"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Le délégant demeure responsable des activités déléguées. Le cas échéant, une telle personne est également désignée au niveau du groupe.</w:t>
            </w:r>
          </w:p>
          <w:p w14:paraId="6E613A2C" w14:textId="77777777" w:rsidR="00044ACE" w:rsidRPr="00A64175" w:rsidRDefault="00044ACE" w:rsidP="00A64175">
            <w:p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Le Dépositaire Central :</w:t>
            </w:r>
          </w:p>
          <w:p w14:paraId="23019C54"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Veille à ce que le responsable ait accès à toutes les informations nécessaires à l'exercice de ses fonctions. Il met à sa disposition des outils et des moyens appropriés afin de permettre le respect de ses obligations relatives à la lutte contre le blanchiment de capitaux et le financement du terrorisme ;</w:t>
            </w:r>
          </w:p>
          <w:p w14:paraId="0FD6FD30" w14:textId="77777777" w:rsidR="00044ACE" w:rsidRPr="00A64175" w:rsidRDefault="00044ACE" w:rsidP="00A64175">
            <w:pPr>
              <w:shd w:val="clear" w:color="auto" w:fill="FFFFFF"/>
              <w:spacing w:after="150"/>
              <w:ind w:left="720"/>
              <w:jc w:val="both"/>
              <w:rPr>
                <w:rFonts w:ascii="Arial" w:eastAsia="Times New Roman" w:hAnsi="Arial" w:cs="Arial"/>
                <w:color w:val="000000" w:themeColor="text1"/>
              </w:rPr>
            </w:pPr>
            <w:r w:rsidRPr="00A64175">
              <w:rPr>
                <w:rFonts w:ascii="Arial" w:eastAsia="Times New Roman" w:hAnsi="Arial" w:cs="Arial"/>
                <w:color w:val="000000" w:themeColor="text1"/>
              </w:rPr>
              <w:t>Le responsable est également informé :</w:t>
            </w:r>
          </w:p>
          <w:p w14:paraId="45BBD688" w14:textId="77777777" w:rsidR="00044ACE" w:rsidRPr="00A64175" w:rsidRDefault="00044ACE" w:rsidP="00A64175">
            <w:pPr>
              <w:pStyle w:val="Paragraphedeliste"/>
              <w:numPr>
                <w:ilvl w:val="3"/>
                <w:numId w:val="247"/>
              </w:numPr>
              <w:shd w:val="clear" w:color="auto" w:fill="FFFFFF"/>
              <w:spacing w:before="0" w:beforeAutospacing="0" w:after="150" w:afterAutospacing="0" w:line="240" w:lineRule="auto"/>
              <w:rPr>
                <w:rFonts w:eastAsia="Times New Roman"/>
                <w:color w:val="000000" w:themeColor="text1"/>
              </w:rPr>
            </w:pPr>
            <w:r w:rsidRPr="00A64175">
              <w:rPr>
                <w:rFonts w:eastAsia="Times New Roman"/>
                <w:color w:val="000000" w:themeColor="text1"/>
              </w:rPr>
              <w:t>Des incidents révélés par les systèmes de contrôle interne en matière de lutte contre le blanchiment de capitaux et le financement du terrorisme ;</w:t>
            </w:r>
          </w:p>
          <w:p w14:paraId="5221ECCE" w14:textId="77777777" w:rsidR="00044ACE" w:rsidRPr="00A64175" w:rsidRDefault="00044ACE" w:rsidP="00A64175">
            <w:pPr>
              <w:pStyle w:val="Paragraphedeliste"/>
              <w:numPr>
                <w:ilvl w:val="3"/>
                <w:numId w:val="247"/>
              </w:numPr>
              <w:shd w:val="clear" w:color="auto" w:fill="FFFFFF"/>
              <w:spacing w:before="0" w:beforeAutospacing="0" w:after="150" w:afterAutospacing="0" w:line="240" w:lineRule="auto"/>
              <w:rPr>
                <w:rFonts w:eastAsia="Times New Roman"/>
                <w:color w:val="000000" w:themeColor="text1"/>
              </w:rPr>
            </w:pPr>
            <w:r w:rsidRPr="00A64175">
              <w:rPr>
                <w:rFonts w:eastAsia="Times New Roman"/>
                <w:color w:val="000000" w:themeColor="text1"/>
              </w:rPr>
              <w:t>Des insuffisances constatées par les autorités de contrôle nationales et, le cas échéant, étrangères, dans la mise en œuvre des dispositions relatives à la lutte contre le blanchiment de capitaux et le financement du terrorisme.</w:t>
            </w:r>
          </w:p>
          <w:p w14:paraId="7A868D06"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Met en place des dispositifs d'identification et d'évaluation des risques de blanchiment de capitaux et de financement du terrorisme auxquels il est exposé ainsi qu'une politique adaptée à ces risques ;</w:t>
            </w:r>
          </w:p>
          <w:p w14:paraId="16DD187E"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Détermine, en tant que de besoin, un profil des mouvements usuels de titres financiers sur le ou les comptes d'un adhérent, permettant de détecter des anomalies propres à ce ou ces comptes au regard des risques de blanchiment de capitaux ou de financement du terrorisme ;</w:t>
            </w:r>
          </w:p>
          <w:p w14:paraId="3B01503F"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Définit et met en œuvre les procédures écrites propres à assurer le respect des dispositions relatives à la lutte contre le blanchiment de capitaux et le financement du terrorisme. Celle-ci portent, en particulier, sur le contrôle des risques, la mise en œuvre des mesures de vigilance relatives aux adhérents, la conservation des pièces, la détection des mouvements inhabituels ou suspects de titres financiers ;</w:t>
            </w:r>
          </w:p>
          <w:p w14:paraId="3C705CC0"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Prend en compte, dans le recrutement de leur personnel, selon le niveau des responsabilités exercées, les risques au regard de la lutte contre le blanchiment de capitaux et le financement du terrorisme ;</w:t>
            </w:r>
          </w:p>
          <w:p w14:paraId="737278E7" w14:textId="77777777" w:rsidR="00044ACE" w:rsidRPr="00A64175" w:rsidRDefault="00044ACE" w:rsidP="00A64175">
            <w:pPr>
              <w:numPr>
                <w:ilvl w:val="0"/>
                <w:numId w:val="240"/>
              </w:numPr>
              <w:shd w:val="clear" w:color="auto" w:fill="FFFFFF"/>
              <w:spacing w:after="150"/>
              <w:jc w:val="both"/>
              <w:rPr>
                <w:rFonts w:ascii="Arial" w:eastAsia="Times New Roman" w:hAnsi="Arial" w:cs="Arial"/>
                <w:color w:val="000000" w:themeColor="text1"/>
              </w:rPr>
            </w:pPr>
            <w:r w:rsidRPr="00A64175">
              <w:rPr>
                <w:rFonts w:ascii="Arial" w:eastAsia="Times New Roman" w:hAnsi="Arial" w:cs="Arial"/>
                <w:color w:val="000000" w:themeColor="text1"/>
              </w:rPr>
              <w:t>Assure à leur personnel, lors de son embauche, et de manière régulière ensuite, une information et une formation portant notamment sur la réglementation applicable et ses modifications, sur les techniques de blanchiment utilisées, sur les mesures de prévention et de détection ainsi que sur les procédures mises en place. Elles sont adaptées aux fonctions exercées, à ses adhérents, à ses implantations et à sa classification des risques.</w:t>
            </w:r>
          </w:p>
          <w:p w14:paraId="3DA2FFC0" w14:textId="77777777" w:rsidR="00250ACA" w:rsidRPr="00A64175" w:rsidRDefault="00250ACA" w:rsidP="007774EF">
            <w:pPr>
              <w:shd w:val="clear" w:color="auto" w:fill="FFFFFF"/>
              <w:spacing w:after="150"/>
              <w:ind w:left="720"/>
              <w:jc w:val="both"/>
              <w:rPr>
                <w:rFonts w:ascii="Arial" w:eastAsia="Times New Roman" w:hAnsi="Arial" w:cs="Arial"/>
                <w:color w:val="000000" w:themeColor="text1"/>
              </w:rPr>
            </w:pPr>
          </w:p>
        </w:tc>
      </w:tr>
      <w:tr w:rsidR="00044ACE" w:rsidRPr="00A64175" w14:paraId="03C5ED84" w14:textId="77777777" w:rsidTr="00044ACE">
        <w:tc>
          <w:tcPr>
            <w:tcW w:w="9445" w:type="dxa"/>
          </w:tcPr>
          <w:p w14:paraId="239AC6B6"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b/>
                <w:color w:val="000000" w:themeColor="text1"/>
              </w:rPr>
              <w:t>Sous-section XII : Publication par le dépositaire central</w:t>
            </w:r>
          </w:p>
        </w:tc>
      </w:tr>
      <w:tr w:rsidR="00044ACE" w:rsidRPr="00A64175" w14:paraId="396C950C" w14:textId="77777777" w:rsidTr="00044ACE">
        <w:tc>
          <w:tcPr>
            <w:tcW w:w="9445" w:type="dxa"/>
          </w:tcPr>
          <w:p w14:paraId="5B3599AC"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77C59F05" w14:textId="77777777" w:rsidR="00250ACA" w:rsidRPr="00A64175" w:rsidRDefault="00250ACA" w:rsidP="00A64175">
            <w:pPr>
              <w:widowControl w:val="0"/>
              <w:autoSpaceDE w:val="0"/>
              <w:adjustRightInd w:val="0"/>
              <w:jc w:val="both"/>
              <w:rPr>
                <w:rFonts w:ascii="Arial" w:hAnsi="Arial" w:cs="Arial"/>
                <w:b/>
                <w:bCs/>
                <w:color w:val="000000" w:themeColor="text1"/>
              </w:rPr>
            </w:pPr>
          </w:p>
          <w:p w14:paraId="32554895" w14:textId="56B71285" w:rsidR="00044ACE" w:rsidRPr="00A64175" w:rsidRDefault="00044ACE" w:rsidP="00A64175">
            <w:pPr>
              <w:widowControl w:val="0"/>
              <w:autoSpaceDE w:val="0"/>
              <w:adjustRightInd w:val="0"/>
              <w:jc w:val="both"/>
              <w:rPr>
                <w:rFonts w:ascii="Arial" w:hAnsi="Arial" w:cs="Arial"/>
                <w:color w:val="000000"/>
              </w:rPr>
            </w:pPr>
            <w:r w:rsidRPr="00A64175">
              <w:rPr>
                <w:rFonts w:ascii="Arial" w:hAnsi="Arial" w:cs="Arial"/>
                <w:b/>
                <w:bCs/>
                <w:color w:val="000000" w:themeColor="text1"/>
              </w:rPr>
              <w:t>Art</w:t>
            </w:r>
            <w:r w:rsidR="00250ACA" w:rsidRPr="00A64175">
              <w:rPr>
                <w:rFonts w:ascii="Arial" w:hAnsi="Arial" w:cs="Arial"/>
                <w:b/>
                <w:bCs/>
                <w:color w:val="000000" w:themeColor="text1"/>
              </w:rPr>
              <w:t>icle 59</w:t>
            </w:r>
            <w:r w:rsidR="006C1DFB">
              <w:rPr>
                <w:rFonts w:ascii="Arial" w:hAnsi="Arial" w:cs="Arial"/>
                <w:b/>
                <w:bCs/>
                <w:color w:val="000000" w:themeColor="text1"/>
              </w:rPr>
              <w:t xml:space="preserve">5 </w:t>
            </w:r>
            <w:r w:rsidR="00250ACA" w:rsidRPr="00A64175">
              <w:rPr>
                <w:rFonts w:ascii="Arial" w:hAnsi="Arial" w:cs="Arial"/>
                <w:b/>
                <w:bCs/>
                <w:color w:val="000000" w:themeColor="text1"/>
              </w:rPr>
              <w:t xml:space="preserve"> </w:t>
            </w:r>
            <w:r w:rsidRPr="00A64175">
              <w:rPr>
                <w:rFonts w:ascii="Arial" w:hAnsi="Arial" w:cs="Arial"/>
                <w:b/>
                <w:bCs/>
                <w:color w:val="000000" w:themeColor="text1"/>
              </w:rPr>
              <w:t xml:space="preserve">- </w:t>
            </w:r>
            <w:r w:rsidRPr="00A64175">
              <w:rPr>
                <w:rFonts w:ascii="Arial" w:hAnsi="Arial" w:cs="Arial"/>
                <w:color w:val="000000"/>
              </w:rPr>
              <w:t>Le</w:t>
            </w:r>
            <w:r w:rsidRPr="00A64175">
              <w:rPr>
                <w:rFonts w:ascii="Arial" w:hAnsi="Arial" w:cs="Arial"/>
                <w:color w:val="000000" w:themeColor="text1"/>
              </w:rPr>
              <w:t xml:space="preserve"> dépositaire central</w:t>
            </w:r>
            <w:r w:rsidRPr="00A64175">
              <w:rPr>
                <w:rFonts w:ascii="Arial" w:hAnsi="Arial" w:cs="Arial"/>
                <w:color w:val="000000"/>
              </w:rPr>
              <w:t xml:space="preserve"> est tenu de publier : </w:t>
            </w:r>
          </w:p>
          <w:p w14:paraId="0CCE4197"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5FB6FFF1" w14:textId="77777777" w:rsidR="00044ACE" w:rsidRPr="00A64175" w:rsidRDefault="00044ACE" w:rsidP="00A64175">
            <w:pPr>
              <w:pStyle w:val="Paragraphedeliste"/>
              <w:widowControl w:val="0"/>
              <w:numPr>
                <w:ilvl w:val="0"/>
                <w:numId w:val="243"/>
              </w:numPr>
              <w:autoSpaceDE w:val="0"/>
              <w:adjustRightInd w:val="0"/>
              <w:spacing w:before="0" w:beforeAutospacing="0" w:after="0" w:afterAutospacing="0" w:line="240" w:lineRule="auto"/>
              <w:rPr>
                <w:color w:val="000000"/>
                <w:kern w:val="1"/>
              </w:rPr>
            </w:pPr>
            <w:r w:rsidRPr="00A64175">
              <w:rPr>
                <w:color w:val="000000"/>
              </w:rPr>
              <w:t xml:space="preserve">Un rapport d’activité semestriel comprenant ses états financiers provisoires ; </w:t>
            </w:r>
          </w:p>
          <w:p w14:paraId="0A85A256" w14:textId="77777777" w:rsidR="00044ACE" w:rsidRPr="00A64175" w:rsidRDefault="00044ACE" w:rsidP="00A64175">
            <w:pPr>
              <w:pStyle w:val="Paragraphedeliste"/>
              <w:widowControl w:val="0"/>
              <w:numPr>
                <w:ilvl w:val="0"/>
                <w:numId w:val="243"/>
              </w:numPr>
              <w:autoSpaceDE w:val="0"/>
              <w:adjustRightInd w:val="0"/>
              <w:spacing w:before="0" w:beforeAutospacing="0" w:after="0" w:afterAutospacing="0" w:line="240" w:lineRule="auto"/>
              <w:rPr>
                <w:color w:val="000000" w:themeColor="text1"/>
                <w:kern w:val="1"/>
              </w:rPr>
            </w:pPr>
            <w:r w:rsidRPr="00A64175">
              <w:rPr>
                <w:color w:val="000000"/>
              </w:rPr>
              <w:t xml:space="preserve">Un rapport d’activité annuel qui précise les évolutions de son activité, ses états financiers de synthèse certifiés et approuvés, ses comptes prévisionnels, le rapport de son commissaire aux comptes. </w:t>
            </w:r>
            <w:r w:rsidRPr="00A64175">
              <w:rPr>
                <w:color w:val="000000" w:themeColor="text1"/>
                <w:kern w:val="1"/>
              </w:rPr>
              <w:t>Ce rapport est transmis au plus tard le 31 mars de chaque année, à l’organe exécutif de la Chambre de Compensation et à la COSUMAF. Il est publié sur le site de la Chambre</w:t>
            </w:r>
            <w:r w:rsidRPr="00A64175">
              <w:rPr>
                <w:bCs/>
                <w:color w:val="000000" w:themeColor="text1"/>
              </w:rPr>
              <w:t xml:space="preserve"> de Compensation. </w:t>
            </w:r>
          </w:p>
          <w:p w14:paraId="43B1724B" w14:textId="77777777" w:rsidR="00044ACE" w:rsidRPr="00A64175" w:rsidRDefault="00044ACE" w:rsidP="00A64175">
            <w:pPr>
              <w:jc w:val="both"/>
              <w:rPr>
                <w:rFonts w:ascii="Arial" w:hAnsi="Arial" w:cs="Arial"/>
                <w:color w:val="000000"/>
                <w:highlight w:val="cyan"/>
              </w:rPr>
            </w:pPr>
          </w:p>
          <w:p w14:paraId="097A71CE" w14:textId="3651066D" w:rsidR="00044ACE" w:rsidRPr="00A64175" w:rsidRDefault="00044ACE" w:rsidP="00A64175">
            <w:pPr>
              <w:jc w:val="both"/>
              <w:rPr>
                <w:rFonts w:ascii="Arial" w:hAnsi="Arial" w:cs="Arial"/>
                <w:color w:val="000000"/>
              </w:rPr>
            </w:pPr>
            <w:r w:rsidRPr="00A64175">
              <w:rPr>
                <w:rFonts w:ascii="Arial" w:hAnsi="Arial" w:cs="Arial"/>
                <w:color w:val="000000"/>
              </w:rPr>
              <w:t xml:space="preserve">Le contenu et les modalités de publication sont </w:t>
            </w:r>
            <w:r w:rsidR="0085295F" w:rsidRPr="00A64175">
              <w:rPr>
                <w:rFonts w:ascii="Arial" w:hAnsi="Arial" w:cs="Arial"/>
                <w:color w:val="000000"/>
              </w:rPr>
              <w:t>précisés</w:t>
            </w:r>
            <w:r w:rsidRPr="00A64175">
              <w:rPr>
                <w:rFonts w:ascii="Arial" w:hAnsi="Arial" w:cs="Arial"/>
                <w:color w:val="000000"/>
              </w:rPr>
              <w:t xml:space="preserve"> dans une instruction de la COSUMAF.</w:t>
            </w:r>
          </w:p>
        </w:tc>
      </w:tr>
      <w:tr w:rsidR="00044ACE" w:rsidRPr="00A64175" w14:paraId="2F54C1E6" w14:textId="77777777" w:rsidTr="00044ACE">
        <w:tc>
          <w:tcPr>
            <w:tcW w:w="9445" w:type="dxa"/>
          </w:tcPr>
          <w:p w14:paraId="159EC374" w14:textId="77777777" w:rsidR="00044ACE" w:rsidRPr="00A64175" w:rsidRDefault="00044ACE" w:rsidP="00A64175">
            <w:pPr>
              <w:jc w:val="both"/>
              <w:rPr>
                <w:rFonts w:ascii="Arial" w:hAnsi="Arial" w:cs="Arial"/>
                <w:color w:val="000000" w:themeColor="text1"/>
              </w:rPr>
            </w:pPr>
          </w:p>
          <w:p w14:paraId="06BD07AB" w14:textId="020B5F2E" w:rsidR="00044ACE" w:rsidRPr="00A64175" w:rsidRDefault="00250ACA" w:rsidP="00A64175">
            <w:pPr>
              <w:widowControl w:val="0"/>
              <w:autoSpaceDE w:val="0"/>
              <w:adjustRightInd w:val="0"/>
              <w:jc w:val="both"/>
              <w:rPr>
                <w:rFonts w:ascii="Arial" w:hAnsi="Arial" w:cs="Arial"/>
                <w:b/>
                <w:bCs/>
              </w:rPr>
            </w:pPr>
            <w:r w:rsidRPr="00A64175">
              <w:rPr>
                <w:rFonts w:ascii="Arial" w:hAnsi="Arial" w:cs="Arial"/>
                <w:b/>
                <w:color w:val="000000" w:themeColor="text1"/>
              </w:rPr>
              <w:t>Article 59</w:t>
            </w:r>
            <w:r w:rsidR="006C1DFB">
              <w:rPr>
                <w:rFonts w:ascii="Arial" w:hAnsi="Arial" w:cs="Arial"/>
                <w:b/>
                <w:color w:val="000000" w:themeColor="text1"/>
              </w:rPr>
              <w:t xml:space="preserve">6 </w:t>
            </w:r>
            <w:r w:rsidR="00044ACE" w:rsidRPr="00A64175">
              <w:rPr>
                <w:rFonts w:ascii="Arial" w:hAnsi="Arial" w:cs="Arial"/>
                <w:b/>
                <w:color w:val="000000" w:themeColor="text1"/>
              </w:rPr>
              <w:t xml:space="preserve"> -</w:t>
            </w:r>
            <w:r w:rsidR="00044ACE" w:rsidRPr="00A64175">
              <w:rPr>
                <w:rFonts w:ascii="Arial" w:hAnsi="Arial" w:cs="Arial"/>
                <w:color w:val="000000" w:themeColor="text1"/>
              </w:rPr>
              <w:t xml:space="preserve"> </w:t>
            </w:r>
            <w:r w:rsidR="00044ACE" w:rsidRPr="00A64175">
              <w:rPr>
                <w:rFonts w:ascii="Arial" w:hAnsi="Arial" w:cs="Arial"/>
                <w:color w:val="000000"/>
              </w:rPr>
              <w:t xml:space="preserve">Le commissaire aux comptes </w:t>
            </w:r>
            <w:r w:rsidR="001B0813">
              <w:rPr>
                <w:rFonts w:ascii="Arial" w:hAnsi="Arial" w:cs="Arial"/>
                <w:color w:val="000000"/>
              </w:rPr>
              <w:t xml:space="preserve">du </w:t>
            </w:r>
            <w:r w:rsidR="00044ACE" w:rsidRPr="00A64175">
              <w:rPr>
                <w:rFonts w:ascii="Arial" w:hAnsi="Arial" w:cs="Arial"/>
                <w:color w:val="000000" w:themeColor="text1"/>
              </w:rPr>
              <w:t xml:space="preserve"> dépositaire central</w:t>
            </w:r>
            <w:r w:rsidR="00044ACE" w:rsidRPr="00A64175">
              <w:rPr>
                <w:rFonts w:ascii="Arial" w:hAnsi="Arial" w:cs="Arial"/>
                <w:color w:val="000000"/>
              </w:rPr>
              <w:t xml:space="preserve"> informe sans délai la COSUMAF de tout acte ou omission dont il prend connaissance dans le cadre de l’exercice de leur mission dès lors que cet acte ou cette omission :</w:t>
            </w:r>
          </w:p>
          <w:p w14:paraId="1CDBEC63" w14:textId="77777777" w:rsidR="00044ACE" w:rsidRPr="00A64175" w:rsidRDefault="00044ACE" w:rsidP="00A64175">
            <w:pPr>
              <w:widowControl w:val="0"/>
              <w:autoSpaceDE w:val="0"/>
              <w:adjustRightInd w:val="0"/>
              <w:jc w:val="both"/>
              <w:rPr>
                <w:rFonts w:ascii="Arial" w:hAnsi="Arial" w:cs="Arial"/>
                <w:color w:val="000000"/>
                <w:kern w:val="1"/>
              </w:rPr>
            </w:pPr>
          </w:p>
          <w:p w14:paraId="3C084D75" w14:textId="77777777" w:rsidR="00044ACE" w:rsidRPr="00A64175" w:rsidRDefault="00044ACE" w:rsidP="00A64175">
            <w:pPr>
              <w:widowControl w:val="0"/>
              <w:numPr>
                <w:ilvl w:val="0"/>
                <w:numId w:val="244"/>
              </w:numPr>
              <w:tabs>
                <w:tab w:val="left" w:pos="220"/>
                <w:tab w:val="left" w:pos="720"/>
              </w:tabs>
              <w:autoSpaceDE w:val="0"/>
              <w:autoSpaceDN w:val="0"/>
              <w:adjustRightInd w:val="0"/>
              <w:jc w:val="both"/>
              <w:rPr>
                <w:rFonts w:ascii="Arial" w:hAnsi="Arial" w:cs="Arial"/>
                <w:color w:val="000000"/>
                <w:kern w:val="1"/>
              </w:rPr>
            </w:pPr>
            <w:r w:rsidRPr="00A64175">
              <w:rPr>
                <w:rFonts w:ascii="Arial" w:hAnsi="Arial" w:cs="Arial"/>
                <w:color w:val="000000"/>
              </w:rPr>
              <w:t xml:space="preserve">Est de nature à affecter de manière significative la situation financière </w:t>
            </w:r>
            <w:r w:rsidRPr="00A64175">
              <w:rPr>
                <w:rFonts w:ascii="Arial" w:hAnsi="Arial" w:cs="Arial"/>
                <w:color w:val="000000" w:themeColor="text1"/>
              </w:rPr>
              <w:t>du Dépositaire Central</w:t>
            </w:r>
            <w:r w:rsidRPr="00A64175">
              <w:rPr>
                <w:rFonts w:ascii="Arial" w:hAnsi="Arial" w:cs="Arial"/>
                <w:color w:val="000000"/>
              </w:rPr>
              <w:t xml:space="preserve"> ;</w:t>
            </w:r>
          </w:p>
          <w:p w14:paraId="259063E3" w14:textId="77777777" w:rsidR="00044ACE" w:rsidRPr="00A64175" w:rsidRDefault="00044ACE" w:rsidP="00A64175">
            <w:pPr>
              <w:widowControl w:val="0"/>
              <w:numPr>
                <w:ilvl w:val="0"/>
                <w:numId w:val="244"/>
              </w:numPr>
              <w:tabs>
                <w:tab w:val="left" w:pos="220"/>
                <w:tab w:val="left" w:pos="720"/>
              </w:tabs>
              <w:autoSpaceDE w:val="0"/>
              <w:autoSpaceDN w:val="0"/>
              <w:adjustRightInd w:val="0"/>
              <w:jc w:val="both"/>
              <w:rPr>
                <w:rFonts w:ascii="Arial" w:hAnsi="Arial" w:cs="Arial"/>
                <w:color w:val="000000" w:themeColor="text1"/>
              </w:rPr>
            </w:pPr>
            <w:r w:rsidRPr="00A64175">
              <w:rPr>
                <w:rFonts w:ascii="Arial" w:hAnsi="Arial" w:cs="Arial"/>
                <w:color w:val="000000"/>
              </w:rPr>
              <w:t>Constitue une violation de la réglementation.</w:t>
            </w:r>
          </w:p>
        </w:tc>
      </w:tr>
    </w:tbl>
    <w:p w14:paraId="619F6480" w14:textId="77777777" w:rsidR="00044ACE" w:rsidRPr="00A64175" w:rsidRDefault="00044ACE" w:rsidP="00A64175">
      <w:pPr>
        <w:jc w:val="both"/>
        <w:rPr>
          <w:rFonts w:ascii="Arial" w:hAnsi="Arial" w:cs="Arial"/>
          <w:sz w:val="22"/>
          <w:szCs w:val="22"/>
        </w:rPr>
      </w:pPr>
    </w:p>
    <w:p w14:paraId="3ADF7B6F" w14:textId="5F998197" w:rsidR="00044ACE" w:rsidRPr="00A64175" w:rsidRDefault="00044ACE" w:rsidP="00A64175">
      <w:pPr>
        <w:jc w:val="both"/>
        <w:rPr>
          <w:rFonts w:ascii="Arial" w:hAnsi="Arial" w:cs="Arial"/>
          <w:sz w:val="22"/>
          <w:szCs w:val="22"/>
        </w:rPr>
      </w:pPr>
    </w:p>
    <w:tbl>
      <w:tblPr>
        <w:tblStyle w:val="Grilledutableau"/>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5"/>
      </w:tblGrid>
      <w:tr w:rsidR="00044ACE" w:rsidRPr="00A64175" w14:paraId="05190574" w14:textId="77777777" w:rsidTr="001B69F3">
        <w:trPr>
          <w:trHeight w:val="251"/>
          <w:jc w:val="center"/>
        </w:trPr>
        <w:tc>
          <w:tcPr>
            <w:tcW w:w="9445" w:type="dxa"/>
            <w:shd w:val="clear" w:color="auto" w:fill="auto"/>
          </w:tcPr>
          <w:p w14:paraId="2A8F319C" w14:textId="77777777" w:rsidR="00044ACE" w:rsidRPr="00A64175" w:rsidRDefault="00044ACE" w:rsidP="00A64175">
            <w:pPr>
              <w:widowControl w:val="0"/>
              <w:autoSpaceDE w:val="0"/>
              <w:adjustRightInd w:val="0"/>
              <w:jc w:val="both"/>
              <w:rPr>
                <w:rFonts w:ascii="Arial" w:hAnsi="Arial" w:cs="Arial"/>
                <w:b/>
                <w:color w:val="000000" w:themeColor="text1"/>
                <w:kern w:val="1"/>
              </w:rPr>
            </w:pPr>
          </w:p>
          <w:p w14:paraId="526EF0CF" w14:textId="094F096F" w:rsidR="00044ACE" w:rsidRPr="00A64175" w:rsidRDefault="00044ACE" w:rsidP="00A64175">
            <w:pPr>
              <w:widowControl w:val="0"/>
              <w:autoSpaceDE w:val="0"/>
              <w:adjustRightInd w:val="0"/>
              <w:jc w:val="both"/>
              <w:rPr>
                <w:rFonts w:ascii="Arial" w:hAnsi="Arial" w:cs="Arial"/>
                <w:b/>
                <w:color w:val="000000" w:themeColor="text1"/>
                <w:kern w:val="1"/>
              </w:rPr>
            </w:pPr>
            <w:r w:rsidRPr="00A64175">
              <w:rPr>
                <w:rFonts w:ascii="Arial" w:hAnsi="Arial" w:cs="Arial"/>
                <w:b/>
                <w:color w:val="000000" w:themeColor="text1"/>
                <w:kern w:val="1"/>
              </w:rPr>
              <w:t>CHAPITRE III –  CHAMBRE DE COMPENSATION</w:t>
            </w:r>
          </w:p>
        </w:tc>
      </w:tr>
      <w:tr w:rsidR="00044ACE" w:rsidRPr="00A64175" w14:paraId="1DDCCBB9" w14:textId="77777777" w:rsidTr="001B69F3">
        <w:trPr>
          <w:trHeight w:val="251"/>
          <w:jc w:val="center"/>
        </w:trPr>
        <w:tc>
          <w:tcPr>
            <w:tcW w:w="9445" w:type="dxa"/>
            <w:shd w:val="clear" w:color="auto" w:fill="auto"/>
          </w:tcPr>
          <w:p w14:paraId="2BF2D4DC"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 xml:space="preserve">Section I : Agrément et règles de fonctionnement </w:t>
            </w:r>
          </w:p>
        </w:tc>
      </w:tr>
      <w:tr w:rsidR="00044ACE" w:rsidRPr="00A64175" w14:paraId="0984C398" w14:textId="77777777" w:rsidTr="001B69F3">
        <w:trPr>
          <w:trHeight w:val="251"/>
          <w:jc w:val="center"/>
        </w:trPr>
        <w:tc>
          <w:tcPr>
            <w:tcW w:w="9445" w:type="dxa"/>
            <w:shd w:val="clear" w:color="auto" w:fill="auto"/>
          </w:tcPr>
          <w:p w14:paraId="3A803CD8"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64AAECA1" w14:textId="2DA36478" w:rsidR="00044ACE" w:rsidRPr="00A64175" w:rsidRDefault="00250ACA"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59</w:t>
            </w:r>
            <w:r w:rsidR="006C1DFB">
              <w:rPr>
                <w:rFonts w:ascii="Arial" w:hAnsi="Arial" w:cs="Arial"/>
                <w:b/>
                <w:bCs/>
                <w:color w:val="000000" w:themeColor="text1"/>
              </w:rPr>
              <w:t xml:space="preserve">7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bCs/>
                <w:color w:val="000000" w:themeColor="text1"/>
              </w:rPr>
              <w:t>L</w:t>
            </w:r>
            <w:r w:rsidR="00044ACE" w:rsidRPr="00A64175">
              <w:rPr>
                <w:rFonts w:ascii="Arial" w:hAnsi="Arial" w:cs="Arial"/>
                <w:color w:val="000000" w:themeColor="text1"/>
                <w:kern w:val="1"/>
              </w:rPr>
              <w:t>a Chambre de Compensation soumet à la COSUMAF un dossier de demande d’agrément.</w:t>
            </w:r>
          </w:p>
          <w:p w14:paraId="0C44C53E"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454F8C74"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kern w:val="1"/>
              </w:rPr>
              <w:t xml:space="preserve">Le dossier présenté comprend, outre les règles de fonctionnement de la Chambre de compensation, les documents </w:t>
            </w:r>
            <w:r w:rsidRPr="00A64175">
              <w:rPr>
                <w:rFonts w:ascii="Arial" w:hAnsi="Arial" w:cs="Arial"/>
                <w:color w:val="000000" w:themeColor="text1"/>
              </w:rPr>
              <w:t>nécessaires pour permettre à la COSUMAF de s’assurer que la Chambre de Compensation a mis en place, au moment de l’agrément, toutes les dispositions nécessaires pour se conformer aux obligations qui lui incombent en vertu du présent règlement.</w:t>
            </w:r>
          </w:p>
          <w:p w14:paraId="17CC0912"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1E82F106" w14:textId="77777777" w:rsidTr="001B69F3">
        <w:trPr>
          <w:trHeight w:val="251"/>
          <w:jc w:val="center"/>
        </w:trPr>
        <w:tc>
          <w:tcPr>
            <w:tcW w:w="9445" w:type="dxa"/>
            <w:shd w:val="clear" w:color="auto" w:fill="auto"/>
          </w:tcPr>
          <w:p w14:paraId="45505FB5"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demande d’agrément comprend un programme d’activités précisant le type d’activités envisagées et l’organisation structurelle de la Chambre de Compensation, ainsi que les règles de fonctionnement.</w:t>
            </w:r>
          </w:p>
          <w:p w14:paraId="37747327"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09727530" w14:textId="4FB2B3F5"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rPr>
              <w:t>Une instruction de la COSUMAF précise le contenu du dossier de demande d’agrément et les modalités relative</w:t>
            </w:r>
            <w:r w:rsidR="00250ACA" w:rsidRPr="00A64175">
              <w:rPr>
                <w:rFonts w:ascii="Arial" w:hAnsi="Arial" w:cs="Arial"/>
                <w:color w:val="000000" w:themeColor="text1"/>
              </w:rPr>
              <w:t>s</w:t>
            </w:r>
            <w:r w:rsidRPr="00A64175">
              <w:rPr>
                <w:rFonts w:ascii="Arial" w:hAnsi="Arial" w:cs="Arial"/>
                <w:color w:val="000000" w:themeColor="text1"/>
              </w:rPr>
              <w:t xml:space="preserve"> à la demande d’agrément par la Chambre de compensation</w:t>
            </w:r>
            <w:r w:rsidRPr="00A64175">
              <w:rPr>
                <w:rFonts w:ascii="Arial" w:hAnsi="Arial" w:cs="Arial"/>
                <w:color w:val="000000" w:themeColor="text1"/>
                <w:highlight w:val="cyan"/>
              </w:rPr>
              <w:t>.</w:t>
            </w:r>
          </w:p>
          <w:p w14:paraId="070679FF"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02301FA2" w14:textId="77777777" w:rsidTr="001B69F3">
        <w:trPr>
          <w:trHeight w:val="251"/>
          <w:jc w:val="center"/>
        </w:trPr>
        <w:tc>
          <w:tcPr>
            <w:tcW w:w="9445" w:type="dxa"/>
            <w:shd w:val="clear" w:color="auto" w:fill="auto"/>
          </w:tcPr>
          <w:p w14:paraId="20652E4D" w14:textId="199989AF" w:rsidR="00044ACE" w:rsidRPr="00A64175" w:rsidRDefault="00250ACA" w:rsidP="00A64175">
            <w:pPr>
              <w:widowControl w:val="0"/>
              <w:autoSpaceDE w:val="0"/>
              <w:adjustRightInd w:val="0"/>
              <w:jc w:val="both"/>
              <w:rPr>
                <w:rFonts w:ascii="Arial" w:hAnsi="Arial" w:cs="Arial"/>
                <w:b/>
                <w:bCs/>
                <w:color w:val="000000" w:themeColor="text1"/>
              </w:rPr>
            </w:pPr>
            <w:r w:rsidRPr="00A64175">
              <w:rPr>
                <w:rFonts w:ascii="Arial" w:hAnsi="Arial" w:cs="Arial"/>
                <w:b/>
                <w:bCs/>
                <w:color w:val="000000" w:themeColor="text1"/>
              </w:rPr>
              <w:t>Article 59</w:t>
            </w:r>
            <w:r w:rsidR="006C1DFB">
              <w:rPr>
                <w:rFonts w:ascii="Arial" w:hAnsi="Arial" w:cs="Arial"/>
                <w:b/>
                <w:bCs/>
                <w:color w:val="000000" w:themeColor="text1"/>
              </w:rPr>
              <w:t xml:space="preserve">8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COSUMAF s’assure au moment de l’examen de la demande d’agrément, puis en permanence une fois l’agrément délivré, de l’adéquation des moyens humains, financiers et techniques dont dispose la Chambre de compensation.</w:t>
            </w:r>
          </w:p>
          <w:p w14:paraId="64ADFF83"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6A52DDFC" w14:textId="77777777" w:rsidTr="001B69F3">
        <w:trPr>
          <w:trHeight w:val="251"/>
          <w:jc w:val="center"/>
        </w:trPr>
        <w:tc>
          <w:tcPr>
            <w:tcW w:w="9445" w:type="dxa"/>
            <w:shd w:val="clear" w:color="auto" w:fill="auto"/>
          </w:tcPr>
          <w:p w14:paraId="0B3A3191" w14:textId="6932387B" w:rsidR="00044ACE" w:rsidRPr="00A64175" w:rsidRDefault="00250ACA" w:rsidP="00A64175">
            <w:pPr>
              <w:widowControl w:val="0"/>
              <w:autoSpaceDE w:val="0"/>
              <w:adjustRightInd w:val="0"/>
              <w:jc w:val="both"/>
              <w:rPr>
                <w:rFonts w:ascii="Arial" w:hAnsi="Arial" w:cs="Arial"/>
                <w:b/>
                <w:bCs/>
                <w:color w:val="000000" w:themeColor="text1"/>
              </w:rPr>
            </w:pPr>
            <w:r w:rsidRPr="00A64175">
              <w:rPr>
                <w:rFonts w:ascii="Arial" w:hAnsi="Arial" w:cs="Arial"/>
                <w:b/>
                <w:bCs/>
                <w:color w:val="000000" w:themeColor="text1"/>
              </w:rPr>
              <w:t>Article 59</w:t>
            </w:r>
            <w:r w:rsidR="006C1DFB">
              <w:rPr>
                <w:rFonts w:ascii="Arial" w:hAnsi="Arial" w:cs="Arial"/>
                <w:b/>
                <w:bCs/>
                <w:color w:val="000000" w:themeColor="text1"/>
              </w:rPr>
              <w:t xml:space="preserve">9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COSUMAF statue dans un délai de deux (02) mois à compter de la date de réception de la demande d’agrément, si celle-ci est complète.</w:t>
            </w:r>
          </w:p>
          <w:p w14:paraId="528C457E"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012F43D" w14:textId="77777777" w:rsidTr="001B69F3">
        <w:trPr>
          <w:trHeight w:val="251"/>
          <w:jc w:val="center"/>
        </w:trPr>
        <w:tc>
          <w:tcPr>
            <w:tcW w:w="9445" w:type="dxa"/>
            <w:shd w:val="clear" w:color="auto" w:fill="auto"/>
          </w:tcPr>
          <w:p w14:paraId="081AFAB2" w14:textId="615A4787"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 xml:space="preserve">Article </w:t>
            </w:r>
            <w:r w:rsidR="006C1DFB">
              <w:rPr>
                <w:rFonts w:ascii="Arial" w:hAnsi="Arial" w:cs="Arial"/>
                <w:b/>
                <w:bCs/>
                <w:color w:val="000000" w:themeColor="text1"/>
              </w:rPr>
              <w:t xml:space="preserve">600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Sans préjudice d’éventuelles mesures correctives, l’agrément octroyé de la Chambre de Compensation peut être retiré par décision motivée de la COSUMAF, si :</w:t>
            </w:r>
          </w:p>
          <w:p w14:paraId="0E103298" w14:textId="77777777" w:rsidR="00044ACE" w:rsidRPr="00A64175" w:rsidRDefault="00044ACE" w:rsidP="00A64175">
            <w:pPr>
              <w:widowControl w:val="0"/>
              <w:autoSpaceDE w:val="0"/>
              <w:adjustRightInd w:val="0"/>
              <w:jc w:val="both"/>
              <w:rPr>
                <w:rFonts w:ascii="Arial" w:hAnsi="Arial" w:cs="Arial"/>
                <w:color w:val="000000" w:themeColor="text1"/>
              </w:rPr>
            </w:pPr>
          </w:p>
          <w:p w14:paraId="1E719FFA"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La Chambre de Compensation n’a pas fait usage de l’agrément pendant douze mois, renonce expressément à l’agrément ou n’a fourni aucun service ni exercé aucune activité au cours des six derniers mois ; </w:t>
            </w:r>
          </w:p>
          <w:p w14:paraId="0812FA7D"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A obtenu l’agrément au moyen de fausses déclarations ou par tout autre moyen illicite ; </w:t>
            </w:r>
          </w:p>
          <w:p w14:paraId="5B203785"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 xml:space="preserve">Ne respecte plus les conditions d’octroi de l’agrément et n’a pas pris les mesures correctives demandées par la COSUMAF dans un délai déterminé ; </w:t>
            </w:r>
          </w:p>
          <w:p w14:paraId="7DFEC64D" w14:textId="77777777" w:rsidR="00044ACE" w:rsidRPr="00A64175" w:rsidRDefault="00044ACE" w:rsidP="00A64175">
            <w:pPr>
              <w:pStyle w:val="Paragraphedeliste"/>
              <w:widowControl w:val="0"/>
              <w:numPr>
                <w:ilvl w:val="0"/>
                <w:numId w:val="14"/>
              </w:numPr>
              <w:autoSpaceDE w:val="0"/>
              <w:adjustRightInd w:val="0"/>
              <w:spacing w:before="0" w:beforeAutospacing="0" w:after="0" w:afterAutospacing="0" w:line="240" w:lineRule="auto"/>
              <w:rPr>
                <w:b/>
                <w:bCs/>
                <w:color w:val="000000" w:themeColor="text1"/>
              </w:rPr>
            </w:pPr>
            <w:r w:rsidRPr="00A64175">
              <w:rPr>
                <w:color w:val="000000" w:themeColor="text1"/>
              </w:rPr>
              <w:t>A enfreint de manière grave ou systématique les exigences énoncées au présent règlement.</w:t>
            </w:r>
          </w:p>
          <w:p w14:paraId="320A61C6" w14:textId="77777777" w:rsidR="00044ACE" w:rsidRPr="00E615A3" w:rsidRDefault="00044ACE" w:rsidP="00E615A3">
            <w:pPr>
              <w:widowControl w:val="0"/>
              <w:autoSpaceDE w:val="0"/>
              <w:adjustRightInd w:val="0"/>
              <w:ind w:left="360"/>
              <w:rPr>
                <w:b/>
                <w:bCs/>
                <w:color w:val="000000" w:themeColor="text1"/>
              </w:rPr>
            </w:pPr>
          </w:p>
          <w:p w14:paraId="5355AEB0"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r w:rsidRPr="00A64175">
              <w:rPr>
                <w:rFonts w:ascii="Arial" w:hAnsi="Arial" w:cs="Arial"/>
                <w:color w:val="000000" w:themeColor="text1"/>
              </w:rPr>
              <w:t xml:space="preserve">La COSUMAF peut limiter le retrait de l’agrément à un service, à une activité ou à un instrument financier particulier. </w:t>
            </w:r>
          </w:p>
          <w:p w14:paraId="191B73E6"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p>
          <w:p w14:paraId="4D3A0FDA"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r w:rsidRPr="00A64175">
              <w:rPr>
                <w:rFonts w:ascii="Arial" w:hAnsi="Arial" w:cs="Arial"/>
                <w:color w:val="000000" w:themeColor="text1"/>
              </w:rPr>
              <w:t>En cas de retrait d’agrément, la Chambre de Compensation établit, met en œuvre et garde opérationnelle une procédure adéquate garantissant que les actifs de ses membres soient rapidement et de manière ordonnée, transférés vers une autre dépositaire chambre de compensation.</w:t>
            </w:r>
          </w:p>
          <w:p w14:paraId="477EFB1B" w14:textId="77777777" w:rsidR="00044ACE" w:rsidRPr="00A64175" w:rsidRDefault="00044ACE" w:rsidP="00A64175">
            <w:pPr>
              <w:widowControl w:val="0"/>
              <w:tabs>
                <w:tab w:val="left" w:pos="3750"/>
              </w:tabs>
              <w:autoSpaceDE w:val="0"/>
              <w:adjustRightInd w:val="0"/>
              <w:jc w:val="both"/>
              <w:rPr>
                <w:rFonts w:ascii="Arial" w:hAnsi="Arial" w:cs="Arial"/>
                <w:color w:val="000000" w:themeColor="text1"/>
              </w:rPr>
            </w:pPr>
          </w:p>
          <w:p w14:paraId="6D741DA3" w14:textId="1358B749"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Les conditions de demande et du retrait de l’agrément de la Chambre de Co</w:t>
            </w:r>
            <w:r w:rsidR="00250ACA" w:rsidRPr="00A64175">
              <w:rPr>
                <w:rFonts w:ascii="Arial" w:hAnsi="Arial" w:cs="Arial"/>
                <w:color w:val="000000" w:themeColor="text1"/>
              </w:rPr>
              <w:t>mpensation peuvent être précisées</w:t>
            </w:r>
            <w:r w:rsidRPr="00A64175">
              <w:rPr>
                <w:rFonts w:ascii="Arial" w:hAnsi="Arial" w:cs="Arial"/>
                <w:color w:val="000000" w:themeColor="text1"/>
              </w:rPr>
              <w:t xml:space="preserve"> par voie d’instruction de la COSUMAF.</w:t>
            </w:r>
          </w:p>
          <w:p w14:paraId="1AA1E676"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1658F7DE" w14:textId="77777777" w:rsidTr="001B69F3">
        <w:trPr>
          <w:trHeight w:val="251"/>
          <w:jc w:val="center"/>
        </w:trPr>
        <w:tc>
          <w:tcPr>
            <w:tcW w:w="9445" w:type="dxa"/>
            <w:shd w:val="clear" w:color="auto" w:fill="auto"/>
          </w:tcPr>
          <w:p w14:paraId="0230AAEB" w14:textId="360FB285"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 xml:space="preserve">Article </w:t>
            </w:r>
            <w:r w:rsidR="006C1DFB">
              <w:rPr>
                <w:rFonts w:ascii="Arial" w:hAnsi="Arial" w:cs="Arial"/>
                <w:b/>
                <w:bCs/>
                <w:color w:val="000000" w:themeColor="text1"/>
              </w:rPr>
              <w:t xml:space="preserve">601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Chambre de Compensation établit des règles de fonctionnement. Les Règles de fonctionnement doivent, en toutes circonstances, être conformes à celles du présent Règlement.</w:t>
            </w:r>
          </w:p>
          <w:p w14:paraId="2019BC49"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3AAAA7E4" w14:textId="77777777" w:rsidTr="001B69F3">
        <w:trPr>
          <w:trHeight w:val="251"/>
          <w:jc w:val="center"/>
        </w:trPr>
        <w:tc>
          <w:tcPr>
            <w:tcW w:w="9445" w:type="dxa"/>
            <w:shd w:val="clear" w:color="auto" w:fill="auto"/>
          </w:tcPr>
          <w:p w14:paraId="6E29C4BB" w14:textId="2A095E79"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 xml:space="preserve">Article </w:t>
            </w:r>
            <w:r w:rsidR="0069216C">
              <w:rPr>
                <w:rFonts w:ascii="Arial" w:hAnsi="Arial" w:cs="Arial"/>
                <w:b/>
                <w:bCs/>
                <w:color w:val="000000" w:themeColor="text1"/>
              </w:rPr>
              <w:t>60</w:t>
            </w:r>
            <w:r w:rsidR="006C1DFB">
              <w:rPr>
                <w:rFonts w:ascii="Arial" w:hAnsi="Arial" w:cs="Arial"/>
                <w:b/>
                <w:bCs/>
                <w:color w:val="000000" w:themeColor="text1"/>
              </w:rPr>
              <w:t xml:space="preserve">2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 xml:space="preserve">Ces règles de fonctionnement précisent les conditions d’exercice de son activité. </w:t>
            </w:r>
            <w:r w:rsidR="00044ACE" w:rsidRPr="00A64175">
              <w:rPr>
                <w:rFonts w:ascii="Arial" w:hAnsi="Arial" w:cs="Arial"/>
                <w:color w:val="000000" w:themeColor="text1"/>
                <w:kern w:val="1"/>
              </w:rPr>
              <w:t>Les règles de fonctionnement</w:t>
            </w:r>
            <w:r w:rsidR="00044ACE" w:rsidRPr="00A64175">
              <w:rPr>
                <w:rFonts w:ascii="Arial" w:hAnsi="Arial" w:cs="Arial"/>
                <w:color w:val="000000" w:themeColor="text1"/>
              </w:rPr>
              <w:t xml:space="preserve"> de la Chambre de Compensation précise notamment :</w:t>
            </w:r>
          </w:p>
          <w:p w14:paraId="536D25E8"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1D540562" w14:textId="77777777" w:rsidR="00044ACE" w:rsidRPr="00A64175" w:rsidRDefault="00044ACE" w:rsidP="00A64175">
            <w:pPr>
              <w:pStyle w:val="Paragraphedeliste"/>
              <w:widowControl w:val="0"/>
              <w:numPr>
                <w:ilvl w:val="0"/>
                <w:numId w:val="15"/>
              </w:numPr>
              <w:autoSpaceDE w:val="0"/>
              <w:adjustRightInd w:val="0"/>
              <w:spacing w:before="0" w:beforeAutospacing="0" w:after="0" w:afterAutospacing="0" w:line="240" w:lineRule="auto"/>
              <w:rPr>
                <w:color w:val="000000" w:themeColor="text1"/>
                <w:kern w:val="1"/>
              </w:rPr>
            </w:pPr>
            <w:r w:rsidRPr="00A64175">
              <w:rPr>
                <w:color w:val="000000" w:themeColor="text1"/>
                <w:shd w:val="clear" w:color="auto" w:fill="FFFFFF"/>
              </w:rPr>
              <w:t xml:space="preserve">La nature et l'étendue de la garantie que la chambre accorde à ses adhérents compensateurs, qu'ils agissent pour leur propre compte ou pour le compte de leurs donneurs d'ordre ; </w:t>
            </w:r>
          </w:p>
          <w:p w14:paraId="3B5F3ABF" w14:textId="77777777" w:rsidR="00044ACE" w:rsidRPr="00A64175" w:rsidRDefault="00044ACE" w:rsidP="00A64175">
            <w:pPr>
              <w:pStyle w:val="Paragraphedeliste"/>
              <w:widowControl w:val="0"/>
              <w:numPr>
                <w:ilvl w:val="0"/>
                <w:numId w:val="15"/>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règles d’adhésion à la Chambre de Compensation ;</w:t>
            </w:r>
          </w:p>
          <w:p w14:paraId="4F5D896D" w14:textId="77777777" w:rsidR="00044ACE" w:rsidRPr="00A64175" w:rsidRDefault="00044ACE" w:rsidP="00A64175">
            <w:pPr>
              <w:pStyle w:val="Paragraphedeliste"/>
              <w:widowControl w:val="0"/>
              <w:numPr>
                <w:ilvl w:val="0"/>
                <w:numId w:val="78"/>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règles relatives à l’habilitation du personnel des adhérents compensateurs ;</w:t>
            </w:r>
          </w:p>
          <w:p w14:paraId="526E04D8" w14:textId="77777777" w:rsidR="00044ACE" w:rsidRPr="00A64175" w:rsidRDefault="00044ACE" w:rsidP="00A64175">
            <w:pPr>
              <w:pStyle w:val="Paragraphedeliste"/>
              <w:widowControl w:val="0"/>
              <w:numPr>
                <w:ilvl w:val="0"/>
                <w:numId w:val="79"/>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modalités d’enregistrement des transactions ;</w:t>
            </w:r>
          </w:p>
          <w:p w14:paraId="61BCC209" w14:textId="77777777" w:rsidR="00044ACE" w:rsidRPr="00A64175" w:rsidRDefault="00044ACE" w:rsidP="00A64175">
            <w:pPr>
              <w:pStyle w:val="Paragraphedeliste"/>
              <w:widowControl w:val="0"/>
              <w:numPr>
                <w:ilvl w:val="0"/>
                <w:numId w:val="80"/>
              </w:numPr>
              <w:autoSpaceDE w:val="0"/>
              <w:adjustRightInd w:val="0"/>
              <w:spacing w:before="0" w:beforeAutospacing="0" w:after="0" w:afterAutospacing="0" w:line="240" w:lineRule="auto"/>
              <w:rPr>
                <w:color w:val="000000" w:themeColor="text1"/>
                <w:kern w:val="1"/>
              </w:rPr>
            </w:pPr>
            <w:r w:rsidRPr="00A64175">
              <w:rPr>
                <w:color w:val="000000" w:themeColor="text1"/>
                <w:kern w:val="1"/>
              </w:rPr>
              <w:t>La nature et l’étendue de la garantie que la Chambre de Compensation accorde à ses adhérents compensateurs, les modalités de mise en jeu de ladite garantie ainsi que les modalités de constitution, de gestion et d’utilisation des dépôts de garantie ;</w:t>
            </w:r>
          </w:p>
          <w:p w14:paraId="216CBEDE" w14:textId="77777777" w:rsidR="00044ACE" w:rsidRPr="00A64175" w:rsidRDefault="00044ACE" w:rsidP="00A64175">
            <w:pPr>
              <w:pStyle w:val="Paragraphedeliste"/>
              <w:widowControl w:val="0"/>
              <w:numPr>
                <w:ilvl w:val="0"/>
                <w:numId w:val="81"/>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mesures à prendre en cas de violation des règles de la compensation ou de défaillance des adhérents compensateurs ;</w:t>
            </w:r>
          </w:p>
          <w:p w14:paraId="63E31E31" w14:textId="77777777" w:rsidR="00044ACE" w:rsidRPr="00A64175" w:rsidRDefault="00044ACE" w:rsidP="00A64175">
            <w:pPr>
              <w:pStyle w:val="Paragraphedeliste"/>
              <w:widowControl w:val="0"/>
              <w:numPr>
                <w:ilvl w:val="0"/>
                <w:numId w:val="82"/>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modalités de détermination des prix utilisés pour calculer les expositions de la Chambre de Compensation vis-à-vis des adhérents compensateurs ;</w:t>
            </w:r>
          </w:p>
          <w:p w14:paraId="1B0A2BF3" w14:textId="77777777" w:rsidR="00044ACE" w:rsidRPr="00A64175" w:rsidRDefault="00044ACE" w:rsidP="00A64175">
            <w:pPr>
              <w:pStyle w:val="Paragraphedeliste"/>
              <w:widowControl w:val="0"/>
              <w:numPr>
                <w:ilvl w:val="0"/>
                <w:numId w:val="83"/>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modalités de ségrégation des comptes ouverts par les adhérents compensateurs sur lesquels sont enregistrées les transactions réalisées pour leur propre compte et celles réalisées pour le compte de leurs clients ;</w:t>
            </w:r>
          </w:p>
          <w:p w14:paraId="7044BD33" w14:textId="77777777" w:rsidR="00044ACE" w:rsidRPr="00A64175" w:rsidRDefault="00044ACE" w:rsidP="00A64175">
            <w:pPr>
              <w:pStyle w:val="Paragraphedeliste"/>
              <w:widowControl w:val="0"/>
              <w:numPr>
                <w:ilvl w:val="0"/>
                <w:numId w:val="84"/>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obligations de communication par les adhérents compensateurs de l’identité de leurs donneurs d’ordre ;</w:t>
            </w:r>
          </w:p>
          <w:p w14:paraId="181B4903" w14:textId="77777777" w:rsidR="00044ACE" w:rsidRPr="00A64175" w:rsidRDefault="00044ACE" w:rsidP="00A64175">
            <w:pPr>
              <w:pStyle w:val="Paragraphedeliste"/>
              <w:widowControl w:val="0"/>
              <w:numPr>
                <w:ilvl w:val="0"/>
                <w:numId w:val="85"/>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Les obligations des adhérents compensateurs à l’égard de leurs donneurs d’ordre.</w:t>
            </w:r>
          </w:p>
          <w:p w14:paraId="69CCB8C0" w14:textId="77777777" w:rsidR="00044ACE" w:rsidRPr="00A64175" w:rsidRDefault="00044ACE" w:rsidP="00A64175">
            <w:pPr>
              <w:pStyle w:val="Paragraphedeliste"/>
              <w:widowControl w:val="0"/>
              <w:numPr>
                <w:ilvl w:val="0"/>
                <w:numId w:val="85"/>
              </w:numPr>
              <w:autoSpaceDE w:val="0"/>
              <w:adjustRightInd w:val="0"/>
              <w:spacing w:before="0" w:beforeAutospacing="0" w:after="0" w:afterAutospacing="0" w:line="240" w:lineRule="auto"/>
              <w:rPr>
                <w:color w:val="000000" w:themeColor="text1"/>
                <w:kern w:val="1"/>
              </w:rPr>
            </w:pPr>
            <w:r w:rsidRPr="00A64175">
              <w:rPr>
                <w:bCs/>
                <w:color w:val="000000" w:themeColor="text1"/>
              </w:rPr>
              <w:t>La création d’un fonds commun de défaut/de garantie.</w:t>
            </w:r>
          </w:p>
          <w:p w14:paraId="6DD89495" w14:textId="77777777" w:rsidR="00044ACE" w:rsidRPr="00E615A3" w:rsidRDefault="00044ACE" w:rsidP="00E615A3">
            <w:pPr>
              <w:widowControl w:val="0"/>
              <w:autoSpaceDE w:val="0"/>
              <w:adjustRightInd w:val="0"/>
              <w:ind w:left="360"/>
              <w:rPr>
                <w:b/>
                <w:color w:val="000000" w:themeColor="text1"/>
                <w:kern w:val="1"/>
              </w:rPr>
            </w:pPr>
          </w:p>
          <w:p w14:paraId="28C91B7B"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kern w:val="1"/>
              </w:rPr>
              <w:t xml:space="preserve">La COSUMAF peut préciser les conditions de mise en place des </w:t>
            </w:r>
            <w:r w:rsidRPr="00A64175">
              <w:rPr>
                <w:rFonts w:ascii="Arial" w:hAnsi="Arial" w:cs="Arial"/>
                <w:color w:val="000000" w:themeColor="text1"/>
              </w:rPr>
              <w:t xml:space="preserve">règles de fonctionnement de la COSUMAF par voie d’instruction. </w:t>
            </w:r>
          </w:p>
          <w:p w14:paraId="46300132"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31951FF2" w14:textId="77777777" w:rsidTr="001B69F3">
        <w:trPr>
          <w:trHeight w:val="251"/>
          <w:jc w:val="center"/>
        </w:trPr>
        <w:tc>
          <w:tcPr>
            <w:tcW w:w="9445" w:type="dxa"/>
            <w:shd w:val="clear" w:color="auto" w:fill="auto"/>
          </w:tcPr>
          <w:p w14:paraId="3FF7AFAB" w14:textId="77777777" w:rsidR="00044ACE" w:rsidRPr="00A64175" w:rsidRDefault="00044ACE" w:rsidP="00A64175">
            <w:pPr>
              <w:jc w:val="both"/>
              <w:rPr>
                <w:rFonts w:ascii="Arial" w:hAnsi="Arial" w:cs="Arial"/>
                <w:color w:val="000000" w:themeColor="text1"/>
                <w:kern w:val="1"/>
              </w:rPr>
            </w:pPr>
            <w:r w:rsidRPr="00A64175">
              <w:rPr>
                <w:rFonts w:ascii="Arial" w:hAnsi="Arial" w:cs="Arial"/>
                <w:color w:val="000000" w:themeColor="text1"/>
                <w:kern w:val="1"/>
              </w:rPr>
              <w:t xml:space="preserve">La COSUMAF </w:t>
            </w:r>
            <w:r w:rsidRPr="00A64175">
              <w:rPr>
                <w:rFonts w:ascii="Arial" w:hAnsi="Arial" w:cs="Arial"/>
                <w:color w:val="000000" w:themeColor="text1"/>
                <w:shd w:val="clear" w:color="auto" w:fill="FFFFFF"/>
              </w:rPr>
              <w:t>se prononce sur ces règles au regard des activités que la chambre projette d'exercer et des moyens qu'elle envisage de mettre en œuvre.</w:t>
            </w:r>
          </w:p>
          <w:p w14:paraId="1C1B04CC" w14:textId="77777777" w:rsidR="00044ACE" w:rsidRPr="00A64175" w:rsidRDefault="00044ACE" w:rsidP="00A64175">
            <w:pPr>
              <w:jc w:val="both"/>
              <w:rPr>
                <w:rFonts w:ascii="Arial" w:hAnsi="Arial" w:cs="Arial"/>
                <w:color w:val="000000" w:themeColor="text1"/>
                <w:kern w:val="1"/>
              </w:rPr>
            </w:pPr>
          </w:p>
          <w:p w14:paraId="5393B922"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r w:rsidRPr="00A64175">
              <w:rPr>
                <w:rFonts w:ascii="Arial" w:hAnsi="Arial" w:cs="Arial"/>
                <w:color w:val="000000" w:themeColor="text1"/>
                <w:kern w:val="1"/>
              </w:rPr>
              <w:t xml:space="preserve">La COSUMAF </w:t>
            </w:r>
            <w:r w:rsidRPr="00A64175">
              <w:rPr>
                <w:rFonts w:ascii="Arial" w:hAnsi="Arial" w:cs="Arial"/>
                <w:color w:val="000000" w:themeColor="text1"/>
                <w:shd w:val="clear" w:color="auto" w:fill="FFFFFF"/>
              </w:rPr>
              <w:t>statue dans un délai d’un (01) mois à compter de la réception de la demande ou, le cas échéant, des informations complémentaires qu'elle a demandées en cas de modification des règles.</w:t>
            </w:r>
          </w:p>
          <w:p w14:paraId="653241F0"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p>
          <w:p w14:paraId="5418864D" w14:textId="77777777" w:rsidR="00044ACE" w:rsidRPr="00A64175" w:rsidRDefault="00044ACE" w:rsidP="00A64175">
            <w:pPr>
              <w:widowControl w:val="0"/>
              <w:autoSpaceDE w:val="0"/>
              <w:adjustRightInd w:val="0"/>
              <w:jc w:val="both"/>
              <w:rPr>
                <w:rFonts w:ascii="Arial" w:eastAsia="Times New Roman" w:hAnsi="Arial" w:cs="Arial"/>
                <w:color w:val="000000" w:themeColor="text1"/>
              </w:rPr>
            </w:pPr>
            <w:r w:rsidRPr="00A64175">
              <w:rPr>
                <w:rFonts w:ascii="Arial" w:hAnsi="Arial" w:cs="Arial"/>
                <w:color w:val="000000" w:themeColor="text1"/>
              </w:rPr>
              <w:t>La COSUMAF peut préciser dans une instruction le format des règles, et procédures et contrats que la Chambre de Compensation doit mettre en place.</w:t>
            </w:r>
          </w:p>
          <w:p w14:paraId="4BE52A50"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59F5A32C" w14:textId="77777777" w:rsidTr="001B69F3">
        <w:trPr>
          <w:trHeight w:val="251"/>
          <w:jc w:val="center"/>
        </w:trPr>
        <w:tc>
          <w:tcPr>
            <w:tcW w:w="9445" w:type="dxa"/>
            <w:shd w:val="clear" w:color="auto" w:fill="auto"/>
          </w:tcPr>
          <w:p w14:paraId="40F75B6F" w14:textId="19C05FB1" w:rsidR="00044ACE" w:rsidRPr="00A64175" w:rsidRDefault="00250ACA"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 xml:space="preserve">Article </w:t>
            </w:r>
            <w:r w:rsidR="0069216C">
              <w:rPr>
                <w:rFonts w:ascii="Arial" w:hAnsi="Arial" w:cs="Arial"/>
                <w:b/>
                <w:bCs/>
                <w:color w:val="000000" w:themeColor="text1"/>
              </w:rPr>
              <w:t>60</w:t>
            </w:r>
            <w:r w:rsidR="006C1DFB">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Chambre de Compensation tient à la disposition de tout intéressé, à son siège, son règlement général. Une copie de ces règles peut être délivrée aux frais des demandeurs.</w:t>
            </w:r>
          </w:p>
          <w:p w14:paraId="245F32F3"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6C7B86F7" w14:textId="77777777" w:rsidR="00250ACA" w:rsidRPr="00A64175" w:rsidRDefault="00250ACA" w:rsidP="00A64175">
            <w:pPr>
              <w:widowControl w:val="0"/>
              <w:autoSpaceDE w:val="0"/>
              <w:adjustRightInd w:val="0"/>
              <w:jc w:val="both"/>
              <w:rPr>
                <w:rFonts w:ascii="Arial" w:hAnsi="Arial" w:cs="Arial"/>
                <w:b/>
                <w:bCs/>
                <w:color w:val="000000" w:themeColor="text1"/>
              </w:rPr>
            </w:pPr>
          </w:p>
        </w:tc>
      </w:tr>
      <w:tr w:rsidR="00044ACE" w:rsidRPr="00A64175" w14:paraId="6C41F7CE" w14:textId="77777777" w:rsidTr="001B69F3">
        <w:trPr>
          <w:trHeight w:val="251"/>
          <w:jc w:val="center"/>
        </w:trPr>
        <w:tc>
          <w:tcPr>
            <w:tcW w:w="9445" w:type="dxa"/>
            <w:shd w:val="clear" w:color="auto" w:fill="auto"/>
          </w:tcPr>
          <w:p w14:paraId="3F81A920" w14:textId="77777777" w:rsidR="00044ACE" w:rsidRPr="00A64175" w:rsidRDefault="00044ACE" w:rsidP="00A64175">
            <w:pPr>
              <w:widowControl w:val="0"/>
              <w:autoSpaceDE w:val="0"/>
              <w:adjustRightInd w:val="0"/>
              <w:jc w:val="both"/>
              <w:rPr>
                <w:rFonts w:ascii="Arial" w:hAnsi="Arial" w:cs="Arial"/>
                <w:b/>
                <w:color w:val="000000" w:themeColor="text1"/>
                <w:kern w:val="1"/>
              </w:rPr>
            </w:pPr>
            <w:r w:rsidRPr="00A64175">
              <w:rPr>
                <w:rFonts w:ascii="Arial" w:hAnsi="Arial" w:cs="Arial"/>
                <w:b/>
                <w:bCs/>
                <w:color w:val="000000" w:themeColor="text1"/>
              </w:rPr>
              <w:t>Section II : Adhésion à la Chambre de compensation</w:t>
            </w:r>
          </w:p>
        </w:tc>
      </w:tr>
      <w:tr w:rsidR="00044ACE" w:rsidRPr="00A64175" w14:paraId="7BEE419E" w14:textId="77777777" w:rsidTr="001B69F3">
        <w:trPr>
          <w:trHeight w:val="251"/>
          <w:jc w:val="center"/>
        </w:trPr>
        <w:tc>
          <w:tcPr>
            <w:tcW w:w="9445" w:type="dxa"/>
            <w:shd w:val="clear" w:color="auto" w:fill="auto"/>
          </w:tcPr>
          <w:p w14:paraId="39CC891B"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76B4A09B" w14:textId="6DDC641F" w:rsidR="00044ACE" w:rsidRPr="00A64175" w:rsidRDefault="00250ACA"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60</w:t>
            </w:r>
            <w:r w:rsidR="006C1DFB">
              <w:rPr>
                <w:rFonts w:ascii="Arial" w:hAnsi="Arial" w:cs="Arial"/>
                <w:b/>
                <w:bCs/>
                <w:color w:val="000000" w:themeColor="text1"/>
              </w:rPr>
              <w:t xml:space="preserve">4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kern w:val="1"/>
              </w:rPr>
              <w:t>Les règles de fonctionnement</w:t>
            </w:r>
            <w:r w:rsidR="00044ACE" w:rsidRPr="00A64175" w:rsidDel="00372543">
              <w:rPr>
                <w:rFonts w:ascii="Arial" w:hAnsi="Arial" w:cs="Arial"/>
                <w:color w:val="000000" w:themeColor="text1"/>
              </w:rPr>
              <w:t xml:space="preserve"> </w:t>
            </w:r>
            <w:r w:rsidR="00044ACE" w:rsidRPr="00A64175">
              <w:rPr>
                <w:rFonts w:ascii="Arial" w:hAnsi="Arial" w:cs="Arial"/>
                <w:color w:val="000000" w:themeColor="text1"/>
              </w:rPr>
              <w:t>de la Chambre de Compensation précise les catégories de personnes ou structures susceptibles d’être admises en qualité d’adhérent compensateur, les crit</w:t>
            </w:r>
            <w:r w:rsidR="00DD3D4D" w:rsidRPr="00A64175">
              <w:rPr>
                <w:rFonts w:ascii="Arial" w:hAnsi="Arial" w:cs="Arial"/>
                <w:color w:val="000000" w:themeColor="text1"/>
              </w:rPr>
              <w:t>ères d’admission, y compris le</w:t>
            </w:r>
            <w:r w:rsidR="00044ACE" w:rsidRPr="00A64175">
              <w:rPr>
                <w:rFonts w:ascii="Arial" w:hAnsi="Arial" w:cs="Arial"/>
                <w:color w:val="000000" w:themeColor="text1"/>
              </w:rPr>
              <w:t xml:space="preserve"> </w:t>
            </w:r>
            <w:r w:rsidR="00044ACE" w:rsidRPr="00A64175">
              <w:rPr>
                <w:rFonts w:ascii="Arial" w:hAnsi="Arial" w:cs="Arial"/>
                <w:color w:val="000000" w:themeColor="text1"/>
                <w:shd w:val="clear" w:color="auto" w:fill="FFFFFF"/>
              </w:rPr>
              <w:t>montant minimum de leurs ressources financières</w:t>
            </w:r>
            <w:r w:rsidR="00044ACE" w:rsidRPr="00A64175">
              <w:rPr>
                <w:rFonts w:ascii="Arial" w:hAnsi="Arial" w:cs="Arial"/>
                <w:color w:val="000000" w:themeColor="text1"/>
              </w:rPr>
              <w:t xml:space="preserve"> et les exigences en matière de capacité opérationnelle.</w:t>
            </w:r>
          </w:p>
          <w:p w14:paraId="0A82454F" w14:textId="77777777" w:rsidR="00044ACE" w:rsidRPr="00A64175" w:rsidRDefault="00044ACE" w:rsidP="00A64175">
            <w:pPr>
              <w:widowControl w:val="0"/>
              <w:autoSpaceDE w:val="0"/>
              <w:adjustRightInd w:val="0"/>
              <w:jc w:val="both"/>
              <w:rPr>
                <w:rFonts w:ascii="Arial" w:hAnsi="Arial" w:cs="Arial"/>
                <w:color w:val="000000" w:themeColor="text1"/>
              </w:rPr>
            </w:pPr>
          </w:p>
          <w:p w14:paraId="42A9A9DC"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rPr>
              <w:t>Ces critères et exigences peuvent être modifiés dans les conditions définies par la Chambre de compensation.</w:t>
            </w:r>
          </w:p>
          <w:p w14:paraId="01E645AD"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7A0BAEC6"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kern w:val="1"/>
              </w:rPr>
              <w:t>Lorsque plusieurs catégories d’adhérents sont prévues, la Chambre de Compensation précise les conditions d’adhésion applicables à chacune de ces catégories.</w:t>
            </w:r>
          </w:p>
          <w:p w14:paraId="2D3CD33A"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118014D7"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r w:rsidRPr="00A64175">
              <w:rPr>
                <w:rFonts w:ascii="Arial" w:hAnsi="Arial" w:cs="Arial"/>
                <w:color w:val="000000" w:themeColor="text1"/>
                <w:shd w:val="clear" w:color="auto" w:fill="FFFFFF"/>
              </w:rPr>
              <w:t>Le montant minimum de ressources financières et, le cas échéant, de garanties dont doivent disposer les adhérents compensateurs peut être augmenté par la Chambre de Compensation dans les conditions définies par ses règles de fonctionnement.</w:t>
            </w:r>
          </w:p>
          <w:p w14:paraId="79AC3B7E"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p>
          <w:p w14:paraId="5F73443D"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r w:rsidRPr="00A64175">
              <w:rPr>
                <w:rFonts w:ascii="Arial" w:hAnsi="Arial" w:cs="Arial"/>
                <w:color w:val="000000" w:themeColor="text1"/>
                <w:shd w:val="clear" w:color="auto" w:fill="FFFFFF"/>
              </w:rPr>
              <w:t>Au moins une fois par an, les adhérents communiquent à la Chambre de Compensation des informations écrites comprenant notamment leurs comptes ainsi que les documents relatifs aux garanties dont ils bénéficient. Ils l'informent immédiatement de toute diminution des ressources financières en deçà du minimum qui leur est applicable.</w:t>
            </w:r>
          </w:p>
          <w:p w14:paraId="640DAE8D"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613CCDAB" w14:textId="77777777" w:rsidTr="001B69F3">
        <w:trPr>
          <w:trHeight w:val="251"/>
          <w:jc w:val="center"/>
        </w:trPr>
        <w:tc>
          <w:tcPr>
            <w:tcW w:w="9445" w:type="dxa"/>
            <w:shd w:val="clear" w:color="auto" w:fill="auto"/>
          </w:tcPr>
          <w:p w14:paraId="7E5847E6" w14:textId="206E983A"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60</w:t>
            </w:r>
            <w:r w:rsidR="006C1DFB">
              <w:rPr>
                <w:rFonts w:ascii="Arial" w:hAnsi="Arial" w:cs="Arial"/>
                <w:b/>
                <w:bCs/>
                <w:color w:val="000000" w:themeColor="text1"/>
              </w:rPr>
              <w:t xml:space="preserve">5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Les règles de fonctionnement de la Chambre de Compensation fixe les cas de suspension et de résiliation de l’adhésion des adhérents compensateurs qui ne satisfont plus aux conditions d’adhésion.</w:t>
            </w:r>
          </w:p>
          <w:p w14:paraId="1BCB4C5A"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5619DC97" w14:textId="77777777" w:rsidTr="001B69F3">
        <w:trPr>
          <w:trHeight w:val="251"/>
          <w:jc w:val="center"/>
        </w:trPr>
        <w:tc>
          <w:tcPr>
            <w:tcW w:w="9445" w:type="dxa"/>
            <w:shd w:val="clear" w:color="auto" w:fill="auto"/>
          </w:tcPr>
          <w:p w14:paraId="74AB0311"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Section III : Relations de la Chambre de Compensation avec ses adhérents</w:t>
            </w:r>
          </w:p>
          <w:p w14:paraId="5FA19D3B"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7D936DED" w14:textId="77777777" w:rsidTr="001B69F3">
        <w:trPr>
          <w:trHeight w:val="251"/>
          <w:jc w:val="center"/>
        </w:trPr>
        <w:tc>
          <w:tcPr>
            <w:tcW w:w="9445" w:type="dxa"/>
            <w:shd w:val="clear" w:color="auto" w:fill="auto"/>
          </w:tcPr>
          <w:p w14:paraId="393065DF" w14:textId="26C07685" w:rsidR="00044ACE" w:rsidRPr="00A64175" w:rsidRDefault="00DD3D4D"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60</w:t>
            </w:r>
            <w:r w:rsidR="006C1DFB">
              <w:rPr>
                <w:rFonts w:ascii="Arial" w:hAnsi="Arial" w:cs="Arial"/>
                <w:b/>
                <w:bCs/>
                <w:color w:val="000000" w:themeColor="text1"/>
              </w:rPr>
              <w:t xml:space="preserve">6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Chambre de Compensation assure le contrôle quotidien de l’activité de ses adhérents.</w:t>
            </w:r>
          </w:p>
          <w:p w14:paraId="10C0EDC3"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546E0BD5"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kern w:val="1"/>
              </w:rPr>
              <w:t>Elle vérifie le respect par ses adhérents des dispositions de son règlement général.</w:t>
            </w:r>
          </w:p>
          <w:p w14:paraId="1CC8DAD9"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608082F5"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shd w:val="clear" w:color="auto" w:fill="FFFFFF"/>
              </w:rPr>
              <w:t>La Chambre de Compensation qui, dans le cadre de son devoir de contrôle défini au présent titre, constate qu'un de ses adhérents compensateurs ne respecte pas ses règles de fonctionnement ou les règles du présent règlement établies en informe la COSUMAF immédiatement.</w:t>
            </w:r>
          </w:p>
          <w:p w14:paraId="3D2CDFD3"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7C068C12" w14:textId="77777777" w:rsidTr="001B69F3">
        <w:trPr>
          <w:trHeight w:val="251"/>
          <w:jc w:val="center"/>
        </w:trPr>
        <w:tc>
          <w:tcPr>
            <w:tcW w:w="9445" w:type="dxa"/>
            <w:shd w:val="clear" w:color="auto" w:fill="auto"/>
          </w:tcPr>
          <w:p w14:paraId="1BED19DB" w14:textId="60620FA9"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60</w:t>
            </w:r>
            <w:r w:rsidR="006C1DFB">
              <w:rPr>
                <w:rFonts w:ascii="Arial" w:hAnsi="Arial" w:cs="Arial"/>
                <w:b/>
                <w:bCs/>
                <w:color w:val="000000" w:themeColor="text1"/>
              </w:rPr>
              <w:t xml:space="preserve">7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Chambre de Compensation conclut avec chacun de ses adhérents compensateurs une convention d’adhésion aux termes de laquelle les adhérents s’engagent à :</w:t>
            </w:r>
          </w:p>
          <w:p w14:paraId="7205AAAA"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5E71403B" w14:textId="77777777" w:rsidR="00044ACE" w:rsidRPr="00A64175" w:rsidRDefault="00044ACE" w:rsidP="00A64175">
            <w:pPr>
              <w:pStyle w:val="Paragraphedeliste"/>
              <w:widowControl w:val="0"/>
              <w:numPr>
                <w:ilvl w:val="0"/>
                <w:numId w:val="77"/>
              </w:numPr>
              <w:autoSpaceDE w:val="0"/>
              <w:adjustRightInd w:val="0"/>
              <w:spacing w:before="0" w:beforeAutospacing="0" w:after="0" w:afterAutospacing="0" w:line="240" w:lineRule="auto"/>
              <w:rPr>
                <w:color w:val="000000" w:themeColor="text1"/>
                <w:kern w:val="1"/>
              </w:rPr>
            </w:pPr>
            <w:r w:rsidRPr="00A64175">
              <w:rPr>
                <w:color w:val="000000" w:themeColor="text1"/>
                <w:kern w:val="1"/>
              </w:rPr>
              <w:t>Respecter en toutes circonstances les règles de fonctionnement de la Chambre de Compensation ;</w:t>
            </w:r>
          </w:p>
          <w:p w14:paraId="39B9F6AB" w14:textId="77777777" w:rsidR="00044ACE" w:rsidRPr="00A64175" w:rsidRDefault="00044ACE" w:rsidP="00A64175">
            <w:pPr>
              <w:widowControl w:val="0"/>
              <w:autoSpaceDE w:val="0"/>
              <w:adjustRightInd w:val="0"/>
              <w:ind w:left="360"/>
              <w:jc w:val="both"/>
              <w:rPr>
                <w:rFonts w:ascii="Arial" w:hAnsi="Arial" w:cs="Arial"/>
                <w:color w:val="000000" w:themeColor="text1"/>
                <w:kern w:val="1"/>
              </w:rPr>
            </w:pPr>
          </w:p>
          <w:p w14:paraId="2E38D2CB" w14:textId="77777777" w:rsidR="00044ACE" w:rsidRPr="00A64175" w:rsidRDefault="00044ACE" w:rsidP="00A64175">
            <w:pPr>
              <w:pStyle w:val="Paragraphedeliste"/>
              <w:widowControl w:val="0"/>
              <w:numPr>
                <w:ilvl w:val="0"/>
                <w:numId w:val="73"/>
              </w:numPr>
              <w:autoSpaceDE w:val="0"/>
              <w:adjustRightInd w:val="0"/>
              <w:spacing w:before="0" w:beforeAutospacing="0" w:after="0" w:afterAutospacing="0" w:line="240" w:lineRule="auto"/>
              <w:rPr>
                <w:color w:val="000000" w:themeColor="text1"/>
                <w:kern w:val="1"/>
              </w:rPr>
            </w:pPr>
            <w:r w:rsidRPr="00A64175">
              <w:rPr>
                <w:color w:val="000000" w:themeColor="text1"/>
                <w:kern w:val="1"/>
              </w:rPr>
              <w:t>Se soumettre aux contrôles sur pièces et sur place effectués par la Chambre de Compensation ;</w:t>
            </w:r>
          </w:p>
          <w:p w14:paraId="54FB72F6" w14:textId="77777777" w:rsidR="00044ACE" w:rsidRPr="00A64175" w:rsidRDefault="00044ACE" w:rsidP="00A64175">
            <w:pPr>
              <w:widowControl w:val="0"/>
              <w:autoSpaceDE w:val="0"/>
              <w:adjustRightInd w:val="0"/>
              <w:ind w:left="360"/>
              <w:jc w:val="both"/>
              <w:rPr>
                <w:rFonts w:ascii="Arial" w:hAnsi="Arial" w:cs="Arial"/>
                <w:color w:val="000000" w:themeColor="text1"/>
                <w:kern w:val="1"/>
              </w:rPr>
            </w:pPr>
          </w:p>
          <w:p w14:paraId="4D763091" w14:textId="77777777" w:rsidR="00044ACE" w:rsidRPr="00A64175" w:rsidRDefault="00044ACE" w:rsidP="00A64175">
            <w:pPr>
              <w:pStyle w:val="Paragraphedeliste"/>
              <w:widowControl w:val="0"/>
              <w:numPr>
                <w:ilvl w:val="0"/>
                <w:numId w:val="74"/>
              </w:numPr>
              <w:autoSpaceDE w:val="0"/>
              <w:adjustRightInd w:val="0"/>
              <w:spacing w:before="0" w:beforeAutospacing="0" w:after="0" w:afterAutospacing="0" w:line="240" w:lineRule="auto"/>
              <w:rPr>
                <w:color w:val="000000" w:themeColor="text1"/>
                <w:kern w:val="1"/>
              </w:rPr>
            </w:pPr>
            <w:r w:rsidRPr="00A64175">
              <w:rPr>
                <w:color w:val="000000" w:themeColor="text1"/>
                <w:kern w:val="1"/>
              </w:rPr>
              <w:t>Régulariser leur situation à la demande de la Chambre de Compensation lorsque les conditions d’adhésion ne sont plus respectées.</w:t>
            </w:r>
          </w:p>
          <w:p w14:paraId="4A32056A"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550812C3" w14:textId="77777777" w:rsidTr="001B69F3">
        <w:trPr>
          <w:trHeight w:val="251"/>
          <w:jc w:val="center"/>
        </w:trPr>
        <w:tc>
          <w:tcPr>
            <w:tcW w:w="9445" w:type="dxa"/>
            <w:shd w:val="clear" w:color="auto" w:fill="auto"/>
          </w:tcPr>
          <w:p w14:paraId="22388334" w14:textId="3BA37A8A"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60</w:t>
            </w:r>
            <w:r w:rsidR="006C1DFB">
              <w:rPr>
                <w:rFonts w:ascii="Arial" w:hAnsi="Arial" w:cs="Arial"/>
                <w:b/>
                <w:bCs/>
                <w:color w:val="000000" w:themeColor="text1"/>
              </w:rPr>
              <w:t xml:space="preserve">8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 Chambre de Compensation fournit une assistance aux personnes physiques appelées à intervenir en qualité de compensateurs et met à leur disposition l’information nécessaire à l’exercice de leur activité.</w:t>
            </w:r>
          </w:p>
          <w:p w14:paraId="6D0E34AF" w14:textId="77777777" w:rsidR="00044ACE" w:rsidRPr="00A64175" w:rsidRDefault="00044ACE" w:rsidP="00A64175">
            <w:pPr>
              <w:widowControl w:val="0"/>
              <w:autoSpaceDE w:val="0"/>
              <w:adjustRightInd w:val="0"/>
              <w:jc w:val="both"/>
              <w:rPr>
                <w:rFonts w:ascii="Arial" w:hAnsi="Arial" w:cs="Arial"/>
                <w:color w:val="000000" w:themeColor="text1"/>
                <w:kern w:val="1"/>
              </w:rPr>
            </w:pPr>
          </w:p>
        </w:tc>
      </w:tr>
      <w:tr w:rsidR="00044ACE" w:rsidRPr="00A64175" w14:paraId="3D473EFD" w14:textId="77777777" w:rsidTr="001B69F3">
        <w:trPr>
          <w:trHeight w:val="251"/>
          <w:jc w:val="center"/>
        </w:trPr>
        <w:tc>
          <w:tcPr>
            <w:tcW w:w="9445" w:type="dxa"/>
            <w:shd w:val="clear" w:color="auto" w:fill="auto"/>
          </w:tcPr>
          <w:p w14:paraId="31C49FFA" w14:textId="7BB16D4C"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60</w:t>
            </w:r>
            <w:r w:rsidR="006C1DFB">
              <w:rPr>
                <w:rFonts w:ascii="Arial" w:hAnsi="Arial" w:cs="Arial"/>
                <w:b/>
                <w:bCs/>
                <w:color w:val="000000" w:themeColor="text1"/>
              </w:rPr>
              <w:t xml:space="preserve">9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color w:val="000000" w:themeColor="text1"/>
              </w:rPr>
              <w:t>L’adhérent compensateur est autorisé à confier les opérations de compensation à un autre adhérent ou à une autre personne morale qu’il contrôle ou qui le contrôle. La Chambre de Compensation en est immédiatement informée.</w:t>
            </w:r>
          </w:p>
          <w:p w14:paraId="5F3A0B31" w14:textId="77777777" w:rsidR="00044ACE" w:rsidRPr="00A64175" w:rsidRDefault="00044ACE" w:rsidP="00A64175">
            <w:pPr>
              <w:widowControl w:val="0"/>
              <w:autoSpaceDE w:val="0"/>
              <w:adjustRightInd w:val="0"/>
              <w:jc w:val="both"/>
              <w:rPr>
                <w:rFonts w:ascii="Arial" w:hAnsi="Arial" w:cs="Arial"/>
                <w:color w:val="000000" w:themeColor="text1"/>
              </w:rPr>
            </w:pPr>
          </w:p>
          <w:p w14:paraId="50CC3AAE"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rPr>
              <w:t xml:space="preserve">L’adhérent ne peut en aucun cas être exonéré de sa responsabilité à l’égard des tiers au titre des opérations confiées. </w:t>
            </w:r>
          </w:p>
          <w:p w14:paraId="7B2B96BD" w14:textId="77777777" w:rsidR="00044ACE" w:rsidRPr="00A64175" w:rsidRDefault="00044ACE" w:rsidP="00A64175">
            <w:pPr>
              <w:widowControl w:val="0"/>
              <w:autoSpaceDE w:val="0"/>
              <w:adjustRightInd w:val="0"/>
              <w:jc w:val="both"/>
              <w:rPr>
                <w:rFonts w:ascii="Arial" w:hAnsi="Arial" w:cs="Arial"/>
                <w:b/>
                <w:color w:val="000000" w:themeColor="text1"/>
                <w:kern w:val="1"/>
              </w:rPr>
            </w:pPr>
          </w:p>
          <w:p w14:paraId="45F403EC" w14:textId="77777777" w:rsidR="00DD3D4D" w:rsidRPr="00A64175" w:rsidRDefault="00DD3D4D" w:rsidP="00A64175">
            <w:pPr>
              <w:widowControl w:val="0"/>
              <w:autoSpaceDE w:val="0"/>
              <w:adjustRightInd w:val="0"/>
              <w:jc w:val="both"/>
              <w:rPr>
                <w:rFonts w:ascii="Arial" w:hAnsi="Arial" w:cs="Arial"/>
                <w:b/>
                <w:color w:val="000000" w:themeColor="text1"/>
                <w:kern w:val="1"/>
              </w:rPr>
            </w:pPr>
          </w:p>
        </w:tc>
      </w:tr>
      <w:tr w:rsidR="00044ACE" w:rsidRPr="00A64175" w14:paraId="7D4ABC08" w14:textId="77777777" w:rsidTr="001B69F3">
        <w:trPr>
          <w:trHeight w:val="251"/>
          <w:jc w:val="center"/>
        </w:trPr>
        <w:tc>
          <w:tcPr>
            <w:tcW w:w="9445" w:type="dxa"/>
            <w:shd w:val="clear" w:color="auto" w:fill="auto"/>
          </w:tcPr>
          <w:p w14:paraId="714849F9"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b/>
                <w:bCs/>
                <w:color w:val="000000" w:themeColor="text1"/>
              </w:rPr>
              <w:t>Section IV : Autres Obligations</w:t>
            </w:r>
          </w:p>
        </w:tc>
      </w:tr>
      <w:tr w:rsidR="00044ACE" w:rsidRPr="00A64175" w14:paraId="7EB6BE90" w14:textId="77777777" w:rsidTr="001B69F3">
        <w:trPr>
          <w:trHeight w:val="251"/>
          <w:jc w:val="center"/>
        </w:trPr>
        <w:tc>
          <w:tcPr>
            <w:tcW w:w="9445" w:type="dxa"/>
            <w:shd w:val="clear" w:color="auto" w:fill="auto"/>
          </w:tcPr>
          <w:p w14:paraId="371C725F" w14:textId="77777777" w:rsidR="00044ACE" w:rsidRPr="00A64175" w:rsidRDefault="00044ACE" w:rsidP="00A64175">
            <w:pPr>
              <w:widowControl w:val="0"/>
              <w:autoSpaceDE w:val="0"/>
              <w:adjustRightInd w:val="0"/>
              <w:jc w:val="both"/>
              <w:rPr>
                <w:rFonts w:ascii="Arial" w:hAnsi="Arial" w:cs="Arial"/>
                <w:b/>
                <w:bCs/>
                <w:color w:val="000000" w:themeColor="text1"/>
              </w:rPr>
            </w:pPr>
          </w:p>
          <w:p w14:paraId="595C7CE7" w14:textId="3FBC41E6"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w:t>
            </w:r>
            <w:r w:rsidR="006C1DFB">
              <w:rPr>
                <w:rFonts w:ascii="Arial" w:hAnsi="Arial" w:cs="Arial"/>
                <w:b/>
                <w:bCs/>
                <w:color w:val="000000" w:themeColor="text1"/>
              </w:rPr>
              <w:t xml:space="preserve">10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exerce ses activités avec équité, diligence, impartialité, loyauté et dans le plus strict respect de l’intégrité du marché.</w:t>
            </w:r>
          </w:p>
          <w:p w14:paraId="4C309451"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33B8FDB6" w14:textId="77777777" w:rsidTr="001B69F3">
        <w:trPr>
          <w:trHeight w:val="251"/>
          <w:jc w:val="center"/>
        </w:trPr>
        <w:tc>
          <w:tcPr>
            <w:tcW w:w="9445" w:type="dxa"/>
            <w:shd w:val="clear" w:color="auto" w:fill="auto"/>
          </w:tcPr>
          <w:p w14:paraId="43B9A408" w14:textId="742E135B" w:rsidR="00044ACE" w:rsidRPr="00A64175" w:rsidRDefault="00DD3D4D"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color w:val="000000" w:themeColor="text1"/>
                <w:sz w:val="22"/>
                <w:szCs w:val="22"/>
              </w:rPr>
              <w:t>Article 6</w:t>
            </w:r>
            <w:r w:rsidR="006C1DFB">
              <w:rPr>
                <w:rFonts w:ascii="Arial" w:hAnsi="Arial" w:cs="Arial"/>
                <w:b/>
                <w:bCs/>
                <w:color w:val="000000" w:themeColor="text1"/>
                <w:sz w:val="22"/>
                <w:szCs w:val="22"/>
              </w:rPr>
              <w:t xml:space="preserve">11 </w:t>
            </w:r>
            <w:r w:rsidRPr="00A64175">
              <w:rPr>
                <w:rFonts w:ascii="Arial" w:hAnsi="Arial" w:cs="Arial"/>
                <w:b/>
                <w:bCs/>
                <w:color w:val="000000" w:themeColor="text1"/>
                <w:sz w:val="22"/>
                <w:szCs w:val="22"/>
              </w:rPr>
              <w:t xml:space="preserve"> </w:t>
            </w:r>
            <w:r w:rsidR="00044ACE" w:rsidRPr="00A64175">
              <w:rPr>
                <w:rFonts w:ascii="Arial" w:hAnsi="Arial" w:cs="Arial"/>
                <w:b/>
                <w:bCs/>
                <w:color w:val="000000" w:themeColor="text1"/>
                <w:sz w:val="22"/>
                <w:szCs w:val="22"/>
              </w:rPr>
              <w:t>–</w:t>
            </w:r>
            <w:r w:rsidR="00044ACE" w:rsidRPr="00A64175">
              <w:rPr>
                <w:rFonts w:ascii="Arial" w:hAnsi="Arial" w:cs="Arial"/>
                <w:bCs/>
                <w:color w:val="000000" w:themeColor="text1"/>
                <w:sz w:val="22"/>
                <w:szCs w:val="22"/>
              </w:rPr>
              <w:t xml:space="preserve"> </w:t>
            </w:r>
            <w:r w:rsidR="00044ACE" w:rsidRPr="00A64175">
              <w:rPr>
                <w:rFonts w:ascii="Arial" w:hAnsi="Arial" w:cs="Arial"/>
                <w:color w:val="000000" w:themeColor="text1"/>
                <w:sz w:val="22"/>
                <w:szCs w:val="22"/>
              </w:rPr>
              <w:t>La Chambre de Compensation rappelle aux personnes placées sous sa responsabilité ou agissant pour son propre compte qu'elles sont tenues au secret professionnel dans les conditions et sous les peines prévues par la loi.</w:t>
            </w:r>
          </w:p>
          <w:p w14:paraId="43D69B5A" w14:textId="77777777" w:rsidR="00044ACE" w:rsidRPr="00A64175" w:rsidRDefault="00044ACE" w:rsidP="00A64175">
            <w:pPr>
              <w:tabs>
                <w:tab w:val="left" w:pos="1335"/>
              </w:tabs>
              <w:jc w:val="both"/>
              <w:rPr>
                <w:rFonts w:ascii="Arial" w:hAnsi="Arial" w:cs="Arial"/>
                <w:color w:val="000000" w:themeColor="text1"/>
              </w:rPr>
            </w:pPr>
            <w:r w:rsidRPr="00A64175">
              <w:rPr>
                <w:rFonts w:ascii="Arial" w:hAnsi="Arial" w:cs="Arial"/>
                <w:color w:val="000000" w:themeColor="text1"/>
              </w:rPr>
              <w:t>Ces personnes ne peuvent utiliser les informations confidentielles qu'elles détiennent pour l'exercice des fonctions qu'elles exercent au sein ou pour le compte de la chambre de compensation.</w:t>
            </w:r>
          </w:p>
          <w:p w14:paraId="1B129A5F" w14:textId="77777777" w:rsidR="00044ACE" w:rsidRPr="00A64175" w:rsidRDefault="00044ACE" w:rsidP="00A64175">
            <w:pPr>
              <w:tabs>
                <w:tab w:val="left" w:pos="1335"/>
              </w:tabs>
              <w:jc w:val="both"/>
              <w:rPr>
                <w:rFonts w:ascii="Arial" w:hAnsi="Arial" w:cs="Arial"/>
                <w:color w:val="000000" w:themeColor="text1"/>
              </w:rPr>
            </w:pPr>
          </w:p>
        </w:tc>
      </w:tr>
      <w:tr w:rsidR="00044ACE" w:rsidRPr="00A64175" w14:paraId="47C8DFC7" w14:textId="77777777" w:rsidTr="001B69F3">
        <w:trPr>
          <w:trHeight w:val="251"/>
          <w:jc w:val="center"/>
        </w:trPr>
        <w:tc>
          <w:tcPr>
            <w:tcW w:w="9445" w:type="dxa"/>
            <w:shd w:val="clear" w:color="auto" w:fill="auto"/>
          </w:tcPr>
          <w:p w14:paraId="5AEA08BB" w14:textId="4CDD0F8B" w:rsidR="00044ACE" w:rsidRPr="00A64175" w:rsidRDefault="00DD3D4D" w:rsidP="00A64175">
            <w:pPr>
              <w:pStyle w:val="NormalWeb"/>
              <w:shd w:val="clear" w:color="auto" w:fill="FFFFFF"/>
              <w:spacing w:before="0" w:beforeAutospacing="0" w:after="150" w:afterAutospacing="0"/>
              <w:jc w:val="both"/>
              <w:rPr>
                <w:rFonts w:ascii="Arial" w:hAnsi="Arial" w:cs="Arial"/>
                <w:color w:val="000000" w:themeColor="text1"/>
                <w:sz w:val="22"/>
                <w:szCs w:val="22"/>
              </w:rPr>
            </w:pPr>
            <w:r w:rsidRPr="00A64175">
              <w:rPr>
                <w:rFonts w:ascii="Arial" w:hAnsi="Arial" w:cs="Arial"/>
                <w:b/>
                <w:bCs/>
                <w:color w:val="000000" w:themeColor="text1"/>
                <w:sz w:val="22"/>
                <w:szCs w:val="22"/>
              </w:rPr>
              <w:t>Article 6</w:t>
            </w:r>
            <w:r w:rsidR="0069216C">
              <w:rPr>
                <w:rFonts w:ascii="Arial" w:hAnsi="Arial" w:cs="Arial"/>
                <w:b/>
                <w:bCs/>
                <w:color w:val="000000" w:themeColor="text1"/>
                <w:sz w:val="22"/>
                <w:szCs w:val="22"/>
              </w:rPr>
              <w:t>1</w:t>
            </w:r>
            <w:r w:rsidR="006C1DFB">
              <w:rPr>
                <w:rFonts w:ascii="Arial" w:hAnsi="Arial" w:cs="Arial"/>
                <w:b/>
                <w:bCs/>
                <w:color w:val="000000" w:themeColor="text1"/>
                <w:sz w:val="22"/>
                <w:szCs w:val="22"/>
              </w:rPr>
              <w:t xml:space="preserve">2 </w:t>
            </w:r>
            <w:r w:rsidRPr="00A64175">
              <w:rPr>
                <w:rFonts w:ascii="Arial" w:hAnsi="Arial" w:cs="Arial"/>
                <w:b/>
                <w:bCs/>
                <w:color w:val="000000" w:themeColor="text1"/>
                <w:sz w:val="22"/>
                <w:szCs w:val="22"/>
              </w:rPr>
              <w:t xml:space="preserve"> </w:t>
            </w:r>
            <w:r w:rsidR="00044ACE" w:rsidRPr="00A64175">
              <w:rPr>
                <w:rFonts w:ascii="Arial" w:hAnsi="Arial" w:cs="Arial"/>
                <w:b/>
                <w:bCs/>
                <w:color w:val="000000" w:themeColor="text1"/>
                <w:sz w:val="22"/>
                <w:szCs w:val="22"/>
              </w:rPr>
              <w:t>–</w:t>
            </w:r>
            <w:r w:rsidR="00044ACE" w:rsidRPr="00A64175">
              <w:rPr>
                <w:rFonts w:ascii="Arial" w:hAnsi="Arial" w:cs="Arial"/>
                <w:bCs/>
                <w:color w:val="000000" w:themeColor="text1"/>
                <w:sz w:val="22"/>
                <w:szCs w:val="22"/>
              </w:rPr>
              <w:t xml:space="preserve"> </w:t>
            </w:r>
            <w:r w:rsidR="00044ACE" w:rsidRPr="00A64175">
              <w:rPr>
                <w:rFonts w:ascii="Arial" w:hAnsi="Arial" w:cs="Arial"/>
                <w:color w:val="000000" w:themeColor="text1"/>
                <w:sz w:val="22"/>
                <w:szCs w:val="22"/>
              </w:rPr>
              <w:t>La Chambre de Compensation établit un règlement intérieur édictant les règles de déontologie applicables aux personnes placées sous sa responsabilité ou agissant pour son compte.</w:t>
            </w:r>
          </w:p>
          <w:p w14:paraId="5F5DD110"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fixer les modalités d’application de cet article par voie d’instruction.</w:t>
            </w:r>
          </w:p>
          <w:p w14:paraId="2D2A3891" w14:textId="77777777" w:rsidR="00044ACE" w:rsidRPr="00A64175" w:rsidRDefault="00044ACE" w:rsidP="00A64175">
            <w:pPr>
              <w:tabs>
                <w:tab w:val="left" w:pos="1335"/>
              </w:tabs>
              <w:jc w:val="both"/>
              <w:rPr>
                <w:rFonts w:ascii="Arial" w:hAnsi="Arial" w:cs="Arial"/>
                <w:color w:val="000000" w:themeColor="text1"/>
              </w:rPr>
            </w:pPr>
          </w:p>
        </w:tc>
      </w:tr>
      <w:tr w:rsidR="00044ACE" w:rsidRPr="00A64175" w14:paraId="14075449" w14:textId="77777777" w:rsidTr="001B69F3">
        <w:trPr>
          <w:trHeight w:val="251"/>
          <w:jc w:val="center"/>
        </w:trPr>
        <w:tc>
          <w:tcPr>
            <w:tcW w:w="9445" w:type="dxa"/>
            <w:shd w:val="clear" w:color="auto" w:fill="auto"/>
          </w:tcPr>
          <w:p w14:paraId="003DAB9D" w14:textId="358E4940" w:rsidR="00044ACE" w:rsidRPr="00A64175" w:rsidRDefault="00DD3D4D"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6</w:t>
            </w:r>
            <w:r w:rsidR="0069216C">
              <w:rPr>
                <w:rFonts w:ascii="Arial" w:hAnsi="Arial" w:cs="Arial"/>
                <w:b/>
                <w:bCs/>
                <w:color w:val="000000" w:themeColor="text1"/>
              </w:rPr>
              <w:t>1</w:t>
            </w:r>
            <w:r w:rsidR="006C1DFB">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dispose d’un solide dispositif de gouvernance, comprenant notamment une structure organisationnelle claire avec un partage des responsabilités défini, transparent et cohérent, des procédures efficaces de détection, de gestion, de contrôle et de déclaration des risques auxquels elle est ou pourrait être exposée, et des politiques de rémunération appropriées ainsi que des mécanismes adéquats de contrôle interne, y compris des procédures administratives et comptables saines.</w:t>
            </w:r>
          </w:p>
          <w:p w14:paraId="58ED631A" w14:textId="77777777" w:rsidR="00044ACE" w:rsidRPr="00A64175" w:rsidRDefault="00044ACE" w:rsidP="00A64175">
            <w:pPr>
              <w:tabs>
                <w:tab w:val="left" w:pos="1335"/>
              </w:tabs>
              <w:jc w:val="both"/>
              <w:rPr>
                <w:rFonts w:ascii="Arial" w:hAnsi="Arial" w:cs="Arial"/>
                <w:color w:val="000000" w:themeColor="text1"/>
              </w:rPr>
            </w:pPr>
          </w:p>
          <w:p w14:paraId="25FFB7B6" w14:textId="77777777" w:rsidR="00044ACE" w:rsidRPr="00A64175" w:rsidRDefault="00044ACE" w:rsidP="00A64175">
            <w:pPr>
              <w:tabs>
                <w:tab w:val="left" w:pos="1335"/>
              </w:tabs>
              <w:jc w:val="both"/>
              <w:rPr>
                <w:rFonts w:ascii="Arial" w:hAnsi="Arial" w:cs="Arial"/>
                <w:color w:val="000000" w:themeColor="text1"/>
              </w:rPr>
            </w:pPr>
            <w:r w:rsidRPr="00A64175">
              <w:rPr>
                <w:rFonts w:ascii="Arial" w:hAnsi="Arial" w:cs="Arial"/>
                <w:color w:val="000000" w:themeColor="text1"/>
              </w:rPr>
              <w:t xml:space="preserve">Elle rend accessibles au public son dispositif de gouvernance et les règles qui régissent ses activités. </w:t>
            </w:r>
          </w:p>
          <w:p w14:paraId="5E378C1E"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74F16F5E" w14:textId="77777777" w:rsidTr="001B69F3">
        <w:trPr>
          <w:trHeight w:val="251"/>
          <w:jc w:val="center"/>
        </w:trPr>
        <w:tc>
          <w:tcPr>
            <w:tcW w:w="9445" w:type="dxa"/>
            <w:shd w:val="clear" w:color="auto" w:fill="auto"/>
          </w:tcPr>
          <w:p w14:paraId="783931E2" w14:textId="55660FDD"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61</w:t>
            </w:r>
            <w:r w:rsidR="006C1DFB">
              <w:rPr>
                <w:rFonts w:ascii="Arial" w:hAnsi="Arial" w:cs="Arial"/>
                <w:b/>
                <w:bCs/>
                <w:color w:val="000000" w:themeColor="text1"/>
              </w:rPr>
              <w:t xml:space="preserve">4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adopte des politiques et des procédures suffisamment efficaces pour garantir le respect du présent règlement, y compris le respect de toutes ses dispositions par leurs dirigeants et leur personnel.</w:t>
            </w:r>
          </w:p>
          <w:p w14:paraId="453BA23D" w14:textId="77777777" w:rsidR="00044ACE" w:rsidRPr="00A64175" w:rsidRDefault="00044ACE" w:rsidP="00A64175">
            <w:pPr>
              <w:widowControl w:val="0"/>
              <w:autoSpaceDE w:val="0"/>
              <w:adjustRightInd w:val="0"/>
              <w:jc w:val="both"/>
              <w:rPr>
                <w:rFonts w:ascii="Arial" w:hAnsi="Arial" w:cs="Arial"/>
                <w:color w:val="000000" w:themeColor="text1"/>
              </w:rPr>
            </w:pPr>
          </w:p>
          <w:p w14:paraId="1BCBD0CF"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fixer les modalités d’application de cet article par voie d’instruction.</w:t>
            </w:r>
          </w:p>
          <w:p w14:paraId="75165616"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2EFADA50" w14:textId="77777777" w:rsidTr="001B69F3">
        <w:trPr>
          <w:trHeight w:val="251"/>
          <w:jc w:val="center"/>
        </w:trPr>
        <w:tc>
          <w:tcPr>
            <w:tcW w:w="9445" w:type="dxa"/>
            <w:shd w:val="clear" w:color="auto" w:fill="auto"/>
          </w:tcPr>
          <w:p w14:paraId="6D4A6035" w14:textId="678F7C5A" w:rsidR="00044ACE" w:rsidRPr="00A64175" w:rsidRDefault="00DD3D4D" w:rsidP="00A64175">
            <w:pPr>
              <w:widowControl w:val="0"/>
              <w:autoSpaceDE w:val="0"/>
              <w:adjustRightInd w:val="0"/>
              <w:jc w:val="both"/>
              <w:rPr>
                <w:rFonts w:ascii="Arial" w:hAnsi="Arial" w:cs="Arial"/>
                <w:kern w:val="1"/>
              </w:rPr>
            </w:pPr>
            <w:r w:rsidRPr="00A64175">
              <w:rPr>
                <w:rFonts w:ascii="Arial" w:hAnsi="Arial" w:cs="Arial"/>
                <w:b/>
                <w:bCs/>
                <w:color w:val="000000" w:themeColor="text1"/>
              </w:rPr>
              <w:t>Article 61</w:t>
            </w:r>
            <w:r w:rsidR="006C1DFB">
              <w:rPr>
                <w:rFonts w:ascii="Arial" w:hAnsi="Arial" w:cs="Arial"/>
                <w:b/>
                <w:bCs/>
                <w:color w:val="000000" w:themeColor="text1"/>
              </w:rPr>
              <w:t xml:space="preserve">5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 xml:space="preserve">La Chambre de Compensation </w:t>
            </w:r>
            <w:r w:rsidR="00044ACE" w:rsidRPr="00A64175">
              <w:rPr>
                <w:rFonts w:ascii="Arial" w:hAnsi="Arial" w:cs="Arial"/>
              </w:rPr>
              <w:t>est tenue de mettre en place, une structure de contrôle interne et de désigner un responsable de cette fonction. Le responsable du contrôle interne est également le responsable de la conformité.</w:t>
            </w:r>
          </w:p>
          <w:p w14:paraId="5959C338" w14:textId="77777777" w:rsidR="00044ACE" w:rsidRPr="00A64175" w:rsidRDefault="00044ACE" w:rsidP="00A64175">
            <w:pPr>
              <w:widowControl w:val="0"/>
              <w:autoSpaceDE w:val="0"/>
              <w:adjustRightInd w:val="0"/>
              <w:jc w:val="both"/>
              <w:rPr>
                <w:rFonts w:ascii="Arial" w:hAnsi="Arial" w:cs="Arial"/>
              </w:rPr>
            </w:pPr>
            <w:r w:rsidRPr="00A64175">
              <w:rPr>
                <w:rFonts w:ascii="Arial" w:hAnsi="Arial" w:cs="Arial"/>
              </w:rPr>
              <w:t>Sa mission du responsable du contrôle interne est de s’assurer du respect de la réglementation qui leur est applicable.</w:t>
            </w:r>
          </w:p>
          <w:p w14:paraId="63A31FD2" w14:textId="77777777" w:rsidR="00044ACE" w:rsidRPr="00A64175" w:rsidRDefault="00044ACE" w:rsidP="00A64175">
            <w:pPr>
              <w:widowControl w:val="0"/>
              <w:autoSpaceDE w:val="0"/>
              <w:adjustRightInd w:val="0"/>
              <w:jc w:val="both"/>
              <w:rPr>
                <w:rFonts w:ascii="Arial" w:hAnsi="Arial" w:cs="Arial"/>
                <w:kern w:val="1"/>
              </w:rPr>
            </w:pPr>
          </w:p>
          <w:p w14:paraId="0408AB63" w14:textId="77777777" w:rsidR="00044ACE" w:rsidRPr="00A64175" w:rsidRDefault="00044ACE" w:rsidP="00A64175">
            <w:pPr>
              <w:widowControl w:val="0"/>
              <w:autoSpaceDE w:val="0"/>
              <w:adjustRightInd w:val="0"/>
              <w:jc w:val="both"/>
              <w:rPr>
                <w:rFonts w:ascii="Arial" w:hAnsi="Arial" w:cs="Arial"/>
                <w:kern w:val="1"/>
                <w:highlight w:val="yellow"/>
              </w:rPr>
            </w:pPr>
            <w:r w:rsidRPr="00A64175">
              <w:rPr>
                <w:rFonts w:ascii="Arial" w:hAnsi="Arial" w:cs="Arial"/>
              </w:rPr>
              <w:t xml:space="preserve">Il doit disposer d’une position hiérarchique qui garantit son indépendance à l’égard des autres fonctions opérationnelles de l’organisme. </w:t>
            </w:r>
          </w:p>
          <w:p w14:paraId="5BA39E40"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3593646" w14:textId="77777777" w:rsidTr="001B69F3">
        <w:trPr>
          <w:trHeight w:val="251"/>
          <w:jc w:val="center"/>
        </w:trPr>
        <w:tc>
          <w:tcPr>
            <w:tcW w:w="9445" w:type="dxa"/>
            <w:shd w:val="clear" w:color="auto" w:fill="auto"/>
          </w:tcPr>
          <w:p w14:paraId="6895F977" w14:textId="2148B550" w:rsidR="00044ACE" w:rsidRPr="00A64175" w:rsidRDefault="00DD3D4D" w:rsidP="00A64175">
            <w:pPr>
              <w:widowControl w:val="0"/>
              <w:autoSpaceDE w:val="0"/>
              <w:adjustRightInd w:val="0"/>
              <w:jc w:val="both"/>
              <w:rPr>
                <w:rFonts w:ascii="Arial" w:hAnsi="Arial" w:cs="Arial"/>
                <w:kern w:val="1"/>
                <w:highlight w:val="yellow"/>
              </w:rPr>
            </w:pPr>
            <w:r w:rsidRPr="00A64175">
              <w:rPr>
                <w:rFonts w:ascii="Arial" w:hAnsi="Arial" w:cs="Arial"/>
                <w:b/>
                <w:bCs/>
                <w:color w:val="000000" w:themeColor="text1"/>
              </w:rPr>
              <w:t>Article 61</w:t>
            </w:r>
            <w:r w:rsidR="006C1DFB">
              <w:rPr>
                <w:rFonts w:ascii="Arial" w:hAnsi="Arial" w:cs="Arial"/>
                <w:b/>
                <w:bCs/>
                <w:color w:val="000000" w:themeColor="text1"/>
              </w:rPr>
              <w:t xml:space="preserve">6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 xml:space="preserve">Le </w:t>
            </w:r>
            <w:r w:rsidR="00044ACE" w:rsidRPr="00A64175">
              <w:rPr>
                <w:rFonts w:ascii="Arial" w:hAnsi="Arial" w:cs="Arial"/>
              </w:rPr>
              <w:t>responsable du contrôle interne est également le responsable de la conformité établit chaque année un rapport du contrôle interne et de la conformité, transmis aux organes exécutifs de ces organismes et à la COSUMAF, au plus tard le 31 mars de l’année suivante.</w:t>
            </w:r>
          </w:p>
          <w:p w14:paraId="5C90323B" w14:textId="77777777" w:rsidR="00044ACE" w:rsidRPr="00A64175" w:rsidRDefault="00044ACE" w:rsidP="00A64175">
            <w:pPr>
              <w:widowControl w:val="0"/>
              <w:autoSpaceDE w:val="0"/>
              <w:adjustRightInd w:val="0"/>
              <w:jc w:val="both"/>
              <w:rPr>
                <w:rFonts w:ascii="Arial" w:hAnsi="Arial" w:cs="Arial"/>
                <w:kern w:val="1"/>
                <w:highlight w:val="yellow"/>
              </w:rPr>
            </w:pPr>
          </w:p>
          <w:p w14:paraId="22E3DFC5" w14:textId="77777777" w:rsidR="00044ACE" w:rsidRPr="00A64175" w:rsidRDefault="00044ACE" w:rsidP="00A64175">
            <w:pPr>
              <w:widowControl w:val="0"/>
              <w:autoSpaceDE w:val="0"/>
              <w:adjustRightInd w:val="0"/>
              <w:jc w:val="both"/>
              <w:rPr>
                <w:rFonts w:ascii="Arial" w:hAnsi="Arial" w:cs="Arial"/>
                <w:kern w:val="1"/>
              </w:rPr>
            </w:pPr>
            <w:r w:rsidRPr="00A64175">
              <w:rPr>
                <w:rFonts w:ascii="Arial" w:hAnsi="Arial" w:cs="Arial"/>
              </w:rPr>
              <w:t>Le contenu et la forme de ce rapport sont fixés dans une instruction de la COSUMAF.</w:t>
            </w:r>
          </w:p>
          <w:p w14:paraId="1B0C5658"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663082DC" w14:textId="77777777" w:rsidTr="001B69F3">
        <w:trPr>
          <w:trHeight w:val="251"/>
          <w:jc w:val="center"/>
        </w:trPr>
        <w:tc>
          <w:tcPr>
            <w:tcW w:w="9445" w:type="dxa"/>
            <w:shd w:val="clear" w:color="auto" w:fill="auto"/>
          </w:tcPr>
          <w:p w14:paraId="50840022" w14:textId="77B42F84"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61</w:t>
            </w:r>
            <w:r w:rsidR="006C1DFB">
              <w:rPr>
                <w:rFonts w:ascii="Arial" w:hAnsi="Arial" w:cs="Arial"/>
                <w:b/>
                <w:bCs/>
                <w:color w:val="000000" w:themeColor="text1"/>
              </w:rPr>
              <w:t xml:space="preserve">7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 xml:space="preserve">La Chambre de Compensation veille en toutes circonstances à prévenir les conflits d’intérêts. Elle maintient et applique des règles organisationnelles et administratives écrites efficaces pour détecter et gérer tout conflit d’intérêts potentiel entre eux-mêmes, y compris leurs dirigeants, leur personnel, les membres de leur organe de direction ou toute personne qui leur est liée directement ou indirectement, et leurs adhérents ou les clients de ceux-ci. </w:t>
            </w:r>
          </w:p>
          <w:p w14:paraId="7305F6FC" w14:textId="77777777" w:rsidR="00044ACE" w:rsidRPr="00A64175" w:rsidRDefault="00044ACE" w:rsidP="00A64175">
            <w:pPr>
              <w:widowControl w:val="0"/>
              <w:autoSpaceDE w:val="0"/>
              <w:adjustRightInd w:val="0"/>
              <w:jc w:val="both"/>
              <w:rPr>
                <w:rFonts w:ascii="Arial" w:hAnsi="Arial" w:cs="Arial"/>
                <w:color w:val="000000" w:themeColor="text1"/>
              </w:rPr>
            </w:pPr>
          </w:p>
          <w:p w14:paraId="46E10B32" w14:textId="77777777" w:rsidR="00044ACE" w:rsidRPr="00A64175" w:rsidRDefault="00044ACE" w:rsidP="00A64175">
            <w:pPr>
              <w:tabs>
                <w:tab w:val="left" w:pos="1335"/>
              </w:tabs>
              <w:jc w:val="both"/>
              <w:rPr>
                <w:rFonts w:ascii="Arial" w:hAnsi="Arial" w:cs="Arial"/>
                <w:color w:val="000000" w:themeColor="text1"/>
              </w:rPr>
            </w:pPr>
            <w:r w:rsidRPr="00A64175">
              <w:rPr>
                <w:rFonts w:ascii="Arial" w:hAnsi="Arial" w:cs="Arial"/>
                <w:color w:val="000000" w:themeColor="text1"/>
              </w:rPr>
              <w:t>Elle dispose de procédures adéquates pour résoudre les conflits d’intérêts et les appliquent chaque fois qu’un conflit potentiel se présente.</w:t>
            </w:r>
          </w:p>
          <w:p w14:paraId="42775B80" w14:textId="77777777" w:rsidR="00044ACE" w:rsidRPr="00A64175" w:rsidRDefault="00044ACE" w:rsidP="00A64175">
            <w:pPr>
              <w:tabs>
                <w:tab w:val="left" w:pos="1335"/>
              </w:tabs>
              <w:jc w:val="both"/>
              <w:rPr>
                <w:rFonts w:ascii="Arial" w:hAnsi="Arial" w:cs="Arial"/>
                <w:color w:val="000000" w:themeColor="text1"/>
              </w:rPr>
            </w:pPr>
          </w:p>
          <w:p w14:paraId="77FE0B46"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fixer les modalités d’application de cet article par voie d’instruction.</w:t>
            </w:r>
          </w:p>
          <w:p w14:paraId="68036B19"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7BD9B0E3" w14:textId="77777777" w:rsidTr="001B69F3">
        <w:trPr>
          <w:trHeight w:val="350"/>
          <w:jc w:val="center"/>
        </w:trPr>
        <w:tc>
          <w:tcPr>
            <w:tcW w:w="9445" w:type="dxa"/>
            <w:shd w:val="clear" w:color="auto" w:fill="auto"/>
          </w:tcPr>
          <w:p w14:paraId="6E191786" w14:textId="69418EFB"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61</w:t>
            </w:r>
            <w:r w:rsidR="00023FB5">
              <w:rPr>
                <w:rFonts w:ascii="Arial" w:hAnsi="Arial" w:cs="Arial"/>
                <w:b/>
                <w:bCs/>
                <w:color w:val="000000" w:themeColor="text1"/>
              </w:rPr>
              <w:t xml:space="preserve">8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se dote de règles transparentes pour le traitement des plaintes.</w:t>
            </w:r>
          </w:p>
          <w:p w14:paraId="53A85535"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1AC224CA" w14:textId="77777777" w:rsidTr="001B69F3">
        <w:trPr>
          <w:trHeight w:val="251"/>
          <w:jc w:val="center"/>
        </w:trPr>
        <w:tc>
          <w:tcPr>
            <w:tcW w:w="9445" w:type="dxa"/>
            <w:shd w:val="clear" w:color="auto" w:fill="auto"/>
          </w:tcPr>
          <w:p w14:paraId="6963DE1D" w14:textId="7A01A6D1" w:rsidR="00044ACE" w:rsidRPr="00A64175" w:rsidRDefault="00DD3D4D"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61</w:t>
            </w:r>
            <w:r w:rsidR="00023FB5">
              <w:rPr>
                <w:rFonts w:ascii="Arial" w:hAnsi="Arial" w:cs="Arial"/>
                <w:b/>
                <w:bCs/>
                <w:color w:val="000000" w:themeColor="text1"/>
              </w:rPr>
              <w:t xml:space="preserve">9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assure la plus stricte égalité d’accès à l’information publiée par ses soins aux investisseurs, aux épargnants, aux émetteurs, aux intermédiaires et autres professionnels agréés situés dans les États membres de la CEMAC.</w:t>
            </w:r>
          </w:p>
          <w:p w14:paraId="374CDCDF" w14:textId="77777777" w:rsidR="00044ACE" w:rsidRPr="00A64175" w:rsidRDefault="00044ACE" w:rsidP="00A64175">
            <w:pPr>
              <w:widowControl w:val="0"/>
              <w:autoSpaceDE w:val="0"/>
              <w:adjustRightInd w:val="0"/>
              <w:jc w:val="both"/>
              <w:rPr>
                <w:rFonts w:ascii="Arial" w:hAnsi="Arial" w:cs="Arial"/>
                <w:color w:val="000000" w:themeColor="text1"/>
              </w:rPr>
            </w:pPr>
          </w:p>
        </w:tc>
      </w:tr>
      <w:tr w:rsidR="00044ACE" w:rsidRPr="00A64175" w14:paraId="44DF330A" w14:textId="77777777" w:rsidTr="001B69F3">
        <w:trPr>
          <w:trHeight w:val="251"/>
          <w:jc w:val="center"/>
        </w:trPr>
        <w:tc>
          <w:tcPr>
            <w:tcW w:w="9445" w:type="dxa"/>
            <w:shd w:val="clear" w:color="auto" w:fill="auto"/>
          </w:tcPr>
          <w:p w14:paraId="250A21B1" w14:textId="1A5A8544" w:rsidR="00044ACE" w:rsidRPr="00A64175" w:rsidRDefault="00DD3D4D" w:rsidP="00A64175">
            <w:pPr>
              <w:widowControl w:val="0"/>
              <w:autoSpaceDE w:val="0"/>
              <w:adjustRightInd w:val="0"/>
              <w:jc w:val="both"/>
              <w:rPr>
                <w:rFonts w:ascii="Arial" w:hAnsi="Arial" w:cs="Arial"/>
                <w:color w:val="000000" w:themeColor="text1"/>
              </w:rPr>
            </w:pPr>
            <w:r w:rsidRPr="00A64175">
              <w:rPr>
                <w:rFonts w:ascii="Arial" w:hAnsi="Arial" w:cs="Arial"/>
                <w:b/>
                <w:bCs/>
                <w:color w:val="000000" w:themeColor="text1"/>
              </w:rPr>
              <w:t>Article 6</w:t>
            </w:r>
            <w:r w:rsidR="00023FB5">
              <w:rPr>
                <w:rFonts w:ascii="Arial" w:hAnsi="Arial" w:cs="Arial"/>
                <w:b/>
                <w:bCs/>
                <w:color w:val="000000" w:themeColor="text1"/>
              </w:rPr>
              <w:t xml:space="preserve">20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w:t>
            </w:r>
            <w:r w:rsidR="00044ACE" w:rsidRPr="00A64175">
              <w:rPr>
                <w:rFonts w:ascii="Arial" w:hAnsi="Arial" w:cs="Arial"/>
                <w:color w:val="000000" w:themeColor="text1"/>
              </w:rPr>
              <w:t>La Chambre de Compensation veille au respect de la réglementation du marché financier et du secret professionnel par les personnes agissant pour son compte ou placées sous sa responsabilité.</w:t>
            </w:r>
          </w:p>
          <w:p w14:paraId="10BB41A5" w14:textId="77777777" w:rsidR="00044ACE" w:rsidRPr="00A64175" w:rsidRDefault="00044ACE" w:rsidP="00A64175">
            <w:pPr>
              <w:widowControl w:val="0"/>
              <w:autoSpaceDE w:val="0"/>
              <w:adjustRightInd w:val="0"/>
              <w:jc w:val="both"/>
              <w:rPr>
                <w:rFonts w:ascii="Arial" w:hAnsi="Arial" w:cs="Arial"/>
                <w:color w:val="000000" w:themeColor="text1"/>
              </w:rPr>
            </w:pPr>
          </w:p>
          <w:p w14:paraId="7AD20F36"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préciser les modalités d’application des règles de gouvernance, les obligations et règles déontologiques, par voie d’instruction.</w:t>
            </w:r>
          </w:p>
          <w:p w14:paraId="679E7444" w14:textId="77777777" w:rsidR="00044ACE" w:rsidRPr="00A64175" w:rsidRDefault="00044ACE" w:rsidP="00A64175">
            <w:pPr>
              <w:widowControl w:val="0"/>
              <w:autoSpaceDE w:val="0"/>
              <w:adjustRightInd w:val="0"/>
              <w:jc w:val="both"/>
              <w:rPr>
                <w:rFonts w:ascii="Arial" w:hAnsi="Arial" w:cs="Arial"/>
                <w:color w:val="000000" w:themeColor="text1"/>
              </w:rPr>
            </w:pPr>
          </w:p>
        </w:tc>
      </w:tr>
      <w:tr w:rsidR="00044ACE" w:rsidRPr="00A64175" w14:paraId="7FC86B44" w14:textId="77777777" w:rsidTr="001B69F3">
        <w:trPr>
          <w:trHeight w:val="251"/>
          <w:jc w:val="center"/>
        </w:trPr>
        <w:tc>
          <w:tcPr>
            <w:tcW w:w="9445" w:type="dxa"/>
            <w:shd w:val="clear" w:color="auto" w:fill="auto"/>
          </w:tcPr>
          <w:p w14:paraId="41B5D469" w14:textId="358E236D" w:rsidR="00044ACE" w:rsidRPr="00A64175" w:rsidRDefault="00DD3D4D"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6</w:t>
            </w:r>
            <w:r w:rsidR="008455FA">
              <w:rPr>
                <w:rFonts w:ascii="Arial" w:hAnsi="Arial" w:cs="Arial"/>
                <w:b/>
                <w:bCs/>
                <w:color w:val="000000" w:themeColor="text1"/>
              </w:rPr>
              <w:t xml:space="preserve">21 </w:t>
            </w:r>
            <w:r w:rsidR="00044ACE" w:rsidRPr="00A64175">
              <w:rPr>
                <w:rFonts w:ascii="Arial" w:hAnsi="Arial" w:cs="Arial"/>
                <w:b/>
                <w:bCs/>
                <w:color w:val="000000" w:themeColor="text1"/>
              </w:rPr>
              <w:t xml:space="preserve"> –</w:t>
            </w:r>
            <w:r w:rsidR="00044ACE" w:rsidRPr="00A64175">
              <w:rPr>
                <w:rFonts w:ascii="Arial" w:hAnsi="Arial" w:cs="Arial"/>
                <w:color w:val="000000" w:themeColor="text1"/>
                <w:kern w:val="1"/>
              </w:rPr>
              <w:t xml:space="preserve"> L’habilitation est requise des collaborateurs suivants de la Chambre de Compensation :</w:t>
            </w:r>
          </w:p>
          <w:p w14:paraId="77A28872"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3159887B" w14:textId="77777777" w:rsidR="00044ACE" w:rsidRPr="00A64175" w:rsidRDefault="00044ACE" w:rsidP="00A64175">
            <w:pPr>
              <w:pStyle w:val="Paragraphedeliste"/>
              <w:widowControl w:val="0"/>
              <w:numPr>
                <w:ilvl w:val="0"/>
                <w:numId w:val="74"/>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 responsable de la surveillance des opérations de compensation ;</w:t>
            </w:r>
          </w:p>
          <w:p w14:paraId="52D5B551" w14:textId="77777777" w:rsidR="00044ACE" w:rsidRPr="00A64175" w:rsidRDefault="00044ACE" w:rsidP="00A64175">
            <w:pPr>
              <w:pStyle w:val="Paragraphedeliste"/>
              <w:widowControl w:val="0"/>
              <w:numPr>
                <w:ilvl w:val="0"/>
                <w:numId w:val="75"/>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 responsable du contrôle des adhérents compensateurs ;</w:t>
            </w:r>
          </w:p>
          <w:p w14:paraId="6B99CE13" w14:textId="77777777" w:rsidR="00044ACE" w:rsidRPr="00A64175" w:rsidRDefault="00044ACE" w:rsidP="00A64175">
            <w:pPr>
              <w:pStyle w:val="Paragraphedeliste"/>
              <w:widowControl w:val="0"/>
              <w:numPr>
                <w:ilvl w:val="0"/>
                <w:numId w:val="76"/>
              </w:numPr>
              <w:autoSpaceDE w:val="0"/>
              <w:adjustRightInd w:val="0"/>
              <w:spacing w:before="0" w:beforeAutospacing="0" w:after="0" w:afterAutospacing="0" w:line="240" w:lineRule="auto"/>
              <w:rPr>
                <w:color w:val="000000" w:themeColor="text1"/>
                <w:kern w:val="1"/>
              </w:rPr>
            </w:pPr>
            <w:r w:rsidRPr="00A64175">
              <w:rPr>
                <w:color w:val="000000" w:themeColor="text1"/>
                <w:kern w:val="1"/>
              </w:rPr>
              <w:t>Le responsable du contrôle interne et de la conformité.</w:t>
            </w:r>
          </w:p>
          <w:p w14:paraId="06838D17"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5E4DD11D" w14:textId="77777777" w:rsidTr="001B69F3">
        <w:trPr>
          <w:trHeight w:val="251"/>
          <w:jc w:val="center"/>
        </w:trPr>
        <w:tc>
          <w:tcPr>
            <w:tcW w:w="9445" w:type="dxa"/>
            <w:shd w:val="clear" w:color="auto" w:fill="auto"/>
          </w:tcPr>
          <w:p w14:paraId="46C80D95" w14:textId="63530629" w:rsidR="00044ACE" w:rsidRPr="00A64175" w:rsidRDefault="00DD3D4D" w:rsidP="00A64175">
            <w:pPr>
              <w:widowControl w:val="0"/>
              <w:autoSpaceDE w:val="0"/>
              <w:adjustRightInd w:val="0"/>
              <w:jc w:val="both"/>
              <w:rPr>
                <w:rFonts w:ascii="Arial" w:hAnsi="Arial" w:cs="Arial"/>
                <w:color w:val="000000" w:themeColor="text1"/>
                <w:kern w:val="1"/>
              </w:rPr>
            </w:pPr>
            <w:r w:rsidRPr="00A64175">
              <w:rPr>
                <w:rFonts w:ascii="Arial" w:hAnsi="Arial" w:cs="Arial"/>
                <w:b/>
                <w:bCs/>
                <w:color w:val="000000" w:themeColor="text1"/>
              </w:rPr>
              <w:t>Article 6</w:t>
            </w:r>
            <w:r w:rsidR="0069216C">
              <w:rPr>
                <w:rFonts w:ascii="Arial" w:hAnsi="Arial" w:cs="Arial"/>
                <w:b/>
                <w:bCs/>
                <w:color w:val="000000" w:themeColor="text1"/>
              </w:rPr>
              <w:t>2</w:t>
            </w:r>
            <w:r w:rsidR="008455FA">
              <w:rPr>
                <w:rFonts w:ascii="Arial" w:hAnsi="Arial" w:cs="Arial"/>
                <w:b/>
                <w:bCs/>
                <w:color w:val="000000" w:themeColor="text1"/>
              </w:rPr>
              <w:t xml:space="preserve">2 </w:t>
            </w:r>
            <w:r w:rsidRPr="00A64175">
              <w:rPr>
                <w:rFonts w:ascii="Arial" w:hAnsi="Arial" w:cs="Arial"/>
                <w:b/>
                <w:bCs/>
                <w:color w:val="000000" w:themeColor="text1"/>
              </w:rPr>
              <w:t xml:space="preserve"> </w:t>
            </w:r>
            <w:r w:rsidR="00044ACE" w:rsidRPr="00A64175">
              <w:rPr>
                <w:rFonts w:ascii="Arial" w:hAnsi="Arial" w:cs="Arial"/>
                <w:b/>
                <w:bCs/>
                <w:color w:val="000000" w:themeColor="text1"/>
              </w:rPr>
              <w:t xml:space="preserve">- </w:t>
            </w:r>
            <w:r w:rsidR="00044ACE" w:rsidRPr="00A64175">
              <w:rPr>
                <w:rFonts w:ascii="Arial" w:hAnsi="Arial" w:cs="Arial"/>
                <w:bCs/>
                <w:color w:val="000000" w:themeColor="text1"/>
              </w:rPr>
              <w:t xml:space="preserve">La Chambre de Compensation </w:t>
            </w:r>
            <w:r w:rsidR="00044ACE" w:rsidRPr="00A64175">
              <w:rPr>
                <w:rFonts w:ascii="Arial" w:hAnsi="Arial" w:cs="Arial"/>
                <w:color w:val="000000"/>
              </w:rPr>
              <w:t>est tenu de publier un rapport d’activité annuel qui précise notamment s</w:t>
            </w:r>
            <w:r w:rsidR="00044ACE" w:rsidRPr="00A64175">
              <w:rPr>
                <w:rFonts w:ascii="Arial" w:hAnsi="Arial" w:cs="Arial"/>
                <w:color w:val="000000" w:themeColor="text1"/>
                <w:kern w:val="1"/>
              </w:rPr>
              <w:t xml:space="preserve">on organisation de la surveillance et du contrôle ainsi que </w:t>
            </w:r>
            <w:r w:rsidR="00044ACE" w:rsidRPr="00A64175">
              <w:rPr>
                <w:rFonts w:ascii="Arial" w:hAnsi="Arial" w:cs="Arial"/>
                <w:color w:val="000000"/>
              </w:rPr>
              <w:t>ses états financiers de synthèse certifiés et approuvés, ses états financiers de synthèse certifiés et approuvés, ses comptes prévisionnels, le rapport de son commissaire aux comptes et le rapport de son commissaire aux comptes</w:t>
            </w:r>
          </w:p>
          <w:p w14:paraId="03BDECF7"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28387F6C" w14:textId="77777777" w:rsidR="00044ACE" w:rsidRPr="00A64175" w:rsidRDefault="00044ACE" w:rsidP="00A64175">
            <w:pPr>
              <w:widowControl w:val="0"/>
              <w:autoSpaceDE w:val="0"/>
              <w:adjustRightInd w:val="0"/>
              <w:jc w:val="both"/>
              <w:rPr>
                <w:rFonts w:ascii="Arial" w:hAnsi="Arial" w:cs="Arial"/>
                <w:color w:val="000000" w:themeColor="text1"/>
                <w:kern w:val="1"/>
              </w:rPr>
            </w:pPr>
            <w:r w:rsidRPr="00A64175">
              <w:rPr>
                <w:rFonts w:ascii="Arial" w:hAnsi="Arial" w:cs="Arial"/>
                <w:color w:val="000000" w:themeColor="text1"/>
                <w:kern w:val="1"/>
              </w:rPr>
              <w:t>Ce rapport est transmis au plus tard le 31 mars de chaque année, à l’organe exécutif de la Chambre de Compensation et à la COSUMAF.  Il est publié sur le site de la Chambre</w:t>
            </w:r>
            <w:r w:rsidRPr="00A64175">
              <w:rPr>
                <w:rFonts w:ascii="Arial" w:hAnsi="Arial" w:cs="Arial"/>
                <w:bCs/>
                <w:color w:val="000000" w:themeColor="text1"/>
              </w:rPr>
              <w:t xml:space="preserve"> de Compensation. </w:t>
            </w:r>
          </w:p>
          <w:p w14:paraId="1A7D14D9"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4B958EAA"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fixer les modalités d’application de cet article par voie d’instruction.</w:t>
            </w:r>
          </w:p>
          <w:p w14:paraId="438EF4B0" w14:textId="77777777" w:rsidR="00044ACE" w:rsidRPr="00A64175" w:rsidRDefault="00044ACE" w:rsidP="00A64175">
            <w:pPr>
              <w:widowControl w:val="0"/>
              <w:autoSpaceDE w:val="0"/>
              <w:adjustRightInd w:val="0"/>
              <w:jc w:val="both"/>
              <w:rPr>
                <w:rFonts w:ascii="Arial" w:hAnsi="Arial" w:cs="Arial"/>
                <w:b/>
                <w:bCs/>
                <w:color w:val="000000" w:themeColor="text1"/>
              </w:rPr>
            </w:pPr>
          </w:p>
        </w:tc>
      </w:tr>
      <w:tr w:rsidR="00044ACE" w:rsidRPr="00A64175" w14:paraId="447D59D2" w14:textId="77777777" w:rsidTr="001B69F3">
        <w:trPr>
          <w:trHeight w:val="251"/>
          <w:jc w:val="center"/>
        </w:trPr>
        <w:tc>
          <w:tcPr>
            <w:tcW w:w="9445" w:type="dxa"/>
            <w:shd w:val="clear" w:color="auto" w:fill="auto"/>
          </w:tcPr>
          <w:p w14:paraId="6A5C22D2" w14:textId="054F8F3D" w:rsidR="00044ACE" w:rsidRPr="00A64175" w:rsidRDefault="00DD3D4D" w:rsidP="00A64175">
            <w:pPr>
              <w:widowControl w:val="0"/>
              <w:autoSpaceDE w:val="0"/>
              <w:adjustRightInd w:val="0"/>
              <w:jc w:val="both"/>
              <w:rPr>
                <w:rFonts w:ascii="Arial" w:hAnsi="Arial" w:cs="Arial"/>
                <w:bCs/>
                <w:color w:val="000000" w:themeColor="text1"/>
              </w:rPr>
            </w:pPr>
            <w:r w:rsidRPr="00A64175">
              <w:rPr>
                <w:rFonts w:ascii="Arial" w:hAnsi="Arial" w:cs="Arial"/>
                <w:b/>
                <w:bCs/>
                <w:color w:val="000000" w:themeColor="text1"/>
              </w:rPr>
              <w:t>Article 6</w:t>
            </w:r>
            <w:r w:rsidR="0069216C">
              <w:rPr>
                <w:rFonts w:ascii="Arial" w:hAnsi="Arial" w:cs="Arial"/>
                <w:b/>
                <w:bCs/>
                <w:color w:val="000000" w:themeColor="text1"/>
              </w:rPr>
              <w:t>2</w:t>
            </w:r>
            <w:r w:rsidR="008455FA">
              <w:rPr>
                <w:rFonts w:ascii="Arial" w:hAnsi="Arial" w:cs="Arial"/>
                <w:b/>
                <w:bCs/>
                <w:color w:val="000000" w:themeColor="text1"/>
              </w:rPr>
              <w:t xml:space="preserve">3 </w:t>
            </w:r>
            <w:r w:rsidRPr="00A64175">
              <w:rPr>
                <w:rFonts w:ascii="Arial" w:hAnsi="Arial" w:cs="Arial"/>
                <w:b/>
                <w:bCs/>
                <w:color w:val="000000" w:themeColor="text1"/>
              </w:rPr>
              <w:t xml:space="preserve"> </w:t>
            </w:r>
            <w:r w:rsidR="00044ACE" w:rsidRPr="00A64175">
              <w:rPr>
                <w:rFonts w:ascii="Arial" w:hAnsi="Arial" w:cs="Arial"/>
                <w:b/>
                <w:bCs/>
                <w:color w:val="000000" w:themeColor="text1"/>
              </w:rPr>
              <w:t>–</w:t>
            </w:r>
            <w:r w:rsidR="00044ACE" w:rsidRPr="00A64175">
              <w:rPr>
                <w:rFonts w:ascii="Arial" w:hAnsi="Arial" w:cs="Arial"/>
                <w:bCs/>
                <w:color w:val="000000" w:themeColor="text1"/>
              </w:rPr>
              <w:t xml:space="preserve"> La Chambre de Compensation est tenue de rendre compte quotidiennement à la COSUMAF des transactions compensées et des positions ouvertes sur les contrats financiers.</w:t>
            </w:r>
          </w:p>
          <w:p w14:paraId="6BB0B198" w14:textId="77777777" w:rsidR="00044ACE" w:rsidRPr="00A64175" w:rsidRDefault="00044ACE" w:rsidP="00A64175">
            <w:pPr>
              <w:widowControl w:val="0"/>
              <w:autoSpaceDE w:val="0"/>
              <w:adjustRightInd w:val="0"/>
              <w:jc w:val="both"/>
              <w:rPr>
                <w:rFonts w:ascii="Arial" w:hAnsi="Arial" w:cs="Arial"/>
                <w:color w:val="000000" w:themeColor="text1"/>
                <w:kern w:val="1"/>
              </w:rPr>
            </w:pPr>
          </w:p>
          <w:p w14:paraId="749A1637"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r w:rsidRPr="00A64175">
              <w:rPr>
                <w:rFonts w:ascii="Arial" w:hAnsi="Arial" w:cs="Arial"/>
                <w:color w:val="000000" w:themeColor="text1"/>
                <w:shd w:val="clear" w:color="auto" w:fill="FFFFFF"/>
              </w:rPr>
              <w:t>Lorsqu'elle garantit la bonne fin des opérations vis-à-vis des donneurs d'ordre des adhérents compensateurs. La Chambre de Compensation d'un marché réglementé d'instruments financiers à terme procède à un suivi des risques de ceux-ci.</w:t>
            </w:r>
          </w:p>
          <w:p w14:paraId="565341E0" w14:textId="77777777" w:rsidR="00044ACE" w:rsidRPr="00A64175" w:rsidRDefault="00044ACE" w:rsidP="00A64175">
            <w:pPr>
              <w:widowControl w:val="0"/>
              <w:autoSpaceDE w:val="0"/>
              <w:adjustRightInd w:val="0"/>
              <w:jc w:val="both"/>
              <w:rPr>
                <w:rFonts w:ascii="Arial" w:hAnsi="Arial" w:cs="Arial"/>
                <w:color w:val="000000" w:themeColor="text1"/>
                <w:shd w:val="clear" w:color="auto" w:fill="FFFFFF"/>
              </w:rPr>
            </w:pPr>
          </w:p>
          <w:p w14:paraId="53131EFE" w14:textId="77777777" w:rsidR="00044ACE" w:rsidRPr="00A64175" w:rsidRDefault="00044ACE" w:rsidP="00A64175">
            <w:pPr>
              <w:widowControl w:val="0"/>
              <w:autoSpaceDE w:val="0"/>
              <w:adjustRightInd w:val="0"/>
              <w:jc w:val="both"/>
              <w:rPr>
                <w:rFonts w:ascii="Arial" w:hAnsi="Arial" w:cs="Arial"/>
                <w:color w:val="000000" w:themeColor="text1"/>
              </w:rPr>
            </w:pPr>
            <w:r w:rsidRPr="00A64175">
              <w:rPr>
                <w:rFonts w:ascii="Arial" w:hAnsi="Arial" w:cs="Arial"/>
                <w:color w:val="000000" w:themeColor="text1"/>
              </w:rPr>
              <w:t>La COSUMAF peut fixer les modalités d’application de cet article par voie d’instruction.</w:t>
            </w:r>
          </w:p>
          <w:p w14:paraId="1F98D057" w14:textId="77777777" w:rsidR="00044ACE" w:rsidRPr="00A64175" w:rsidRDefault="00044ACE" w:rsidP="00A64175">
            <w:pPr>
              <w:widowControl w:val="0"/>
              <w:autoSpaceDE w:val="0"/>
              <w:adjustRightInd w:val="0"/>
              <w:jc w:val="both"/>
              <w:rPr>
                <w:rFonts w:ascii="Arial" w:hAnsi="Arial" w:cs="Arial"/>
                <w:b/>
                <w:color w:val="000000" w:themeColor="text1"/>
                <w:kern w:val="1"/>
              </w:rPr>
            </w:pPr>
          </w:p>
        </w:tc>
      </w:tr>
      <w:tr w:rsidR="00044ACE" w:rsidRPr="00A64175" w14:paraId="2E61398E" w14:textId="77777777" w:rsidTr="001B69F3">
        <w:trPr>
          <w:trHeight w:val="251"/>
          <w:jc w:val="center"/>
        </w:trPr>
        <w:tc>
          <w:tcPr>
            <w:tcW w:w="9445" w:type="dxa"/>
            <w:shd w:val="clear" w:color="auto" w:fill="auto"/>
          </w:tcPr>
          <w:p w14:paraId="17EB9A51" w14:textId="49731318" w:rsidR="00044ACE" w:rsidRPr="00A64175" w:rsidRDefault="00DD3D4D" w:rsidP="00A64175">
            <w:pPr>
              <w:tabs>
                <w:tab w:val="left" w:pos="1335"/>
              </w:tabs>
              <w:jc w:val="both"/>
              <w:rPr>
                <w:rFonts w:ascii="Arial" w:hAnsi="Arial" w:cs="Arial"/>
                <w:color w:val="000000" w:themeColor="text1"/>
              </w:rPr>
            </w:pPr>
            <w:r w:rsidRPr="00A64175">
              <w:rPr>
                <w:rFonts w:ascii="Arial" w:hAnsi="Arial" w:cs="Arial"/>
                <w:b/>
                <w:bCs/>
                <w:color w:val="000000" w:themeColor="text1"/>
              </w:rPr>
              <w:t>Article 62</w:t>
            </w:r>
            <w:r w:rsidR="008455FA">
              <w:rPr>
                <w:rFonts w:ascii="Arial" w:hAnsi="Arial" w:cs="Arial"/>
                <w:b/>
                <w:bCs/>
                <w:color w:val="000000" w:themeColor="text1"/>
              </w:rPr>
              <w:t xml:space="preserve">4 </w:t>
            </w:r>
            <w:r w:rsidR="00044ACE" w:rsidRPr="00A64175">
              <w:rPr>
                <w:rFonts w:ascii="Arial" w:hAnsi="Arial" w:cs="Arial"/>
                <w:b/>
                <w:bCs/>
                <w:color w:val="000000" w:themeColor="text1"/>
              </w:rPr>
              <w:t xml:space="preserve"> - </w:t>
            </w:r>
            <w:r w:rsidR="00044ACE" w:rsidRPr="00A64175">
              <w:rPr>
                <w:rFonts w:ascii="Arial" w:hAnsi="Arial" w:cs="Arial"/>
                <w:bCs/>
                <w:color w:val="000000" w:themeColor="text1"/>
              </w:rPr>
              <w:t xml:space="preserve">La Chambre de Compensation </w:t>
            </w:r>
            <w:r w:rsidR="00044ACE" w:rsidRPr="00A64175">
              <w:rPr>
                <w:rFonts w:ascii="Arial" w:hAnsi="Arial" w:cs="Arial"/>
                <w:color w:val="000000" w:themeColor="text1"/>
              </w:rPr>
              <w:t xml:space="preserve">conserve pour une durée minimale de dix ans tous les enregistrements relatifs aux services fournis et aux activités exercées, afin de permettre à l’autorité compétente de contrôler le respect des exigences du présent règlement. </w:t>
            </w:r>
          </w:p>
          <w:p w14:paraId="448BE4C6" w14:textId="77777777" w:rsidR="00044ACE" w:rsidRPr="00A64175" w:rsidRDefault="00044ACE" w:rsidP="00A64175">
            <w:pPr>
              <w:tabs>
                <w:tab w:val="left" w:pos="1335"/>
              </w:tabs>
              <w:jc w:val="both"/>
              <w:rPr>
                <w:rFonts w:ascii="Arial" w:hAnsi="Arial" w:cs="Arial"/>
                <w:color w:val="000000" w:themeColor="text1"/>
              </w:rPr>
            </w:pPr>
          </w:p>
          <w:p w14:paraId="45D4677B" w14:textId="77777777" w:rsidR="00044ACE" w:rsidRPr="00A64175" w:rsidRDefault="00044ACE" w:rsidP="00A64175">
            <w:pPr>
              <w:tabs>
                <w:tab w:val="left" w:pos="1335"/>
              </w:tabs>
              <w:jc w:val="both"/>
              <w:rPr>
                <w:rFonts w:ascii="Arial" w:hAnsi="Arial" w:cs="Arial"/>
                <w:color w:val="000000" w:themeColor="text1"/>
              </w:rPr>
            </w:pPr>
            <w:r w:rsidRPr="00A64175">
              <w:rPr>
                <w:rFonts w:ascii="Arial" w:hAnsi="Arial" w:cs="Arial"/>
                <w:color w:val="000000" w:themeColor="text1"/>
              </w:rPr>
              <w:t>Elle met ces informations visées à la disposition de toute autre autorité publique qui, en vertu du droit de l’Union ou du droit de leur État membre d’origine, a le pouvoir de demander accès à ces enregistrements, à la demande de celles-ci et aux fins de l’accomplissement de leur mandat.</w:t>
            </w:r>
          </w:p>
          <w:p w14:paraId="0092B493" w14:textId="77777777" w:rsidR="00044ACE" w:rsidRPr="00A64175" w:rsidRDefault="00044ACE" w:rsidP="00A64175">
            <w:pPr>
              <w:tabs>
                <w:tab w:val="left" w:pos="1335"/>
              </w:tabs>
              <w:jc w:val="both"/>
              <w:rPr>
                <w:rFonts w:ascii="Arial" w:hAnsi="Arial" w:cs="Arial"/>
                <w:color w:val="000000" w:themeColor="text1"/>
              </w:rPr>
            </w:pPr>
          </w:p>
          <w:p w14:paraId="17262B8B" w14:textId="77777777" w:rsidR="00044ACE" w:rsidRPr="00A64175" w:rsidRDefault="00044ACE" w:rsidP="00A64175">
            <w:pPr>
              <w:widowControl w:val="0"/>
              <w:autoSpaceDE w:val="0"/>
              <w:adjustRightInd w:val="0"/>
              <w:jc w:val="both"/>
              <w:rPr>
                <w:rFonts w:ascii="Arial" w:hAnsi="Arial" w:cs="Arial"/>
                <w:b/>
                <w:bCs/>
                <w:color w:val="000000" w:themeColor="text1"/>
              </w:rPr>
            </w:pPr>
            <w:r w:rsidRPr="00A64175">
              <w:rPr>
                <w:rFonts w:ascii="Arial" w:hAnsi="Arial" w:cs="Arial"/>
                <w:color w:val="000000" w:themeColor="text1"/>
              </w:rPr>
              <w:t xml:space="preserve">La COSUMAF peut préciser les modalités d’application de conservations des données par </w:t>
            </w:r>
            <w:r w:rsidRPr="00A64175">
              <w:rPr>
                <w:rFonts w:ascii="Arial" w:hAnsi="Arial" w:cs="Arial"/>
                <w:bCs/>
                <w:color w:val="000000" w:themeColor="text1"/>
              </w:rPr>
              <w:t>la Chambre de compensation</w:t>
            </w:r>
            <w:r w:rsidRPr="00A64175">
              <w:rPr>
                <w:rFonts w:ascii="Arial" w:hAnsi="Arial" w:cs="Arial"/>
                <w:color w:val="000000" w:themeColor="text1"/>
              </w:rPr>
              <w:t>, par voie d’instruction.</w:t>
            </w:r>
          </w:p>
        </w:tc>
      </w:tr>
    </w:tbl>
    <w:p w14:paraId="62E9DB8E" w14:textId="77777777" w:rsidR="00044ACE" w:rsidRPr="00A64175" w:rsidRDefault="00044ACE" w:rsidP="00A64175">
      <w:pPr>
        <w:jc w:val="both"/>
        <w:rPr>
          <w:rFonts w:ascii="Arial" w:hAnsi="Arial" w:cs="Arial"/>
          <w:sz w:val="22"/>
          <w:szCs w:val="22"/>
        </w:rPr>
      </w:pPr>
    </w:p>
    <w:p w14:paraId="0EFE2C66" w14:textId="77777777" w:rsidR="0018058A" w:rsidRPr="00A64175" w:rsidRDefault="0018058A" w:rsidP="00A64175">
      <w:pPr>
        <w:widowControl w:val="0"/>
        <w:autoSpaceDE w:val="0"/>
        <w:autoSpaceDN w:val="0"/>
        <w:adjustRightInd w:val="0"/>
        <w:jc w:val="both"/>
        <w:rPr>
          <w:rFonts w:ascii="Arial" w:hAnsi="Arial" w:cs="Arial"/>
          <w:kern w:val="1"/>
          <w:sz w:val="22"/>
          <w:szCs w:val="22"/>
        </w:rPr>
      </w:pPr>
    </w:p>
    <w:p w14:paraId="635BB3C8" w14:textId="77777777" w:rsidR="00581A32" w:rsidRPr="00A64175" w:rsidRDefault="00581A32" w:rsidP="00A64175">
      <w:pPr>
        <w:widowControl w:val="0"/>
        <w:autoSpaceDE w:val="0"/>
        <w:autoSpaceDN w:val="0"/>
        <w:adjustRightInd w:val="0"/>
        <w:jc w:val="both"/>
        <w:rPr>
          <w:rFonts w:ascii="Arial" w:hAnsi="Arial" w:cs="Arial"/>
          <w:kern w:val="1"/>
          <w:sz w:val="22"/>
          <w:szCs w:val="22"/>
        </w:rPr>
      </w:pPr>
    </w:p>
    <w:p w14:paraId="47FA0D6F" w14:textId="13424116" w:rsidR="004D4051" w:rsidRPr="00A64175" w:rsidRDefault="004D4051" w:rsidP="00A64175">
      <w:pPr>
        <w:jc w:val="both"/>
        <w:rPr>
          <w:rFonts w:ascii="Arial" w:hAnsi="Arial" w:cs="Arial"/>
          <w:b/>
          <w:sz w:val="22"/>
          <w:szCs w:val="22"/>
        </w:rPr>
      </w:pPr>
      <w:r w:rsidRPr="00A64175">
        <w:rPr>
          <w:rFonts w:ascii="Arial" w:hAnsi="Arial" w:cs="Arial"/>
          <w:b/>
          <w:sz w:val="22"/>
          <w:szCs w:val="22"/>
        </w:rPr>
        <w:t>TITRE V</w:t>
      </w:r>
      <w:r w:rsidR="00525F70" w:rsidRPr="00A64175">
        <w:rPr>
          <w:rFonts w:ascii="Arial" w:hAnsi="Arial" w:cs="Arial"/>
          <w:b/>
          <w:sz w:val="22"/>
          <w:szCs w:val="22"/>
        </w:rPr>
        <w:t>I</w:t>
      </w:r>
      <w:r w:rsidR="003F311B" w:rsidRPr="00A64175">
        <w:rPr>
          <w:rFonts w:ascii="Arial" w:hAnsi="Arial" w:cs="Arial"/>
          <w:b/>
          <w:sz w:val="22"/>
          <w:szCs w:val="22"/>
        </w:rPr>
        <w:t>I</w:t>
      </w:r>
      <w:r w:rsidR="00821359" w:rsidRPr="00A64175">
        <w:rPr>
          <w:rFonts w:ascii="Arial" w:hAnsi="Arial" w:cs="Arial"/>
          <w:b/>
          <w:sz w:val="22"/>
          <w:szCs w:val="22"/>
        </w:rPr>
        <w:t>I</w:t>
      </w:r>
      <w:r w:rsidRPr="00A64175">
        <w:rPr>
          <w:rFonts w:ascii="Arial" w:hAnsi="Arial" w:cs="Arial"/>
          <w:b/>
          <w:sz w:val="22"/>
          <w:szCs w:val="22"/>
        </w:rPr>
        <w:t xml:space="preserve"> – ORGANISMES DE NOTATION</w:t>
      </w:r>
      <w:r w:rsidR="0026011E" w:rsidRPr="00A64175">
        <w:rPr>
          <w:rFonts w:ascii="Arial" w:hAnsi="Arial" w:cs="Arial"/>
          <w:b/>
          <w:sz w:val="22"/>
          <w:szCs w:val="22"/>
        </w:rPr>
        <w:t xml:space="preserve"> ET D’ANALYSE FINANCIERE</w:t>
      </w:r>
    </w:p>
    <w:p w14:paraId="5EE246FF" w14:textId="77777777" w:rsidR="004D4051" w:rsidRPr="00A64175" w:rsidRDefault="004D4051" w:rsidP="00A64175">
      <w:pPr>
        <w:widowControl w:val="0"/>
        <w:autoSpaceDE w:val="0"/>
        <w:autoSpaceDN w:val="0"/>
        <w:adjustRightInd w:val="0"/>
        <w:jc w:val="both"/>
        <w:rPr>
          <w:rFonts w:ascii="Arial" w:hAnsi="Arial" w:cs="Arial"/>
          <w:b/>
          <w:sz w:val="22"/>
          <w:szCs w:val="22"/>
        </w:rPr>
      </w:pPr>
    </w:p>
    <w:p w14:paraId="500CF8AA" w14:textId="77777777" w:rsidR="00581A32" w:rsidRPr="00A64175" w:rsidRDefault="00581A32" w:rsidP="00A64175">
      <w:pPr>
        <w:widowControl w:val="0"/>
        <w:autoSpaceDE w:val="0"/>
        <w:autoSpaceDN w:val="0"/>
        <w:adjustRightInd w:val="0"/>
        <w:jc w:val="both"/>
        <w:rPr>
          <w:rFonts w:ascii="Arial" w:hAnsi="Arial" w:cs="Arial"/>
          <w:b/>
          <w:sz w:val="22"/>
          <w:szCs w:val="22"/>
        </w:rPr>
      </w:pPr>
    </w:p>
    <w:p w14:paraId="29CA7F27" w14:textId="77777777" w:rsidR="0026011E" w:rsidRPr="00A64175" w:rsidRDefault="0026011E" w:rsidP="00A64175">
      <w:pPr>
        <w:widowControl w:val="0"/>
        <w:autoSpaceDE w:val="0"/>
        <w:autoSpaceDN w:val="0"/>
        <w:adjustRightInd w:val="0"/>
        <w:jc w:val="both"/>
        <w:rPr>
          <w:rFonts w:ascii="Arial" w:hAnsi="Arial" w:cs="Arial"/>
          <w:b/>
          <w:sz w:val="22"/>
          <w:szCs w:val="22"/>
        </w:rPr>
      </w:pPr>
    </w:p>
    <w:p w14:paraId="587CBED4" w14:textId="3E1AA5DE" w:rsidR="0026011E" w:rsidRDefault="0026011E" w:rsidP="00A64175">
      <w:pPr>
        <w:widowControl w:val="0"/>
        <w:autoSpaceDE w:val="0"/>
        <w:autoSpaceDN w:val="0"/>
        <w:adjustRightInd w:val="0"/>
        <w:jc w:val="both"/>
        <w:rPr>
          <w:rFonts w:ascii="Arial" w:hAnsi="Arial" w:cs="Arial"/>
          <w:b/>
          <w:sz w:val="22"/>
          <w:szCs w:val="22"/>
        </w:rPr>
      </w:pPr>
      <w:r w:rsidRPr="00A64175">
        <w:rPr>
          <w:rFonts w:ascii="Arial" w:hAnsi="Arial" w:cs="Arial"/>
          <w:b/>
          <w:sz w:val="22"/>
          <w:szCs w:val="22"/>
        </w:rPr>
        <w:t>CHAPITRE I – O</w:t>
      </w:r>
      <w:r w:rsidR="00120666" w:rsidRPr="00A64175">
        <w:rPr>
          <w:rFonts w:ascii="Arial" w:hAnsi="Arial" w:cs="Arial"/>
          <w:b/>
          <w:sz w:val="22"/>
          <w:szCs w:val="22"/>
        </w:rPr>
        <w:t xml:space="preserve">RGANISMES DE NOTATION </w:t>
      </w:r>
    </w:p>
    <w:p w14:paraId="11ACA141" w14:textId="77777777" w:rsidR="00616A08" w:rsidRPr="00A64175" w:rsidRDefault="00616A08" w:rsidP="00A64175">
      <w:pPr>
        <w:widowControl w:val="0"/>
        <w:autoSpaceDE w:val="0"/>
        <w:autoSpaceDN w:val="0"/>
        <w:adjustRightInd w:val="0"/>
        <w:jc w:val="both"/>
        <w:rPr>
          <w:rFonts w:ascii="Arial" w:hAnsi="Arial" w:cs="Arial"/>
          <w:b/>
          <w:sz w:val="22"/>
          <w:szCs w:val="22"/>
        </w:rPr>
      </w:pPr>
    </w:p>
    <w:p w14:paraId="6B6C4859" w14:textId="2772BC3A" w:rsidR="00241C93" w:rsidRDefault="00241C93" w:rsidP="00A64175">
      <w:pPr>
        <w:widowControl w:val="0"/>
        <w:autoSpaceDE w:val="0"/>
        <w:autoSpaceDN w:val="0"/>
        <w:adjustRightInd w:val="0"/>
        <w:jc w:val="both"/>
        <w:rPr>
          <w:rFonts w:ascii="Arial" w:hAnsi="Arial" w:cs="Arial"/>
          <w:b/>
          <w:sz w:val="22"/>
          <w:szCs w:val="22"/>
        </w:rPr>
      </w:pPr>
      <w:r>
        <w:rPr>
          <w:rFonts w:ascii="Arial" w:hAnsi="Arial" w:cs="Arial"/>
          <w:b/>
          <w:sz w:val="22"/>
          <w:szCs w:val="22"/>
        </w:rPr>
        <w:t>Section I   AGREMENT</w:t>
      </w:r>
    </w:p>
    <w:p w14:paraId="52F54C08" w14:textId="77777777" w:rsidR="00241C93" w:rsidRPr="00A64175" w:rsidRDefault="00241C93" w:rsidP="00A64175">
      <w:pPr>
        <w:widowControl w:val="0"/>
        <w:autoSpaceDE w:val="0"/>
        <w:autoSpaceDN w:val="0"/>
        <w:adjustRightInd w:val="0"/>
        <w:jc w:val="both"/>
        <w:rPr>
          <w:rFonts w:ascii="Arial" w:hAnsi="Arial" w:cs="Arial"/>
          <w:b/>
          <w:sz w:val="22"/>
          <w:szCs w:val="22"/>
        </w:rPr>
      </w:pPr>
    </w:p>
    <w:p w14:paraId="2C43FCD5" w14:textId="4E723EB2" w:rsidR="0009406D" w:rsidRPr="00616A08" w:rsidRDefault="00241C93" w:rsidP="0009406D">
      <w:pPr>
        <w:pStyle w:val="NormalWeb"/>
        <w:spacing w:before="0" w:beforeAutospacing="0" w:after="0" w:afterAutospacing="0"/>
        <w:contextualSpacing/>
        <w:jc w:val="both"/>
        <w:rPr>
          <w:rFonts w:ascii="Arial" w:hAnsi="Arial" w:cs="Arial"/>
          <w:b/>
          <w:sz w:val="22"/>
          <w:szCs w:val="22"/>
        </w:rPr>
      </w:pPr>
      <w:r w:rsidRPr="00616A08">
        <w:rPr>
          <w:rFonts w:ascii="Arial" w:hAnsi="Arial" w:cs="Arial"/>
          <w:b/>
          <w:sz w:val="22"/>
          <w:szCs w:val="22"/>
        </w:rPr>
        <w:t>Sous- s</w:t>
      </w:r>
      <w:r w:rsidR="0009406D" w:rsidRPr="00616A08">
        <w:rPr>
          <w:rFonts w:ascii="Arial" w:hAnsi="Arial" w:cs="Arial"/>
          <w:b/>
          <w:sz w:val="22"/>
          <w:szCs w:val="22"/>
        </w:rPr>
        <w:t xml:space="preserve">ection I : Conditions d’agrément </w:t>
      </w:r>
    </w:p>
    <w:p w14:paraId="474737AB" w14:textId="77777777" w:rsidR="0009406D" w:rsidRPr="00A03048" w:rsidRDefault="0009406D" w:rsidP="0009406D">
      <w:pPr>
        <w:pStyle w:val="NormalWeb"/>
        <w:spacing w:before="0" w:beforeAutospacing="0" w:after="0" w:afterAutospacing="0"/>
        <w:contextualSpacing/>
        <w:jc w:val="both"/>
        <w:rPr>
          <w:rFonts w:ascii="Arial" w:hAnsi="Arial" w:cs="Arial"/>
          <w:b/>
          <w:i/>
          <w:sz w:val="22"/>
          <w:szCs w:val="22"/>
        </w:rPr>
      </w:pPr>
    </w:p>
    <w:p w14:paraId="122F6F1E" w14:textId="5FAB9AB2" w:rsidR="0009406D" w:rsidRPr="00624D66" w:rsidRDefault="0009406D" w:rsidP="0009406D">
      <w:pPr>
        <w:pStyle w:val="NormalWeb"/>
        <w:spacing w:before="0" w:beforeAutospacing="0" w:after="0" w:afterAutospacing="0"/>
        <w:contextualSpacing/>
        <w:jc w:val="both"/>
        <w:rPr>
          <w:rFonts w:ascii="Arial" w:hAnsi="Arial" w:cs="Arial"/>
          <w:b/>
          <w:sz w:val="22"/>
          <w:szCs w:val="22"/>
        </w:rPr>
      </w:pPr>
      <w:r w:rsidRPr="00624D66">
        <w:rPr>
          <w:rFonts w:ascii="Arial" w:hAnsi="Arial" w:cs="Arial"/>
          <w:b/>
          <w:sz w:val="22"/>
          <w:szCs w:val="22"/>
        </w:rPr>
        <w:t xml:space="preserve">Article </w:t>
      </w:r>
      <w:r w:rsidR="00F06708" w:rsidRPr="00624D66">
        <w:rPr>
          <w:rFonts w:ascii="Arial" w:hAnsi="Arial" w:cs="Arial"/>
          <w:b/>
          <w:sz w:val="22"/>
          <w:szCs w:val="22"/>
        </w:rPr>
        <w:t>6</w:t>
      </w:r>
      <w:r w:rsidR="00624D66" w:rsidRPr="00624D66">
        <w:rPr>
          <w:rFonts w:ascii="Arial" w:hAnsi="Arial" w:cs="Arial"/>
          <w:b/>
          <w:sz w:val="22"/>
          <w:szCs w:val="22"/>
        </w:rPr>
        <w:t>25.-</w:t>
      </w:r>
    </w:p>
    <w:p w14:paraId="40C69D20" w14:textId="77777777" w:rsidR="0009406D" w:rsidRPr="00624D66" w:rsidRDefault="0009406D" w:rsidP="0009406D">
      <w:pPr>
        <w:pStyle w:val="NormalWeb"/>
        <w:spacing w:before="0" w:beforeAutospacing="0" w:after="0" w:afterAutospacing="0"/>
        <w:contextualSpacing/>
        <w:jc w:val="both"/>
        <w:rPr>
          <w:rFonts w:ascii="Arial" w:hAnsi="Arial" w:cs="Arial"/>
          <w:sz w:val="22"/>
          <w:szCs w:val="22"/>
        </w:rPr>
      </w:pPr>
      <w:r w:rsidRPr="00624D66">
        <w:rPr>
          <w:rFonts w:ascii="Arial" w:hAnsi="Arial" w:cs="Arial"/>
          <w:bCs/>
          <w:sz w:val="22"/>
          <w:szCs w:val="22"/>
        </w:rPr>
        <w:t xml:space="preserve">Pour pouvoir exercer, sur le marché financier régional, l’activité de notation visée aux articles 241 et suivants du </w:t>
      </w:r>
      <w:r w:rsidRPr="00624D66">
        <w:rPr>
          <w:rFonts w:ascii="Arial" w:hAnsi="Arial" w:cs="Arial"/>
          <w:sz w:val="22"/>
          <w:szCs w:val="22"/>
        </w:rPr>
        <w:t>Règlement n°01/22/CEMAC/UMAC/CM/COSUMAF du 21 juillet 2022, l’organisme requérant doit notamment disposer :</w:t>
      </w:r>
    </w:p>
    <w:p w14:paraId="1E86BC8E" w14:textId="77777777" w:rsidR="0009406D" w:rsidRPr="00624D66" w:rsidRDefault="0009406D" w:rsidP="0009406D">
      <w:pPr>
        <w:pStyle w:val="NormalWeb"/>
        <w:spacing w:before="0" w:beforeAutospacing="0" w:after="0" w:afterAutospacing="0"/>
        <w:contextualSpacing/>
        <w:jc w:val="both"/>
        <w:rPr>
          <w:rFonts w:ascii="Arial" w:hAnsi="Arial" w:cs="Arial"/>
          <w:sz w:val="22"/>
          <w:szCs w:val="22"/>
        </w:rPr>
      </w:pPr>
    </w:p>
    <w:p w14:paraId="31FC4497" w14:textId="77777777" w:rsidR="0009406D" w:rsidRPr="00624D66" w:rsidRDefault="0009406D" w:rsidP="0009406D">
      <w:pPr>
        <w:pStyle w:val="Paragraphedeliste"/>
        <w:numPr>
          <w:ilvl w:val="0"/>
          <w:numId w:val="31"/>
        </w:numPr>
        <w:rPr>
          <w:sz w:val="22"/>
          <w:szCs w:val="22"/>
        </w:rPr>
      </w:pPr>
      <w:r w:rsidRPr="00624D66">
        <w:rPr>
          <w:sz w:val="22"/>
          <w:szCs w:val="22"/>
        </w:rPr>
        <w:t>d’un siège social dans un Etat membre de la CEMAC ;</w:t>
      </w:r>
    </w:p>
    <w:p w14:paraId="35E026C1" w14:textId="0FDC2322" w:rsidR="0009406D" w:rsidRPr="00624D66" w:rsidRDefault="0009406D" w:rsidP="0009406D">
      <w:pPr>
        <w:pStyle w:val="NormalWeb"/>
        <w:numPr>
          <w:ilvl w:val="0"/>
          <w:numId w:val="31"/>
        </w:numPr>
        <w:spacing w:before="0" w:beforeAutospacing="0" w:after="0" w:afterAutospacing="0"/>
        <w:contextualSpacing/>
        <w:jc w:val="both"/>
        <w:rPr>
          <w:rFonts w:ascii="Arial" w:hAnsi="Arial" w:cs="Arial"/>
          <w:sz w:val="22"/>
          <w:szCs w:val="22"/>
        </w:rPr>
      </w:pPr>
      <w:r w:rsidRPr="00624D66">
        <w:rPr>
          <w:rFonts w:ascii="Arial" w:hAnsi="Arial" w:cs="Arial"/>
          <w:sz w:val="22"/>
          <w:szCs w:val="22"/>
        </w:rPr>
        <w:t>D’un dispositif de contrôle interne adéquat ;</w:t>
      </w:r>
    </w:p>
    <w:p w14:paraId="733B820B" w14:textId="77777777" w:rsidR="0009406D" w:rsidRPr="00624D66" w:rsidRDefault="0009406D" w:rsidP="0009406D">
      <w:pPr>
        <w:pStyle w:val="NormalWeb"/>
        <w:numPr>
          <w:ilvl w:val="0"/>
          <w:numId w:val="31"/>
        </w:numPr>
        <w:spacing w:before="0" w:beforeAutospacing="0" w:after="0" w:afterAutospacing="0"/>
        <w:contextualSpacing/>
        <w:jc w:val="both"/>
        <w:rPr>
          <w:rFonts w:ascii="Arial" w:hAnsi="Arial" w:cs="Arial"/>
          <w:sz w:val="22"/>
          <w:szCs w:val="22"/>
        </w:rPr>
      </w:pPr>
      <w:r w:rsidRPr="00624D66">
        <w:rPr>
          <w:rFonts w:ascii="Arial" w:hAnsi="Arial" w:cs="Arial"/>
          <w:sz w:val="22"/>
          <w:szCs w:val="22"/>
        </w:rPr>
        <w:t>D’un dispositif de lutte contre le blanchiment de capitaux et le financement du terrorisme.</w:t>
      </w:r>
    </w:p>
    <w:p w14:paraId="4CF8C839" w14:textId="77777777" w:rsidR="0009406D" w:rsidRPr="00624D66" w:rsidRDefault="0009406D" w:rsidP="0009406D">
      <w:pPr>
        <w:pStyle w:val="NormalWeb"/>
        <w:spacing w:before="0" w:beforeAutospacing="0" w:after="0" w:afterAutospacing="0"/>
        <w:contextualSpacing/>
        <w:jc w:val="both"/>
        <w:rPr>
          <w:rFonts w:ascii="Arial" w:hAnsi="Arial" w:cs="Arial"/>
          <w:b/>
          <w:i/>
          <w:sz w:val="22"/>
          <w:szCs w:val="22"/>
        </w:rPr>
      </w:pPr>
    </w:p>
    <w:p w14:paraId="7F25FFA8" w14:textId="26B2FB47" w:rsidR="0009406D" w:rsidRPr="00616A08" w:rsidRDefault="0009406D" w:rsidP="0009406D">
      <w:pPr>
        <w:pStyle w:val="NormalWeb"/>
        <w:spacing w:before="0" w:beforeAutospacing="0" w:after="0" w:afterAutospacing="0"/>
        <w:contextualSpacing/>
        <w:jc w:val="both"/>
        <w:rPr>
          <w:rFonts w:ascii="Arial" w:hAnsi="Arial" w:cs="Arial"/>
          <w:b/>
          <w:sz w:val="22"/>
          <w:szCs w:val="22"/>
        </w:rPr>
      </w:pPr>
      <w:r w:rsidRPr="00616A08">
        <w:rPr>
          <w:rFonts w:ascii="Arial" w:hAnsi="Arial" w:cs="Arial"/>
          <w:b/>
          <w:sz w:val="22"/>
          <w:szCs w:val="22"/>
        </w:rPr>
        <w:t xml:space="preserve">Article </w:t>
      </w:r>
      <w:r w:rsidR="00F06708" w:rsidRPr="00616A08">
        <w:rPr>
          <w:rFonts w:ascii="Arial" w:hAnsi="Arial" w:cs="Arial"/>
          <w:b/>
          <w:sz w:val="22"/>
          <w:szCs w:val="22"/>
        </w:rPr>
        <w:t>626</w:t>
      </w:r>
      <w:r w:rsidR="00616A08">
        <w:rPr>
          <w:rFonts w:ascii="Arial" w:hAnsi="Arial" w:cs="Arial"/>
          <w:b/>
          <w:sz w:val="22"/>
          <w:szCs w:val="22"/>
        </w:rPr>
        <w:t>.-</w:t>
      </w:r>
    </w:p>
    <w:p w14:paraId="6FCDBEC6" w14:textId="14149652"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En vue de leur agrément, les organismes de notation doivent constituer un dossier comprenant des documents et informations relatifs à leur organisation, leur programme d’activité, aux dirigeants et aux personnes assurant le contrôle effectif de la structure</w:t>
      </w:r>
      <w:r w:rsidR="00044F8F" w:rsidRPr="00624D66">
        <w:rPr>
          <w:rFonts w:ascii="Arial" w:hAnsi="Arial" w:cs="Arial"/>
          <w:bCs/>
          <w:sz w:val="22"/>
          <w:szCs w:val="22"/>
        </w:rPr>
        <w:t xml:space="preserve"> et </w:t>
      </w:r>
      <w:r w:rsidRPr="00624D66">
        <w:rPr>
          <w:rFonts w:ascii="Arial" w:hAnsi="Arial" w:cs="Arial"/>
          <w:bCs/>
          <w:sz w:val="22"/>
          <w:szCs w:val="22"/>
        </w:rPr>
        <w:t>à l</w:t>
      </w:r>
      <w:r w:rsidR="00044F8F" w:rsidRPr="00624D66">
        <w:rPr>
          <w:rFonts w:ascii="Arial" w:hAnsi="Arial" w:cs="Arial"/>
          <w:bCs/>
          <w:sz w:val="22"/>
          <w:szCs w:val="22"/>
        </w:rPr>
        <w:t xml:space="preserve">eur </w:t>
      </w:r>
      <w:r w:rsidRPr="00624D66">
        <w:rPr>
          <w:rFonts w:ascii="Arial" w:hAnsi="Arial" w:cs="Arial"/>
          <w:bCs/>
          <w:sz w:val="22"/>
          <w:szCs w:val="22"/>
        </w:rPr>
        <w:t xml:space="preserve"> situation </w:t>
      </w:r>
      <w:r w:rsidR="00044F8F" w:rsidRPr="00624D66">
        <w:rPr>
          <w:rFonts w:ascii="Arial" w:hAnsi="Arial" w:cs="Arial"/>
          <w:bCs/>
          <w:sz w:val="22"/>
          <w:szCs w:val="22"/>
        </w:rPr>
        <w:t>financière</w:t>
      </w:r>
      <w:r w:rsidRPr="00624D66">
        <w:rPr>
          <w:rFonts w:ascii="Arial" w:hAnsi="Arial" w:cs="Arial"/>
          <w:bCs/>
          <w:sz w:val="22"/>
          <w:szCs w:val="22"/>
        </w:rPr>
        <w:t>.</w:t>
      </w:r>
    </w:p>
    <w:p w14:paraId="431C9DC0"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p>
    <w:p w14:paraId="3BDCB747"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p>
    <w:p w14:paraId="1D6FE12F" w14:textId="7719FDBC" w:rsidR="0009406D" w:rsidRPr="00624D66" w:rsidRDefault="0009406D" w:rsidP="0009406D">
      <w:pPr>
        <w:pStyle w:val="NormalWeb"/>
        <w:spacing w:before="0" w:beforeAutospacing="0" w:after="0" w:afterAutospacing="0"/>
        <w:contextualSpacing/>
        <w:jc w:val="both"/>
        <w:rPr>
          <w:rFonts w:ascii="Arial" w:hAnsi="Arial" w:cs="Arial"/>
          <w:b/>
          <w:bCs/>
          <w:sz w:val="22"/>
          <w:szCs w:val="22"/>
        </w:rPr>
      </w:pPr>
      <w:r w:rsidRPr="00624D66">
        <w:rPr>
          <w:rFonts w:ascii="Arial" w:hAnsi="Arial" w:cs="Arial"/>
          <w:b/>
          <w:bCs/>
          <w:sz w:val="22"/>
          <w:szCs w:val="22"/>
        </w:rPr>
        <w:t xml:space="preserve">Article </w:t>
      </w:r>
      <w:r w:rsidR="00616A08">
        <w:rPr>
          <w:rFonts w:ascii="Arial" w:hAnsi="Arial" w:cs="Arial"/>
          <w:b/>
          <w:bCs/>
          <w:sz w:val="22"/>
          <w:szCs w:val="22"/>
        </w:rPr>
        <w:t>627.-</w:t>
      </w:r>
    </w:p>
    <w:p w14:paraId="681E7900" w14:textId="08B21C1D"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Le dossier d’agrément doit notamment comporter les éléments et informations suivants :</w:t>
      </w:r>
    </w:p>
    <w:p w14:paraId="7414E64A"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p>
    <w:p w14:paraId="60D3974C" w14:textId="2E00A2F9" w:rsidR="0009406D" w:rsidRPr="00624D66" w:rsidRDefault="0009406D" w:rsidP="0009406D">
      <w:pPr>
        <w:pStyle w:val="NormalWeb"/>
        <w:numPr>
          <w:ilvl w:val="0"/>
          <w:numId w:val="31"/>
        </w:numPr>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Nom complet de l’organisme de notation et adresse de son siège  dans la zone CEMAC ;</w:t>
      </w:r>
    </w:p>
    <w:p w14:paraId="30602689"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73B32D22"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-Nom et coordonnées de son représentant légal ;</w:t>
      </w:r>
    </w:p>
    <w:p w14:paraId="3BD7699D"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51FB740A"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-Forme juridique et structure de gestion ;</w:t>
      </w:r>
    </w:p>
    <w:p w14:paraId="369F92D4"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22D097C6" w14:textId="6978E37A"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-Classes de notations  pour lesquelles l’organisme de notation demande l’agrément ;</w:t>
      </w:r>
    </w:p>
    <w:p w14:paraId="375B48B8"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440180C0"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_Description des méthodes et procédures appliquées pour émettre des notations ;</w:t>
      </w:r>
    </w:p>
    <w:p w14:paraId="08B531A7"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2A3E765D"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-Politiques et procédures appliquées pour identifier et gérer les conflits d’intérêts ;</w:t>
      </w:r>
    </w:p>
    <w:p w14:paraId="394F8515"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3AB1526B"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-Informations relatives aux salariés de l’organisme de notation ;</w:t>
      </w:r>
    </w:p>
    <w:p w14:paraId="3FB399E7"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6824143F"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-Régime de rémunération de l’organisme de notation ;</w:t>
      </w:r>
    </w:p>
    <w:p w14:paraId="4B29B337"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19CD2843"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-Services auxiliaires ;</w:t>
      </w:r>
    </w:p>
    <w:p w14:paraId="6E8E5FAA"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66F8E7FA" w14:textId="023FDC70"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r w:rsidRPr="00624D66">
        <w:rPr>
          <w:rFonts w:ascii="Arial" w:hAnsi="Arial" w:cs="Arial"/>
          <w:bCs/>
          <w:sz w:val="22"/>
          <w:szCs w:val="22"/>
        </w:rPr>
        <w:t>-Programme d’activités avec indication du lieu où l’organisme de notation prévoi</w:t>
      </w:r>
      <w:r w:rsidR="00044F8F" w:rsidRPr="00624D66">
        <w:rPr>
          <w:rFonts w:ascii="Arial" w:hAnsi="Arial" w:cs="Arial"/>
          <w:bCs/>
          <w:sz w:val="22"/>
          <w:szCs w:val="22"/>
        </w:rPr>
        <w:t xml:space="preserve">t </w:t>
      </w:r>
      <w:r w:rsidRPr="00624D66">
        <w:rPr>
          <w:rFonts w:ascii="Arial" w:hAnsi="Arial" w:cs="Arial"/>
          <w:bCs/>
          <w:sz w:val="22"/>
          <w:szCs w:val="22"/>
        </w:rPr>
        <w:t xml:space="preserve"> d’exercer l’essentiel de ses activités professionnelles.</w:t>
      </w:r>
    </w:p>
    <w:p w14:paraId="75E85F52"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6E9DD681"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Un groupe ou un consortium d’organismes de notation peut soumettre une demande commune. Dans ce cas, les membres du groupe ou du consortium donnent mandat à l’organisme dont le siège est établi dans la zone CEMAC en vue de soumettre la demande au nom du groupe ou du consortium.</w:t>
      </w:r>
    </w:p>
    <w:p w14:paraId="383B0DAC" w14:textId="77777777" w:rsidR="0009406D" w:rsidRPr="00624D66" w:rsidRDefault="0009406D" w:rsidP="0009406D">
      <w:pPr>
        <w:pStyle w:val="NormalWeb"/>
        <w:spacing w:before="0" w:beforeAutospacing="0" w:after="0" w:afterAutospacing="0"/>
        <w:ind w:left="720"/>
        <w:contextualSpacing/>
        <w:jc w:val="both"/>
        <w:rPr>
          <w:rFonts w:ascii="Arial" w:hAnsi="Arial" w:cs="Arial"/>
          <w:bCs/>
          <w:sz w:val="22"/>
          <w:szCs w:val="22"/>
        </w:rPr>
      </w:pPr>
    </w:p>
    <w:p w14:paraId="4C884E3C"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L’organisme de notation mandaté fournit les pièces et informations requises pour chaque membre du groupe ou du consortium.</w:t>
      </w:r>
    </w:p>
    <w:p w14:paraId="242E29F7"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highlight w:val="yellow"/>
        </w:rPr>
      </w:pPr>
    </w:p>
    <w:p w14:paraId="1A0CBE3A"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r w:rsidRPr="00624D66">
        <w:rPr>
          <w:rFonts w:ascii="Arial" w:hAnsi="Arial" w:cs="Arial"/>
          <w:bCs/>
          <w:sz w:val="22"/>
          <w:szCs w:val="22"/>
        </w:rPr>
        <w:t>Une instruction de la COSUMAF précise le contenu et les modalités de dépôt du dossier visé au présent article.</w:t>
      </w:r>
    </w:p>
    <w:p w14:paraId="75EA7435" w14:textId="77777777" w:rsidR="0009406D" w:rsidRPr="00624D66" w:rsidRDefault="0009406D" w:rsidP="0009406D">
      <w:pPr>
        <w:pStyle w:val="NormalWeb"/>
        <w:spacing w:before="0" w:beforeAutospacing="0" w:after="0" w:afterAutospacing="0"/>
        <w:contextualSpacing/>
        <w:jc w:val="both"/>
        <w:rPr>
          <w:rFonts w:ascii="Arial" w:hAnsi="Arial" w:cs="Arial"/>
          <w:bCs/>
          <w:sz w:val="22"/>
          <w:szCs w:val="22"/>
        </w:rPr>
      </w:pPr>
    </w:p>
    <w:p w14:paraId="3E791DD9" w14:textId="08CB43E9" w:rsidR="0009406D" w:rsidRPr="00624D66" w:rsidRDefault="0009406D" w:rsidP="0009406D">
      <w:pPr>
        <w:pStyle w:val="NormalWeb"/>
        <w:spacing w:before="0" w:beforeAutospacing="0" w:after="0" w:afterAutospacing="0"/>
        <w:contextualSpacing/>
        <w:jc w:val="both"/>
        <w:rPr>
          <w:rFonts w:ascii="Arial" w:hAnsi="Arial" w:cs="Arial"/>
          <w:b/>
          <w:sz w:val="22"/>
          <w:szCs w:val="22"/>
        </w:rPr>
      </w:pPr>
      <w:r w:rsidRPr="00624D66">
        <w:rPr>
          <w:rFonts w:ascii="Arial" w:hAnsi="Arial" w:cs="Arial"/>
          <w:b/>
          <w:sz w:val="22"/>
          <w:szCs w:val="22"/>
        </w:rPr>
        <w:t xml:space="preserve">Article </w:t>
      </w:r>
      <w:r w:rsidR="00616A08">
        <w:rPr>
          <w:rFonts w:ascii="Arial" w:hAnsi="Arial" w:cs="Arial"/>
          <w:b/>
          <w:sz w:val="22"/>
          <w:szCs w:val="22"/>
        </w:rPr>
        <w:t>628.-</w:t>
      </w:r>
    </w:p>
    <w:p w14:paraId="32668F7D" w14:textId="4F1B7AFD" w:rsidR="0009406D" w:rsidRDefault="0009406D" w:rsidP="0009406D">
      <w:pPr>
        <w:pStyle w:val="NormalWeb"/>
        <w:spacing w:before="0" w:beforeAutospacing="0" w:after="0" w:afterAutospacing="0"/>
        <w:contextualSpacing/>
        <w:jc w:val="both"/>
        <w:rPr>
          <w:rFonts w:ascii="Arial" w:hAnsi="Arial" w:cs="Arial"/>
          <w:sz w:val="22"/>
          <w:szCs w:val="22"/>
        </w:rPr>
      </w:pPr>
      <w:r w:rsidRPr="00624D66">
        <w:rPr>
          <w:rFonts w:ascii="Arial" w:hAnsi="Arial" w:cs="Arial"/>
          <w:bCs/>
          <w:sz w:val="22"/>
          <w:szCs w:val="22"/>
        </w:rPr>
        <w:t>A l’occasion de l’agrément des organismes de notation, la COSUMAF perçoit une commission dont le montant est fixé dans une instruction.</w:t>
      </w:r>
    </w:p>
    <w:p w14:paraId="6C4A1B24" w14:textId="77777777" w:rsidR="0041442A" w:rsidRDefault="0041442A" w:rsidP="0009406D">
      <w:pPr>
        <w:pStyle w:val="NormalWeb"/>
        <w:spacing w:before="0" w:beforeAutospacing="0" w:after="0" w:afterAutospacing="0"/>
        <w:contextualSpacing/>
        <w:jc w:val="both"/>
        <w:rPr>
          <w:rFonts w:ascii="Arial" w:hAnsi="Arial" w:cs="Arial"/>
          <w:sz w:val="22"/>
          <w:szCs w:val="22"/>
        </w:rPr>
      </w:pPr>
    </w:p>
    <w:p w14:paraId="72002F1C" w14:textId="77777777" w:rsidR="0041442A" w:rsidRDefault="0041442A" w:rsidP="0009406D">
      <w:pPr>
        <w:pStyle w:val="NormalWeb"/>
        <w:spacing w:before="0" w:beforeAutospacing="0" w:after="0" w:afterAutospacing="0"/>
        <w:contextualSpacing/>
        <w:jc w:val="both"/>
        <w:rPr>
          <w:rFonts w:ascii="Arial" w:hAnsi="Arial" w:cs="Arial"/>
          <w:sz w:val="22"/>
          <w:szCs w:val="22"/>
        </w:rPr>
      </w:pPr>
    </w:p>
    <w:p w14:paraId="0C1C28E8" w14:textId="77777777" w:rsidR="0041442A" w:rsidRPr="0041442A" w:rsidRDefault="0041442A" w:rsidP="0009406D">
      <w:pPr>
        <w:pStyle w:val="NormalWeb"/>
        <w:spacing w:before="0" w:beforeAutospacing="0" w:after="0" w:afterAutospacing="0"/>
        <w:contextualSpacing/>
        <w:jc w:val="both"/>
        <w:rPr>
          <w:rFonts w:ascii="Arial" w:hAnsi="Arial" w:cs="Arial"/>
          <w:sz w:val="22"/>
          <w:szCs w:val="22"/>
        </w:rPr>
      </w:pPr>
    </w:p>
    <w:p w14:paraId="239B6FC0" w14:textId="77777777" w:rsidR="0009406D" w:rsidRPr="00A03048" w:rsidRDefault="0009406D" w:rsidP="0009406D">
      <w:pPr>
        <w:pStyle w:val="NormalWeb"/>
        <w:spacing w:before="0" w:beforeAutospacing="0" w:after="0" w:afterAutospacing="0"/>
        <w:contextualSpacing/>
        <w:jc w:val="both"/>
        <w:rPr>
          <w:rFonts w:ascii="Arial" w:hAnsi="Arial" w:cs="Arial"/>
          <w:b/>
          <w:i/>
          <w:sz w:val="22"/>
          <w:szCs w:val="22"/>
        </w:rPr>
      </w:pPr>
    </w:p>
    <w:p w14:paraId="1D1ADB37" w14:textId="77777777" w:rsidR="0009406D" w:rsidRPr="002624CB" w:rsidRDefault="0009406D" w:rsidP="0009406D">
      <w:pPr>
        <w:pStyle w:val="NormalWeb"/>
        <w:spacing w:before="0" w:beforeAutospacing="0" w:after="0" w:afterAutospacing="0"/>
        <w:contextualSpacing/>
        <w:jc w:val="both"/>
        <w:rPr>
          <w:rFonts w:ascii="Arial" w:hAnsi="Arial" w:cs="Arial"/>
          <w:b/>
          <w:i/>
          <w:sz w:val="22"/>
          <w:szCs w:val="22"/>
        </w:rPr>
      </w:pPr>
      <w:r w:rsidRPr="002624CB">
        <w:rPr>
          <w:rFonts w:ascii="Arial" w:hAnsi="Arial" w:cs="Arial"/>
          <w:b/>
          <w:i/>
          <w:sz w:val="22"/>
          <w:szCs w:val="22"/>
        </w:rPr>
        <w:t xml:space="preserve">Sous-Section II : Procédure d’agrément </w:t>
      </w:r>
    </w:p>
    <w:p w14:paraId="2A5884E1" w14:textId="77777777" w:rsidR="0009406D" w:rsidRPr="002624CB" w:rsidRDefault="0009406D" w:rsidP="0009406D">
      <w:pPr>
        <w:jc w:val="both"/>
        <w:rPr>
          <w:rFonts w:ascii="Arial" w:hAnsi="Arial" w:cs="Arial"/>
          <w:b/>
          <w:bCs/>
          <w:sz w:val="22"/>
          <w:szCs w:val="22"/>
        </w:rPr>
      </w:pPr>
    </w:p>
    <w:p w14:paraId="20EE728C" w14:textId="3E344938" w:rsidR="0009406D" w:rsidRPr="002624CB" w:rsidRDefault="0009406D" w:rsidP="0009406D">
      <w:pPr>
        <w:jc w:val="both"/>
        <w:rPr>
          <w:rFonts w:ascii="Arial" w:hAnsi="Arial" w:cs="Arial"/>
          <w:b/>
          <w:sz w:val="22"/>
          <w:szCs w:val="22"/>
        </w:rPr>
      </w:pPr>
      <w:r w:rsidRPr="002624CB">
        <w:rPr>
          <w:rFonts w:ascii="Arial" w:hAnsi="Arial" w:cs="Arial"/>
          <w:b/>
          <w:sz w:val="22"/>
          <w:szCs w:val="22"/>
        </w:rPr>
        <w:t xml:space="preserve">Article </w:t>
      </w:r>
      <w:r w:rsidR="005F4E92" w:rsidRPr="002624CB">
        <w:rPr>
          <w:rFonts w:ascii="Arial" w:hAnsi="Arial" w:cs="Arial"/>
          <w:b/>
          <w:sz w:val="22"/>
          <w:szCs w:val="22"/>
        </w:rPr>
        <w:t>629</w:t>
      </w:r>
      <w:r w:rsidR="002624CB">
        <w:rPr>
          <w:rFonts w:ascii="Arial" w:hAnsi="Arial" w:cs="Arial"/>
          <w:b/>
          <w:sz w:val="22"/>
          <w:szCs w:val="22"/>
        </w:rPr>
        <w:t>.-</w:t>
      </w:r>
      <w:r w:rsidR="005F4E92" w:rsidRPr="002624CB">
        <w:rPr>
          <w:rFonts w:ascii="Arial" w:hAnsi="Arial" w:cs="Arial"/>
          <w:b/>
          <w:sz w:val="22"/>
          <w:szCs w:val="22"/>
        </w:rPr>
        <w:t xml:space="preserve"> </w:t>
      </w:r>
    </w:p>
    <w:p w14:paraId="76AD3149" w14:textId="3A3E5D59" w:rsidR="0009406D" w:rsidRPr="002624CB" w:rsidRDefault="0009406D" w:rsidP="0009406D">
      <w:pPr>
        <w:jc w:val="both"/>
        <w:rPr>
          <w:rFonts w:ascii="Arial" w:hAnsi="Arial" w:cs="Arial"/>
          <w:sz w:val="22"/>
          <w:szCs w:val="22"/>
        </w:rPr>
      </w:pPr>
      <w:r w:rsidRPr="002624CB">
        <w:rPr>
          <w:rFonts w:ascii="Arial" w:hAnsi="Arial" w:cs="Arial"/>
          <w:sz w:val="22"/>
          <w:szCs w:val="22"/>
        </w:rPr>
        <w:t xml:space="preserve">Tout organisme désirant être agréé en qualité d’organisme de notation adresse à la COSUMAF une demande écrite accompagnée du dossier visé à l’article </w:t>
      </w:r>
      <w:r w:rsidR="005F4E92" w:rsidRPr="002624CB">
        <w:rPr>
          <w:rFonts w:ascii="Arial" w:hAnsi="Arial" w:cs="Arial"/>
          <w:sz w:val="22"/>
          <w:szCs w:val="22"/>
        </w:rPr>
        <w:t xml:space="preserve">627 </w:t>
      </w:r>
      <w:r w:rsidRPr="002624CB">
        <w:rPr>
          <w:rFonts w:ascii="Arial" w:hAnsi="Arial" w:cs="Arial"/>
          <w:sz w:val="22"/>
          <w:szCs w:val="22"/>
        </w:rPr>
        <w:t xml:space="preserve"> du présent règlement général.</w:t>
      </w:r>
    </w:p>
    <w:p w14:paraId="6D48A1D9" w14:textId="77777777" w:rsidR="0009406D" w:rsidRPr="002624CB" w:rsidRDefault="0009406D" w:rsidP="0009406D">
      <w:pPr>
        <w:jc w:val="both"/>
        <w:rPr>
          <w:rFonts w:ascii="Arial" w:hAnsi="Arial" w:cs="Arial"/>
          <w:sz w:val="22"/>
          <w:szCs w:val="22"/>
        </w:rPr>
      </w:pPr>
    </w:p>
    <w:p w14:paraId="1675E411" w14:textId="77777777" w:rsidR="0009406D" w:rsidRPr="002624CB" w:rsidRDefault="0009406D" w:rsidP="0009406D">
      <w:pPr>
        <w:jc w:val="both"/>
        <w:rPr>
          <w:rFonts w:ascii="Arial" w:hAnsi="Arial" w:cs="Arial"/>
          <w:sz w:val="22"/>
          <w:szCs w:val="22"/>
        </w:rPr>
      </w:pPr>
    </w:p>
    <w:p w14:paraId="43BB18BF" w14:textId="76E9B29F" w:rsidR="0009406D" w:rsidRPr="002624CB" w:rsidRDefault="0009406D" w:rsidP="0009406D">
      <w:pPr>
        <w:jc w:val="both"/>
        <w:rPr>
          <w:rFonts w:ascii="Arial" w:hAnsi="Arial" w:cs="Arial"/>
          <w:b/>
          <w:sz w:val="22"/>
          <w:szCs w:val="22"/>
        </w:rPr>
      </w:pPr>
      <w:r w:rsidRPr="002624CB">
        <w:rPr>
          <w:rFonts w:ascii="Arial" w:hAnsi="Arial" w:cs="Arial"/>
          <w:b/>
          <w:sz w:val="22"/>
          <w:szCs w:val="22"/>
        </w:rPr>
        <w:t xml:space="preserve">Article </w:t>
      </w:r>
      <w:r w:rsidR="005F4E92" w:rsidRPr="002624CB">
        <w:rPr>
          <w:rFonts w:ascii="Arial" w:hAnsi="Arial" w:cs="Arial"/>
          <w:b/>
          <w:sz w:val="22"/>
          <w:szCs w:val="22"/>
        </w:rPr>
        <w:t>630</w:t>
      </w:r>
      <w:r w:rsidR="002624CB">
        <w:rPr>
          <w:rFonts w:ascii="Arial" w:hAnsi="Arial" w:cs="Arial"/>
          <w:b/>
          <w:sz w:val="22"/>
          <w:szCs w:val="22"/>
        </w:rPr>
        <w:t>.-</w:t>
      </w:r>
      <w:r w:rsidR="005F4E92" w:rsidRPr="002624CB">
        <w:rPr>
          <w:rFonts w:ascii="Arial" w:hAnsi="Arial" w:cs="Arial"/>
          <w:b/>
          <w:sz w:val="22"/>
          <w:szCs w:val="22"/>
        </w:rPr>
        <w:t xml:space="preserve"> </w:t>
      </w:r>
    </w:p>
    <w:p w14:paraId="7BB1368B" w14:textId="77777777" w:rsidR="0009406D" w:rsidRPr="002624CB" w:rsidRDefault="0009406D" w:rsidP="0009406D">
      <w:pPr>
        <w:jc w:val="both"/>
        <w:rPr>
          <w:rFonts w:ascii="Arial" w:hAnsi="Arial" w:cs="Arial"/>
          <w:sz w:val="22"/>
          <w:szCs w:val="22"/>
        </w:rPr>
      </w:pPr>
      <w:r w:rsidRPr="002624CB">
        <w:rPr>
          <w:rFonts w:ascii="Arial" w:hAnsi="Arial" w:cs="Arial"/>
          <w:sz w:val="22"/>
          <w:szCs w:val="22"/>
        </w:rPr>
        <w:t xml:space="preserve">La COSUMAF instruit la demande dans un délai de soixante de  (60) jours à compter de la réception du dossier complet. </w:t>
      </w:r>
    </w:p>
    <w:p w14:paraId="5886668F" w14:textId="77777777" w:rsidR="0009406D" w:rsidRPr="002624CB" w:rsidRDefault="0009406D" w:rsidP="0009406D">
      <w:pPr>
        <w:jc w:val="both"/>
        <w:rPr>
          <w:rFonts w:ascii="Arial" w:hAnsi="Arial" w:cs="Arial"/>
          <w:sz w:val="22"/>
          <w:szCs w:val="22"/>
        </w:rPr>
      </w:pPr>
    </w:p>
    <w:p w14:paraId="371963BA" w14:textId="77777777" w:rsidR="0009406D" w:rsidRPr="002624CB" w:rsidRDefault="0009406D" w:rsidP="0009406D">
      <w:pPr>
        <w:jc w:val="both"/>
        <w:rPr>
          <w:rFonts w:ascii="Arial" w:hAnsi="Arial" w:cs="Arial"/>
          <w:sz w:val="22"/>
          <w:szCs w:val="22"/>
        </w:rPr>
      </w:pPr>
      <w:r w:rsidRPr="002624CB">
        <w:rPr>
          <w:rFonts w:ascii="Arial" w:hAnsi="Arial" w:cs="Arial"/>
          <w:sz w:val="22"/>
          <w:szCs w:val="22"/>
        </w:rPr>
        <w:t>La décision d’octroi ou de refus d’agrément est notifiée par lettre recommandée et par tout autre moyen précisé par la COSUMAF.</w:t>
      </w:r>
    </w:p>
    <w:p w14:paraId="6413A000" w14:textId="77777777" w:rsidR="0009406D" w:rsidRPr="002624CB" w:rsidRDefault="0009406D" w:rsidP="0009406D">
      <w:pPr>
        <w:jc w:val="both"/>
        <w:rPr>
          <w:rFonts w:ascii="Arial" w:hAnsi="Arial" w:cs="Arial"/>
          <w:sz w:val="22"/>
          <w:szCs w:val="22"/>
        </w:rPr>
      </w:pPr>
    </w:p>
    <w:p w14:paraId="5FEDFA23" w14:textId="7E767053" w:rsidR="0009406D" w:rsidRPr="002624CB" w:rsidRDefault="005F4E92" w:rsidP="0009406D">
      <w:pPr>
        <w:jc w:val="both"/>
        <w:rPr>
          <w:rFonts w:ascii="Arial" w:hAnsi="Arial" w:cs="Arial"/>
          <w:b/>
          <w:sz w:val="22"/>
          <w:szCs w:val="22"/>
        </w:rPr>
      </w:pPr>
      <w:r w:rsidRPr="002624CB">
        <w:rPr>
          <w:rFonts w:ascii="Arial" w:hAnsi="Arial" w:cs="Arial"/>
          <w:b/>
          <w:sz w:val="22"/>
          <w:szCs w:val="22"/>
        </w:rPr>
        <w:t>Article</w:t>
      </w:r>
      <w:r w:rsidR="0009406D" w:rsidRPr="002624CB">
        <w:rPr>
          <w:rFonts w:ascii="Arial" w:hAnsi="Arial" w:cs="Arial"/>
          <w:b/>
          <w:sz w:val="22"/>
          <w:szCs w:val="22"/>
        </w:rPr>
        <w:t xml:space="preserve"> </w:t>
      </w:r>
      <w:r w:rsidRPr="002624CB">
        <w:rPr>
          <w:rFonts w:ascii="Arial" w:hAnsi="Arial" w:cs="Arial"/>
          <w:b/>
          <w:sz w:val="22"/>
          <w:szCs w:val="22"/>
        </w:rPr>
        <w:t>631</w:t>
      </w:r>
      <w:r w:rsidR="002624CB">
        <w:rPr>
          <w:rFonts w:ascii="Arial" w:hAnsi="Arial" w:cs="Arial"/>
          <w:b/>
          <w:sz w:val="22"/>
          <w:szCs w:val="22"/>
        </w:rPr>
        <w:t>.-</w:t>
      </w:r>
      <w:r w:rsidRPr="002624CB">
        <w:rPr>
          <w:rFonts w:ascii="Arial" w:hAnsi="Arial" w:cs="Arial"/>
          <w:b/>
          <w:sz w:val="22"/>
          <w:szCs w:val="22"/>
        </w:rPr>
        <w:t xml:space="preserve"> </w:t>
      </w:r>
    </w:p>
    <w:p w14:paraId="47A1FE43" w14:textId="56C59B05" w:rsidR="0009406D" w:rsidRPr="002624CB" w:rsidRDefault="0009406D" w:rsidP="0009406D">
      <w:pPr>
        <w:jc w:val="both"/>
        <w:rPr>
          <w:rFonts w:ascii="Arial" w:hAnsi="Arial" w:cs="Arial"/>
          <w:sz w:val="22"/>
          <w:szCs w:val="22"/>
        </w:rPr>
      </w:pPr>
      <w:r w:rsidRPr="002624CB">
        <w:rPr>
          <w:rFonts w:ascii="Arial" w:hAnsi="Arial" w:cs="Arial"/>
          <w:sz w:val="22"/>
          <w:szCs w:val="22"/>
        </w:rPr>
        <w:t>La décision d'agrément est individuelle, inaliénable et intransmissible</w:t>
      </w:r>
      <w:r w:rsidR="00241C93" w:rsidRPr="002624CB">
        <w:rPr>
          <w:rFonts w:ascii="Arial" w:hAnsi="Arial" w:cs="Arial"/>
          <w:sz w:val="22"/>
          <w:szCs w:val="22"/>
        </w:rPr>
        <w:t xml:space="preserve">. Elle </w:t>
      </w:r>
      <w:r w:rsidRPr="002624CB">
        <w:rPr>
          <w:rFonts w:ascii="Arial" w:hAnsi="Arial" w:cs="Arial"/>
          <w:sz w:val="22"/>
          <w:szCs w:val="22"/>
        </w:rPr>
        <w:t xml:space="preserve"> précise l'étendue des activités autorisées. </w:t>
      </w:r>
      <w:r w:rsidR="00241C93" w:rsidRPr="002624CB">
        <w:rPr>
          <w:rFonts w:ascii="Arial" w:hAnsi="Arial" w:cs="Arial"/>
          <w:sz w:val="22"/>
          <w:szCs w:val="22"/>
        </w:rPr>
        <w:t xml:space="preserve">Elle </w:t>
      </w:r>
      <w:r w:rsidRPr="002624CB">
        <w:rPr>
          <w:rFonts w:ascii="Arial" w:hAnsi="Arial" w:cs="Arial"/>
          <w:sz w:val="22"/>
          <w:szCs w:val="22"/>
        </w:rPr>
        <w:t xml:space="preserve"> fait l'objet d'un avis publié dans les conditions déterminées par la COSUMAF.</w:t>
      </w:r>
    </w:p>
    <w:p w14:paraId="2CA4193F" w14:textId="77777777" w:rsidR="0009406D" w:rsidRPr="002624CB" w:rsidRDefault="0009406D" w:rsidP="0009406D">
      <w:pPr>
        <w:pStyle w:val="NormalWeb"/>
        <w:spacing w:before="0" w:beforeAutospacing="0" w:after="0" w:afterAutospacing="0"/>
        <w:contextualSpacing/>
        <w:jc w:val="both"/>
        <w:rPr>
          <w:rFonts w:ascii="Arial" w:hAnsi="Arial" w:cs="Arial"/>
          <w:sz w:val="22"/>
          <w:szCs w:val="22"/>
        </w:rPr>
      </w:pPr>
    </w:p>
    <w:p w14:paraId="2E69559D" w14:textId="20C01604" w:rsidR="0009406D" w:rsidRPr="002624CB" w:rsidRDefault="0009406D" w:rsidP="0009406D">
      <w:pPr>
        <w:jc w:val="both"/>
        <w:rPr>
          <w:rFonts w:ascii="Arial" w:hAnsi="Arial" w:cs="Arial"/>
          <w:b/>
          <w:sz w:val="22"/>
          <w:szCs w:val="22"/>
        </w:rPr>
      </w:pPr>
      <w:r w:rsidRPr="002624CB">
        <w:rPr>
          <w:rFonts w:ascii="Arial" w:hAnsi="Arial" w:cs="Arial"/>
          <w:b/>
          <w:sz w:val="22"/>
          <w:szCs w:val="22"/>
        </w:rPr>
        <w:t>A</w:t>
      </w:r>
      <w:r w:rsidR="005F4E92" w:rsidRPr="002624CB">
        <w:rPr>
          <w:rFonts w:ascii="Arial" w:hAnsi="Arial" w:cs="Arial"/>
          <w:b/>
          <w:sz w:val="22"/>
          <w:szCs w:val="22"/>
        </w:rPr>
        <w:t>rticle</w:t>
      </w:r>
      <w:r w:rsidRPr="002624CB">
        <w:rPr>
          <w:rFonts w:ascii="Arial" w:hAnsi="Arial" w:cs="Arial"/>
          <w:b/>
          <w:sz w:val="22"/>
          <w:szCs w:val="22"/>
        </w:rPr>
        <w:t xml:space="preserve"> </w:t>
      </w:r>
      <w:r w:rsidR="005F4E92" w:rsidRPr="002624CB">
        <w:rPr>
          <w:rFonts w:ascii="Arial" w:hAnsi="Arial" w:cs="Arial"/>
          <w:b/>
          <w:sz w:val="22"/>
          <w:szCs w:val="22"/>
        </w:rPr>
        <w:t>632</w:t>
      </w:r>
      <w:r w:rsidR="002624CB">
        <w:rPr>
          <w:rFonts w:ascii="Arial" w:hAnsi="Arial" w:cs="Arial"/>
          <w:b/>
          <w:sz w:val="22"/>
          <w:szCs w:val="22"/>
        </w:rPr>
        <w:t>.-</w:t>
      </w:r>
      <w:r w:rsidR="005F4E92" w:rsidRPr="002624CB">
        <w:rPr>
          <w:rFonts w:ascii="Arial" w:hAnsi="Arial" w:cs="Arial"/>
          <w:b/>
          <w:sz w:val="22"/>
          <w:szCs w:val="22"/>
        </w:rPr>
        <w:t xml:space="preserve"> </w:t>
      </w:r>
    </w:p>
    <w:p w14:paraId="1A0625B4" w14:textId="03C665FB" w:rsidR="0009406D" w:rsidRPr="002624CB" w:rsidRDefault="0009406D" w:rsidP="0009406D">
      <w:pPr>
        <w:jc w:val="both"/>
        <w:rPr>
          <w:rFonts w:ascii="Arial" w:hAnsi="Arial" w:cs="Arial"/>
          <w:sz w:val="22"/>
          <w:szCs w:val="22"/>
        </w:rPr>
      </w:pPr>
      <w:r w:rsidRPr="002624CB">
        <w:rPr>
          <w:rFonts w:ascii="Arial" w:hAnsi="Arial" w:cs="Arial"/>
          <w:sz w:val="22"/>
          <w:szCs w:val="22"/>
        </w:rPr>
        <w:t xml:space="preserve">La COSUMAF peut retirer à tout moment son agrément en cas de violation des dispositions législatives et réglementaires. </w:t>
      </w:r>
    </w:p>
    <w:p w14:paraId="78E130AC" w14:textId="77777777" w:rsidR="0009406D" w:rsidRPr="002624CB" w:rsidRDefault="0009406D" w:rsidP="0009406D">
      <w:pPr>
        <w:jc w:val="both"/>
        <w:rPr>
          <w:rFonts w:ascii="Arial" w:hAnsi="Arial" w:cs="Arial"/>
          <w:sz w:val="22"/>
          <w:szCs w:val="22"/>
        </w:rPr>
      </w:pPr>
      <w:r w:rsidRPr="002624CB">
        <w:rPr>
          <w:rFonts w:ascii="Arial" w:hAnsi="Arial" w:cs="Arial"/>
          <w:sz w:val="22"/>
          <w:szCs w:val="22"/>
        </w:rPr>
        <w:t>L'agrément peut également être retiré à la demande de I ‘entité agréée.</w:t>
      </w:r>
    </w:p>
    <w:p w14:paraId="72151EDB" w14:textId="77777777" w:rsidR="0009406D" w:rsidRPr="002624CB" w:rsidRDefault="0009406D" w:rsidP="0009406D">
      <w:pPr>
        <w:jc w:val="both"/>
        <w:rPr>
          <w:rFonts w:ascii="Arial" w:hAnsi="Arial" w:cs="Arial"/>
          <w:sz w:val="22"/>
          <w:szCs w:val="22"/>
        </w:rPr>
      </w:pPr>
    </w:p>
    <w:p w14:paraId="2F4DB8D0" w14:textId="041966A8" w:rsidR="0009406D" w:rsidRPr="002624CB" w:rsidRDefault="005F4E92" w:rsidP="0009406D">
      <w:pPr>
        <w:jc w:val="both"/>
        <w:rPr>
          <w:rFonts w:ascii="Arial" w:hAnsi="Arial" w:cs="Arial"/>
          <w:b/>
          <w:sz w:val="22"/>
          <w:szCs w:val="22"/>
        </w:rPr>
      </w:pPr>
      <w:r w:rsidRPr="002624CB">
        <w:rPr>
          <w:rFonts w:ascii="Arial" w:hAnsi="Arial" w:cs="Arial"/>
          <w:b/>
          <w:sz w:val="22"/>
          <w:szCs w:val="22"/>
        </w:rPr>
        <w:t>Article</w:t>
      </w:r>
      <w:r w:rsidR="0009406D" w:rsidRPr="002624CB">
        <w:rPr>
          <w:rFonts w:ascii="Arial" w:hAnsi="Arial" w:cs="Arial"/>
          <w:b/>
          <w:sz w:val="22"/>
          <w:szCs w:val="22"/>
        </w:rPr>
        <w:t xml:space="preserve"> </w:t>
      </w:r>
      <w:r w:rsidRPr="002624CB">
        <w:rPr>
          <w:rFonts w:ascii="Arial" w:hAnsi="Arial" w:cs="Arial"/>
          <w:b/>
          <w:sz w:val="22"/>
          <w:szCs w:val="22"/>
        </w:rPr>
        <w:t>633</w:t>
      </w:r>
      <w:r w:rsidR="002624CB">
        <w:rPr>
          <w:rFonts w:ascii="Arial" w:hAnsi="Arial" w:cs="Arial"/>
          <w:b/>
          <w:sz w:val="22"/>
          <w:szCs w:val="22"/>
        </w:rPr>
        <w:t>.-</w:t>
      </w:r>
      <w:r w:rsidRPr="002624CB">
        <w:rPr>
          <w:rFonts w:ascii="Arial" w:hAnsi="Arial" w:cs="Arial"/>
          <w:b/>
          <w:sz w:val="22"/>
          <w:szCs w:val="22"/>
        </w:rPr>
        <w:t xml:space="preserve"> </w:t>
      </w:r>
    </w:p>
    <w:p w14:paraId="53B7C3C6" w14:textId="77777777" w:rsidR="0009406D" w:rsidRPr="002624CB" w:rsidRDefault="0009406D" w:rsidP="0009406D">
      <w:pPr>
        <w:jc w:val="both"/>
        <w:rPr>
          <w:rFonts w:ascii="Arial" w:hAnsi="Arial" w:cs="Arial"/>
          <w:sz w:val="22"/>
          <w:szCs w:val="22"/>
        </w:rPr>
      </w:pPr>
      <w:r w:rsidRPr="002624CB">
        <w:rPr>
          <w:rFonts w:ascii="Arial" w:hAnsi="Arial" w:cs="Arial"/>
          <w:sz w:val="22"/>
          <w:szCs w:val="22"/>
        </w:rPr>
        <w:t>La décision de retrait d'agrément est motivée par la COSUMAF. Cette décision précise les conditions de mise en œuvre du retrait d'agrément.</w:t>
      </w:r>
    </w:p>
    <w:p w14:paraId="1D771A9C" w14:textId="77777777" w:rsidR="0009406D" w:rsidRPr="00A03048" w:rsidRDefault="0009406D" w:rsidP="0009406D">
      <w:pPr>
        <w:jc w:val="both"/>
        <w:rPr>
          <w:rFonts w:ascii="Arial" w:hAnsi="Arial" w:cs="Arial"/>
          <w:color w:val="333333"/>
          <w:sz w:val="22"/>
          <w:szCs w:val="22"/>
        </w:rPr>
      </w:pPr>
    </w:p>
    <w:p w14:paraId="1EC1E5D6" w14:textId="3AC8A7A9" w:rsidR="00C26966" w:rsidRPr="00DB26E6" w:rsidRDefault="00241C93" w:rsidP="00A64175">
      <w:pPr>
        <w:widowControl w:val="0"/>
        <w:tabs>
          <w:tab w:val="left" w:pos="220"/>
          <w:tab w:val="left" w:pos="720"/>
        </w:tabs>
        <w:autoSpaceDE w:val="0"/>
        <w:autoSpaceDN w:val="0"/>
        <w:adjustRightInd w:val="0"/>
        <w:jc w:val="both"/>
        <w:rPr>
          <w:rFonts w:ascii="Arial" w:hAnsi="Arial" w:cs="Arial"/>
          <w:b/>
          <w:bCs/>
          <w:sz w:val="22"/>
          <w:szCs w:val="22"/>
        </w:rPr>
      </w:pPr>
      <w:r w:rsidRPr="00DB26E6">
        <w:rPr>
          <w:rFonts w:ascii="Arial" w:hAnsi="Arial" w:cs="Arial"/>
          <w:b/>
          <w:bCs/>
          <w:sz w:val="22"/>
          <w:szCs w:val="22"/>
        </w:rPr>
        <w:t>Section II Règles d’organisation et de fonctionnement</w:t>
      </w:r>
    </w:p>
    <w:p w14:paraId="3CB49C2B" w14:textId="77777777" w:rsidR="005F4E92" w:rsidRPr="00A64175" w:rsidRDefault="005F4E92" w:rsidP="00A64175">
      <w:pPr>
        <w:widowControl w:val="0"/>
        <w:tabs>
          <w:tab w:val="left" w:pos="220"/>
          <w:tab w:val="left" w:pos="720"/>
        </w:tabs>
        <w:autoSpaceDE w:val="0"/>
        <w:autoSpaceDN w:val="0"/>
        <w:adjustRightInd w:val="0"/>
        <w:jc w:val="both"/>
        <w:rPr>
          <w:rFonts w:ascii="Arial" w:hAnsi="Arial" w:cs="Arial"/>
          <w:b/>
          <w:bCs/>
          <w:color w:val="000000"/>
          <w:sz w:val="22"/>
          <w:szCs w:val="22"/>
        </w:rPr>
      </w:pPr>
    </w:p>
    <w:p w14:paraId="6F70389E" w14:textId="73CDD082" w:rsidR="004D4051" w:rsidRPr="00A64175" w:rsidRDefault="00250B0A" w:rsidP="00A64175">
      <w:pPr>
        <w:widowControl w:val="0"/>
        <w:tabs>
          <w:tab w:val="left" w:pos="220"/>
          <w:tab w:val="left" w:pos="720"/>
        </w:tabs>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34.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La notation </w:t>
      </w:r>
      <w:r w:rsidR="0038568E" w:rsidRPr="00A64175">
        <w:rPr>
          <w:rFonts w:ascii="Arial" w:hAnsi="Arial" w:cs="Arial"/>
          <w:color w:val="000000"/>
          <w:sz w:val="22"/>
          <w:szCs w:val="22"/>
        </w:rPr>
        <w:t xml:space="preserve">est une appréciation sur la solvabilité d’un emprunteur ou d’un émetteur d’instruments financiers et sur les risques inhérents à une dette ou à des actifs financiers. L’appréciation est </w:t>
      </w:r>
      <w:r w:rsidR="004D4051" w:rsidRPr="00A64175">
        <w:rPr>
          <w:rFonts w:ascii="Arial" w:hAnsi="Arial" w:cs="Arial"/>
          <w:color w:val="000000"/>
          <w:sz w:val="22"/>
          <w:szCs w:val="22"/>
        </w:rPr>
        <w:t>émis</w:t>
      </w:r>
      <w:r w:rsidR="0038568E" w:rsidRPr="00A64175">
        <w:rPr>
          <w:rFonts w:ascii="Arial" w:hAnsi="Arial" w:cs="Arial"/>
          <w:color w:val="000000"/>
          <w:sz w:val="22"/>
          <w:szCs w:val="22"/>
        </w:rPr>
        <w:t>e</w:t>
      </w:r>
      <w:r w:rsidR="004D4051" w:rsidRPr="00A64175">
        <w:rPr>
          <w:rFonts w:ascii="Arial" w:hAnsi="Arial" w:cs="Arial"/>
          <w:color w:val="000000"/>
          <w:sz w:val="22"/>
          <w:szCs w:val="22"/>
        </w:rPr>
        <w:t xml:space="preserve"> par application d’un système de classification bien défini prévoyant différentes catégories de notation</w:t>
      </w:r>
      <w:r w:rsidR="005B7100" w:rsidRPr="00A64175">
        <w:rPr>
          <w:rFonts w:ascii="Arial" w:hAnsi="Arial" w:cs="Arial"/>
          <w:color w:val="000000"/>
          <w:sz w:val="22"/>
          <w:szCs w:val="22"/>
        </w:rPr>
        <w:t>.</w:t>
      </w:r>
      <w:r w:rsidR="004D4051" w:rsidRPr="00A64175">
        <w:rPr>
          <w:rFonts w:ascii="Arial" w:hAnsi="Arial" w:cs="Arial"/>
          <w:color w:val="000000"/>
          <w:sz w:val="22"/>
          <w:szCs w:val="22"/>
        </w:rPr>
        <w:t xml:space="preserve"> </w:t>
      </w:r>
    </w:p>
    <w:p w14:paraId="3F38FE1C" w14:textId="77777777" w:rsidR="008C6A5F" w:rsidRPr="00A64175" w:rsidRDefault="008C6A5F" w:rsidP="00A64175">
      <w:pPr>
        <w:widowControl w:val="0"/>
        <w:tabs>
          <w:tab w:val="left" w:pos="220"/>
          <w:tab w:val="left" w:pos="720"/>
        </w:tabs>
        <w:autoSpaceDE w:val="0"/>
        <w:autoSpaceDN w:val="0"/>
        <w:adjustRightInd w:val="0"/>
        <w:jc w:val="both"/>
        <w:rPr>
          <w:rFonts w:ascii="Arial" w:hAnsi="Arial" w:cs="Arial"/>
          <w:color w:val="000000"/>
          <w:sz w:val="22"/>
          <w:szCs w:val="22"/>
        </w:rPr>
      </w:pPr>
    </w:p>
    <w:p w14:paraId="087943A1" w14:textId="7680CA8F"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35. </w:t>
      </w:r>
      <w:r w:rsidR="004D4051" w:rsidRPr="00A64175">
        <w:rPr>
          <w:rFonts w:ascii="Arial" w:hAnsi="Arial" w:cs="Arial"/>
          <w:b/>
          <w:bCs/>
          <w:color w:val="000000"/>
          <w:sz w:val="22"/>
          <w:szCs w:val="22"/>
        </w:rPr>
        <w:t xml:space="preserve">– </w:t>
      </w:r>
      <w:r w:rsidR="004D4051" w:rsidRPr="00A64175">
        <w:rPr>
          <w:rFonts w:ascii="Arial" w:hAnsi="Arial" w:cs="Arial"/>
          <w:bCs/>
          <w:color w:val="000000"/>
          <w:sz w:val="22"/>
          <w:szCs w:val="22"/>
        </w:rPr>
        <w:t>L’organisme de notation prend toute mesure néces</w:t>
      </w:r>
      <w:r w:rsidR="004D4051" w:rsidRPr="00A64175">
        <w:rPr>
          <w:rFonts w:ascii="Arial" w:hAnsi="Arial" w:cs="Arial"/>
          <w:color w:val="000000"/>
          <w:sz w:val="22"/>
          <w:szCs w:val="22"/>
        </w:rPr>
        <w:t xml:space="preserve">saire pour garantir que l’émission d’une notation n’est affectée par aucun conflit d’intérêts ni aucune relation commerciale, existants ou potentiels, impliquant l’organisme de notation, ses dirigeants, ses analystes, ses salariés, toute autre personne physique intervenant à un titre quelconque au sein dudit organisme ou toute personne qui lui est liée directement ou indirectement par une relation de contrôle. </w:t>
      </w:r>
    </w:p>
    <w:p w14:paraId="2F242798"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190FBD3A"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L’organisme de notation rend public le nom des entités notées ou tiers liés générant plus de 5 % de son chiffre d’affaires annuel. </w:t>
      </w:r>
    </w:p>
    <w:p w14:paraId="2502AA9F" w14:textId="77777777" w:rsidR="00F17D33" w:rsidRPr="00A64175" w:rsidRDefault="00F17D33" w:rsidP="00A64175">
      <w:pPr>
        <w:widowControl w:val="0"/>
        <w:autoSpaceDE w:val="0"/>
        <w:autoSpaceDN w:val="0"/>
        <w:adjustRightInd w:val="0"/>
        <w:jc w:val="both"/>
        <w:rPr>
          <w:rFonts w:ascii="Arial" w:hAnsi="Arial" w:cs="Arial"/>
          <w:color w:val="000000"/>
          <w:sz w:val="22"/>
          <w:szCs w:val="22"/>
        </w:rPr>
      </w:pPr>
    </w:p>
    <w:p w14:paraId="0BDB06BB" w14:textId="0885D28F" w:rsidR="00F12F61" w:rsidRPr="00A64175" w:rsidRDefault="00DD3D4D" w:rsidP="00A64175">
      <w:pPr>
        <w:widowControl w:val="0"/>
        <w:autoSpaceDE w:val="0"/>
        <w:autoSpaceDN w:val="0"/>
        <w:adjustRightInd w:val="0"/>
        <w:jc w:val="both"/>
        <w:rPr>
          <w:rFonts w:ascii="Arial" w:hAnsi="Arial" w:cs="Arial"/>
          <w:bCs/>
          <w:sz w:val="22"/>
          <w:szCs w:val="22"/>
        </w:rPr>
      </w:pPr>
      <w:r w:rsidRPr="00A64175">
        <w:rPr>
          <w:rFonts w:ascii="Arial" w:hAnsi="Arial" w:cs="Arial"/>
          <w:b/>
          <w:bCs/>
          <w:sz w:val="22"/>
          <w:szCs w:val="22"/>
        </w:rPr>
        <w:t xml:space="preserve">Article </w:t>
      </w:r>
      <w:r w:rsidR="00AA774A" w:rsidRPr="00A64175">
        <w:rPr>
          <w:rFonts w:ascii="Arial" w:hAnsi="Arial" w:cs="Arial"/>
          <w:b/>
          <w:bCs/>
          <w:sz w:val="22"/>
          <w:szCs w:val="22"/>
        </w:rPr>
        <w:t>6</w:t>
      </w:r>
      <w:r w:rsidR="00AA774A">
        <w:rPr>
          <w:rFonts w:ascii="Arial" w:hAnsi="Arial" w:cs="Arial"/>
          <w:b/>
          <w:bCs/>
          <w:sz w:val="22"/>
          <w:szCs w:val="22"/>
        </w:rPr>
        <w:t xml:space="preserve">36. </w:t>
      </w:r>
      <w:r w:rsidR="00E477EC" w:rsidRPr="00A64175">
        <w:rPr>
          <w:rFonts w:ascii="Arial" w:hAnsi="Arial" w:cs="Arial"/>
          <w:b/>
          <w:bCs/>
          <w:sz w:val="22"/>
          <w:szCs w:val="22"/>
        </w:rPr>
        <w:t xml:space="preserve">– </w:t>
      </w:r>
      <w:r w:rsidR="00E477EC" w:rsidRPr="00A64175">
        <w:rPr>
          <w:rFonts w:ascii="Arial" w:hAnsi="Arial" w:cs="Arial"/>
          <w:bCs/>
          <w:sz w:val="22"/>
          <w:szCs w:val="22"/>
        </w:rPr>
        <w:t xml:space="preserve">L’organisme de notation </w:t>
      </w:r>
      <w:r w:rsidR="00F12F61" w:rsidRPr="00A64175">
        <w:rPr>
          <w:rFonts w:ascii="Arial" w:hAnsi="Arial" w:cs="Arial"/>
          <w:bCs/>
          <w:sz w:val="22"/>
          <w:szCs w:val="22"/>
        </w:rPr>
        <w:t xml:space="preserve">se dote d’un dispositif de gestion des informations privilégiées et de prévention des abus de marché tant par </w:t>
      </w:r>
      <w:r w:rsidR="00AA774A" w:rsidRPr="00A64175">
        <w:rPr>
          <w:rFonts w:ascii="Arial" w:hAnsi="Arial" w:cs="Arial"/>
          <w:bCs/>
          <w:sz w:val="22"/>
          <w:szCs w:val="22"/>
        </w:rPr>
        <w:t>lui-même</w:t>
      </w:r>
      <w:r w:rsidR="00F12F61" w:rsidRPr="00A64175">
        <w:rPr>
          <w:rFonts w:ascii="Arial" w:hAnsi="Arial" w:cs="Arial"/>
          <w:bCs/>
          <w:sz w:val="22"/>
          <w:szCs w:val="22"/>
        </w:rPr>
        <w:t xml:space="preserve"> que par les membres de ses organes de direction et d’administration, les membres de son personnel et toute personne intervenant à un titre quelconque en son sein.</w:t>
      </w:r>
    </w:p>
    <w:p w14:paraId="6C9DF14C" w14:textId="77777777" w:rsidR="00E477EC" w:rsidRPr="00A64175" w:rsidRDefault="00E477EC" w:rsidP="00A64175">
      <w:pPr>
        <w:widowControl w:val="0"/>
        <w:autoSpaceDE w:val="0"/>
        <w:autoSpaceDN w:val="0"/>
        <w:adjustRightInd w:val="0"/>
        <w:jc w:val="both"/>
        <w:rPr>
          <w:rFonts w:ascii="Arial" w:hAnsi="Arial" w:cs="Arial"/>
          <w:bCs/>
          <w:sz w:val="22"/>
          <w:szCs w:val="22"/>
        </w:rPr>
      </w:pPr>
    </w:p>
    <w:p w14:paraId="023EE7C0" w14:textId="09DAB0A4"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37.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Les organismes de notation veillent à ce que leurs analystes, leurs salariés et toute autre personne physique intervenant à un titre quelconque</w:t>
      </w:r>
      <w:r w:rsidR="005B7100" w:rsidRPr="00A64175">
        <w:rPr>
          <w:rFonts w:ascii="Arial" w:hAnsi="Arial" w:cs="Arial"/>
          <w:color w:val="000000"/>
          <w:sz w:val="22"/>
          <w:szCs w:val="22"/>
        </w:rPr>
        <w:t xml:space="preserve"> pour leur compte</w:t>
      </w:r>
      <w:r w:rsidR="004D4051" w:rsidRPr="00A64175">
        <w:rPr>
          <w:rFonts w:ascii="Arial" w:hAnsi="Arial" w:cs="Arial"/>
          <w:color w:val="000000"/>
          <w:sz w:val="22"/>
          <w:szCs w:val="22"/>
        </w:rPr>
        <w:t xml:space="preserve">, disposent de connaissances et d’une expérience appropriées au regard des tâches qui leur sont assignées. </w:t>
      </w:r>
    </w:p>
    <w:p w14:paraId="424D5D08"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2CF6E329"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Les organismes de notation veillent à ce que les personnes visées à l’alinéa précédent ne soient pas autorisées à engager des négociations ni à participer à des négociations concernant les commissions ou les paiements dus, avec une entité notée, un tiers lié ou toute personne directement ou indirectement liée à l’entité notée par une relation de contrôle. </w:t>
      </w:r>
    </w:p>
    <w:p w14:paraId="167571EA"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329FE591" w14:textId="1E938CAA"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38.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Les organismes de notation instaurent un mécanisme approprié de rotation progressive pour les analystes et les personnes chargées d’approuver les notations. Cette rotation est effectuée par étapes, sur une base individuelle, plutôt qu’en soumettant une équipe complète à la rotation. </w:t>
      </w:r>
    </w:p>
    <w:p w14:paraId="3B36B10F"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3C336DEE" w14:textId="29BAE15A"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39.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La rémunération et l’évaluation de la performance des analystes de notation et des personnes chargées d’approuver les notations ne peuvent pas dépendre du chiffre d’affaires que l’organisme de notation tire de sa relation commerciale avec les entités notées ou les tiers liés. </w:t>
      </w:r>
    </w:p>
    <w:p w14:paraId="1C0D295E"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3FF8AFD3" w14:textId="7B8FF0B8"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40.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Les organismes de notation de crédit publient les méthodes, modèles et principales hypothèses de notation qu’ils utilisent dans le cadre </w:t>
      </w:r>
      <w:r w:rsidR="00837F13" w:rsidRPr="00A64175">
        <w:rPr>
          <w:rFonts w:ascii="Arial" w:hAnsi="Arial" w:cs="Arial"/>
          <w:color w:val="000000"/>
          <w:sz w:val="22"/>
          <w:szCs w:val="22"/>
        </w:rPr>
        <w:t>de leur activité</w:t>
      </w:r>
      <w:r w:rsidR="004D4051" w:rsidRPr="00A64175">
        <w:rPr>
          <w:rFonts w:ascii="Arial" w:hAnsi="Arial" w:cs="Arial"/>
          <w:color w:val="000000"/>
          <w:sz w:val="22"/>
          <w:szCs w:val="22"/>
        </w:rPr>
        <w:t xml:space="preserve"> de notation.</w:t>
      </w:r>
    </w:p>
    <w:p w14:paraId="427DFFBA"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76C866BF" w14:textId="16CBA0A1"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41.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Les organismes de notation adoptent, les mesures nécessaires pour veiller à ce que les notations qu’ils émettent soient fondées sur une analyse approfondie de toutes les informations dont ils disposent et qui sont pertinentes pour leur analyse au regard de leurs méthodes de notation. Ils adoptent toutes les mesures nécessaires pour garantir que les informations qu’ils utilisent aux fins de l’attribution d’une notation soient de qualité suffisante et proviennent de sources fiables. </w:t>
      </w:r>
    </w:p>
    <w:p w14:paraId="011AA7F9"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76AAB539"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Les organismes de notation utilisent des méthodes de notation rigoureuses, systématiques, sans discontinuités et pouvant être validées sur la base de données historiques, y compris des contrôles a posteriori. </w:t>
      </w:r>
    </w:p>
    <w:p w14:paraId="0DF74DA3"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636A23E1" w14:textId="5E9AC601"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42.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Les organismes de notation assurent un suivi de leurs notations et réexaminent leurs notations de crédit et leurs méthodes de façon continue et au moins chaque année, en particulier lorsque interviennent des modifications substantielles qui pourraient avoir des incidences sur une notation. Ils mettent en place des procédures internes pour suivre l’impact de l’évolution de la conjoncture macroéconomique et des marchés financiers sur les notations</w:t>
      </w:r>
      <w:r w:rsidR="005B7100" w:rsidRPr="00A64175">
        <w:rPr>
          <w:rFonts w:ascii="Arial" w:hAnsi="Arial" w:cs="Arial"/>
          <w:color w:val="000000"/>
          <w:sz w:val="22"/>
          <w:szCs w:val="22"/>
        </w:rPr>
        <w:t xml:space="preserve"> émises</w:t>
      </w:r>
      <w:r w:rsidR="004D4051" w:rsidRPr="00A64175">
        <w:rPr>
          <w:rFonts w:ascii="Arial" w:hAnsi="Arial" w:cs="Arial"/>
          <w:color w:val="000000"/>
          <w:sz w:val="22"/>
          <w:szCs w:val="22"/>
        </w:rPr>
        <w:t xml:space="preserve">. </w:t>
      </w:r>
    </w:p>
    <w:p w14:paraId="79EF5B62"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6E91A6F9" w14:textId="33838F14" w:rsidR="004D4051" w:rsidRPr="00A64175" w:rsidRDefault="00600184"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Arti</w:t>
      </w:r>
      <w:r w:rsidR="00DD3D4D" w:rsidRPr="00A64175">
        <w:rPr>
          <w:rFonts w:ascii="Arial" w:hAnsi="Arial" w:cs="Arial"/>
          <w:b/>
          <w:bCs/>
          <w:color w:val="000000"/>
          <w:sz w:val="22"/>
          <w:szCs w:val="22"/>
        </w:rPr>
        <w:t xml:space="preserve">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43.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Lorsqu’un organisme de notation modifie les méthodes, modèles ou principales hypothèses de notation qu’il utilise : </w:t>
      </w:r>
    </w:p>
    <w:p w14:paraId="64BF9FB5"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265EC955" w14:textId="77777777" w:rsidR="004D4051" w:rsidRPr="00A64175" w:rsidRDefault="004D4051" w:rsidP="00A64175">
      <w:pPr>
        <w:pStyle w:val="Paragraphedeliste"/>
        <w:widowControl w:val="0"/>
        <w:numPr>
          <w:ilvl w:val="0"/>
          <w:numId w:val="19"/>
        </w:numPr>
        <w:tabs>
          <w:tab w:val="left" w:pos="220"/>
          <w:tab w:val="left" w:pos="720"/>
        </w:tabs>
        <w:autoSpaceDE w:val="0"/>
        <w:adjustRightInd w:val="0"/>
        <w:spacing w:before="0" w:beforeAutospacing="0" w:after="0" w:afterAutospacing="0" w:line="240" w:lineRule="auto"/>
        <w:rPr>
          <w:color w:val="000000"/>
          <w:sz w:val="22"/>
          <w:szCs w:val="22"/>
        </w:rPr>
      </w:pPr>
      <w:r w:rsidRPr="00A64175">
        <w:rPr>
          <w:color w:val="000000"/>
          <w:sz w:val="22"/>
          <w:szCs w:val="22"/>
        </w:rPr>
        <w:t>il publie immédiatement la gamme des notations qui en seront probablement affectées</w:t>
      </w:r>
      <w:r w:rsidR="008C6A5F" w:rsidRPr="00A64175">
        <w:rPr>
          <w:color w:val="000000"/>
          <w:sz w:val="22"/>
          <w:szCs w:val="22"/>
        </w:rPr>
        <w:t xml:space="preserve"> </w:t>
      </w:r>
      <w:r w:rsidRPr="00A64175">
        <w:rPr>
          <w:color w:val="000000"/>
          <w:sz w:val="22"/>
          <w:szCs w:val="22"/>
        </w:rPr>
        <w:t xml:space="preserve">; </w:t>
      </w:r>
      <w:r w:rsidRPr="00A64175">
        <w:rPr>
          <w:rFonts w:ascii="MS Gothic" w:hAnsi="MS Gothic" w:cs="MS Gothic"/>
          <w:color w:val="000000"/>
          <w:sz w:val="22"/>
          <w:szCs w:val="22"/>
        </w:rPr>
        <w:t> </w:t>
      </w:r>
    </w:p>
    <w:p w14:paraId="1D5E8EE8" w14:textId="77777777" w:rsidR="004D4051" w:rsidRPr="00A64175" w:rsidRDefault="004D4051" w:rsidP="00A64175">
      <w:pPr>
        <w:pStyle w:val="Paragraphedeliste"/>
        <w:widowControl w:val="0"/>
        <w:tabs>
          <w:tab w:val="left" w:pos="220"/>
          <w:tab w:val="left" w:pos="720"/>
        </w:tabs>
        <w:autoSpaceDE w:val="0"/>
        <w:adjustRightInd w:val="0"/>
        <w:spacing w:before="0" w:beforeAutospacing="0" w:after="0" w:afterAutospacing="0" w:line="240" w:lineRule="auto"/>
        <w:rPr>
          <w:color w:val="000000"/>
          <w:sz w:val="22"/>
          <w:szCs w:val="22"/>
        </w:rPr>
      </w:pPr>
    </w:p>
    <w:p w14:paraId="179F6F52" w14:textId="0B8583E9" w:rsidR="00CB2AFA" w:rsidRPr="00A64175" w:rsidRDefault="004D4051" w:rsidP="00A64175">
      <w:pPr>
        <w:pStyle w:val="Paragraphedeliste"/>
        <w:widowControl w:val="0"/>
        <w:numPr>
          <w:ilvl w:val="0"/>
          <w:numId w:val="62"/>
        </w:numPr>
        <w:tabs>
          <w:tab w:val="left" w:pos="220"/>
          <w:tab w:val="left" w:pos="720"/>
        </w:tabs>
        <w:autoSpaceDE w:val="0"/>
        <w:adjustRightInd w:val="0"/>
        <w:spacing w:before="0" w:beforeAutospacing="0" w:after="0" w:afterAutospacing="0" w:line="240" w:lineRule="auto"/>
        <w:rPr>
          <w:color w:val="000000"/>
          <w:sz w:val="22"/>
          <w:szCs w:val="22"/>
        </w:rPr>
      </w:pPr>
      <w:r w:rsidRPr="00A64175">
        <w:rPr>
          <w:color w:val="000000"/>
          <w:sz w:val="22"/>
          <w:szCs w:val="22"/>
        </w:rPr>
        <w:t>il réexamine les notations affectées dans les meilleurs délais, et au plus tard dans les six (6) mois suivant la modification appor</w:t>
      </w:r>
      <w:r w:rsidR="004E7260" w:rsidRPr="00A64175">
        <w:rPr>
          <w:color w:val="000000"/>
          <w:sz w:val="22"/>
          <w:szCs w:val="22"/>
        </w:rPr>
        <w:t>tée, et, dans l’intervalle, il</w:t>
      </w:r>
      <w:r w:rsidRPr="00A64175">
        <w:rPr>
          <w:color w:val="000000"/>
          <w:sz w:val="22"/>
          <w:szCs w:val="22"/>
        </w:rPr>
        <w:t xml:space="preserve"> place les notations</w:t>
      </w:r>
      <w:r w:rsidR="00750D05" w:rsidRPr="00A64175">
        <w:rPr>
          <w:color w:val="000000"/>
          <w:sz w:val="22"/>
          <w:szCs w:val="22"/>
        </w:rPr>
        <w:t xml:space="preserve"> concernées</w:t>
      </w:r>
      <w:r w:rsidRPr="00A64175">
        <w:rPr>
          <w:color w:val="000000"/>
          <w:sz w:val="22"/>
          <w:szCs w:val="22"/>
        </w:rPr>
        <w:t xml:space="preserve"> sous observation ; </w:t>
      </w:r>
    </w:p>
    <w:p w14:paraId="1C223619" w14:textId="77777777" w:rsidR="00CB2AFA" w:rsidRPr="00A64175" w:rsidRDefault="00CB2AFA" w:rsidP="00A64175">
      <w:pPr>
        <w:pStyle w:val="Paragraphedeliste"/>
        <w:widowControl w:val="0"/>
        <w:tabs>
          <w:tab w:val="left" w:pos="220"/>
          <w:tab w:val="left" w:pos="720"/>
        </w:tabs>
        <w:autoSpaceDE w:val="0"/>
        <w:adjustRightInd w:val="0"/>
        <w:spacing w:before="0" w:beforeAutospacing="0" w:after="0" w:afterAutospacing="0" w:line="240" w:lineRule="auto"/>
        <w:rPr>
          <w:color w:val="000000"/>
          <w:sz w:val="22"/>
          <w:szCs w:val="22"/>
        </w:rPr>
      </w:pPr>
    </w:p>
    <w:p w14:paraId="3B0E8D59" w14:textId="5FD0AEBB" w:rsidR="004D4051" w:rsidRPr="00A64175" w:rsidRDefault="004D4051" w:rsidP="00A64175">
      <w:pPr>
        <w:pStyle w:val="Paragraphedeliste"/>
        <w:numPr>
          <w:ilvl w:val="0"/>
          <w:numId w:val="86"/>
        </w:numPr>
        <w:tabs>
          <w:tab w:val="left" w:pos="2268"/>
        </w:tabs>
        <w:spacing w:before="0" w:beforeAutospacing="0" w:after="0" w:afterAutospacing="0" w:line="240" w:lineRule="auto"/>
        <w:ind w:left="714" w:hanging="357"/>
        <w:rPr>
          <w:sz w:val="22"/>
          <w:szCs w:val="22"/>
        </w:rPr>
      </w:pPr>
      <w:r w:rsidRPr="00A64175">
        <w:rPr>
          <w:color w:val="000000"/>
          <w:sz w:val="22"/>
          <w:szCs w:val="22"/>
        </w:rPr>
        <w:t>il procède à une nouvelle notation pour toutes les notations qui avaient été fondées sur ces méthodes, modèles ou principales hypothèses de notation si, à la suite du réexamen, lesdites notations</w:t>
      </w:r>
      <w:r w:rsidR="008C6A5F" w:rsidRPr="00A64175">
        <w:rPr>
          <w:color w:val="000000"/>
          <w:sz w:val="22"/>
          <w:szCs w:val="22"/>
        </w:rPr>
        <w:t> </w:t>
      </w:r>
      <w:r w:rsidRPr="00A64175">
        <w:rPr>
          <w:sz w:val="22"/>
          <w:szCs w:val="22"/>
        </w:rPr>
        <w:t xml:space="preserve">sont affectées par l’effet conjugué global des modifications apportées. </w:t>
      </w:r>
      <w:r w:rsidRPr="00A64175">
        <w:rPr>
          <w:rFonts w:ascii="MS Gothic" w:hAnsi="MS Gothic" w:cs="MS Gothic"/>
          <w:sz w:val="22"/>
          <w:szCs w:val="22"/>
        </w:rPr>
        <w:t> </w:t>
      </w:r>
    </w:p>
    <w:p w14:paraId="385162CE" w14:textId="77777777" w:rsidR="004D4051" w:rsidRPr="00A64175" w:rsidRDefault="004D4051" w:rsidP="00A64175">
      <w:pPr>
        <w:widowControl w:val="0"/>
        <w:autoSpaceDE w:val="0"/>
        <w:autoSpaceDN w:val="0"/>
        <w:adjustRightInd w:val="0"/>
        <w:jc w:val="both"/>
        <w:rPr>
          <w:rFonts w:ascii="Arial" w:hAnsi="Arial" w:cs="Arial"/>
          <w:b/>
          <w:bCs/>
          <w:color w:val="000000"/>
          <w:sz w:val="22"/>
          <w:szCs w:val="22"/>
        </w:rPr>
      </w:pPr>
    </w:p>
    <w:p w14:paraId="254839A7" w14:textId="0F8044BD"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44. </w:t>
      </w:r>
      <w:r w:rsidR="004D4051" w:rsidRPr="00A64175">
        <w:rPr>
          <w:rFonts w:ascii="Arial" w:hAnsi="Arial" w:cs="Arial"/>
          <w:b/>
          <w:bCs/>
          <w:color w:val="000000"/>
          <w:sz w:val="22"/>
          <w:szCs w:val="22"/>
        </w:rPr>
        <w:t xml:space="preserve">– </w:t>
      </w:r>
      <w:r w:rsidR="004D4051" w:rsidRPr="00A64175">
        <w:rPr>
          <w:rFonts w:ascii="Arial" w:hAnsi="Arial" w:cs="Arial"/>
          <w:bCs/>
          <w:color w:val="000000"/>
          <w:sz w:val="22"/>
          <w:szCs w:val="22"/>
        </w:rPr>
        <w:t>Les organismes de notation publient toute notation de</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crédit, ainsi que toute décision d’interrompre une notation, sur une base non sélective et en temps utile. Au cas où il est décidé d’interrompre une notation, les informations publiées indiquent dûment l’ensemble des motifs de cette décision. </w:t>
      </w:r>
    </w:p>
    <w:p w14:paraId="5ED873B6"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30DC083A" w14:textId="3506B314"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45.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Les organismes de notation publient les politiques et procédures qu’ils appliquent en matière de notations non sollicitées. </w:t>
      </w:r>
    </w:p>
    <w:p w14:paraId="04345D42"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67EA6BB0"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Lorsqu’un organisme de notation émet une notation non sollicitée, il indique de façon bien visible dans celle-ci si l’entité notée ou un tiers lié a participé ou non au processus de notation et si l’organisme de notation a eu accès aux comptes et autres documents internes pertinents de l’entité notée ou d’un tiers lié. </w:t>
      </w:r>
    </w:p>
    <w:p w14:paraId="2732406A"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4DDDF78D"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 xml:space="preserve">Les notations non sollicitées sont identifiées en tant que telles. </w:t>
      </w:r>
    </w:p>
    <w:p w14:paraId="576EBC48"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4E39EAC0" w14:textId="3007CAC4" w:rsidR="004D4051"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46. </w:t>
      </w:r>
      <w:r w:rsidR="004D4051" w:rsidRPr="00A64175">
        <w:rPr>
          <w:rFonts w:ascii="Arial" w:hAnsi="Arial" w:cs="Arial"/>
          <w:b/>
          <w:bCs/>
          <w:color w:val="000000"/>
          <w:sz w:val="22"/>
          <w:szCs w:val="22"/>
        </w:rPr>
        <w:t xml:space="preserve">– </w:t>
      </w:r>
      <w:r w:rsidR="004D4051" w:rsidRPr="00A64175">
        <w:rPr>
          <w:rFonts w:ascii="Arial" w:hAnsi="Arial" w:cs="Arial"/>
          <w:color w:val="000000"/>
          <w:sz w:val="22"/>
          <w:szCs w:val="22"/>
        </w:rPr>
        <w:t xml:space="preserve">Les organismes de notation n’utilisent pas le nom d’une autorité compétente quelconque d’une manière qui puisse indiquer ou laisser entendre que cette autorité avalise ou approuve les notations ou une quelconque activité de notation d’un organisme de notation. </w:t>
      </w:r>
    </w:p>
    <w:p w14:paraId="1EEFA45D" w14:textId="77777777" w:rsidR="004D4051" w:rsidRPr="00A64175" w:rsidRDefault="004D4051" w:rsidP="00A64175">
      <w:pPr>
        <w:widowControl w:val="0"/>
        <w:autoSpaceDE w:val="0"/>
        <w:autoSpaceDN w:val="0"/>
        <w:adjustRightInd w:val="0"/>
        <w:jc w:val="both"/>
        <w:rPr>
          <w:rFonts w:ascii="Arial" w:hAnsi="Arial" w:cs="Arial"/>
          <w:color w:val="000000"/>
          <w:sz w:val="22"/>
          <w:szCs w:val="22"/>
        </w:rPr>
      </w:pPr>
    </w:p>
    <w:p w14:paraId="6A814ABD" w14:textId="417D184F" w:rsidR="004D4051" w:rsidRPr="00A64175" w:rsidRDefault="00DD3D4D" w:rsidP="00A64175">
      <w:pPr>
        <w:widowControl w:val="0"/>
        <w:autoSpaceDE w:val="0"/>
        <w:autoSpaceDN w:val="0"/>
        <w:adjustRightInd w:val="0"/>
        <w:jc w:val="both"/>
        <w:rPr>
          <w:rFonts w:ascii="Arial" w:hAnsi="Arial" w:cs="Arial"/>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47. </w:t>
      </w:r>
      <w:r w:rsidR="004D4051" w:rsidRPr="00A64175">
        <w:rPr>
          <w:rFonts w:ascii="Arial" w:hAnsi="Arial" w:cs="Arial"/>
          <w:b/>
          <w:bCs/>
          <w:color w:val="000000"/>
          <w:sz w:val="22"/>
          <w:szCs w:val="22"/>
        </w:rPr>
        <w:t>–</w:t>
      </w:r>
      <w:r w:rsidR="004E01EF">
        <w:rPr>
          <w:rFonts w:ascii="Arial" w:hAnsi="Arial" w:cs="Arial"/>
          <w:sz w:val="22"/>
          <w:szCs w:val="22"/>
        </w:rPr>
        <w:t xml:space="preserve"> U</w:t>
      </w:r>
      <w:r w:rsidR="004D4051" w:rsidRPr="00A64175">
        <w:rPr>
          <w:rFonts w:ascii="Arial" w:hAnsi="Arial" w:cs="Arial"/>
          <w:sz w:val="22"/>
          <w:szCs w:val="22"/>
        </w:rPr>
        <w:t>ne instruction de la COSUMAF</w:t>
      </w:r>
      <w:r w:rsidR="004E01EF">
        <w:rPr>
          <w:rFonts w:ascii="Arial" w:hAnsi="Arial" w:cs="Arial"/>
          <w:sz w:val="22"/>
          <w:szCs w:val="22"/>
        </w:rPr>
        <w:t xml:space="preserve"> précise les modalités pratiques</w:t>
      </w:r>
      <w:r w:rsidR="005744C7">
        <w:rPr>
          <w:rFonts w:ascii="Arial" w:hAnsi="Arial" w:cs="Arial"/>
          <w:sz w:val="22"/>
          <w:szCs w:val="22"/>
        </w:rPr>
        <w:t xml:space="preserve"> d’exercice de l’activité de notation sur le marché financier régional</w:t>
      </w:r>
    </w:p>
    <w:p w14:paraId="7D1D3562" w14:textId="77777777" w:rsidR="001D789B" w:rsidRPr="00A64175" w:rsidRDefault="001D789B" w:rsidP="00A64175">
      <w:pPr>
        <w:widowControl w:val="0"/>
        <w:autoSpaceDE w:val="0"/>
        <w:autoSpaceDN w:val="0"/>
        <w:adjustRightInd w:val="0"/>
        <w:jc w:val="both"/>
        <w:rPr>
          <w:rFonts w:ascii="Arial" w:hAnsi="Arial" w:cs="Arial"/>
          <w:kern w:val="1"/>
          <w:sz w:val="22"/>
          <w:szCs w:val="22"/>
        </w:rPr>
      </w:pPr>
    </w:p>
    <w:p w14:paraId="052C7170" w14:textId="77777777" w:rsidR="008D19F6" w:rsidRPr="00A03048" w:rsidRDefault="008D19F6" w:rsidP="008D19F6">
      <w:pPr>
        <w:jc w:val="both"/>
        <w:rPr>
          <w:rFonts w:ascii="Arial" w:hAnsi="Arial" w:cs="Arial"/>
          <w:color w:val="333333"/>
          <w:sz w:val="22"/>
          <w:szCs w:val="22"/>
        </w:rPr>
      </w:pPr>
    </w:p>
    <w:p w14:paraId="679A1CB3" w14:textId="77777777" w:rsidR="004D4051" w:rsidRPr="00B57B5C" w:rsidRDefault="004D4051" w:rsidP="00A64175">
      <w:pPr>
        <w:widowControl w:val="0"/>
        <w:autoSpaceDE w:val="0"/>
        <w:autoSpaceDN w:val="0"/>
        <w:adjustRightInd w:val="0"/>
        <w:jc w:val="both"/>
        <w:rPr>
          <w:rFonts w:ascii="Arial" w:hAnsi="Arial" w:cs="Arial"/>
          <w:kern w:val="1"/>
          <w:sz w:val="22"/>
          <w:szCs w:val="22"/>
        </w:rPr>
      </w:pPr>
    </w:p>
    <w:p w14:paraId="06FE29E2" w14:textId="77777777" w:rsidR="00C860C4" w:rsidRPr="00A64175" w:rsidRDefault="00C860C4" w:rsidP="00A64175">
      <w:pPr>
        <w:widowControl w:val="0"/>
        <w:autoSpaceDE w:val="0"/>
        <w:autoSpaceDN w:val="0"/>
        <w:adjustRightInd w:val="0"/>
        <w:jc w:val="both"/>
        <w:rPr>
          <w:rFonts w:ascii="Arial" w:hAnsi="Arial" w:cs="Arial"/>
          <w:kern w:val="1"/>
          <w:sz w:val="22"/>
          <w:szCs w:val="22"/>
        </w:rPr>
      </w:pPr>
    </w:p>
    <w:p w14:paraId="1E4BFD35" w14:textId="66FA4833" w:rsidR="00120666" w:rsidRPr="00A64175" w:rsidRDefault="00166621" w:rsidP="00A64175">
      <w:pPr>
        <w:widowControl w:val="0"/>
        <w:autoSpaceDE w:val="0"/>
        <w:autoSpaceDN w:val="0"/>
        <w:adjustRightInd w:val="0"/>
        <w:jc w:val="both"/>
        <w:rPr>
          <w:rFonts w:ascii="Arial" w:hAnsi="Arial" w:cs="Arial"/>
          <w:b/>
          <w:sz w:val="22"/>
          <w:szCs w:val="22"/>
        </w:rPr>
      </w:pPr>
      <w:r w:rsidRPr="00A64175">
        <w:rPr>
          <w:rFonts w:ascii="Arial" w:hAnsi="Arial" w:cs="Arial"/>
          <w:b/>
          <w:sz w:val="22"/>
          <w:szCs w:val="22"/>
        </w:rPr>
        <w:t xml:space="preserve">CHAPITRE II – </w:t>
      </w:r>
      <w:r w:rsidR="00120666" w:rsidRPr="00A64175">
        <w:rPr>
          <w:rFonts w:ascii="Arial" w:hAnsi="Arial" w:cs="Arial"/>
          <w:b/>
          <w:sz w:val="22"/>
          <w:szCs w:val="22"/>
        </w:rPr>
        <w:t>ANALYSE</w:t>
      </w:r>
      <w:r w:rsidRPr="00A64175">
        <w:rPr>
          <w:rFonts w:ascii="Arial" w:hAnsi="Arial" w:cs="Arial"/>
          <w:b/>
          <w:sz w:val="22"/>
          <w:szCs w:val="22"/>
        </w:rPr>
        <w:t>S FINANCIERES</w:t>
      </w:r>
    </w:p>
    <w:p w14:paraId="3756FA02" w14:textId="77777777" w:rsidR="00C26966" w:rsidRPr="00A64175" w:rsidRDefault="00C26966" w:rsidP="00A64175">
      <w:pPr>
        <w:widowControl w:val="0"/>
        <w:autoSpaceDE w:val="0"/>
        <w:autoSpaceDN w:val="0"/>
        <w:adjustRightInd w:val="0"/>
        <w:jc w:val="both"/>
        <w:rPr>
          <w:rFonts w:ascii="Arial" w:hAnsi="Arial" w:cs="Arial"/>
          <w:kern w:val="1"/>
          <w:sz w:val="22"/>
          <w:szCs w:val="22"/>
        </w:rPr>
      </w:pPr>
    </w:p>
    <w:p w14:paraId="2D865627" w14:textId="77777777" w:rsidR="00120666" w:rsidRPr="00A64175" w:rsidRDefault="00120666" w:rsidP="00A64175">
      <w:pPr>
        <w:widowControl w:val="0"/>
        <w:autoSpaceDE w:val="0"/>
        <w:autoSpaceDN w:val="0"/>
        <w:adjustRightInd w:val="0"/>
        <w:jc w:val="both"/>
        <w:rPr>
          <w:rFonts w:ascii="Arial" w:hAnsi="Arial" w:cs="Arial"/>
          <w:kern w:val="1"/>
          <w:sz w:val="22"/>
          <w:szCs w:val="22"/>
        </w:rPr>
      </w:pPr>
    </w:p>
    <w:p w14:paraId="15A3DA48" w14:textId="39C77B46" w:rsidR="00120666" w:rsidRPr="00A64175" w:rsidRDefault="00DD3D4D" w:rsidP="00A64175">
      <w:pPr>
        <w:widowControl w:val="0"/>
        <w:autoSpaceDE w:val="0"/>
        <w:autoSpaceDN w:val="0"/>
        <w:adjustRightInd w:val="0"/>
        <w:jc w:val="both"/>
        <w:rPr>
          <w:rFonts w:ascii="Arial" w:hAnsi="Arial" w:cs="Arial"/>
          <w:color w:val="000000"/>
          <w:sz w:val="22"/>
          <w:szCs w:val="22"/>
        </w:rPr>
      </w:pPr>
      <w:r w:rsidRPr="00A64175">
        <w:rPr>
          <w:rFonts w:ascii="Arial" w:hAnsi="Arial" w:cs="Arial"/>
          <w:b/>
          <w:bCs/>
          <w:color w:val="000000"/>
          <w:sz w:val="22"/>
          <w:szCs w:val="22"/>
        </w:rPr>
        <w:t xml:space="preserve">Article </w:t>
      </w:r>
      <w:r w:rsidR="00AA774A" w:rsidRPr="00A64175">
        <w:rPr>
          <w:rFonts w:ascii="Arial" w:hAnsi="Arial" w:cs="Arial"/>
          <w:b/>
          <w:bCs/>
          <w:color w:val="000000"/>
          <w:sz w:val="22"/>
          <w:szCs w:val="22"/>
        </w:rPr>
        <w:t>6</w:t>
      </w:r>
      <w:r w:rsidR="00AA774A">
        <w:rPr>
          <w:rFonts w:ascii="Arial" w:hAnsi="Arial" w:cs="Arial"/>
          <w:b/>
          <w:bCs/>
          <w:color w:val="000000"/>
          <w:sz w:val="22"/>
          <w:szCs w:val="22"/>
        </w:rPr>
        <w:t xml:space="preserve">48. </w:t>
      </w:r>
      <w:r w:rsidR="00120666" w:rsidRPr="00A64175">
        <w:rPr>
          <w:rFonts w:ascii="Arial" w:hAnsi="Arial" w:cs="Arial"/>
          <w:b/>
          <w:bCs/>
          <w:color w:val="000000"/>
          <w:sz w:val="22"/>
          <w:szCs w:val="22"/>
        </w:rPr>
        <w:t xml:space="preserve">– </w:t>
      </w:r>
      <w:r w:rsidR="00120666" w:rsidRPr="00A64175">
        <w:rPr>
          <w:rFonts w:ascii="Arial" w:hAnsi="Arial" w:cs="Arial"/>
          <w:color w:val="000000"/>
          <w:sz w:val="22"/>
          <w:szCs w:val="22"/>
        </w:rPr>
        <w:t xml:space="preserve">Les analyses financières ou recommandations d’investissement sont des informations recommandant ou suggérant une stratégie d’investissement, explicitement ou implicitement, concernant un ou plusieurs instruments financiers ou les émetteurs, y compris toute opinion émise sur le cours ou la valeur actuel(le) ou futur(e) de ces instruments, destinées aux canaux de distribution ou au public. </w:t>
      </w:r>
    </w:p>
    <w:p w14:paraId="2AB0B62E" w14:textId="77777777" w:rsidR="00166621" w:rsidRPr="00A64175" w:rsidRDefault="00166621" w:rsidP="00A64175">
      <w:pPr>
        <w:widowControl w:val="0"/>
        <w:autoSpaceDE w:val="0"/>
        <w:autoSpaceDN w:val="0"/>
        <w:adjustRightInd w:val="0"/>
        <w:jc w:val="both"/>
        <w:rPr>
          <w:rFonts w:ascii="Arial" w:hAnsi="Arial" w:cs="Arial"/>
          <w:color w:val="000000"/>
          <w:sz w:val="22"/>
          <w:szCs w:val="22"/>
        </w:rPr>
      </w:pPr>
    </w:p>
    <w:p w14:paraId="5849BA88" w14:textId="25BB6DC1" w:rsidR="00166621" w:rsidRPr="00A64175" w:rsidRDefault="00166621" w:rsidP="00A64175">
      <w:pPr>
        <w:widowControl w:val="0"/>
        <w:autoSpaceDE w:val="0"/>
        <w:autoSpaceDN w:val="0"/>
        <w:adjustRightInd w:val="0"/>
        <w:jc w:val="both"/>
        <w:rPr>
          <w:rFonts w:ascii="Arial" w:hAnsi="Arial" w:cs="Arial"/>
          <w:color w:val="000000"/>
          <w:sz w:val="22"/>
          <w:szCs w:val="22"/>
        </w:rPr>
      </w:pPr>
      <w:r w:rsidRPr="00A64175">
        <w:rPr>
          <w:rFonts w:ascii="Arial" w:hAnsi="Arial" w:cs="Arial"/>
          <w:color w:val="000000"/>
          <w:sz w:val="22"/>
          <w:szCs w:val="22"/>
        </w:rPr>
        <w:t>L’activité d’analyse financière visée au présent chapitre est exercée</w:t>
      </w:r>
      <w:r w:rsidR="0047758D" w:rsidRPr="00A64175">
        <w:rPr>
          <w:rFonts w:ascii="Arial" w:hAnsi="Arial" w:cs="Arial"/>
          <w:color w:val="000000"/>
          <w:sz w:val="22"/>
          <w:szCs w:val="22"/>
        </w:rPr>
        <w:t>, sous le contrôle de la COSUMAF,</w:t>
      </w:r>
      <w:r w:rsidRPr="00A64175">
        <w:rPr>
          <w:rFonts w:ascii="Arial" w:hAnsi="Arial" w:cs="Arial"/>
          <w:color w:val="000000"/>
          <w:sz w:val="22"/>
          <w:szCs w:val="22"/>
        </w:rPr>
        <w:t xml:space="preserve"> par </w:t>
      </w:r>
      <w:r w:rsidR="0047758D" w:rsidRPr="00A64175">
        <w:rPr>
          <w:rFonts w:ascii="Arial" w:hAnsi="Arial" w:cs="Arial"/>
          <w:color w:val="000000"/>
          <w:sz w:val="22"/>
          <w:szCs w:val="22"/>
        </w:rPr>
        <w:t>les personnes, structures ou organismes suivants :</w:t>
      </w:r>
    </w:p>
    <w:p w14:paraId="226E52D1" w14:textId="77777777" w:rsidR="0047758D" w:rsidRPr="00A64175" w:rsidRDefault="0047758D" w:rsidP="00A64175">
      <w:pPr>
        <w:widowControl w:val="0"/>
        <w:autoSpaceDE w:val="0"/>
        <w:autoSpaceDN w:val="0"/>
        <w:adjustRightInd w:val="0"/>
        <w:jc w:val="both"/>
        <w:rPr>
          <w:rFonts w:ascii="Arial" w:hAnsi="Arial" w:cs="Arial"/>
          <w:color w:val="000000"/>
          <w:sz w:val="22"/>
          <w:szCs w:val="22"/>
        </w:rPr>
      </w:pPr>
    </w:p>
    <w:p w14:paraId="7D6BDD43" w14:textId="3A343799" w:rsidR="0047758D" w:rsidRPr="00A64175" w:rsidRDefault="0047758D" w:rsidP="00A64175">
      <w:pPr>
        <w:pStyle w:val="Paragraphedeliste"/>
        <w:widowControl w:val="0"/>
        <w:numPr>
          <w:ilvl w:val="0"/>
          <w:numId w:val="86"/>
        </w:numPr>
        <w:autoSpaceDE w:val="0"/>
        <w:adjustRightInd w:val="0"/>
        <w:rPr>
          <w:color w:val="000000"/>
          <w:sz w:val="22"/>
          <w:szCs w:val="22"/>
        </w:rPr>
      </w:pPr>
      <w:r w:rsidRPr="00A64175">
        <w:rPr>
          <w:color w:val="000000"/>
          <w:sz w:val="22"/>
          <w:szCs w:val="22"/>
        </w:rPr>
        <w:t xml:space="preserve">les intermédiaires de marché visés à l’article 145 du </w:t>
      </w:r>
      <w:r w:rsidR="00834698" w:rsidRPr="00A64175">
        <w:rPr>
          <w:color w:val="000000"/>
          <w:sz w:val="22"/>
          <w:szCs w:val="22"/>
        </w:rPr>
        <w:t>Règlement n°01/22/CEMAC/UMAC/CM/COSUMAF du 21 juillet 2022 ;</w:t>
      </w:r>
    </w:p>
    <w:p w14:paraId="0045AC06" w14:textId="37FC1BF7" w:rsidR="00834698" w:rsidRPr="00A64175" w:rsidRDefault="00834698" w:rsidP="00A64175">
      <w:pPr>
        <w:pStyle w:val="Paragraphedeliste"/>
        <w:widowControl w:val="0"/>
        <w:numPr>
          <w:ilvl w:val="0"/>
          <w:numId w:val="86"/>
        </w:numPr>
        <w:autoSpaceDE w:val="0"/>
        <w:adjustRightInd w:val="0"/>
        <w:rPr>
          <w:color w:val="000000"/>
          <w:sz w:val="22"/>
          <w:szCs w:val="22"/>
        </w:rPr>
      </w:pPr>
      <w:r w:rsidRPr="00A64175">
        <w:rPr>
          <w:color w:val="000000"/>
          <w:sz w:val="22"/>
          <w:szCs w:val="22"/>
        </w:rPr>
        <w:t>les structures ou organismes constitués sous forme de personnes morales, dont l’objet porte, partiellement ou exclusivement</w:t>
      </w:r>
      <w:r w:rsidR="0093528C" w:rsidRPr="00A64175">
        <w:rPr>
          <w:color w:val="000000"/>
          <w:sz w:val="22"/>
          <w:szCs w:val="22"/>
        </w:rPr>
        <w:t>,</w:t>
      </w:r>
      <w:r w:rsidRPr="00A64175">
        <w:rPr>
          <w:color w:val="000000"/>
          <w:sz w:val="22"/>
          <w:szCs w:val="22"/>
        </w:rPr>
        <w:t xml:space="preserve"> sur la production d’analyses financières</w:t>
      </w:r>
      <w:r w:rsidR="0093528C" w:rsidRPr="00A64175">
        <w:rPr>
          <w:color w:val="000000"/>
          <w:sz w:val="22"/>
          <w:szCs w:val="22"/>
        </w:rPr>
        <w:t xml:space="preserve"> et de recommandations d’investissement,</w:t>
      </w:r>
      <w:r w:rsidRPr="00A64175">
        <w:rPr>
          <w:color w:val="000000"/>
          <w:sz w:val="22"/>
          <w:szCs w:val="22"/>
        </w:rPr>
        <w:t xml:space="preserve"> dûment agréés à cet effet par la COSUMAF dans les conditions précisées par instruction.</w:t>
      </w:r>
    </w:p>
    <w:p w14:paraId="010C35D0" w14:textId="77777777" w:rsidR="00870249" w:rsidRPr="00A64175" w:rsidRDefault="00870249" w:rsidP="00A64175">
      <w:pPr>
        <w:widowControl w:val="0"/>
        <w:autoSpaceDE w:val="0"/>
        <w:autoSpaceDN w:val="0"/>
        <w:adjustRightInd w:val="0"/>
        <w:jc w:val="both"/>
        <w:rPr>
          <w:rFonts w:ascii="Arial" w:hAnsi="Arial" w:cs="Arial"/>
          <w:color w:val="000000"/>
          <w:sz w:val="22"/>
          <w:szCs w:val="22"/>
        </w:rPr>
      </w:pPr>
    </w:p>
    <w:p w14:paraId="7254884E" w14:textId="77777777" w:rsidR="006D532C" w:rsidRPr="00A64175" w:rsidRDefault="006D532C" w:rsidP="00A64175">
      <w:pPr>
        <w:widowControl w:val="0"/>
        <w:autoSpaceDE w:val="0"/>
        <w:autoSpaceDN w:val="0"/>
        <w:adjustRightInd w:val="0"/>
        <w:jc w:val="both"/>
        <w:rPr>
          <w:rFonts w:ascii="Arial" w:hAnsi="Arial" w:cs="Arial"/>
          <w:color w:val="000000"/>
          <w:sz w:val="22"/>
          <w:szCs w:val="22"/>
        </w:rPr>
      </w:pPr>
    </w:p>
    <w:p w14:paraId="2FFDFED7" w14:textId="77777777" w:rsidR="006D532C" w:rsidRPr="00A64175" w:rsidRDefault="006D532C" w:rsidP="00A64175">
      <w:pPr>
        <w:widowControl w:val="0"/>
        <w:autoSpaceDE w:val="0"/>
        <w:autoSpaceDN w:val="0"/>
        <w:adjustRightInd w:val="0"/>
        <w:jc w:val="both"/>
        <w:rPr>
          <w:rFonts w:ascii="Arial" w:hAnsi="Arial" w:cs="Arial"/>
          <w:color w:val="000000"/>
          <w:sz w:val="22"/>
          <w:szCs w:val="22"/>
        </w:rPr>
      </w:pPr>
    </w:p>
    <w:p w14:paraId="23FEDF4C" w14:textId="52B5ED5F" w:rsidR="006D532C" w:rsidRPr="00A64175" w:rsidRDefault="003F311B" w:rsidP="00A64175">
      <w:pPr>
        <w:widowControl w:val="0"/>
        <w:autoSpaceDE w:val="0"/>
        <w:autoSpaceDN w:val="0"/>
        <w:adjustRightInd w:val="0"/>
        <w:jc w:val="both"/>
        <w:rPr>
          <w:rFonts w:ascii="Arial" w:hAnsi="Arial" w:cs="Arial"/>
          <w:kern w:val="1"/>
          <w:sz w:val="22"/>
          <w:szCs w:val="22"/>
        </w:rPr>
      </w:pPr>
      <w:r w:rsidRPr="00A64175">
        <w:rPr>
          <w:rFonts w:ascii="Arial" w:hAnsi="Arial" w:cs="Arial"/>
          <w:b/>
          <w:sz w:val="22"/>
          <w:szCs w:val="22"/>
        </w:rPr>
        <w:t xml:space="preserve">TITRE </w:t>
      </w:r>
      <w:r w:rsidR="006D532C" w:rsidRPr="00A64175">
        <w:rPr>
          <w:rFonts w:ascii="Arial" w:hAnsi="Arial" w:cs="Arial"/>
          <w:b/>
          <w:sz w:val="22"/>
          <w:szCs w:val="22"/>
        </w:rPr>
        <w:t>I</w:t>
      </w:r>
      <w:r w:rsidRPr="00A64175">
        <w:rPr>
          <w:rFonts w:ascii="Arial" w:hAnsi="Arial" w:cs="Arial"/>
          <w:b/>
          <w:sz w:val="22"/>
          <w:szCs w:val="22"/>
        </w:rPr>
        <w:t>X</w:t>
      </w:r>
      <w:r w:rsidR="006D532C" w:rsidRPr="00A64175">
        <w:rPr>
          <w:rFonts w:ascii="Arial" w:hAnsi="Arial" w:cs="Arial"/>
          <w:b/>
          <w:sz w:val="22"/>
          <w:szCs w:val="22"/>
        </w:rPr>
        <w:t xml:space="preserve"> – PRODUCTION DES ETATS FINANCIERS DE SYNTHESE ET APPROBATION DES COMPTES DES PERSONNES OU STRUCTURES AGREEES </w:t>
      </w:r>
    </w:p>
    <w:p w14:paraId="55F4A469" w14:textId="77777777" w:rsidR="006D532C" w:rsidRPr="00A64175" w:rsidRDefault="006D532C" w:rsidP="00A64175">
      <w:pPr>
        <w:widowControl w:val="0"/>
        <w:autoSpaceDE w:val="0"/>
        <w:autoSpaceDN w:val="0"/>
        <w:adjustRightInd w:val="0"/>
        <w:jc w:val="both"/>
        <w:rPr>
          <w:rFonts w:ascii="Arial" w:hAnsi="Arial" w:cs="Arial"/>
          <w:kern w:val="1"/>
          <w:sz w:val="22"/>
          <w:szCs w:val="22"/>
        </w:rPr>
      </w:pPr>
    </w:p>
    <w:p w14:paraId="255442A3" w14:textId="77777777" w:rsidR="006D532C" w:rsidRPr="00A64175" w:rsidRDefault="006D532C" w:rsidP="00A64175">
      <w:pPr>
        <w:widowControl w:val="0"/>
        <w:autoSpaceDE w:val="0"/>
        <w:autoSpaceDN w:val="0"/>
        <w:adjustRightInd w:val="0"/>
        <w:jc w:val="both"/>
        <w:rPr>
          <w:rFonts w:ascii="Arial" w:hAnsi="Arial" w:cs="Arial"/>
          <w:kern w:val="1"/>
          <w:sz w:val="22"/>
          <w:szCs w:val="22"/>
        </w:rPr>
      </w:pPr>
    </w:p>
    <w:p w14:paraId="2C8D2FAC" w14:textId="0114B2B2" w:rsidR="006D532C" w:rsidRPr="00A64175" w:rsidRDefault="00DD3D4D" w:rsidP="00A64175">
      <w:pPr>
        <w:widowControl w:val="0"/>
        <w:autoSpaceDE w:val="0"/>
        <w:autoSpaceDN w:val="0"/>
        <w:adjustRightInd w:val="0"/>
        <w:jc w:val="both"/>
        <w:rPr>
          <w:rFonts w:ascii="Arial" w:hAnsi="Arial" w:cs="Arial"/>
          <w:kern w:val="1"/>
          <w:sz w:val="22"/>
          <w:szCs w:val="22"/>
        </w:rPr>
      </w:pPr>
      <w:r w:rsidRPr="00A64175">
        <w:rPr>
          <w:rFonts w:ascii="Arial" w:hAnsi="Arial" w:cs="Arial"/>
          <w:b/>
          <w:bCs/>
          <w:sz w:val="22"/>
          <w:szCs w:val="22"/>
        </w:rPr>
        <w:t xml:space="preserve">Article </w:t>
      </w:r>
      <w:r w:rsidR="00AA774A" w:rsidRPr="00A64175">
        <w:rPr>
          <w:rFonts w:ascii="Arial" w:hAnsi="Arial" w:cs="Arial"/>
          <w:b/>
          <w:bCs/>
          <w:sz w:val="22"/>
          <w:szCs w:val="22"/>
        </w:rPr>
        <w:t>6</w:t>
      </w:r>
      <w:r w:rsidR="00AA774A">
        <w:rPr>
          <w:rFonts w:ascii="Arial" w:hAnsi="Arial" w:cs="Arial"/>
          <w:b/>
          <w:bCs/>
          <w:sz w:val="22"/>
          <w:szCs w:val="22"/>
        </w:rPr>
        <w:t xml:space="preserve">49. </w:t>
      </w:r>
      <w:r w:rsidR="006D532C" w:rsidRPr="00A64175">
        <w:rPr>
          <w:rFonts w:ascii="Arial" w:hAnsi="Arial" w:cs="Arial"/>
          <w:b/>
          <w:sz w:val="22"/>
          <w:szCs w:val="22"/>
        </w:rPr>
        <w:t>–</w:t>
      </w:r>
      <w:r w:rsidR="006D532C" w:rsidRPr="00A64175">
        <w:rPr>
          <w:rFonts w:ascii="Arial" w:hAnsi="Arial" w:cs="Arial"/>
          <w:sz w:val="22"/>
          <w:szCs w:val="22"/>
        </w:rPr>
        <w:t xml:space="preserve"> A la clôture de chaque exercice, les personnes, structures o</w:t>
      </w:r>
      <w:r w:rsidR="00703BF6" w:rsidRPr="00A64175">
        <w:rPr>
          <w:rFonts w:ascii="Arial" w:hAnsi="Arial" w:cs="Arial"/>
          <w:sz w:val="22"/>
          <w:szCs w:val="22"/>
        </w:rPr>
        <w:t>u organismes soumis à l’agrément</w:t>
      </w:r>
      <w:r w:rsidR="006D532C" w:rsidRPr="00A64175">
        <w:rPr>
          <w:rFonts w:ascii="Arial" w:hAnsi="Arial" w:cs="Arial"/>
          <w:sz w:val="22"/>
          <w:szCs w:val="22"/>
        </w:rPr>
        <w:t xml:space="preserve"> de la COSUMAF et visés à </w:t>
      </w:r>
      <w:r w:rsidR="00703BF6" w:rsidRPr="00A64175">
        <w:rPr>
          <w:rFonts w:ascii="Arial" w:hAnsi="Arial" w:cs="Arial"/>
          <w:sz w:val="22"/>
          <w:szCs w:val="22"/>
        </w:rPr>
        <w:t>l’article 19</w:t>
      </w:r>
      <w:r w:rsidR="006D532C" w:rsidRPr="00A64175">
        <w:rPr>
          <w:rFonts w:ascii="Arial" w:hAnsi="Arial" w:cs="Arial"/>
          <w:sz w:val="22"/>
          <w:szCs w:val="22"/>
        </w:rPr>
        <w:t xml:space="preserve"> du Règlement</w:t>
      </w:r>
      <w:r w:rsidR="00703BF6" w:rsidRPr="00A64175">
        <w:rPr>
          <w:rFonts w:ascii="Arial" w:hAnsi="Arial" w:cs="Arial"/>
          <w:color w:val="000000"/>
          <w:sz w:val="22"/>
          <w:szCs w:val="22"/>
        </w:rPr>
        <w:t xml:space="preserve"> n°01/22/CEMAC/UMAC/CM/COSUMAF du 21 juillet 2022</w:t>
      </w:r>
      <w:r w:rsidR="006D532C" w:rsidRPr="00A64175">
        <w:rPr>
          <w:rFonts w:ascii="Arial" w:hAnsi="Arial" w:cs="Arial"/>
          <w:sz w:val="22"/>
          <w:szCs w:val="22"/>
        </w:rPr>
        <w:t xml:space="preserve"> sont tenus d’établir et arrêter leurs états financiers de synthèse et de les communiquer, avec le rapport de gestion et les rapports des commissaires aux comptes, à la COSUMAF dans les délais et modalités fixés par instruction.</w:t>
      </w:r>
    </w:p>
    <w:p w14:paraId="3F6AA5C3" w14:textId="77777777" w:rsidR="006D532C" w:rsidRPr="00A64175" w:rsidRDefault="006D532C" w:rsidP="00A64175">
      <w:pPr>
        <w:widowControl w:val="0"/>
        <w:autoSpaceDE w:val="0"/>
        <w:autoSpaceDN w:val="0"/>
        <w:adjustRightInd w:val="0"/>
        <w:jc w:val="both"/>
        <w:rPr>
          <w:rFonts w:ascii="Arial" w:hAnsi="Arial" w:cs="Arial"/>
          <w:kern w:val="1"/>
          <w:sz w:val="22"/>
          <w:szCs w:val="22"/>
        </w:rPr>
      </w:pPr>
    </w:p>
    <w:p w14:paraId="7966003B" w14:textId="601EECAC" w:rsidR="006D532C" w:rsidRPr="00A64175" w:rsidRDefault="00DD3D4D" w:rsidP="00A64175">
      <w:pPr>
        <w:widowControl w:val="0"/>
        <w:autoSpaceDE w:val="0"/>
        <w:autoSpaceDN w:val="0"/>
        <w:adjustRightInd w:val="0"/>
        <w:jc w:val="both"/>
        <w:rPr>
          <w:rFonts w:ascii="Arial" w:hAnsi="Arial" w:cs="Arial"/>
          <w:kern w:val="1"/>
          <w:sz w:val="22"/>
          <w:szCs w:val="22"/>
        </w:rPr>
      </w:pPr>
      <w:r w:rsidRPr="00A64175">
        <w:rPr>
          <w:rFonts w:ascii="Arial" w:hAnsi="Arial" w:cs="Arial"/>
          <w:kern w:val="1"/>
          <w:sz w:val="22"/>
          <w:szCs w:val="22"/>
        </w:rPr>
        <w:t>Le non-</w:t>
      </w:r>
      <w:r w:rsidR="006D532C" w:rsidRPr="00A64175">
        <w:rPr>
          <w:rFonts w:ascii="Arial" w:hAnsi="Arial" w:cs="Arial"/>
          <w:kern w:val="1"/>
          <w:sz w:val="22"/>
          <w:szCs w:val="22"/>
        </w:rPr>
        <w:t>respect des délais de communication à la COSUMAF entraîne l’application des pénalités d</w:t>
      </w:r>
      <w:r w:rsidR="005713DD" w:rsidRPr="00A64175">
        <w:rPr>
          <w:rFonts w:ascii="Arial" w:hAnsi="Arial" w:cs="Arial"/>
          <w:kern w:val="1"/>
          <w:sz w:val="22"/>
          <w:szCs w:val="22"/>
        </w:rPr>
        <w:t>e retard visées</w:t>
      </w:r>
      <w:r w:rsidR="00F56CE3">
        <w:rPr>
          <w:rFonts w:ascii="Arial" w:hAnsi="Arial" w:cs="Arial"/>
          <w:kern w:val="1"/>
          <w:sz w:val="22"/>
          <w:szCs w:val="22"/>
        </w:rPr>
        <w:t xml:space="preserve"> à l’article</w:t>
      </w:r>
      <w:r w:rsidR="0054455D">
        <w:rPr>
          <w:rFonts w:ascii="Arial" w:hAnsi="Arial" w:cs="Arial"/>
          <w:kern w:val="1"/>
          <w:sz w:val="22"/>
          <w:szCs w:val="22"/>
        </w:rPr>
        <w:t xml:space="preserve"> </w:t>
      </w:r>
      <w:r w:rsidR="00F56CE3" w:rsidRPr="00A64175">
        <w:rPr>
          <w:rFonts w:ascii="Arial" w:hAnsi="Arial" w:cs="Arial"/>
          <w:kern w:val="1"/>
          <w:sz w:val="22"/>
          <w:szCs w:val="22"/>
        </w:rPr>
        <w:t>27 du</w:t>
      </w:r>
      <w:r w:rsidR="00F56CE3" w:rsidRPr="00A64175">
        <w:rPr>
          <w:rFonts w:ascii="Arial" w:hAnsi="Arial" w:cs="Arial"/>
          <w:color w:val="000000"/>
          <w:sz w:val="22"/>
          <w:szCs w:val="22"/>
        </w:rPr>
        <w:t xml:space="preserve"> Règlement n°01/22/CEMAC/UMAC/CM/COSUMAF du 21 juillet 2022</w:t>
      </w:r>
      <w:r w:rsidR="006D532C" w:rsidRPr="00A64175">
        <w:rPr>
          <w:rFonts w:ascii="Arial" w:hAnsi="Arial" w:cs="Arial"/>
          <w:kern w:val="1"/>
          <w:sz w:val="22"/>
          <w:szCs w:val="22"/>
        </w:rPr>
        <w:t>.</w:t>
      </w:r>
    </w:p>
    <w:p w14:paraId="5923C1D5" w14:textId="77777777" w:rsidR="006D532C" w:rsidRPr="00A64175" w:rsidRDefault="006D532C" w:rsidP="00A64175">
      <w:pPr>
        <w:widowControl w:val="0"/>
        <w:autoSpaceDE w:val="0"/>
        <w:autoSpaceDN w:val="0"/>
        <w:adjustRightInd w:val="0"/>
        <w:jc w:val="both"/>
        <w:rPr>
          <w:rFonts w:ascii="Arial" w:hAnsi="Arial" w:cs="Arial"/>
          <w:kern w:val="1"/>
          <w:sz w:val="22"/>
          <w:szCs w:val="22"/>
        </w:rPr>
      </w:pPr>
    </w:p>
    <w:p w14:paraId="64F4E5D3" w14:textId="18AB748E" w:rsidR="00880D80" w:rsidRPr="00A64175" w:rsidRDefault="00DD3D4D" w:rsidP="00A64175">
      <w:pPr>
        <w:widowControl w:val="0"/>
        <w:autoSpaceDE w:val="0"/>
        <w:autoSpaceDN w:val="0"/>
        <w:adjustRightInd w:val="0"/>
        <w:jc w:val="both"/>
        <w:rPr>
          <w:rFonts w:ascii="Arial" w:hAnsi="Arial" w:cs="Arial"/>
          <w:sz w:val="22"/>
          <w:szCs w:val="22"/>
        </w:rPr>
      </w:pPr>
      <w:r w:rsidRPr="00A64175">
        <w:rPr>
          <w:rFonts w:ascii="Arial" w:hAnsi="Arial" w:cs="Arial"/>
          <w:b/>
          <w:bCs/>
          <w:sz w:val="22"/>
          <w:szCs w:val="22"/>
        </w:rPr>
        <w:t xml:space="preserve">Article </w:t>
      </w:r>
      <w:r w:rsidR="00AA774A" w:rsidRPr="00A64175">
        <w:rPr>
          <w:rFonts w:ascii="Arial" w:hAnsi="Arial" w:cs="Arial"/>
          <w:b/>
          <w:bCs/>
          <w:sz w:val="22"/>
          <w:szCs w:val="22"/>
        </w:rPr>
        <w:t>6</w:t>
      </w:r>
      <w:r w:rsidR="00AA774A">
        <w:rPr>
          <w:rFonts w:ascii="Arial" w:hAnsi="Arial" w:cs="Arial"/>
          <w:b/>
          <w:bCs/>
          <w:sz w:val="22"/>
          <w:szCs w:val="22"/>
        </w:rPr>
        <w:t xml:space="preserve">50. </w:t>
      </w:r>
      <w:r w:rsidR="006D532C" w:rsidRPr="00A64175">
        <w:rPr>
          <w:rFonts w:ascii="Arial" w:hAnsi="Arial" w:cs="Arial"/>
          <w:b/>
          <w:sz w:val="22"/>
          <w:szCs w:val="22"/>
        </w:rPr>
        <w:t>–</w:t>
      </w:r>
      <w:r w:rsidR="006D532C" w:rsidRPr="00A64175">
        <w:rPr>
          <w:rFonts w:ascii="Arial" w:hAnsi="Arial" w:cs="Arial"/>
          <w:sz w:val="22"/>
          <w:szCs w:val="22"/>
        </w:rPr>
        <w:t xml:space="preserve"> Six (6) mois au plus tard après la clôture de l’exercice, les personnes, structures </w:t>
      </w:r>
      <w:r w:rsidR="005713DD" w:rsidRPr="00A64175">
        <w:rPr>
          <w:rFonts w:ascii="Arial" w:hAnsi="Arial" w:cs="Arial"/>
          <w:sz w:val="22"/>
          <w:szCs w:val="22"/>
        </w:rPr>
        <w:t>ou organismes soumis à l’agrément</w:t>
      </w:r>
      <w:r w:rsidR="006D532C" w:rsidRPr="00A64175">
        <w:rPr>
          <w:rFonts w:ascii="Arial" w:hAnsi="Arial" w:cs="Arial"/>
          <w:sz w:val="22"/>
          <w:szCs w:val="22"/>
        </w:rPr>
        <w:t xml:space="preserve"> de la COSUMAF sont tenus de convoquer une assemblée générale statuant sur les états f</w:t>
      </w:r>
      <w:r w:rsidR="005713DD" w:rsidRPr="00A64175">
        <w:rPr>
          <w:rFonts w:ascii="Arial" w:hAnsi="Arial" w:cs="Arial"/>
          <w:sz w:val="22"/>
          <w:szCs w:val="22"/>
        </w:rPr>
        <w:t>inanciers de synthèse annuels,</w:t>
      </w:r>
      <w:r w:rsidR="006D532C" w:rsidRPr="00A64175">
        <w:rPr>
          <w:rFonts w:ascii="Arial" w:hAnsi="Arial" w:cs="Arial"/>
          <w:sz w:val="22"/>
          <w:szCs w:val="22"/>
        </w:rPr>
        <w:t xml:space="preserve"> l’approbation des comptes</w:t>
      </w:r>
      <w:r w:rsidR="005713DD" w:rsidRPr="00A64175">
        <w:rPr>
          <w:rFonts w:ascii="Arial" w:hAnsi="Arial" w:cs="Arial"/>
          <w:sz w:val="22"/>
          <w:szCs w:val="22"/>
        </w:rPr>
        <w:t xml:space="preserve"> et l’affectation du résultat</w:t>
      </w:r>
      <w:r w:rsidR="006D532C" w:rsidRPr="00A64175">
        <w:rPr>
          <w:rFonts w:ascii="Arial" w:hAnsi="Arial" w:cs="Arial"/>
          <w:sz w:val="22"/>
          <w:szCs w:val="22"/>
        </w:rPr>
        <w:t>.</w:t>
      </w:r>
      <w:r w:rsidR="005713DD" w:rsidRPr="00A64175">
        <w:rPr>
          <w:rFonts w:ascii="Arial" w:hAnsi="Arial" w:cs="Arial"/>
          <w:sz w:val="22"/>
          <w:szCs w:val="22"/>
        </w:rPr>
        <w:t xml:space="preserve"> </w:t>
      </w:r>
    </w:p>
    <w:p w14:paraId="008157AC" w14:textId="77777777" w:rsidR="00880D80" w:rsidRPr="00A64175" w:rsidRDefault="00880D80" w:rsidP="00A64175">
      <w:pPr>
        <w:widowControl w:val="0"/>
        <w:autoSpaceDE w:val="0"/>
        <w:autoSpaceDN w:val="0"/>
        <w:adjustRightInd w:val="0"/>
        <w:jc w:val="both"/>
        <w:rPr>
          <w:rFonts w:ascii="Arial" w:hAnsi="Arial" w:cs="Arial"/>
          <w:sz w:val="22"/>
          <w:szCs w:val="22"/>
        </w:rPr>
      </w:pPr>
    </w:p>
    <w:p w14:paraId="4BCFDF85" w14:textId="74CB6F3F" w:rsidR="006D532C" w:rsidRPr="00A64175" w:rsidRDefault="005713DD" w:rsidP="00A64175">
      <w:pPr>
        <w:widowControl w:val="0"/>
        <w:autoSpaceDE w:val="0"/>
        <w:autoSpaceDN w:val="0"/>
        <w:adjustRightInd w:val="0"/>
        <w:jc w:val="both"/>
        <w:rPr>
          <w:rFonts w:ascii="Arial" w:hAnsi="Arial" w:cs="Arial"/>
          <w:sz w:val="22"/>
          <w:szCs w:val="22"/>
        </w:rPr>
      </w:pPr>
      <w:r w:rsidRPr="00A64175">
        <w:rPr>
          <w:rFonts w:ascii="Arial" w:hAnsi="Arial" w:cs="Arial"/>
          <w:sz w:val="22"/>
          <w:szCs w:val="22"/>
        </w:rPr>
        <w:t>L</w:t>
      </w:r>
      <w:r w:rsidR="00880D80" w:rsidRPr="00A64175">
        <w:rPr>
          <w:rFonts w:ascii="Arial" w:hAnsi="Arial" w:cs="Arial"/>
          <w:sz w:val="22"/>
          <w:szCs w:val="22"/>
        </w:rPr>
        <w:t>orsque, en raison de</w:t>
      </w:r>
      <w:r w:rsidRPr="00A64175">
        <w:rPr>
          <w:rFonts w:ascii="Arial" w:hAnsi="Arial" w:cs="Arial"/>
          <w:sz w:val="22"/>
          <w:szCs w:val="22"/>
        </w:rPr>
        <w:t xml:space="preserve"> circonstances exceptionnelles </w:t>
      </w:r>
      <w:r w:rsidR="00880D80" w:rsidRPr="00A64175">
        <w:rPr>
          <w:rFonts w:ascii="Arial" w:hAnsi="Arial" w:cs="Arial"/>
          <w:sz w:val="22"/>
          <w:szCs w:val="22"/>
        </w:rPr>
        <w:t xml:space="preserve">dûment établies, l’assemblée générale ne peut se tenir dans le délai prévu au présent article, </w:t>
      </w:r>
      <w:r w:rsidR="004D1F9B" w:rsidRPr="00A64175">
        <w:rPr>
          <w:rFonts w:ascii="Arial" w:hAnsi="Arial" w:cs="Arial"/>
          <w:sz w:val="22"/>
          <w:szCs w:val="22"/>
        </w:rPr>
        <w:t>une demande de prorogation doit être introduite auprès de la COSUMAF avant l’expiration dudit délai. La prorogation ne peut dépasser soixante (60) jours.</w:t>
      </w:r>
    </w:p>
    <w:p w14:paraId="00BED4AD" w14:textId="77777777" w:rsidR="006D532C" w:rsidRPr="00A64175" w:rsidRDefault="006D532C" w:rsidP="00A64175">
      <w:pPr>
        <w:widowControl w:val="0"/>
        <w:autoSpaceDE w:val="0"/>
        <w:autoSpaceDN w:val="0"/>
        <w:adjustRightInd w:val="0"/>
        <w:jc w:val="both"/>
        <w:rPr>
          <w:rFonts w:ascii="Arial" w:hAnsi="Arial" w:cs="Arial"/>
          <w:sz w:val="22"/>
          <w:szCs w:val="22"/>
        </w:rPr>
      </w:pPr>
    </w:p>
    <w:p w14:paraId="59449962" w14:textId="04FFC89A" w:rsidR="004D1F9B" w:rsidRPr="00A64175" w:rsidRDefault="004D1F9B" w:rsidP="00A64175">
      <w:pPr>
        <w:widowControl w:val="0"/>
        <w:autoSpaceDE w:val="0"/>
        <w:autoSpaceDN w:val="0"/>
        <w:adjustRightInd w:val="0"/>
        <w:jc w:val="both"/>
        <w:rPr>
          <w:rFonts w:ascii="Arial" w:hAnsi="Arial" w:cs="Arial"/>
          <w:sz w:val="22"/>
          <w:szCs w:val="22"/>
        </w:rPr>
      </w:pPr>
      <w:r w:rsidRPr="00A64175">
        <w:rPr>
          <w:rFonts w:ascii="Arial" w:hAnsi="Arial" w:cs="Arial"/>
          <w:sz w:val="22"/>
          <w:szCs w:val="22"/>
        </w:rPr>
        <w:t>Une notification de tenue de l’assemblée générale est adressée à la COSUMAF.</w:t>
      </w:r>
    </w:p>
    <w:p w14:paraId="37BD2077" w14:textId="77777777" w:rsidR="004D1F9B" w:rsidRPr="00A64175" w:rsidRDefault="004D1F9B" w:rsidP="00A64175">
      <w:pPr>
        <w:widowControl w:val="0"/>
        <w:autoSpaceDE w:val="0"/>
        <w:autoSpaceDN w:val="0"/>
        <w:adjustRightInd w:val="0"/>
        <w:jc w:val="both"/>
        <w:rPr>
          <w:rFonts w:ascii="Arial" w:hAnsi="Arial" w:cs="Arial"/>
          <w:sz w:val="22"/>
          <w:szCs w:val="22"/>
        </w:rPr>
      </w:pPr>
    </w:p>
    <w:p w14:paraId="33F19EC8" w14:textId="55440EA6" w:rsidR="006D532C" w:rsidRPr="00A64175" w:rsidRDefault="006D532C" w:rsidP="00A64175">
      <w:pPr>
        <w:widowControl w:val="0"/>
        <w:autoSpaceDE w:val="0"/>
        <w:autoSpaceDN w:val="0"/>
        <w:adjustRightInd w:val="0"/>
        <w:jc w:val="both"/>
        <w:rPr>
          <w:rFonts w:ascii="Arial" w:hAnsi="Arial" w:cs="Arial"/>
          <w:kern w:val="1"/>
          <w:sz w:val="22"/>
          <w:szCs w:val="22"/>
        </w:rPr>
      </w:pPr>
      <w:r w:rsidRPr="00A64175">
        <w:rPr>
          <w:rFonts w:ascii="Arial" w:hAnsi="Arial" w:cs="Arial"/>
          <w:sz w:val="22"/>
          <w:szCs w:val="22"/>
        </w:rPr>
        <w:t>L</w:t>
      </w:r>
      <w:r w:rsidR="00703BF6" w:rsidRPr="00A64175">
        <w:rPr>
          <w:rFonts w:ascii="Arial" w:hAnsi="Arial" w:cs="Arial"/>
          <w:sz w:val="22"/>
          <w:szCs w:val="22"/>
        </w:rPr>
        <w:t>e non-</w:t>
      </w:r>
      <w:r w:rsidR="004D1F9B" w:rsidRPr="00A64175">
        <w:rPr>
          <w:rFonts w:ascii="Arial" w:hAnsi="Arial" w:cs="Arial"/>
          <w:sz w:val="22"/>
          <w:szCs w:val="22"/>
        </w:rPr>
        <w:t>respect des</w:t>
      </w:r>
      <w:r w:rsidRPr="00A64175">
        <w:rPr>
          <w:rFonts w:ascii="Arial" w:hAnsi="Arial" w:cs="Arial"/>
          <w:sz w:val="22"/>
          <w:szCs w:val="22"/>
        </w:rPr>
        <w:t xml:space="preserve"> délai</w:t>
      </w:r>
      <w:r w:rsidR="004D1F9B" w:rsidRPr="00A64175">
        <w:rPr>
          <w:rFonts w:ascii="Arial" w:hAnsi="Arial" w:cs="Arial"/>
          <w:sz w:val="22"/>
          <w:szCs w:val="22"/>
        </w:rPr>
        <w:t>s</w:t>
      </w:r>
      <w:r w:rsidRPr="00A64175">
        <w:rPr>
          <w:rFonts w:ascii="Arial" w:hAnsi="Arial" w:cs="Arial"/>
          <w:sz w:val="22"/>
          <w:szCs w:val="22"/>
        </w:rPr>
        <w:t xml:space="preserve"> visé</w:t>
      </w:r>
      <w:r w:rsidR="004D1F9B" w:rsidRPr="00A64175">
        <w:rPr>
          <w:rFonts w:ascii="Arial" w:hAnsi="Arial" w:cs="Arial"/>
          <w:sz w:val="22"/>
          <w:szCs w:val="22"/>
        </w:rPr>
        <w:t>s</w:t>
      </w:r>
      <w:r w:rsidRPr="00A64175">
        <w:rPr>
          <w:rFonts w:ascii="Arial" w:hAnsi="Arial" w:cs="Arial"/>
          <w:sz w:val="22"/>
          <w:szCs w:val="22"/>
        </w:rPr>
        <w:t xml:space="preserve"> au présent article entraîne l’application des </w:t>
      </w:r>
      <w:r w:rsidRPr="00A64175">
        <w:rPr>
          <w:rFonts w:ascii="Arial" w:hAnsi="Arial" w:cs="Arial"/>
          <w:kern w:val="1"/>
          <w:sz w:val="22"/>
          <w:szCs w:val="22"/>
        </w:rPr>
        <w:t>pénalités de retard visées</w:t>
      </w:r>
      <w:r w:rsidR="005713DD" w:rsidRPr="00A64175">
        <w:rPr>
          <w:rFonts w:ascii="Arial" w:hAnsi="Arial" w:cs="Arial"/>
          <w:kern w:val="1"/>
          <w:sz w:val="22"/>
          <w:szCs w:val="22"/>
        </w:rPr>
        <w:t xml:space="preserve"> </w:t>
      </w:r>
      <w:r w:rsidR="00FA0969" w:rsidRPr="00A64175">
        <w:rPr>
          <w:rFonts w:ascii="Arial" w:hAnsi="Arial" w:cs="Arial"/>
          <w:kern w:val="1"/>
          <w:sz w:val="22"/>
          <w:szCs w:val="22"/>
        </w:rPr>
        <w:t>à l’article 27 du</w:t>
      </w:r>
      <w:r w:rsidR="00162493" w:rsidRPr="00A64175">
        <w:rPr>
          <w:rFonts w:ascii="Arial" w:hAnsi="Arial" w:cs="Arial"/>
          <w:color w:val="000000"/>
          <w:sz w:val="22"/>
          <w:szCs w:val="22"/>
        </w:rPr>
        <w:t xml:space="preserve"> Règlement n°01/22/CEMAC/UMAC/CM/COSUMAF du 21 juillet 2022</w:t>
      </w:r>
      <w:r w:rsidRPr="00A64175">
        <w:rPr>
          <w:rFonts w:ascii="Arial" w:hAnsi="Arial" w:cs="Arial"/>
          <w:kern w:val="1"/>
          <w:sz w:val="22"/>
          <w:szCs w:val="22"/>
        </w:rPr>
        <w:t>.</w:t>
      </w:r>
    </w:p>
    <w:p w14:paraId="57651F65" w14:textId="77777777" w:rsidR="006D532C" w:rsidRPr="00A64175" w:rsidRDefault="006D532C" w:rsidP="00A64175">
      <w:pPr>
        <w:widowControl w:val="0"/>
        <w:autoSpaceDE w:val="0"/>
        <w:autoSpaceDN w:val="0"/>
        <w:adjustRightInd w:val="0"/>
        <w:jc w:val="both"/>
        <w:rPr>
          <w:rFonts w:ascii="Arial" w:hAnsi="Arial" w:cs="Arial"/>
          <w:kern w:val="1"/>
          <w:sz w:val="22"/>
          <w:szCs w:val="22"/>
        </w:rPr>
      </w:pPr>
    </w:p>
    <w:p w14:paraId="5D7248A2" w14:textId="2E5DF6B2" w:rsidR="006D532C" w:rsidRPr="00A64175" w:rsidRDefault="006D532C" w:rsidP="00A64175">
      <w:pPr>
        <w:widowControl w:val="0"/>
        <w:autoSpaceDE w:val="0"/>
        <w:autoSpaceDN w:val="0"/>
        <w:adjustRightInd w:val="0"/>
        <w:jc w:val="both"/>
        <w:rPr>
          <w:rFonts w:ascii="Arial" w:hAnsi="Arial" w:cs="Arial"/>
          <w:kern w:val="1"/>
          <w:sz w:val="22"/>
          <w:szCs w:val="22"/>
        </w:rPr>
      </w:pPr>
      <w:r w:rsidRPr="00A64175">
        <w:rPr>
          <w:rFonts w:ascii="Arial" w:hAnsi="Arial" w:cs="Arial"/>
          <w:kern w:val="1"/>
          <w:sz w:val="22"/>
          <w:szCs w:val="22"/>
        </w:rPr>
        <w:t>Lorsque trois</w:t>
      </w:r>
      <w:r w:rsidR="004D1F9B" w:rsidRPr="00A64175">
        <w:rPr>
          <w:rFonts w:ascii="Arial" w:hAnsi="Arial" w:cs="Arial"/>
          <w:kern w:val="1"/>
          <w:sz w:val="22"/>
          <w:szCs w:val="22"/>
        </w:rPr>
        <w:t xml:space="preserve"> (3)</w:t>
      </w:r>
      <w:r w:rsidRPr="00A64175">
        <w:rPr>
          <w:rFonts w:ascii="Arial" w:hAnsi="Arial" w:cs="Arial"/>
          <w:kern w:val="1"/>
          <w:sz w:val="22"/>
          <w:szCs w:val="22"/>
        </w:rPr>
        <w:t xml:space="preserve"> mois après l’expiration du délai</w:t>
      </w:r>
      <w:r w:rsidR="004D1F9B" w:rsidRPr="00A64175">
        <w:rPr>
          <w:rFonts w:ascii="Arial" w:hAnsi="Arial" w:cs="Arial"/>
          <w:kern w:val="1"/>
          <w:sz w:val="22"/>
          <w:szCs w:val="22"/>
        </w:rPr>
        <w:t xml:space="preserve"> de conv</w:t>
      </w:r>
      <w:r w:rsidR="00046787" w:rsidRPr="00A64175">
        <w:rPr>
          <w:rFonts w:ascii="Arial" w:hAnsi="Arial" w:cs="Arial"/>
          <w:kern w:val="1"/>
          <w:sz w:val="22"/>
          <w:szCs w:val="22"/>
        </w:rPr>
        <w:t>o</w:t>
      </w:r>
      <w:r w:rsidR="004D1F9B" w:rsidRPr="00A64175">
        <w:rPr>
          <w:rFonts w:ascii="Arial" w:hAnsi="Arial" w:cs="Arial"/>
          <w:kern w:val="1"/>
          <w:sz w:val="22"/>
          <w:szCs w:val="22"/>
        </w:rPr>
        <w:t>cation</w:t>
      </w:r>
      <w:r w:rsidRPr="00A64175">
        <w:rPr>
          <w:rFonts w:ascii="Arial" w:hAnsi="Arial" w:cs="Arial"/>
          <w:kern w:val="1"/>
          <w:sz w:val="22"/>
          <w:szCs w:val="22"/>
        </w:rPr>
        <w:t xml:space="preserve"> de six (6) mois visé au présent article</w:t>
      </w:r>
      <w:r w:rsidR="004D1F9B" w:rsidRPr="00A64175">
        <w:rPr>
          <w:rFonts w:ascii="Arial" w:hAnsi="Arial" w:cs="Arial"/>
          <w:kern w:val="1"/>
          <w:sz w:val="22"/>
          <w:szCs w:val="22"/>
        </w:rPr>
        <w:t xml:space="preserve"> et, le cas échéant, après l’expiration du délai de prorogation</w:t>
      </w:r>
      <w:r w:rsidRPr="00A64175">
        <w:rPr>
          <w:rFonts w:ascii="Arial" w:hAnsi="Arial" w:cs="Arial"/>
          <w:kern w:val="1"/>
          <w:sz w:val="22"/>
          <w:szCs w:val="22"/>
        </w:rPr>
        <w:t xml:space="preserve">, la COSUMAF n’a reçu aucune notification relative à la tenue de l’assemblée générale, </w:t>
      </w:r>
      <w:r w:rsidR="00046787" w:rsidRPr="00A64175">
        <w:rPr>
          <w:rFonts w:ascii="Arial" w:hAnsi="Arial" w:cs="Arial"/>
          <w:kern w:val="1"/>
          <w:sz w:val="22"/>
          <w:szCs w:val="22"/>
        </w:rPr>
        <w:t xml:space="preserve">outre l’application de pénalités, </w:t>
      </w:r>
      <w:r w:rsidRPr="00A64175">
        <w:rPr>
          <w:rFonts w:ascii="Arial" w:hAnsi="Arial" w:cs="Arial"/>
          <w:kern w:val="1"/>
          <w:sz w:val="22"/>
          <w:szCs w:val="22"/>
        </w:rPr>
        <w:t>elle ouvre une procédure de</w:t>
      </w:r>
      <w:r w:rsidR="00046787" w:rsidRPr="00A64175">
        <w:rPr>
          <w:rFonts w:ascii="Arial" w:hAnsi="Arial" w:cs="Arial"/>
          <w:kern w:val="1"/>
          <w:sz w:val="22"/>
          <w:szCs w:val="22"/>
        </w:rPr>
        <w:t xml:space="preserve"> sanction disciplinaire</w:t>
      </w:r>
      <w:r w:rsidRPr="00A64175">
        <w:rPr>
          <w:rFonts w:ascii="Arial" w:hAnsi="Arial" w:cs="Arial"/>
          <w:kern w:val="1"/>
          <w:sz w:val="22"/>
          <w:szCs w:val="22"/>
        </w:rPr>
        <w:t xml:space="preserve"> à l’encontre de la personne, structure ou organisme concerné.</w:t>
      </w:r>
    </w:p>
    <w:p w14:paraId="4C7925A8" w14:textId="77777777" w:rsidR="0096065A" w:rsidRPr="00A64175" w:rsidRDefault="0096065A" w:rsidP="00A64175">
      <w:pPr>
        <w:widowControl w:val="0"/>
        <w:autoSpaceDE w:val="0"/>
        <w:autoSpaceDN w:val="0"/>
        <w:adjustRightInd w:val="0"/>
        <w:jc w:val="both"/>
        <w:rPr>
          <w:rFonts w:ascii="Arial" w:hAnsi="Arial" w:cs="Arial"/>
          <w:kern w:val="1"/>
          <w:sz w:val="22"/>
          <w:szCs w:val="22"/>
        </w:rPr>
      </w:pPr>
    </w:p>
    <w:p w14:paraId="5EA6879B" w14:textId="77777777" w:rsidR="00E92832" w:rsidRPr="00A64175" w:rsidRDefault="00E92832" w:rsidP="00A64175">
      <w:pPr>
        <w:widowControl w:val="0"/>
        <w:autoSpaceDE w:val="0"/>
        <w:autoSpaceDN w:val="0"/>
        <w:adjustRightInd w:val="0"/>
        <w:jc w:val="both"/>
        <w:rPr>
          <w:rFonts w:ascii="Arial" w:hAnsi="Arial" w:cs="Arial"/>
          <w:kern w:val="1"/>
          <w:sz w:val="22"/>
          <w:szCs w:val="22"/>
        </w:rPr>
      </w:pPr>
    </w:p>
    <w:p w14:paraId="70B92B0E" w14:textId="28603965" w:rsidR="0014226F" w:rsidRPr="00A64175" w:rsidRDefault="0014226F" w:rsidP="00A64175">
      <w:pPr>
        <w:jc w:val="both"/>
        <w:rPr>
          <w:rFonts w:ascii="Arial" w:hAnsi="Arial" w:cs="Arial"/>
          <w:b/>
          <w:sz w:val="22"/>
          <w:szCs w:val="22"/>
        </w:rPr>
      </w:pPr>
      <w:r w:rsidRPr="00A64175">
        <w:rPr>
          <w:rFonts w:ascii="Arial" w:hAnsi="Arial" w:cs="Arial"/>
          <w:b/>
          <w:sz w:val="22"/>
          <w:szCs w:val="22"/>
        </w:rPr>
        <w:t>TITRE X – ORGANISMES DE GARANTIE DES EMISSIONS</w:t>
      </w:r>
    </w:p>
    <w:p w14:paraId="351CB895" w14:textId="77777777" w:rsidR="0014226F" w:rsidRPr="00A64175" w:rsidRDefault="0014226F" w:rsidP="00A64175">
      <w:pPr>
        <w:widowControl w:val="0"/>
        <w:autoSpaceDE w:val="0"/>
        <w:autoSpaceDN w:val="0"/>
        <w:adjustRightInd w:val="0"/>
        <w:jc w:val="both"/>
        <w:rPr>
          <w:rFonts w:ascii="Arial" w:hAnsi="Arial" w:cs="Arial"/>
          <w:kern w:val="1"/>
          <w:sz w:val="22"/>
          <w:szCs w:val="22"/>
        </w:rPr>
      </w:pPr>
    </w:p>
    <w:p w14:paraId="72A03DAC" w14:textId="77777777" w:rsidR="009A008F" w:rsidRPr="00AA774A" w:rsidRDefault="009A008F" w:rsidP="00A64175">
      <w:pPr>
        <w:pStyle w:val="NormalWeb"/>
        <w:spacing w:before="0" w:beforeAutospacing="0" w:after="0" w:afterAutospacing="0"/>
        <w:contextualSpacing/>
        <w:jc w:val="both"/>
        <w:rPr>
          <w:rFonts w:ascii="Arial" w:hAnsi="Arial" w:cs="Arial"/>
          <w:b/>
          <w:i/>
          <w:sz w:val="22"/>
          <w:szCs w:val="22"/>
        </w:rPr>
      </w:pPr>
      <w:r w:rsidRPr="00AA774A">
        <w:rPr>
          <w:rFonts w:ascii="Arial" w:hAnsi="Arial" w:cs="Arial"/>
          <w:b/>
          <w:i/>
          <w:sz w:val="22"/>
          <w:szCs w:val="22"/>
        </w:rPr>
        <w:t xml:space="preserve">Sous-Section I : Conditions d’agrément </w:t>
      </w:r>
    </w:p>
    <w:p w14:paraId="086AEC18"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08F00AE5"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7BDEB32D" w14:textId="3797C7A0" w:rsidR="009A008F" w:rsidRPr="00AA774A" w:rsidRDefault="00162493" w:rsidP="00A64175">
      <w:pPr>
        <w:pStyle w:val="NormalWeb"/>
        <w:spacing w:before="0" w:beforeAutospacing="0" w:after="0" w:afterAutospacing="0"/>
        <w:contextualSpacing/>
        <w:jc w:val="both"/>
        <w:rPr>
          <w:rFonts w:ascii="Arial" w:hAnsi="Arial" w:cs="Arial"/>
          <w:sz w:val="22"/>
          <w:szCs w:val="22"/>
        </w:rPr>
      </w:pPr>
      <w:r w:rsidRPr="00AA774A">
        <w:rPr>
          <w:rFonts w:ascii="Arial" w:hAnsi="Arial" w:cs="Arial"/>
          <w:b/>
          <w:bCs/>
          <w:sz w:val="22"/>
          <w:szCs w:val="22"/>
        </w:rPr>
        <w:t>Article 6</w:t>
      </w:r>
      <w:r w:rsidR="00562AEF" w:rsidRPr="00AA774A">
        <w:rPr>
          <w:rFonts w:ascii="Arial" w:hAnsi="Arial" w:cs="Arial"/>
          <w:b/>
          <w:bCs/>
          <w:sz w:val="22"/>
          <w:szCs w:val="22"/>
        </w:rPr>
        <w:t xml:space="preserve">51 </w:t>
      </w:r>
      <w:r w:rsidR="009A008F" w:rsidRPr="00AA774A">
        <w:rPr>
          <w:rFonts w:ascii="Arial" w:hAnsi="Arial" w:cs="Arial"/>
          <w:b/>
          <w:bCs/>
          <w:sz w:val="22"/>
          <w:szCs w:val="22"/>
        </w:rPr>
        <w:t xml:space="preserve"> – </w:t>
      </w:r>
      <w:r w:rsidR="009A008F" w:rsidRPr="00AA774A">
        <w:rPr>
          <w:rFonts w:ascii="Arial" w:hAnsi="Arial" w:cs="Arial"/>
          <w:bCs/>
          <w:sz w:val="22"/>
          <w:szCs w:val="22"/>
        </w:rPr>
        <w:t xml:space="preserve">Pour pouvoir exercer, sur le marché financier régional, l’activité de garantie des émissions visée aux articles 249 et suivants du </w:t>
      </w:r>
      <w:r w:rsidR="009A008F" w:rsidRPr="00AA774A">
        <w:rPr>
          <w:rFonts w:ascii="Arial" w:hAnsi="Arial" w:cs="Arial"/>
          <w:sz w:val="22"/>
          <w:szCs w:val="22"/>
        </w:rPr>
        <w:t>Règlement n°01/22/CEMAC/UMAC/CM/COSUMAF du 21 juillet 2022, l’organisme requérant doit notamment disposer :</w:t>
      </w:r>
    </w:p>
    <w:p w14:paraId="298CCA32"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1935BBF4" w14:textId="77777777" w:rsidR="009A008F" w:rsidRPr="00AA774A" w:rsidRDefault="009A008F"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sz w:val="22"/>
          <w:szCs w:val="22"/>
        </w:rPr>
        <w:t>D’un niveau de fonds propres suffisant eu égard à l’étendue des services offerts et au niveau des risques y afférents ;</w:t>
      </w:r>
    </w:p>
    <w:p w14:paraId="3D7846AC" w14:textId="77777777" w:rsidR="009A008F" w:rsidRPr="00AA774A" w:rsidRDefault="009A008F"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sz w:val="22"/>
          <w:szCs w:val="22"/>
        </w:rPr>
        <w:t>D’un dispositif de sécurité et de contrôle interne adéquat ;</w:t>
      </w:r>
    </w:p>
    <w:p w14:paraId="4A3C15D1" w14:textId="60595D68" w:rsidR="009A008F" w:rsidRPr="00AA774A" w:rsidRDefault="009A008F"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sz w:val="22"/>
          <w:szCs w:val="22"/>
        </w:rPr>
        <w:t>D’un dispositif de lutte contre le blanchiment de capitaux et le financement du terrorisme.</w:t>
      </w:r>
    </w:p>
    <w:p w14:paraId="57FD701B"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371CB861"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348C4E20" w14:textId="1B56E2C7" w:rsidR="00EF7243" w:rsidRPr="00AA774A" w:rsidRDefault="00162493" w:rsidP="00A64175">
      <w:pPr>
        <w:pStyle w:val="NormalWeb"/>
        <w:spacing w:before="0" w:beforeAutospacing="0" w:after="0" w:afterAutospacing="0"/>
        <w:contextualSpacing/>
        <w:jc w:val="both"/>
        <w:rPr>
          <w:rFonts w:ascii="Arial" w:hAnsi="Arial" w:cs="Arial"/>
          <w:bCs/>
          <w:sz w:val="22"/>
          <w:szCs w:val="22"/>
        </w:rPr>
      </w:pPr>
      <w:r w:rsidRPr="00AA774A">
        <w:rPr>
          <w:rFonts w:ascii="Arial" w:hAnsi="Arial" w:cs="Arial"/>
          <w:b/>
          <w:bCs/>
          <w:sz w:val="22"/>
          <w:szCs w:val="22"/>
        </w:rPr>
        <w:t>Article 6</w:t>
      </w:r>
      <w:r w:rsidR="00562AEF" w:rsidRPr="00AA774A">
        <w:rPr>
          <w:rFonts w:ascii="Arial" w:hAnsi="Arial" w:cs="Arial"/>
          <w:b/>
          <w:bCs/>
          <w:sz w:val="22"/>
          <w:szCs w:val="22"/>
        </w:rPr>
        <w:t xml:space="preserve">52 </w:t>
      </w:r>
      <w:r w:rsidR="00EF7243" w:rsidRPr="00AA774A">
        <w:rPr>
          <w:rFonts w:ascii="Arial" w:hAnsi="Arial" w:cs="Arial"/>
          <w:b/>
          <w:bCs/>
          <w:sz w:val="22"/>
          <w:szCs w:val="22"/>
        </w:rPr>
        <w:t xml:space="preserve"> – </w:t>
      </w:r>
      <w:r w:rsidR="00EF7243" w:rsidRPr="00AA774A">
        <w:rPr>
          <w:rFonts w:ascii="Arial" w:hAnsi="Arial" w:cs="Arial"/>
          <w:bCs/>
          <w:sz w:val="22"/>
          <w:szCs w:val="22"/>
        </w:rPr>
        <w:t xml:space="preserve">L’organisme de garantie doit notamment justifier de son expérience en matière de : </w:t>
      </w:r>
    </w:p>
    <w:p w14:paraId="14A025A0" w14:textId="77777777" w:rsidR="00EF7243" w:rsidRPr="00AA774A" w:rsidRDefault="00EF7243" w:rsidP="00A64175">
      <w:pPr>
        <w:pStyle w:val="NormalWeb"/>
        <w:spacing w:before="0" w:beforeAutospacing="0" w:after="0" w:afterAutospacing="0"/>
        <w:contextualSpacing/>
        <w:jc w:val="both"/>
        <w:rPr>
          <w:rFonts w:ascii="Arial" w:hAnsi="Arial" w:cs="Arial"/>
          <w:bCs/>
          <w:sz w:val="22"/>
          <w:szCs w:val="22"/>
        </w:rPr>
      </w:pPr>
    </w:p>
    <w:p w14:paraId="45876E55" w14:textId="0F929E32" w:rsidR="00EF7243" w:rsidRPr="00AA774A" w:rsidRDefault="00EF7243"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bCs/>
          <w:sz w:val="22"/>
          <w:szCs w:val="22"/>
        </w:rPr>
        <w:t>couverture des opérations de levée de ressources ;</w:t>
      </w:r>
    </w:p>
    <w:p w14:paraId="06CBA654" w14:textId="3FE7C336" w:rsidR="00EF7243" w:rsidRPr="00AA774A" w:rsidRDefault="00EF7243"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bCs/>
          <w:sz w:val="22"/>
          <w:szCs w:val="22"/>
        </w:rPr>
        <w:t>financement du secteur privé ;</w:t>
      </w:r>
    </w:p>
    <w:p w14:paraId="3938B98C" w14:textId="23C4F5EB" w:rsidR="00EF7243" w:rsidRPr="00AA774A" w:rsidRDefault="00EF7243"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bCs/>
          <w:sz w:val="22"/>
          <w:szCs w:val="22"/>
        </w:rPr>
        <w:t>mobilisation de l’épargne vers les marchés financiers ;</w:t>
      </w:r>
    </w:p>
    <w:p w14:paraId="561AEEF5" w14:textId="656819AD" w:rsidR="00EF7243" w:rsidRPr="00AA774A" w:rsidRDefault="00EF7243"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bCs/>
          <w:sz w:val="22"/>
          <w:szCs w:val="22"/>
        </w:rPr>
        <w:t>accompagnement des entreprises dans la levée de ressources sur les marchés financiers ;</w:t>
      </w:r>
    </w:p>
    <w:p w14:paraId="65ADEF51" w14:textId="5CC2DEB9" w:rsidR="00EF7243" w:rsidRPr="00AA774A" w:rsidRDefault="00EF7243" w:rsidP="00A64175">
      <w:pPr>
        <w:pStyle w:val="NormalWeb"/>
        <w:numPr>
          <w:ilvl w:val="0"/>
          <w:numId w:val="31"/>
        </w:numPr>
        <w:spacing w:before="0" w:beforeAutospacing="0" w:after="0" w:afterAutospacing="0"/>
        <w:contextualSpacing/>
        <w:jc w:val="both"/>
        <w:rPr>
          <w:rFonts w:ascii="Arial" w:hAnsi="Arial" w:cs="Arial"/>
          <w:sz w:val="22"/>
          <w:szCs w:val="22"/>
        </w:rPr>
      </w:pPr>
      <w:r w:rsidRPr="00AA774A">
        <w:rPr>
          <w:rFonts w:ascii="Arial" w:hAnsi="Arial" w:cs="Arial"/>
          <w:bCs/>
          <w:sz w:val="22"/>
          <w:szCs w:val="22"/>
        </w:rPr>
        <w:t>sécurisation des investissements.</w:t>
      </w:r>
    </w:p>
    <w:p w14:paraId="3F59EC3D" w14:textId="77777777" w:rsidR="00EF7243" w:rsidRPr="00AA774A" w:rsidRDefault="00EF7243" w:rsidP="00A64175">
      <w:pPr>
        <w:pStyle w:val="NormalWeb"/>
        <w:spacing w:before="0" w:beforeAutospacing="0" w:after="0" w:afterAutospacing="0"/>
        <w:ind w:left="360"/>
        <w:contextualSpacing/>
        <w:jc w:val="both"/>
        <w:rPr>
          <w:rFonts w:ascii="Arial" w:hAnsi="Arial" w:cs="Arial"/>
          <w:sz w:val="22"/>
          <w:szCs w:val="22"/>
        </w:rPr>
      </w:pPr>
    </w:p>
    <w:p w14:paraId="3C9BB520" w14:textId="77777777" w:rsidR="00EF7243" w:rsidRPr="00AA774A" w:rsidRDefault="00EF7243" w:rsidP="00A64175">
      <w:pPr>
        <w:pStyle w:val="NormalWeb"/>
        <w:spacing w:before="0" w:beforeAutospacing="0" w:after="0" w:afterAutospacing="0"/>
        <w:contextualSpacing/>
        <w:jc w:val="both"/>
        <w:rPr>
          <w:rFonts w:ascii="Arial" w:hAnsi="Arial" w:cs="Arial"/>
          <w:sz w:val="22"/>
          <w:szCs w:val="22"/>
        </w:rPr>
      </w:pPr>
    </w:p>
    <w:p w14:paraId="63DA3DFF" w14:textId="72E50364" w:rsidR="009A008F" w:rsidRPr="00AA774A" w:rsidRDefault="00162493" w:rsidP="00A64175">
      <w:pPr>
        <w:pStyle w:val="NormalWeb"/>
        <w:spacing w:before="0" w:beforeAutospacing="0" w:after="0" w:afterAutospacing="0"/>
        <w:contextualSpacing/>
        <w:jc w:val="both"/>
        <w:rPr>
          <w:rFonts w:ascii="Arial" w:hAnsi="Arial" w:cs="Arial"/>
          <w:bCs/>
          <w:sz w:val="22"/>
          <w:szCs w:val="22"/>
        </w:rPr>
      </w:pPr>
      <w:r w:rsidRPr="00AA774A">
        <w:rPr>
          <w:rFonts w:ascii="Arial" w:hAnsi="Arial" w:cs="Arial"/>
          <w:b/>
          <w:bCs/>
          <w:sz w:val="22"/>
          <w:szCs w:val="22"/>
        </w:rPr>
        <w:t>Article 6</w:t>
      </w:r>
      <w:r w:rsidR="00562AEF" w:rsidRPr="00AA774A">
        <w:rPr>
          <w:rFonts w:ascii="Arial" w:hAnsi="Arial" w:cs="Arial"/>
          <w:b/>
          <w:bCs/>
          <w:sz w:val="22"/>
          <w:szCs w:val="22"/>
        </w:rPr>
        <w:t xml:space="preserve">53 </w:t>
      </w:r>
      <w:r w:rsidR="009A008F" w:rsidRPr="00AA774A">
        <w:rPr>
          <w:rFonts w:ascii="Arial" w:hAnsi="Arial" w:cs="Arial"/>
          <w:b/>
          <w:bCs/>
          <w:sz w:val="22"/>
          <w:szCs w:val="22"/>
        </w:rPr>
        <w:t xml:space="preserve"> – </w:t>
      </w:r>
      <w:r w:rsidR="009A008F" w:rsidRPr="00AA774A">
        <w:rPr>
          <w:rFonts w:ascii="Arial" w:hAnsi="Arial" w:cs="Arial"/>
          <w:bCs/>
          <w:sz w:val="22"/>
          <w:szCs w:val="22"/>
        </w:rPr>
        <w:t>En vue de son agrément, l’organisme de garantie doit constituer un dossier comprenant des documents et informations relatifs à leur organisation, leur programme d’activité, aux dirigeants et aux personnes assurant le contrôle effectif de la structure, à la situation financière et aux fonds propres.</w:t>
      </w:r>
    </w:p>
    <w:p w14:paraId="46895AE5" w14:textId="77777777" w:rsidR="009A008F" w:rsidRPr="00AA774A" w:rsidRDefault="009A008F" w:rsidP="00A64175">
      <w:pPr>
        <w:pStyle w:val="NormalWeb"/>
        <w:spacing w:before="0" w:beforeAutospacing="0" w:after="0" w:afterAutospacing="0"/>
        <w:contextualSpacing/>
        <w:jc w:val="both"/>
        <w:rPr>
          <w:rFonts w:ascii="Arial" w:hAnsi="Arial" w:cs="Arial"/>
          <w:bCs/>
          <w:sz w:val="22"/>
          <w:szCs w:val="22"/>
        </w:rPr>
      </w:pPr>
    </w:p>
    <w:p w14:paraId="1E70D551" w14:textId="77777777" w:rsidR="009A008F" w:rsidRPr="00AA774A" w:rsidRDefault="009A008F" w:rsidP="00A64175">
      <w:pPr>
        <w:pStyle w:val="NormalWeb"/>
        <w:spacing w:before="0" w:beforeAutospacing="0" w:after="0" w:afterAutospacing="0"/>
        <w:contextualSpacing/>
        <w:jc w:val="both"/>
        <w:rPr>
          <w:rFonts w:ascii="Arial" w:hAnsi="Arial" w:cs="Arial"/>
          <w:bCs/>
          <w:sz w:val="22"/>
          <w:szCs w:val="22"/>
        </w:rPr>
      </w:pPr>
      <w:r w:rsidRPr="00AA774A">
        <w:rPr>
          <w:rFonts w:ascii="Arial" w:hAnsi="Arial" w:cs="Arial"/>
          <w:bCs/>
          <w:sz w:val="22"/>
          <w:szCs w:val="22"/>
        </w:rPr>
        <w:t>Une instruction de la COSUMAF précise le contenu du dossier visé au présent article et les modalités de son dépôt.</w:t>
      </w:r>
    </w:p>
    <w:p w14:paraId="29D3BB7D" w14:textId="77777777" w:rsidR="009A008F" w:rsidRPr="00AA774A" w:rsidRDefault="009A008F" w:rsidP="00A64175">
      <w:pPr>
        <w:pStyle w:val="NormalWeb"/>
        <w:spacing w:before="0" w:beforeAutospacing="0" w:after="0" w:afterAutospacing="0"/>
        <w:contextualSpacing/>
        <w:jc w:val="both"/>
        <w:rPr>
          <w:rFonts w:ascii="Arial" w:hAnsi="Arial" w:cs="Arial"/>
          <w:bCs/>
          <w:sz w:val="22"/>
          <w:szCs w:val="22"/>
        </w:rPr>
      </w:pPr>
    </w:p>
    <w:p w14:paraId="25790D28"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3ACC65D4" w14:textId="7E0F7FFE" w:rsidR="009A008F" w:rsidRPr="00AA774A" w:rsidRDefault="009A008F" w:rsidP="00A64175">
      <w:pPr>
        <w:pStyle w:val="NormalWeb"/>
        <w:spacing w:before="0" w:beforeAutospacing="0" w:after="0" w:afterAutospacing="0"/>
        <w:contextualSpacing/>
        <w:jc w:val="both"/>
        <w:rPr>
          <w:rFonts w:ascii="Arial" w:hAnsi="Arial" w:cs="Arial"/>
          <w:sz w:val="22"/>
          <w:szCs w:val="22"/>
        </w:rPr>
      </w:pPr>
      <w:r w:rsidRPr="00AA774A">
        <w:rPr>
          <w:rFonts w:ascii="Arial" w:hAnsi="Arial" w:cs="Arial"/>
          <w:b/>
          <w:bCs/>
          <w:sz w:val="22"/>
          <w:szCs w:val="22"/>
        </w:rPr>
        <w:t>Artic</w:t>
      </w:r>
      <w:r w:rsidR="00162493" w:rsidRPr="00AA774A">
        <w:rPr>
          <w:rFonts w:ascii="Arial" w:hAnsi="Arial" w:cs="Arial"/>
          <w:b/>
          <w:bCs/>
          <w:sz w:val="22"/>
          <w:szCs w:val="22"/>
        </w:rPr>
        <w:t>le 6</w:t>
      </w:r>
      <w:r w:rsidR="00562AEF" w:rsidRPr="00AA774A">
        <w:rPr>
          <w:rFonts w:ascii="Arial" w:hAnsi="Arial" w:cs="Arial"/>
          <w:b/>
          <w:bCs/>
          <w:sz w:val="22"/>
          <w:szCs w:val="22"/>
        </w:rPr>
        <w:t xml:space="preserve">54 </w:t>
      </w:r>
      <w:r w:rsidRPr="00AA774A">
        <w:rPr>
          <w:rFonts w:ascii="Arial" w:hAnsi="Arial" w:cs="Arial"/>
          <w:b/>
          <w:bCs/>
          <w:sz w:val="22"/>
          <w:szCs w:val="22"/>
        </w:rPr>
        <w:t xml:space="preserve"> – </w:t>
      </w:r>
      <w:r w:rsidRPr="00AA774A">
        <w:rPr>
          <w:rFonts w:ascii="Arial" w:hAnsi="Arial" w:cs="Arial"/>
          <w:bCs/>
          <w:sz w:val="22"/>
          <w:szCs w:val="22"/>
        </w:rPr>
        <w:t>A l’occasion de l’agrément d’un organisme de garantie des émissions, la COSUMAF perçoit une commission dont le montant est fixé dans une instruction.</w:t>
      </w:r>
    </w:p>
    <w:p w14:paraId="4E6B516D"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006586E4" w14:textId="77777777" w:rsidR="009A008F" w:rsidRPr="00AA774A" w:rsidRDefault="009A008F" w:rsidP="00A64175">
      <w:pPr>
        <w:jc w:val="both"/>
        <w:rPr>
          <w:rFonts w:ascii="Arial" w:hAnsi="Arial" w:cs="Arial"/>
          <w:b/>
          <w:bCs/>
          <w:sz w:val="22"/>
          <w:szCs w:val="22"/>
        </w:rPr>
      </w:pPr>
    </w:p>
    <w:p w14:paraId="3BB077F1" w14:textId="36BA440C" w:rsidR="009A008F" w:rsidRPr="00AA774A" w:rsidRDefault="009A008F" w:rsidP="00A64175">
      <w:pPr>
        <w:pStyle w:val="NormalWeb"/>
        <w:spacing w:before="0" w:beforeAutospacing="0" w:after="0" w:afterAutospacing="0"/>
        <w:contextualSpacing/>
        <w:jc w:val="both"/>
        <w:rPr>
          <w:rFonts w:ascii="Arial" w:hAnsi="Arial" w:cs="Arial"/>
          <w:b/>
          <w:i/>
          <w:sz w:val="22"/>
          <w:szCs w:val="22"/>
        </w:rPr>
      </w:pPr>
      <w:r w:rsidRPr="00AA774A">
        <w:rPr>
          <w:rFonts w:ascii="Arial" w:hAnsi="Arial" w:cs="Arial"/>
          <w:b/>
          <w:i/>
          <w:sz w:val="22"/>
          <w:szCs w:val="22"/>
        </w:rPr>
        <w:t xml:space="preserve">Sous-Section II : Procédure d’agrément </w:t>
      </w:r>
    </w:p>
    <w:p w14:paraId="51F47D64" w14:textId="77777777" w:rsidR="009A008F" w:rsidRPr="00AA774A" w:rsidRDefault="009A008F" w:rsidP="00A64175">
      <w:pPr>
        <w:jc w:val="both"/>
        <w:rPr>
          <w:rFonts w:ascii="Arial" w:hAnsi="Arial" w:cs="Arial"/>
          <w:b/>
          <w:bCs/>
          <w:sz w:val="22"/>
          <w:szCs w:val="22"/>
        </w:rPr>
      </w:pPr>
    </w:p>
    <w:p w14:paraId="2B7B57BF" w14:textId="77777777" w:rsidR="009A008F" w:rsidRPr="00AA774A" w:rsidRDefault="009A008F" w:rsidP="00A64175">
      <w:pPr>
        <w:jc w:val="both"/>
        <w:rPr>
          <w:rFonts w:ascii="Arial" w:hAnsi="Arial" w:cs="Arial"/>
          <w:b/>
          <w:bCs/>
          <w:sz w:val="22"/>
          <w:szCs w:val="22"/>
        </w:rPr>
      </w:pPr>
    </w:p>
    <w:p w14:paraId="7D5FDAAA" w14:textId="46C17398" w:rsidR="009A008F" w:rsidRPr="00AA774A" w:rsidRDefault="00162493" w:rsidP="00A64175">
      <w:pPr>
        <w:jc w:val="both"/>
        <w:rPr>
          <w:rFonts w:ascii="Arial" w:hAnsi="Arial" w:cs="Arial"/>
          <w:sz w:val="22"/>
          <w:szCs w:val="22"/>
        </w:rPr>
      </w:pPr>
      <w:r w:rsidRPr="00AA774A">
        <w:rPr>
          <w:rFonts w:ascii="Arial" w:hAnsi="Arial" w:cs="Arial"/>
          <w:b/>
          <w:bCs/>
          <w:sz w:val="22"/>
          <w:szCs w:val="22"/>
        </w:rPr>
        <w:t>Article 6</w:t>
      </w:r>
      <w:r w:rsidR="00562AEF" w:rsidRPr="00AA774A">
        <w:rPr>
          <w:rFonts w:ascii="Arial" w:hAnsi="Arial" w:cs="Arial"/>
          <w:b/>
          <w:bCs/>
          <w:sz w:val="22"/>
          <w:szCs w:val="22"/>
        </w:rPr>
        <w:t xml:space="preserve">55 </w:t>
      </w:r>
      <w:r w:rsidR="009A008F" w:rsidRPr="00AA774A">
        <w:rPr>
          <w:rFonts w:ascii="Arial" w:hAnsi="Arial" w:cs="Arial"/>
          <w:b/>
          <w:bCs/>
          <w:sz w:val="22"/>
          <w:szCs w:val="22"/>
        </w:rPr>
        <w:t xml:space="preserve"> –</w:t>
      </w:r>
      <w:r w:rsidR="009A008F" w:rsidRPr="00AA774A">
        <w:rPr>
          <w:rFonts w:ascii="Arial" w:hAnsi="Arial" w:cs="Arial"/>
          <w:sz w:val="22"/>
          <w:szCs w:val="22"/>
        </w:rPr>
        <w:t xml:space="preserve"> Tout</w:t>
      </w:r>
      <w:r w:rsidR="004664E1" w:rsidRPr="00AA774A">
        <w:rPr>
          <w:rFonts w:ascii="Arial" w:hAnsi="Arial" w:cs="Arial"/>
          <w:sz w:val="22"/>
          <w:szCs w:val="22"/>
        </w:rPr>
        <w:t xml:space="preserve"> organisme</w:t>
      </w:r>
      <w:r w:rsidR="009A008F" w:rsidRPr="00AA774A">
        <w:rPr>
          <w:rFonts w:ascii="Arial" w:hAnsi="Arial" w:cs="Arial"/>
          <w:sz w:val="22"/>
          <w:szCs w:val="22"/>
        </w:rPr>
        <w:t xml:space="preserve"> désirant être agréée en qualité </w:t>
      </w:r>
      <w:r w:rsidR="004664E1" w:rsidRPr="00AA774A">
        <w:rPr>
          <w:rFonts w:ascii="Arial" w:hAnsi="Arial" w:cs="Arial"/>
          <w:sz w:val="22"/>
          <w:szCs w:val="22"/>
        </w:rPr>
        <w:t xml:space="preserve">de garant des émissions </w:t>
      </w:r>
      <w:r w:rsidR="009A008F" w:rsidRPr="00AA774A">
        <w:rPr>
          <w:rFonts w:ascii="Arial" w:hAnsi="Arial" w:cs="Arial"/>
          <w:sz w:val="22"/>
          <w:szCs w:val="22"/>
        </w:rPr>
        <w:t xml:space="preserve">adresse à la COSUMAF une demande écrite accompagnée du dossier visé à </w:t>
      </w:r>
      <w:r w:rsidR="009A008F" w:rsidRPr="00FB0160">
        <w:rPr>
          <w:rFonts w:ascii="Arial" w:hAnsi="Arial" w:cs="Arial"/>
          <w:sz w:val="22"/>
          <w:szCs w:val="22"/>
        </w:rPr>
        <w:t>l’article</w:t>
      </w:r>
      <w:r w:rsidRPr="00FB0160">
        <w:rPr>
          <w:rFonts w:ascii="Arial" w:hAnsi="Arial" w:cs="Arial"/>
          <w:sz w:val="22"/>
          <w:szCs w:val="22"/>
        </w:rPr>
        <w:t xml:space="preserve"> 6</w:t>
      </w:r>
      <w:r w:rsidR="00562AEF" w:rsidRPr="00FB0160">
        <w:rPr>
          <w:rFonts w:ascii="Arial" w:hAnsi="Arial" w:cs="Arial"/>
          <w:sz w:val="22"/>
          <w:szCs w:val="22"/>
        </w:rPr>
        <w:t xml:space="preserve">53 </w:t>
      </w:r>
      <w:r w:rsidR="009A008F" w:rsidRPr="00FB0160">
        <w:rPr>
          <w:rFonts w:ascii="Arial" w:hAnsi="Arial" w:cs="Arial"/>
          <w:sz w:val="22"/>
          <w:szCs w:val="22"/>
        </w:rPr>
        <w:t xml:space="preserve"> du présent règlement général.</w:t>
      </w:r>
    </w:p>
    <w:p w14:paraId="5976DA26" w14:textId="77777777" w:rsidR="009A008F" w:rsidRPr="00AA774A" w:rsidRDefault="009A008F" w:rsidP="00A64175">
      <w:pPr>
        <w:jc w:val="both"/>
        <w:rPr>
          <w:rFonts w:ascii="Arial" w:hAnsi="Arial" w:cs="Arial"/>
          <w:sz w:val="22"/>
          <w:szCs w:val="22"/>
        </w:rPr>
      </w:pPr>
    </w:p>
    <w:p w14:paraId="3F9BD9F8" w14:textId="77777777" w:rsidR="009A008F" w:rsidRPr="00AA774A" w:rsidRDefault="009A008F" w:rsidP="00A64175">
      <w:pPr>
        <w:jc w:val="both"/>
        <w:rPr>
          <w:rFonts w:ascii="Arial" w:hAnsi="Arial" w:cs="Arial"/>
          <w:sz w:val="22"/>
          <w:szCs w:val="22"/>
        </w:rPr>
      </w:pPr>
    </w:p>
    <w:p w14:paraId="5905C3BA" w14:textId="5856D730" w:rsidR="009A008F" w:rsidRPr="00AA774A" w:rsidRDefault="00162493" w:rsidP="00A64175">
      <w:pPr>
        <w:jc w:val="both"/>
        <w:rPr>
          <w:rFonts w:ascii="Arial" w:hAnsi="Arial" w:cs="Arial"/>
          <w:sz w:val="22"/>
          <w:szCs w:val="22"/>
        </w:rPr>
      </w:pPr>
      <w:r w:rsidRPr="00AA774A">
        <w:rPr>
          <w:rFonts w:ascii="Arial" w:hAnsi="Arial" w:cs="Arial"/>
          <w:b/>
          <w:bCs/>
          <w:sz w:val="22"/>
          <w:szCs w:val="22"/>
        </w:rPr>
        <w:t>Article 6</w:t>
      </w:r>
      <w:r w:rsidR="00562AEF" w:rsidRPr="00AA774A">
        <w:rPr>
          <w:rFonts w:ascii="Arial" w:hAnsi="Arial" w:cs="Arial"/>
          <w:b/>
          <w:bCs/>
          <w:sz w:val="22"/>
          <w:szCs w:val="22"/>
        </w:rPr>
        <w:t xml:space="preserve">56 </w:t>
      </w:r>
      <w:r w:rsidR="009A008F" w:rsidRPr="00AA774A">
        <w:rPr>
          <w:rFonts w:ascii="Arial" w:hAnsi="Arial" w:cs="Arial"/>
          <w:b/>
          <w:bCs/>
          <w:sz w:val="22"/>
          <w:szCs w:val="22"/>
        </w:rPr>
        <w:t xml:space="preserve"> –</w:t>
      </w:r>
      <w:r w:rsidR="009A008F" w:rsidRPr="00AA774A">
        <w:rPr>
          <w:rFonts w:ascii="Arial" w:hAnsi="Arial" w:cs="Arial"/>
          <w:sz w:val="22"/>
          <w:szCs w:val="22"/>
        </w:rPr>
        <w:t xml:space="preserve"> La COSUMAF instruit la demande dans un délai de soixante</w:t>
      </w:r>
      <w:r w:rsidR="004664E1" w:rsidRPr="00AA774A">
        <w:rPr>
          <w:rFonts w:ascii="Arial" w:hAnsi="Arial" w:cs="Arial"/>
          <w:sz w:val="22"/>
          <w:szCs w:val="22"/>
        </w:rPr>
        <w:t xml:space="preserve"> de  (</w:t>
      </w:r>
      <w:r w:rsidR="00D94039" w:rsidRPr="00AA774A">
        <w:rPr>
          <w:rFonts w:ascii="Arial" w:hAnsi="Arial" w:cs="Arial"/>
          <w:sz w:val="22"/>
          <w:szCs w:val="22"/>
        </w:rPr>
        <w:t>6</w:t>
      </w:r>
      <w:r w:rsidR="004664E1" w:rsidRPr="00AA774A">
        <w:rPr>
          <w:rFonts w:ascii="Arial" w:hAnsi="Arial" w:cs="Arial"/>
          <w:sz w:val="22"/>
          <w:szCs w:val="22"/>
        </w:rPr>
        <w:t>0</w:t>
      </w:r>
      <w:r w:rsidR="009A008F" w:rsidRPr="00AA774A">
        <w:rPr>
          <w:rFonts w:ascii="Arial" w:hAnsi="Arial" w:cs="Arial"/>
          <w:sz w:val="22"/>
          <w:szCs w:val="22"/>
        </w:rPr>
        <w:t xml:space="preserve">) jours à compter de la réception du dossier complet. </w:t>
      </w:r>
    </w:p>
    <w:p w14:paraId="4D329F18" w14:textId="77777777" w:rsidR="009A008F" w:rsidRPr="00AA774A" w:rsidRDefault="009A008F" w:rsidP="00A64175">
      <w:pPr>
        <w:jc w:val="both"/>
        <w:rPr>
          <w:rFonts w:ascii="Arial" w:hAnsi="Arial" w:cs="Arial"/>
          <w:sz w:val="22"/>
          <w:szCs w:val="22"/>
        </w:rPr>
      </w:pPr>
    </w:p>
    <w:p w14:paraId="2A0E4478" w14:textId="77777777" w:rsidR="009A008F" w:rsidRPr="00AA774A" w:rsidRDefault="009A008F" w:rsidP="00A64175">
      <w:pPr>
        <w:jc w:val="both"/>
        <w:rPr>
          <w:rFonts w:ascii="Arial" w:hAnsi="Arial" w:cs="Arial"/>
          <w:sz w:val="22"/>
          <w:szCs w:val="22"/>
        </w:rPr>
      </w:pPr>
      <w:r w:rsidRPr="00AA774A">
        <w:rPr>
          <w:rFonts w:ascii="Arial" w:hAnsi="Arial" w:cs="Arial"/>
          <w:sz w:val="22"/>
          <w:szCs w:val="22"/>
        </w:rPr>
        <w:t>La décision d’octroi ou de refus d’agrément est notifiée par lettre recommandée et par tout autre moyen précisé par la COSUMAF.</w:t>
      </w:r>
    </w:p>
    <w:p w14:paraId="061FB385" w14:textId="77777777" w:rsidR="009A008F" w:rsidRPr="00AA774A" w:rsidRDefault="009A008F" w:rsidP="00A64175">
      <w:pPr>
        <w:pStyle w:val="NormalWeb"/>
        <w:spacing w:before="0" w:beforeAutospacing="0" w:after="0" w:afterAutospacing="0"/>
        <w:contextualSpacing/>
        <w:jc w:val="both"/>
        <w:rPr>
          <w:rFonts w:ascii="Arial" w:hAnsi="Arial" w:cs="Arial"/>
          <w:sz w:val="22"/>
          <w:szCs w:val="22"/>
        </w:rPr>
      </w:pPr>
    </w:p>
    <w:p w14:paraId="09369E88" w14:textId="77777777" w:rsidR="009A008F" w:rsidRPr="00A64175" w:rsidRDefault="009A008F" w:rsidP="00A64175">
      <w:pPr>
        <w:pStyle w:val="NormalWeb"/>
        <w:spacing w:before="0" w:beforeAutospacing="0" w:after="0" w:afterAutospacing="0"/>
        <w:contextualSpacing/>
        <w:jc w:val="both"/>
        <w:rPr>
          <w:rFonts w:ascii="Arial" w:hAnsi="Arial" w:cs="Arial"/>
          <w:sz w:val="22"/>
          <w:szCs w:val="22"/>
        </w:rPr>
      </w:pPr>
    </w:p>
    <w:p w14:paraId="29E20C90" w14:textId="77777777" w:rsidR="0014226F" w:rsidRPr="00A64175" w:rsidRDefault="0014226F" w:rsidP="00A64175">
      <w:pPr>
        <w:widowControl w:val="0"/>
        <w:autoSpaceDE w:val="0"/>
        <w:autoSpaceDN w:val="0"/>
        <w:adjustRightInd w:val="0"/>
        <w:jc w:val="both"/>
        <w:rPr>
          <w:rFonts w:ascii="Arial" w:hAnsi="Arial" w:cs="Arial"/>
          <w:kern w:val="1"/>
          <w:sz w:val="22"/>
          <w:szCs w:val="22"/>
        </w:rPr>
      </w:pPr>
    </w:p>
    <w:p w14:paraId="6008C162" w14:textId="77777777" w:rsidR="0014226F" w:rsidRPr="00A64175" w:rsidRDefault="0014226F" w:rsidP="00A64175">
      <w:pPr>
        <w:widowControl w:val="0"/>
        <w:autoSpaceDE w:val="0"/>
        <w:autoSpaceDN w:val="0"/>
        <w:adjustRightInd w:val="0"/>
        <w:jc w:val="both"/>
        <w:rPr>
          <w:rFonts w:ascii="Arial" w:hAnsi="Arial" w:cs="Arial"/>
          <w:kern w:val="1"/>
          <w:sz w:val="22"/>
          <w:szCs w:val="22"/>
        </w:rPr>
      </w:pPr>
    </w:p>
    <w:p w14:paraId="0AB5A3FC" w14:textId="5B5099E3" w:rsidR="0014226F" w:rsidRPr="00A64175" w:rsidRDefault="0014226F" w:rsidP="00A64175">
      <w:pPr>
        <w:jc w:val="both"/>
        <w:rPr>
          <w:rFonts w:ascii="Arial" w:hAnsi="Arial" w:cs="Arial"/>
          <w:b/>
          <w:sz w:val="22"/>
          <w:szCs w:val="22"/>
        </w:rPr>
      </w:pPr>
      <w:r w:rsidRPr="00A64175">
        <w:rPr>
          <w:rFonts w:ascii="Arial" w:hAnsi="Arial" w:cs="Arial"/>
          <w:b/>
          <w:sz w:val="22"/>
          <w:szCs w:val="22"/>
        </w:rPr>
        <w:t>TITRE X</w:t>
      </w:r>
      <w:r w:rsidR="003F311B" w:rsidRPr="00A64175">
        <w:rPr>
          <w:rFonts w:ascii="Arial" w:hAnsi="Arial" w:cs="Arial"/>
          <w:b/>
          <w:sz w:val="22"/>
          <w:szCs w:val="22"/>
        </w:rPr>
        <w:t>I</w:t>
      </w:r>
      <w:r w:rsidRPr="00A64175">
        <w:rPr>
          <w:rFonts w:ascii="Arial" w:hAnsi="Arial" w:cs="Arial"/>
          <w:b/>
          <w:sz w:val="22"/>
          <w:szCs w:val="22"/>
        </w:rPr>
        <w:t xml:space="preserve"> – FONDS DE GARANTIE DU MARCHE</w:t>
      </w:r>
    </w:p>
    <w:p w14:paraId="1E74C6A9" w14:textId="77777777" w:rsidR="00162493" w:rsidRPr="00A64175" w:rsidRDefault="00162493" w:rsidP="00A64175">
      <w:pPr>
        <w:widowControl w:val="0"/>
        <w:autoSpaceDE w:val="0"/>
        <w:autoSpaceDN w:val="0"/>
        <w:adjustRightInd w:val="0"/>
        <w:jc w:val="both"/>
        <w:rPr>
          <w:rFonts w:ascii="Arial" w:hAnsi="Arial" w:cs="Arial"/>
          <w:kern w:val="1"/>
          <w:sz w:val="22"/>
          <w:szCs w:val="22"/>
        </w:rPr>
      </w:pPr>
    </w:p>
    <w:p w14:paraId="2DEC5C35" w14:textId="0D73D253" w:rsidR="0014226F" w:rsidRPr="00A64175" w:rsidRDefault="00162493" w:rsidP="00A64175">
      <w:pPr>
        <w:tabs>
          <w:tab w:val="left" w:pos="1845"/>
        </w:tabs>
        <w:autoSpaceDE w:val="0"/>
        <w:adjustRightInd w:val="0"/>
        <w:jc w:val="both"/>
        <w:rPr>
          <w:rFonts w:ascii="Arial" w:hAnsi="Arial" w:cs="Arial"/>
          <w:sz w:val="22"/>
          <w:szCs w:val="22"/>
        </w:rPr>
      </w:pPr>
      <w:r w:rsidRPr="00A64175">
        <w:rPr>
          <w:rFonts w:ascii="Arial" w:hAnsi="Arial" w:cs="Arial"/>
          <w:b/>
          <w:bCs/>
          <w:color w:val="333333"/>
          <w:sz w:val="22"/>
          <w:szCs w:val="22"/>
        </w:rPr>
        <w:t>Article 6</w:t>
      </w:r>
      <w:r w:rsidR="00AD3109">
        <w:rPr>
          <w:rFonts w:ascii="Arial" w:hAnsi="Arial" w:cs="Arial"/>
          <w:b/>
          <w:bCs/>
          <w:color w:val="333333"/>
          <w:sz w:val="22"/>
          <w:szCs w:val="22"/>
        </w:rPr>
        <w:t xml:space="preserve">57 </w:t>
      </w:r>
      <w:r w:rsidRPr="00A64175">
        <w:rPr>
          <w:rFonts w:ascii="Arial" w:hAnsi="Arial" w:cs="Arial"/>
          <w:b/>
          <w:bCs/>
          <w:color w:val="333333"/>
          <w:sz w:val="22"/>
          <w:szCs w:val="22"/>
        </w:rPr>
        <w:t xml:space="preserve"> –</w:t>
      </w:r>
      <w:r w:rsidRPr="00A64175">
        <w:rPr>
          <w:rFonts w:ascii="Arial" w:hAnsi="Arial" w:cs="Arial"/>
          <w:color w:val="333333"/>
          <w:sz w:val="22"/>
          <w:szCs w:val="22"/>
        </w:rPr>
        <w:t xml:space="preserve"> L</w:t>
      </w:r>
      <w:r w:rsidR="0014226F" w:rsidRPr="00A64175">
        <w:rPr>
          <w:rFonts w:ascii="Arial" w:hAnsi="Arial" w:cs="Arial"/>
          <w:sz w:val="22"/>
          <w:szCs w:val="22"/>
        </w:rPr>
        <w:t>e Fonds de garantie du Marché Financier de l’Afrique Centrale, en abrégé « FOGAMAF », a pour objet</w:t>
      </w:r>
      <w:r w:rsidR="00B71F4E" w:rsidRPr="00A64175">
        <w:rPr>
          <w:rFonts w:ascii="Arial" w:hAnsi="Arial" w:cs="Arial"/>
          <w:sz w:val="22"/>
          <w:szCs w:val="22"/>
        </w:rPr>
        <w:t>, d’une part,</w:t>
      </w:r>
      <w:r w:rsidR="0014226F" w:rsidRPr="00A64175">
        <w:rPr>
          <w:rFonts w:ascii="Arial" w:hAnsi="Arial" w:cs="Arial"/>
          <w:sz w:val="22"/>
          <w:szCs w:val="22"/>
        </w:rPr>
        <w:t xml:space="preserve"> d’assurer l’indemnisation de</w:t>
      </w:r>
      <w:r w:rsidR="00992BDA" w:rsidRPr="00A64175">
        <w:rPr>
          <w:rFonts w:ascii="Arial" w:hAnsi="Arial" w:cs="Arial"/>
          <w:sz w:val="22"/>
          <w:szCs w:val="22"/>
        </w:rPr>
        <w:t xml:space="preserve"> la client</w:t>
      </w:r>
      <w:r w:rsidR="00B91DF7" w:rsidRPr="00A64175">
        <w:rPr>
          <w:rFonts w:ascii="Arial" w:hAnsi="Arial" w:cs="Arial"/>
          <w:sz w:val="22"/>
          <w:szCs w:val="22"/>
        </w:rPr>
        <w:t>èle des sociétés de bourse</w:t>
      </w:r>
      <w:r w:rsidR="00992BDA" w:rsidRPr="00A64175">
        <w:rPr>
          <w:rFonts w:ascii="Arial" w:hAnsi="Arial" w:cs="Arial"/>
          <w:sz w:val="22"/>
          <w:szCs w:val="22"/>
        </w:rPr>
        <w:t xml:space="preserve"> mis</w:t>
      </w:r>
      <w:r w:rsidR="00B91DF7" w:rsidRPr="00A64175">
        <w:rPr>
          <w:rFonts w:ascii="Arial" w:hAnsi="Arial" w:cs="Arial"/>
          <w:sz w:val="22"/>
          <w:szCs w:val="22"/>
        </w:rPr>
        <w:t>es</w:t>
      </w:r>
      <w:r w:rsidR="00992BDA" w:rsidRPr="00A64175">
        <w:rPr>
          <w:rFonts w:ascii="Arial" w:hAnsi="Arial" w:cs="Arial"/>
          <w:sz w:val="22"/>
          <w:szCs w:val="22"/>
        </w:rPr>
        <w:t xml:space="preserve"> en liquidation</w:t>
      </w:r>
      <w:r w:rsidR="00B71F4E" w:rsidRPr="00A64175">
        <w:rPr>
          <w:rFonts w:ascii="Arial" w:hAnsi="Arial" w:cs="Arial"/>
          <w:sz w:val="22"/>
          <w:szCs w:val="22"/>
        </w:rPr>
        <w:t xml:space="preserve"> et , d’autre part, assurer la bonne fin des opérations réalisées à la BVMAC qui sont en attente de dénouement</w:t>
      </w:r>
      <w:r w:rsidR="0014226F" w:rsidRPr="00A64175">
        <w:rPr>
          <w:rFonts w:ascii="Arial" w:hAnsi="Arial" w:cs="Arial"/>
          <w:sz w:val="22"/>
          <w:szCs w:val="22"/>
        </w:rPr>
        <w:t>.</w:t>
      </w:r>
    </w:p>
    <w:p w14:paraId="032A235D" w14:textId="77777777" w:rsidR="00162493" w:rsidRPr="00A64175" w:rsidRDefault="00162493" w:rsidP="00A64175">
      <w:pPr>
        <w:tabs>
          <w:tab w:val="left" w:pos="1845"/>
        </w:tabs>
        <w:autoSpaceDE w:val="0"/>
        <w:adjustRightInd w:val="0"/>
        <w:jc w:val="both"/>
        <w:rPr>
          <w:rFonts w:ascii="Arial" w:hAnsi="Arial" w:cs="Arial"/>
          <w:b/>
          <w:sz w:val="22"/>
          <w:szCs w:val="22"/>
        </w:rPr>
      </w:pPr>
    </w:p>
    <w:p w14:paraId="2451DEF8" w14:textId="38CF07B0" w:rsidR="00162493" w:rsidRPr="00A64175" w:rsidRDefault="00162493" w:rsidP="00A64175">
      <w:pPr>
        <w:tabs>
          <w:tab w:val="left" w:pos="1845"/>
        </w:tabs>
        <w:autoSpaceDE w:val="0"/>
        <w:adjustRightInd w:val="0"/>
        <w:jc w:val="both"/>
        <w:rPr>
          <w:rFonts w:ascii="Arial" w:hAnsi="Arial" w:cs="Arial"/>
          <w:sz w:val="22"/>
          <w:szCs w:val="22"/>
        </w:rPr>
      </w:pPr>
      <w:r w:rsidRPr="00A64175">
        <w:rPr>
          <w:rFonts w:ascii="Arial" w:hAnsi="Arial" w:cs="Arial"/>
          <w:b/>
          <w:bCs/>
          <w:color w:val="333333"/>
          <w:sz w:val="22"/>
          <w:szCs w:val="22"/>
        </w:rPr>
        <w:t>Article 6</w:t>
      </w:r>
      <w:r w:rsidR="00AD3109">
        <w:rPr>
          <w:rFonts w:ascii="Arial" w:hAnsi="Arial" w:cs="Arial"/>
          <w:b/>
          <w:bCs/>
          <w:color w:val="333333"/>
          <w:sz w:val="22"/>
          <w:szCs w:val="22"/>
        </w:rPr>
        <w:t xml:space="preserve">58 </w:t>
      </w:r>
      <w:r w:rsidRPr="00A64175">
        <w:rPr>
          <w:rFonts w:ascii="Arial" w:hAnsi="Arial" w:cs="Arial"/>
          <w:b/>
          <w:bCs/>
          <w:color w:val="333333"/>
          <w:sz w:val="22"/>
          <w:szCs w:val="22"/>
        </w:rPr>
        <w:t xml:space="preserve"> –</w:t>
      </w:r>
      <w:r w:rsidRPr="00A64175">
        <w:rPr>
          <w:rFonts w:ascii="Arial" w:hAnsi="Arial" w:cs="Arial"/>
          <w:color w:val="333333"/>
          <w:sz w:val="22"/>
          <w:szCs w:val="22"/>
        </w:rPr>
        <w:t xml:space="preserve"> </w:t>
      </w:r>
      <w:r w:rsidR="00992DF7" w:rsidRPr="00A64175">
        <w:rPr>
          <w:rFonts w:ascii="Arial" w:hAnsi="Arial" w:cs="Arial"/>
          <w:sz w:val="22"/>
          <w:szCs w:val="22"/>
        </w:rPr>
        <w:t>La gestion du FOGAMAF est assurée par la COSUMAF.</w:t>
      </w:r>
    </w:p>
    <w:p w14:paraId="73E399D2" w14:textId="77777777" w:rsidR="00162493" w:rsidRPr="00A64175" w:rsidRDefault="00162493" w:rsidP="00A64175">
      <w:pPr>
        <w:tabs>
          <w:tab w:val="left" w:pos="1845"/>
        </w:tabs>
        <w:autoSpaceDE w:val="0"/>
        <w:adjustRightInd w:val="0"/>
        <w:jc w:val="both"/>
        <w:rPr>
          <w:rFonts w:ascii="Arial" w:hAnsi="Arial" w:cs="Arial"/>
          <w:b/>
          <w:sz w:val="22"/>
          <w:szCs w:val="22"/>
        </w:rPr>
      </w:pPr>
    </w:p>
    <w:p w14:paraId="6637B1A1" w14:textId="1F280AF3" w:rsidR="00992DF7"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sz w:val="22"/>
          <w:szCs w:val="22"/>
        </w:rPr>
      </w:pPr>
      <w:r w:rsidRPr="00A64175">
        <w:rPr>
          <w:b/>
          <w:bCs/>
          <w:color w:val="333333"/>
          <w:sz w:val="22"/>
          <w:szCs w:val="22"/>
        </w:rPr>
        <w:t>Article 6</w:t>
      </w:r>
      <w:r w:rsidR="00AD3109">
        <w:rPr>
          <w:b/>
          <w:bCs/>
          <w:color w:val="333333"/>
          <w:sz w:val="22"/>
          <w:szCs w:val="22"/>
        </w:rPr>
        <w:t xml:space="preserve">59 </w:t>
      </w:r>
      <w:r w:rsidRPr="00A64175">
        <w:rPr>
          <w:b/>
          <w:bCs/>
          <w:color w:val="333333"/>
          <w:sz w:val="22"/>
          <w:szCs w:val="22"/>
        </w:rPr>
        <w:t xml:space="preserve"> –</w:t>
      </w:r>
      <w:r w:rsidRPr="00A64175">
        <w:rPr>
          <w:color w:val="333333"/>
          <w:sz w:val="22"/>
          <w:szCs w:val="22"/>
        </w:rPr>
        <w:t xml:space="preserve"> </w:t>
      </w:r>
      <w:r w:rsidR="00CE4DD4" w:rsidRPr="00A64175">
        <w:rPr>
          <w:sz w:val="22"/>
          <w:szCs w:val="22"/>
        </w:rPr>
        <w:t>L’indemnisation en cas de mise en liquidation d’une société de bourse est plafonnée à quinze millions (15 000 000) de francs CFA par client,  personne physique ou morale.</w:t>
      </w:r>
    </w:p>
    <w:p w14:paraId="7D91034C" w14:textId="77777777" w:rsidR="00162493" w:rsidRPr="00A64175" w:rsidRDefault="00162493" w:rsidP="00A64175">
      <w:pPr>
        <w:tabs>
          <w:tab w:val="left" w:pos="1845"/>
        </w:tabs>
        <w:autoSpaceDE w:val="0"/>
        <w:adjustRightInd w:val="0"/>
        <w:jc w:val="both"/>
        <w:rPr>
          <w:rFonts w:ascii="Arial" w:hAnsi="Arial" w:cs="Arial"/>
          <w:sz w:val="22"/>
          <w:szCs w:val="22"/>
        </w:rPr>
      </w:pPr>
    </w:p>
    <w:p w14:paraId="754AC99E" w14:textId="73AB8A5B" w:rsidR="00162493"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b/>
          <w:sz w:val="22"/>
          <w:szCs w:val="22"/>
        </w:rPr>
      </w:pPr>
      <w:r w:rsidRPr="00A64175">
        <w:rPr>
          <w:b/>
          <w:bCs/>
          <w:color w:val="333333"/>
          <w:sz w:val="22"/>
          <w:szCs w:val="22"/>
        </w:rPr>
        <w:t>Article 6</w:t>
      </w:r>
      <w:r w:rsidR="00AD3109">
        <w:rPr>
          <w:b/>
          <w:bCs/>
          <w:color w:val="333333"/>
          <w:sz w:val="22"/>
          <w:szCs w:val="22"/>
        </w:rPr>
        <w:t xml:space="preserve">60 </w:t>
      </w:r>
      <w:r w:rsidRPr="00A64175">
        <w:rPr>
          <w:b/>
          <w:bCs/>
          <w:color w:val="333333"/>
          <w:sz w:val="22"/>
          <w:szCs w:val="22"/>
        </w:rPr>
        <w:t xml:space="preserve"> –</w:t>
      </w:r>
      <w:r w:rsidRPr="00A64175">
        <w:rPr>
          <w:color w:val="333333"/>
          <w:sz w:val="22"/>
          <w:szCs w:val="22"/>
        </w:rPr>
        <w:t xml:space="preserve"> </w:t>
      </w:r>
      <w:r w:rsidR="00812E2E" w:rsidRPr="00A64175">
        <w:rPr>
          <w:sz w:val="22"/>
          <w:szCs w:val="22"/>
        </w:rPr>
        <w:t>La somme totale des interventions du FOGAMAF pour assurer l’indemnisation des clients d’une société de bourse ne peut dépasser deux (2) milliards de francs CFA.</w:t>
      </w:r>
    </w:p>
    <w:p w14:paraId="3F387E1C" w14:textId="77777777" w:rsidR="00162493" w:rsidRPr="00A64175" w:rsidRDefault="00162493" w:rsidP="00A64175">
      <w:pPr>
        <w:tabs>
          <w:tab w:val="left" w:pos="1845"/>
        </w:tabs>
        <w:autoSpaceDE w:val="0"/>
        <w:adjustRightInd w:val="0"/>
        <w:jc w:val="both"/>
        <w:rPr>
          <w:rFonts w:ascii="Arial" w:hAnsi="Arial" w:cs="Arial"/>
          <w:b/>
          <w:sz w:val="22"/>
          <w:szCs w:val="22"/>
        </w:rPr>
      </w:pPr>
    </w:p>
    <w:p w14:paraId="176B92E0" w14:textId="05E82A20" w:rsidR="00812E2E"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b/>
          <w:sz w:val="22"/>
          <w:szCs w:val="22"/>
        </w:rPr>
      </w:pPr>
      <w:r w:rsidRPr="00A64175">
        <w:rPr>
          <w:b/>
          <w:bCs/>
          <w:color w:val="333333"/>
          <w:sz w:val="22"/>
          <w:szCs w:val="22"/>
        </w:rPr>
        <w:t>Article 6</w:t>
      </w:r>
      <w:r w:rsidR="00AD3109">
        <w:rPr>
          <w:b/>
          <w:bCs/>
          <w:color w:val="333333"/>
          <w:sz w:val="22"/>
          <w:szCs w:val="22"/>
        </w:rPr>
        <w:t xml:space="preserve">61 </w:t>
      </w:r>
      <w:r w:rsidRPr="00A64175">
        <w:rPr>
          <w:b/>
          <w:bCs/>
          <w:color w:val="333333"/>
          <w:sz w:val="22"/>
          <w:szCs w:val="22"/>
        </w:rPr>
        <w:t xml:space="preserve"> –</w:t>
      </w:r>
      <w:r w:rsidRPr="00A64175">
        <w:rPr>
          <w:color w:val="333333"/>
          <w:sz w:val="22"/>
          <w:szCs w:val="22"/>
        </w:rPr>
        <w:t xml:space="preserve"> </w:t>
      </w:r>
      <w:r w:rsidR="00812E2E" w:rsidRPr="00A64175">
        <w:rPr>
          <w:sz w:val="22"/>
          <w:szCs w:val="22"/>
        </w:rPr>
        <w:t>Lorsque les fonds destinés à l’indemnisation de la clientèle se révèlent insuffisants, les sommes dues à chaque client</w:t>
      </w:r>
      <w:r w:rsidR="00F64739" w:rsidRPr="00A64175">
        <w:rPr>
          <w:sz w:val="22"/>
          <w:szCs w:val="22"/>
        </w:rPr>
        <w:t xml:space="preserve">, en vertu des dispositions de </w:t>
      </w:r>
      <w:r w:rsidR="00F64739" w:rsidRPr="00900DE4">
        <w:rPr>
          <w:sz w:val="22"/>
          <w:szCs w:val="22"/>
        </w:rPr>
        <w:t xml:space="preserve">l’article </w:t>
      </w:r>
      <w:r w:rsidR="00AD3109" w:rsidRPr="00900DE4">
        <w:rPr>
          <w:sz w:val="22"/>
          <w:szCs w:val="22"/>
        </w:rPr>
        <w:t xml:space="preserve">659 </w:t>
      </w:r>
      <w:r w:rsidR="00F64739" w:rsidRPr="00900DE4">
        <w:rPr>
          <w:sz w:val="22"/>
          <w:szCs w:val="22"/>
        </w:rPr>
        <w:t xml:space="preserve"> du présent règlement général,</w:t>
      </w:r>
      <w:r w:rsidR="00812E2E" w:rsidRPr="00A64175">
        <w:rPr>
          <w:sz w:val="22"/>
          <w:szCs w:val="22"/>
        </w:rPr>
        <w:t xml:space="preserve"> sont </w:t>
      </w:r>
      <w:r w:rsidR="00F64739" w:rsidRPr="00A64175">
        <w:rPr>
          <w:sz w:val="22"/>
          <w:szCs w:val="22"/>
        </w:rPr>
        <w:t>réduites à due proportion.</w:t>
      </w:r>
    </w:p>
    <w:p w14:paraId="1E8097FB" w14:textId="77777777" w:rsidR="00162493" w:rsidRPr="00A64175" w:rsidRDefault="00162493" w:rsidP="00A64175">
      <w:pPr>
        <w:tabs>
          <w:tab w:val="left" w:pos="1845"/>
        </w:tabs>
        <w:autoSpaceDE w:val="0"/>
        <w:adjustRightInd w:val="0"/>
        <w:jc w:val="both"/>
        <w:rPr>
          <w:rFonts w:ascii="Arial" w:hAnsi="Arial" w:cs="Arial"/>
          <w:b/>
          <w:sz w:val="22"/>
          <w:szCs w:val="22"/>
        </w:rPr>
      </w:pPr>
    </w:p>
    <w:p w14:paraId="00DB5744" w14:textId="6A93887A" w:rsidR="00162493"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b/>
          <w:sz w:val="22"/>
          <w:szCs w:val="22"/>
        </w:rPr>
      </w:pPr>
      <w:r w:rsidRPr="00A64175">
        <w:rPr>
          <w:b/>
          <w:bCs/>
          <w:color w:val="333333"/>
          <w:sz w:val="22"/>
          <w:szCs w:val="22"/>
        </w:rPr>
        <w:t>Article 6</w:t>
      </w:r>
      <w:r w:rsidR="00D849D1">
        <w:rPr>
          <w:b/>
          <w:bCs/>
          <w:color w:val="333333"/>
          <w:sz w:val="22"/>
          <w:szCs w:val="22"/>
        </w:rPr>
        <w:t xml:space="preserve">62 </w:t>
      </w:r>
      <w:r w:rsidRPr="00A64175">
        <w:rPr>
          <w:b/>
          <w:bCs/>
          <w:color w:val="333333"/>
          <w:sz w:val="22"/>
          <w:szCs w:val="22"/>
        </w:rPr>
        <w:t xml:space="preserve"> –</w:t>
      </w:r>
      <w:r w:rsidRPr="00A64175">
        <w:rPr>
          <w:color w:val="333333"/>
          <w:sz w:val="22"/>
          <w:szCs w:val="22"/>
        </w:rPr>
        <w:t xml:space="preserve"> </w:t>
      </w:r>
      <w:r w:rsidR="00F64739" w:rsidRPr="00A64175">
        <w:rPr>
          <w:sz w:val="22"/>
          <w:szCs w:val="22"/>
        </w:rPr>
        <w:t>Une instruction de la COSUMAF précise les modalités d’intervention du FOGAMAF en cas de défaut ou défaillance d’une société de bourse dans le processus de dénouement des transactions en bourse.</w:t>
      </w:r>
    </w:p>
    <w:p w14:paraId="46533314" w14:textId="77777777" w:rsidR="00162493"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b/>
          <w:sz w:val="22"/>
          <w:szCs w:val="22"/>
        </w:rPr>
      </w:pPr>
    </w:p>
    <w:p w14:paraId="7116837A" w14:textId="7B532221" w:rsidR="00F64739" w:rsidRPr="00A64175" w:rsidRDefault="00162493" w:rsidP="00A64175">
      <w:pPr>
        <w:pStyle w:val="Paragraphedeliste"/>
        <w:tabs>
          <w:tab w:val="left" w:pos="1845"/>
        </w:tabs>
        <w:suppressAutoHyphens w:val="0"/>
        <w:autoSpaceDE w:val="0"/>
        <w:adjustRightInd w:val="0"/>
        <w:spacing w:before="0" w:beforeAutospacing="0" w:afterAutospacing="0" w:line="240" w:lineRule="auto"/>
        <w:ind w:left="57"/>
        <w:textAlignment w:val="auto"/>
        <w:rPr>
          <w:b/>
          <w:sz w:val="22"/>
          <w:szCs w:val="22"/>
        </w:rPr>
      </w:pPr>
      <w:r w:rsidRPr="00A64175">
        <w:rPr>
          <w:b/>
          <w:bCs/>
          <w:color w:val="333333"/>
          <w:sz w:val="22"/>
          <w:szCs w:val="22"/>
        </w:rPr>
        <w:t>Article 6</w:t>
      </w:r>
      <w:r w:rsidR="00D849D1">
        <w:rPr>
          <w:b/>
          <w:bCs/>
          <w:color w:val="333333"/>
          <w:sz w:val="22"/>
          <w:szCs w:val="22"/>
        </w:rPr>
        <w:t xml:space="preserve">63 </w:t>
      </w:r>
      <w:r w:rsidRPr="00A64175">
        <w:rPr>
          <w:b/>
          <w:bCs/>
          <w:color w:val="333333"/>
          <w:sz w:val="22"/>
          <w:szCs w:val="22"/>
        </w:rPr>
        <w:t xml:space="preserve"> –</w:t>
      </w:r>
      <w:r w:rsidRPr="00A64175">
        <w:rPr>
          <w:color w:val="333333"/>
          <w:sz w:val="22"/>
          <w:szCs w:val="22"/>
        </w:rPr>
        <w:t xml:space="preserve"> </w:t>
      </w:r>
      <w:r w:rsidR="00F64739" w:rsidRPr="00A64175">
        <w:rPr>
          <w:sz w:val="22"/>
          <w:szCs w:val="22"/>
        </w:rPr>
        <w:t xml:space="preserve">Toutes les sociétés de bourse agréées sont </w:t>
      </w:r>
      <w:r w:rsidR="00EB2A41" w:rsidRPr="00A64175">
        <w:rPr>
          <w:sz w:val="22"/>
          <w:szCs w:val="22"/>
        </w:rPr>
        <w:t>tenues de verser une cotisation au FOGAMAF. Le montant de la cotisation prévue au présent article est exprimé en pourcentage de la valeur des titres et des espèces conservés par chaque société de bourse.</w:t>
      </w:r>
    </w:p>
    <w:p w14:paraId="2F5C8CDB" w14:textId="596034FE" w:rsidR="00992DF7" w:rsidRPr="00A64175" w:rsidRDefault="00EB2A41" w:rsidP="00A64175">
      <w:pPr>
        <w:tabs>
          <w:tab w:val="left" w:pos="1845"/>
        </w:tabs>
        <w:autoSpaceDE w:val="0"/>
        <w:adjustRightInd w:val="0"/>
        <w:jc w:val="both"/>
        <w:rPr>
          <w:rFonts w:ascii="Arial" w:hAnsi="Arial" w:cs="Arial"/>
          <w:sz w:val="22"/>
          <w:szCs w:val="22"/>
        </w:rPr>
      </w:pPr>
      <w:r w:rsidRPr="00A64175">
        <w:rPr>
          <w:rFonts w:ascii="Arial" w:hAnsi="Arial" w:cs="Arial"/>
          <w:sz w:val="22"/>
          <w:szCs w:val="22"/>
        </w:rPr>
        <w:t>Une instruction de la COSUMAF précise le pourcentage visé au présent article.</w:t>
      </w:r>
    </w:p>
    <w:p w14:paraId="47BFD1B4" w14:textId="77777777" w:rsidR="00F64739" w:rsidRPr="00A64175" w:rsidRDefault="00F64739" w:rsidP="00A64175">
      <w:pPr>
        <w:tabs>
          <w:tab w:val="left" w:pos="1845"/>
        </w:tabs>
        <w:autoSpaceDE w:val="0"/>
        <w:adjustRightInd w:val="0"/>
        <w:jc w:val="both"/>
        <w:rPr>
          <w:rFonts w:ascii="Arial" w:hAnsi="Arial" w:cs="Arial"/>
          <w:b/>
          <w:sz w:val="22"/>
          <w:szCs w:val="22"/>
        </w:rPr>
      </w:pPr>
    </w:p>
    <w:p w14:paraId="24DCCE78" w14:textId="77777777" w:rsidR="00F64739" w:rsidRPr="00A64175" w:rsidRDefault="00F64739" w:rsidP="00A64175">
      <w:pPr>
        <w:tabs>
          <w:tab w:val="left" w:pos="1845"/>
        </w:tabs>
        <w:autoSpaceDE w:val="0"/>
        <w:adjustRightInd w:val="0"/>
        <w:jc w:val="both"/>
        <w:rPr>
          <w:rFonts w:ascii="Arial" w:hAnsi="Arial" w:cs="Arial"/>
          <w:b/>
          <w:sz w:val="22"/>
          <w:szCs w:val="22"/>
        </w:rPr>
      </w:pPr>
    </w:p>
    <w:p w14:paraId="35DC77F5" w14:textId="478DD59E" w:rsidR="0014226F" w:rsidRPr="00A64175" w:rsidRDefault="00162493" w:rsidP="00A64175">
      <w:pPr>
        <w:pStyle w:val="Paragraphedeliste"/>
        <w:tabs>
          <w:tab w:val="left" w:pos="1845"/>
        </w:tabs>
        <w:suppressAutoHyphens w:val="0"/>
        <w:autoSpaceDE w:val="0"/>
        <w:adjustRightInd w:val="0"/>
        <w:spacing w:before="0" w:beforeAutospacing="0" w:after="0" w:afterAutospacing="0" w:line="240" w:lineRule="auto"/>
        <w:ind w:left="57"/>
        <w:textAlignment w:val="auto"/>
        <w:rPr>
          <w:sz w:val="22"/>
          <w:szCs w:val="22"/>
        </w:rPr>
      </w:pPr>
      <w:r w:rsidRPr="00A64175">
        <w:rPr>
          <w:b/>
          <w:bCs/>
          <w:color w:val="333333"/>
          <w:sz w:val="22"/>
          <w:szCs w:val="22"/>
        </w:rPr>
        <w:t>Article 6</w:t>
      </w:r>
      <w:r w:rsidR="00C53268">
        <w:rPr>
          <w:b/>
          <w:bCs/>
          <w:color w:val="333333"/>
          <w:sz w:val="22"/>
          <w:szCs w:val="22"/>
        </w:rPr>
        <w:t xml:space="preserve">64 </w:t>
      </w:r>
      <w:r w:rsidRPr="00A64175">
        <w:rPr>
          <w:b/>
          <w:bCs/>
          <w:color w:val="333333"/>
          <w:sz w:val="22"/>
          <w:szCs w:val="22"/>
        </w:rPr>
        <w:t xml:space="preserve"> –</w:t>
      </w:r>
      <w:r w:rsidRPr="00A64175">
        <w:rPr>
          <w:color w:val="333333"/>
          <w:sz w:val="22"/>
          <w:szCs w:val="22"/>
        </w:rPr>
        <w:t xml:space="preserve"> </w:t>
      </w:r>
      <w:r w:rsidR="0014226F" w:rsidRPr="00A64175">
        <w:rPr>
          <w:sz w:val="22"/>
          <w:szCs w:val="22"/>
        </w:rPr>
        <w:t>Les ressources du FOGAMAF comprennent :</w:t>
      </w:r>
    </w:p>
    <w:p w14:paraId="65F2CB77" w14:textId="77777777" w:rsidR="0014226F" w:rsidRPr="00A64175" w:rsidRDefault="0014226F" w:rsidP="00A64175">
      <w:pPr>
        <w:tabs>
          <w:tab w:val="left" w:pos="1845"/>
        </w:tabs>
        <w:autoSpaceDE w:val="0"/>
        <w:adjustRightInd w:val="0"/>
        <w:jc w:val="both"/>
        <w:rPr>
          <w:rFonts w:ascii="Arial" w:hAnsi="Arial" w:cs="Arial"/>
          <w:sz w:val="22"/>
          <w:szCs w:val="22"/>
        </w:rPr>
      </w:pPr>
    </w:p>
    <w:p w14:paraId="2E748FCA" w14:textId="25EDB857" w:rsidR="0014226F" w:rsidRPr="00A64175" w:rsidRDefault="0014226F" w:rsidP="00A64175">
      <w:pPr>
        <w:pStyle w:val="Paragraphedeliste"/>
        <w:numPr>
          <w:ilvl w:val="0"/>
          <w:numId w:val="197"/>
        </w:numPr>
        <w:tabs>
          <w:tab w:val="left" w:pos="-1185"/>
        </w:tabs>
        <w:spacing w:before="0" w:beforeAutospacing="0" w:afterAutospacing="0"/>
        <w:rPr>
          <w:sz w:val="22"/>
          <w:szCs w:val="22"/>
        </w:rPr>
      </w:pPr>
      <w:r w:rsidRPr="00A64175">
        <w:rPr>
          <w:sz w:val="22"/>
          <w:szCs w:val="22"/>
        </w:rPr>
        <w:t xml:space="preserve">les cotisations allouées </w:t>
      </w:r>
      <w:r w:rsidR="00CE4DD4" w:rsidRPr="00A64175">
        <w:rPr>
          <w:sz w:val="22"/>
          <w:szCs w:val="22"/>
        </w:rPr>
        <w:t>par les sociétés de bourse</w:t>
      </w:r>
      <w:r w:rsidRPr="00A64175">
        <w:rPr>
          <w:sz w:val="22"/>
          <w:szCs w:val="22"/>
        </w:rPr>
        <w:t xml:space="preserve"> et dont le montant est précisé par la COSUMAF ;</w:t>
      </w:r>
    </w:p>
    <w:p w14:paraId="48BD0004" w14:textId="77777777" w:rsidR="0014226F" w:rsidRPr="00A64175" w:rsidRDefault="0014226F" w:rsidP="00A64175">
      <w:pPr>
        <w:pStyle w:val="Paragraphedeliste"/>
        <w:numPr>
          <w:ilvl w:val="0"/>
          <w:numId w:val="197"/>
        </w:numPr>
        <w:tabs>
          <w:tab w:val="left" w:pos="-1185"/>
        </w:tabs>
        <w:spacing w:before="0" w:beforeAutospacing="0" w:afterAutospacing="0"/>
        <w:rPr>
          <w:sz w:val="22"/>
          <w:szCs w:val="22"/>
        </w:rPr>
      </w:pPr>
      <w:r w:rsidRPr="00A64175">
        <w:rPr>
          <w:sz w:val="22"/>
          <w:szCs w:val="22"/>
        </w:rPr>
        <w:t>les dotations et autres sources de revenus décidées par le Comité Ministériel de l’UMAC ;</w:t>
      </w:r>
    </w:p>
    <w:p w14:paraId="15B665CF" w14:textId="77777777" w:rsidR="0014226F" w:rsidRPr="00A64175" w:rsidRDefault="0014226F" w:rsidP="00A64175">
      <w:pPr>
        <w:pStyle w:val="Paragraphedeliste"/>
        <w:numPr>
          <w:ilvl w:val="0"/>
          <w:numId w:val="197"/>
        </w:numPr>
        <w:tabs>
          <w:tab w:val="left" w:pos="-1185"/>
        </w:tabs>
        <w:spacing w:before="0" w:beforeAutospacing="0" w:afterAutospacing="0"/>
        <w:rPr>
          <w:sz w:val="22"/>
          <w:szCs w:val="22"/>
        </w:rPr>
      </w:pPr>
      <w:r w:rsidRPr="00A64175">
        <w:rPr>
          <w:sz w:val="22"/>
          <w:szCs w:val="22"/>
        </w:rPr>
        <w:t>les revenus générés par le placement éventuel des ressources susvisées.</w:t>
      </w:r>
    </w:p>
    <w:p w14:paraId="0C038B2D" w14:textId="77777777" w:rsidR="00CE4DD4" w:rsidRPr="00A64175" w:rsidRDefault="00CE4DD4" w:rsidP="00A64175">
      <w:pPr>
        <w:tabs>
          <w:tab w:val="left" w:pos="-1185"/>
        </w:tabs>
        <w:jc w:val="both"/>
        <w:rPr>
          <w:rFonts w:ascii="Arial" w:hAnsi="Arial" w:cs="Arial"/>
          <w:sz w:val="22"/>
          <w:szCs w:val="22"/>
        </w:rPr>
      </w:pPr>
    </w:p>
    <w:p w14:paraId="116C6D33" w14:textId="2EFF770E" w:rsidR="0014226F" w:rsidRPr="00A64175" w:rsidRDefault="00162493" w:rsidP="00A64175">
      <w:pPr>
        <w:pStyle w:val="Paragraphedeliste"/>
        <w:tabs>
          <w:tab w:val="left" w:pos="1845"/>
        </w:tabs>
        <w:suppressAutoHyphens w:val="0"/>
        <w:autoSpaceDE w:val="0"/>
        <w:adjustRightInd w:val="0"/>
        <w:spacing w:before="0" w:beforeAutospacing="0" w:after="0" w:afterAutospacing="0" w:line="240" w:lineRule="auto"/>
        <w:ind w:left="57"/>
        <w:textAlignment w:val="auto"/>
        <w:rPr>
          <w:sz w:val="22"/>
          <w:szCs w:val="22"/>
        </w:rPr>
      </w:pPr>
      <w:r w:rsidRPr="00A64175">
        <w:rPr>
          <w:b/>
          <w:bCs/>
          <w:color w:val="333333"/>
          <w:sz w:val="22"/>
          <w:szCs w:val="22"/>
        </w:rPr>
        <w:t>Article 6</w:t>
      </w:r>
      <w:r w:rsidR="00C53268">
        <w:rPr>
          <w:b/>
          <w:bCs/>
          <w:color w:val="333333"/>
          <w:sz w:val="22"/>
          <w:szCs w:val="22"/>
        </w:rPr>
        <w:t xml:space="preserve">65 </w:t>
      </w:r>
      <w:r w:rsidRPr="00A64175">
        <w:rPr>
          <w:b/>
          <w:bCs/>
          <w:color w:val="333333"/>
          <w:sz w:val="22"/>
          <w:szCs w:val="22"/>
        </w:rPr>
        <w:t xml:space="preserve"> –</w:t>
      </w:r>
      <w:r w:rsidRPr="00A64175">
        <w:rPr>
          <w:color w:val="333333"/>
          <w:sz w:val="22"/>
          <w:szCs w:val="22"/>
        </w:rPr>
        <w:t xml:space="preserve"> </w:t>
      </w:r>
      <w:r w:rsidR="0014226F" w:rsidRPr="00A64175">
        <w:rPr>
          <w:sz w:val="22"/>
          <w:szCs w:val="22"/>
        </w:rPr>
        <w:t>Les ressources du FOGAMAF sont affectées au paiement :</w:t>
      </w:r>
    </w:p>
    <w:p w14:paraId="07A5FD72" w14:textId="77777777" w:rsidR="0014226F" w:rsidRPr="00A64175" w:rsidRDefault="0014226F" w:rsidP="00A64175">
      <w:pPr>
        <w:tabs>
          <w:tab w:val="left" w:pos="1845"/>
        </w:tabs>
        <w:autoSpaceDE w:val="0"/>
        <w:adjustRightInd w:val="0"/>
        <w:ind w:left="34"/>
        <w:jc w:val="both"/>
        <w:rPr>
          <w:rFonts w:ascii="Arial" w:hAnsi="Arial" w:cs="Arial"/>
          <w:sz w:val="22"/>
          <w:szCs w:val="22"/>
        </w:rPr>
      </w:pPr>
    </w:p>
    <w:p w14:paraId="05F8AF92" w14:textId="77777777" w:rsidR="0014226F" w:rsidRPr="00A64175" w:rsidRDefault="0014226F" w:rsidP="00A64175">
      <w:pPr>
        <w:pStyle w:val="Paragraphedeliste"/>
        <w:numPr>
          <w:ilvl w:val="0"/>
          <w:numId w:val="198"/>
        </w:numPr>
        <w:tabs>
          <w:tab w:val="left" w:pos="-1185"/>
        </w:tabs>
        <w:spacing w:before="0" w:beforeAutospacing="0" w:afterAutospacing="0"/>
        <w:rPr>
          <w:sz w:val="22"/>
          <w:szCs w:val="22"/>
        </w:rPr>
      </w:pPr>
      <w:r w:rsidRPr="00A64175">
        <w:rPr>
          <w:sz w:val="22"/>
          <w:szCs w:val="22"/>
        </w:rPr>
        <w:t>de toute indemnisation dont la demande est déclarée recevable par le Fonds ;</w:t>
      </w:r>
    </w:p>
    <w:p w14:paraId="30742D83" w14:textId="77777777" w:rsidR="0014226F" w:rsidRPr="00A64175" w:rsidRDefault="0014226F" w:rsidP="00A64175">
      <w:pPr>
        <w:pStyle w:val="Paragraphedeliste"/>
        <w:numPr>
          <w:ilvl w:val="0"/>
          <w:numId w:val="198"/>
        </w:numPr>
        <w:tabs>
          <w:tab w:val="left" w:pos="-1185"/>
        </w:tabs>
        <w:spacing w:before="0" w:beforeAutospacing="0" w:afterAutospacing="0"/>
        <w:rPr>
          <w:sz w:val="22"/>
          <w:szCs w:val="22"/>
        </w:rPr>
      </w:pPr>
      <w:r w:rsidRPr="00A64175">
        <w:rPr>
          <w:sz w:val="22"/>
          <w:szCs w:val="22"/>
        </w:rPr>
        <w:t>des honoraires, droits et charges dus à raison de l’instruction des demandes d’indemnisation et des procédures engagées à l’occasion de ces demandes ;</w:t>
      </w:r>
    </w:p>
    <w:p w14:paraId="7402BA47" w14:textId="77777777" w:rsidR="0014226F" w:rsidRPr="00A64175" w:rsidRDefault="0014226F" w:rsidP="00A64175">
      <w:pPr>
        <w:pStyle w:val="Paragraphedeliste"/>
        <w:numPr>
          <w:ilvl w:val="0"/>
          <w:numId w:val="198"/>
        </w:numPr>
        <w:tabs>
          <w:tab w:val="left" w:pos="-1185"/>
        </w:tabs>
        <w:spacing w:before="0" w:beforeAutospacing="0" w:afterAutospacing="0"/>
        <w:rPr>
          <w:sz w:val="22"/>
          <w:szCs w:val="22"/>
        </w:rPr>
      </w:pPr>
      <w:r w:rsidRPr="00A64175">
        <w:rPr>
          <w:sz w:val="22"/>
          <w:szCs w:val="22"/>
        </w:rPr>
        <w:t>de toutes primes relatives aux polices d’assurances souscrites pour permettre une bonne couverture des risques pesant sur le Fonds ;</w:t>
      </w:r>
    </w:p>
    <w:p w14:paraId="27B11EC5" w14:textId="77777777" w:rsidR="0014226F" w:rsidRPr="00A64175" w:rsidRDefault="0014226F" w:rsidP="00A64175">
      <w:pPr>
        <w:pStyle w:val="Paragraphedeliste"/>
        <w:numPr>
          <w:ilvl w:val="0"/>
          <w:numId w:val="198"/>
        </w:numPr>
        <w:tabs>
          <w:tab w:val="left" w:pos="-1185"/>
        </w:tabs>
        <w:spacing w:before="0" w:beforeAutospacing="0" w:afterAutospacing="0"/>
        <w:rPr>
          <w:sz w:val="22"/>
          <w:szCs w:val="22"/>
        </w:rPr>
      </w:pPr>
      <w:r w:rsidRPr="00A64175">
        <w:rPr>
          <w:sz w:val="22"/>
          <w:szCs w:val="22"/>
        </w:rPr>
        <w:t>des frais et charges d’administration et de gestion du Fonds.</w:t>
      </w:r>
    </w:p>
    <w:p w14:paraId="69CA8809" w14:textId="77777777" w:rsidR="00CE4DD4" w:rsidRPr="00A64175" w:rsidRDefault="00CE4DD4" w:rsidP="00A64175">
      <w:pPr>
        <w:tabs>
          <w:tab w:val="left" w:pos="-1185"/>
        </w:tabs>
        <w:jc w:val="both"/>
        <w:rPr>
          <w:rFonts w:ascii="Arial" w:hAnsi="Arial" w:cs="Arial"/>
          <w:sz w:val="22"/>
          <w:szCs w:val="22"/>
        </w:rPr>
      </w:pPr>
    </w:p>
    <w:p w14:paraId="50F63179" w14:textId="54035E4F" w:rsidR="0014226F" w:rsidRPr="00A64175" w:rsidRDefault="00162493" w:rsidP="00A64175">
      <w:pPr>
        <w:pStyle w:val="Paragraphedeliste"/>
        <w:tabs>
          <w:tab w:val="left" w:pos="1845"/>
        </w:tabs>
        <w:suppressAutoHyphens w:val="0"/>
        <w:autoSpaceDE w:val="0"/>
        <w:adjustRightInd w:val="0"/>
        <w:spacing w:before="0" w:beforeAutospacing="0" w:after="0" w:afterAutospacing="0" w:line="240" w:lineRule="auto"/>
        <w:ind w:left="57"/>
        <w:textAlignment w:val="auto"/>
        <w:rPr>
          <w:sz w:val="22"/>
          <w:szCs w:val="22"/>
        </w:rPr>
      </w:pPr>
      <w:r w:rsidRPr="00A64175">
        <w:rPr>
          <w:b/>
          <w:bCs/>
          <w:color w:val="333333"/>
          <w:sz w:val="22"/>
          <w:szCs w:val="22"/>
        </w:rPr>
        <w:t>Article 6</w:t>
      </w:r>
      <w:r w:rsidR="00C53268">
        <w:rPr>
          <w:b/>
          <w:bCs/>
          <w:color w:val="333333"/>
          <w:sz w:val="22"/>
          <w:szCs w:val="22"/>
        </w:rPr>
        <w:t xml:space="preserve">66 </w:t>
      </w:r>
      <w:r w:rsidRPr="00A64175">
        <w:rPr>
          <w:b/>
          <w:bCs/>
          <w:color w:val="333333"/>
          <w:sz w:val="22"/>
          <w:szCs w:val="22"/>
        </w:rPr>
        <w:t xml:space="preserve"> –</w:t>
      </w:r>
      <w:r w:rsidRPr="00A64175">
        <w:rPr>
          <w:color w:val="333333"/>
          <w:sz w:val="22"/>
          <w:szCs w:val="22"/>
        </w:rPr>
        <w:t xml:space="preserve"> </w:t>
      </w:r>
      <w:r w:rsidR="00F64739" w:rsidRPr="00A64175">
        <w:rPr>
          <w:sz w:val="22"/>
          <w:szCs w:val="22"/>
        </w:rPr>
        <w:t>Une instruction</w:t>
      </w:r>
      <w:r w:rsidR="0014226F" w:rsidRPr="00A64175">
        <w:rPr>
          <w:sz w:val="22"/>
          <w:szCs w:val="22"/>
        </w:rPr>
        <w:t xml:space="preserve"> de la COSUMAF précise les règles de fonctionnement et de gestion du FOGAMAF. </w:t>
      </w:r>
    </w:p>
    <w:p w14:paraId="69E4AB49" w14:textId="77777777" w:rsidR="0014226F" w:rsidRPr="00A64175" w:rsidRDefault="0014226F" w:rsidP="00A64175">
      <w:pPr>
        <w:widowControl w:val="0"/>
        <w:autoSpaceDE w:val="0"/>
        <w:autoSpaceDN w:val="0"/>
        <w:adjustRightInd w:val="0"/>
        <w:jc w:val="both"/>
        <w:rPr>
          <w:rFonts w:ascii="Arial" w:hAnsi="Arial" w:cs="Arial"/>
          <w:kern w:val="1"/>
          <w:sz w:val="22"/>
          <w:szCs w:val="22"/>
        </w:rPr>
      </w:pPr>
    </w:p>
    <w:p w14:paraId="05DA7970" w14:textId="77777777" w:rsidR="00843511" w:rsidRPr="00A64175" w:rsidRDefault="00843511" w:rsidP="00A64175">
      <w:pPr>
        <w:widowControl w:val="0"/>
        <w:autoSpaceDE w:val="0"/>
        <w:autoSpaceDN w:val="0"/>
        <w:adjustRightInd w:val="0"/>
        <w:jc w:val="both"/>
        <w:rPr>
          <w:rFonts w:ascii="Arial" w:hAnsi="Arial" w:cs="Arial"/>
          <w:kern w:val="1"/>
          <w:sz w:val="22"/>
          <w:szCs w:val="22"/>
        </w:rPr>
      </w:pPr>
    </w:p>
    <w:p w14:paraId="25FB6AAC" w14:textId="6A113F69" w:rsidR="00843511" w:rsidRPr="00A64175" w:rsidRDefault="00843511" w:rsidP="00A64175">
      <w:pPr>
        <w:jc w:val="both"/>
        <w:rPr>
          <w:rFonts w:ascii="Arial" w:hAnsi="Arial" w:cs="Arial"/>
          <w:b/>
          <w:sz w:val="22"/>
          <w:szCs w:val="22"/>
        </w:rPr>
      </w:pPr>
      <w:r w:rsidRPr="00A64175">
        <w:rPr>
          <w:rFonts w:ascii="Arial" w:hAnsi="Arial" w:cs="Arial"/>
          <w:b/>
          <w:sz w:val="22"/>
          <w:szCs w:val="22"/>
        </w:rPr>
        <w:t>TITRE XII – DISPOSITIONS TRANSITOIRES</w:t>
      </w:r>
    </w:p>
    <w:p w14:paraId="048BFEA4" w14:textId="77777777" w:rsidR="0014226F" w:rsidRPr="00A64175" w:rsidRDefault="0014226F" w:rsidP="00A64175">
      <w:pPr>
        <w:widowControl w:val="0"/>
        <w:autoSpaceDE w:val="0"/>
        <w:autoSpaceDN w:val="0"/>
        <w:adjustRightInd w:val="0"/>
        <w:jc w:val="both"/>
        <w:rPr>
          <w:rFonts w:ascii="Arial" w:hAnsi="Arial" w:cs="Arial"/>
          <w:kern w:val="1"/>
          <w:sz w:val="22"/>
          <w:szCs w:val="22"/>
        </w:rPr>
      </w:pPr>
    </w:p>
    <w:p w14:paraId="2971663A" w14:textId="1E1F390E" w:rsidR="00843511" w:rsidRPr="00A64175" w:rsidRDefault="00843511" w:rsidP="00A64175">
      <w:pPr>
        <w:widowControl w:val="0"/>
        <w:autoSpaceDE w:val="0"/>
        <w:autoSpaceDN w:val="0"/>
        <w:adjustRightInd w:val="0"/>
        <w:jc w:val="both"/>
        <w:rPr>
          <w:rFonts w:ascii="Arial" w:hAnsi="Arial" w:cs="Arial"/>
          <w:kern w:val="1"/>
          <w:sz w:val="22"/>
          <w:szCs w:val="22"/>
        </w:rPr>
      </w:pPr>
      <w:r w:rsidRPr="00A64175">
        <w:rPr>
          <w:rFonts w:ascii="Arial" w:hAnsi="Arial" w:cs="Arial"/>
          <w:b/>
          <w:bCs/>
          <w:color w:val="333333"/>
          <w:sz w:val="22"/>
          <w:szCs w:val="22"/>
        </w:rPr>
        <w:t>Artic</w:t>
      </w:r>
      <w:r w:rsidR="00D028A2" w:rsidRPr="00A64175">
        <w:rPr>
          <w:rFonts w:ascii="Arial" w:hAnsi="Arial" w:cs="Arial"/>
          <w:b/>
          <w:bCs/>
          <w:color w:val="333333"/>
          <w:sz w:val="22"/>
          <w:szCs w:val="22"/>
        </w:rPr>
        <w:t>le 6</w:t>
      </w:r>
      <w:r w:rsidR="00C53268">
        <w:rPr>
          <w:rFonts w:ascii="Arial" w:hAnsi="Arial" w:cs="Arial"/>
          <w:b/>
          <w:bCs/>
          <w:color w:val="333333"/>
          <w:sz w:val="22"/>
          <w:szCs w:val="22"/>
        </w:rPr>
        <w:t xml:space="preserve">67 </w:t>
      </w:r>
      <w:r w:rsidRPr="00A64175">
        <w:rPr>
          <w:rFonts w:ascii="Arial" w:hAnsi="Arial" w:cs="Arial"/>
          <w:b/>
          <w:bCs/>
          <w:color w:val="333333"/>
          <w:sz w:val="22"/>
          <w:szCs w:val="22"/>
        </w:rPr>
        <w:t xml:space="preserve"> –</w:t>
      </w:r>
      <w:r w:rsidRPr="00A64175">
        <w:rPr>
          <w:rFonts w:ascii="Arial" w:hAnsi="Arial" w:cs="Arial"/>
          <w:color w:val="333333"/>
          <w:sz w:val="22"/>
          <w:szCs w:val="22"/>
        </w:rPr>
        <w:t xml:space="preserve"> Au plus tard le 31 décembre 2023, les</w:t>
      </w:r>
      <w:r w:rsidR="00A71482" w:rsidRPr="00A64175">
        <w:rPr>
          <w:rFonts w:ascii="Arial" w:hAnsi="Arial" w:cs="Arial"/>
          <w:color w:val="333333"/>
          <w:sz w:val="22"/>
          <w:szCs w:val="22"/>
        </w:rPr>
        <w:t xml:space="preserve"> intermédiaires de marché </w:t>
      </w:r>
      <w:r w:rsidRPr="00A64175">
        <w:rPr>
          <w:rFonts w:ascii="Arial" w:hAnsi="Arial" w:cs="Arial"/>
          <w:color w:val="333333"/>
          <w:sz w:val="22"/>
          <w:szCs w:val="22"/>
        </w:rPr>
        <w:t xml:space="preserve"> </w:t>
      </w:r>
      <w:r w:rsidR="00A71482" w:rsidRPr="00A64175">
        <w:rPr>
          <w:rFonts w:ascii="Arial" w:hAnsi="Arial" w:cs="Arial"/>
          <w:color w:val="333333"/>
          <w:sz w:val="22"/>
          <w:szCs w:val="22"/>
        </w:rPr>
        <w:t>tenu</w:t>
      </w:r>
      <w:r w:rsidRPr="00A64175">
        <w:rPr>
          <w:rFonts w:ascii="Arial" w:hAnsi="Arial" w:cs="Arial"/>
          <w:color w:val="333333"/>
          <w:sz w:val="22"/>
          <w:szCs w:val="22"/>
        </w:rPr>
        <w:t>s aux obligations d’augmentation du capital social en application des dispositions</w:t>
      </w:r>
      <w:r w:rsidR="0091015D" w:rsidRPr="00A64175">
        <w:rPr>
          <w:rFonts w:ascii="Arial" w:hAnsi="Arial" w:cs="Arial"/>
          <w:color w:val="333333"/>
          <w:sz w:val="22"/>
          <w:szCs w:val="22"/>
        </w:rPr>
        <w:t xml:space="preserve"> des</w:t>
      </w:r>
      <w:r w:rsidR="00D028A2" w:rsidRPr="00A64175">
        <w:rPr>
          <w:rFonts w:ascii="Arial" w:hAnsi="Arial" w:cs="Arial"/>
          <w:color w:val="333333"/>
          <w:sz w:val="22"/>
          <w:szCs w:val="22"/>
        </w:rPr>
        <w:t xml:space="preserve"> </w:t>
      </w:r>
      <w:r w:rsidR="00D028A2" w:rsidRPr="00694EC1">
        <w:rPr>
          <w:rFonts w:ascii="Arial" w:hAnsi="Arial" w:cs="Arial"/>
          <w:color w:val="333333"/>
          <w:sz w:val="22"/>
          <w:szCs w:val="22"/>
        </w:rPr>
        <w:t>articles</w:t>
      </w:r>
      <w:r w:rsidR="0091015D" w:rsidRPr="00694EC1">
        <w:rPr>
          <w:rFonts w:ascii="Arial" w:hAnsi="Arial" w:cs="Arial"/>
          <w:color w:val="333333"/>
          <w:sz w:val="22"/>
          <w:szCs w:val="22"/>
        </w:rPr>
        <w:t xml:space="preserve"> 24</w:t>
      </w:r>
      <w:r w:rsidR="008D47A4" w:rsidRPr="00694EC1">
        <w:rPr>
          <w:rFonts w:ascii="Arial" w:hAnsi="Arial" w:cs="Arial"/>
          <w:color w:val="333333"/>
          <w:sz w:val="22"/>
          <w:szCs w:val="22"/>
        </w:rPr>
        <w:t xml:space="preserve">5 </w:t>
      </w:r>
      <w:r w:rsidR="0091015D" w:rsidRPr="00694EC1">
        <w:rPr>
          <w:rFonts w:ascii="Arial" w:hAnsi="Arial" w:cs="Arial"/>
          <w:color w:val="333333"/>
          <w:sz w:val="22"/>
          <w:szCs w:val="22"/>
        </w:rPr>
        <w:t xml:space="preserve"> et suivants</w:t>
      </w:r>
      <w:r w:rsidRPr="00694EC1">
        <w:rPr>
          <w:rFonts w:ascii="Arial" w:hAnsi="Arial" w:cs="Arial"/>
          <w:color w:val="333333"/>
          <w:sz w:val="22"/>
          <w:szCs w:val="22"/>
        </w:rPr>
        <w:t xml:space="preserve"> du présent règlement général</w:t>
      </w:r>
      <w:r w:rsidRPr="00A64175">
        <w:rPr>
          <w:rFonts w:ascii="Arial" w:hAnsi="Arial" w:cs="Arial"/>
          <w:color w:val="333333"/>
          <w:sz w:val="22"/>
          <w:szCs w:val="22"/>
        </w:rPr>
        <w:t xml:space="preserve"> doivent procéder </w:t>
      </w:r>
      <w:r w:rsidR="00D028A2" w:rsidRPr="00A64175">
        <w:rPr>
          <w:rFonts w:ascii="Arial" w:hAnsi="Arial" w:cs="Arial"/>
          <w:color w:val="333333"/>
          <w:sz w:val="22"/>
          <w:szCs w:val="22"/>
        </w:rPr>
        <w:t>aux régularisations nécessaires et à la mise en conformité de leurs statuts.</w:t>
      </w:r>
    </w:p>
    <w:p w14:paraId="260C4EC2" w14:textId="77777777" w:rsidR="00097802" w:rsidRPr="00A64175" w:rsidRDefault="00097802" w:rsidP="00A64175">
      <w:pPr>
        <w:widowControl w:val="0"/>
        <w:autoSpaceDE w:val="0"/>
        <w:autoSpaceDN w:val="0"/>
        <w:adjustRightInd w:val="0"/>
        <w:jc w:val="both"/>
        <w:rPr>
          <w:rFonts w:ascii="Arial" w:hAnsi="Arial" w:cs="Arial"/>
          <w:kern w:val="1"/>
          <w:sz w:val="22"/>
          <w:szCs w:val="22"/>
        </w:rPr>
      </w:pPr>
    </w:p>
    <w:p w14:paraId="35AD27FD" w14:textId="3937FCB6" w:rsidR="0009508C" w:rsidRPr="00A64175" w:rsidRDefault="0009508C" w:rsidP="00A64175">
      <w:pPr>
        <w:jc w:val="both"/>
        <w:rPr>
          <w:rFonts w:ascii="Arial" w:hAnsi="Arial" w:cs="Arial"/>
          <w:b/>
          <w:sz w:val="22"/>
          <w:szCs w:val="22"/>
        </w:rPr>
      </w:pPr>
      <w:r w:rsidRPr="00A64175">
        <w:rPr>
          <w:rFonts w:ascii="Arial" w:hAnsi="Arial" w:cs="Arial"/>
          <w:b/>
          <w:sz w:val="22"/>
          <w:szCs w:val="22"/>
        </w:rPr>
        <w:t xml:space="preserve">TITRE </w:t>
      </w:r>
      <w:r w:rsidR="003A5737" w:rsidRPr="00A64175">
        <w:rPr>
          <w:rFonts w:ascii="Arial" w:hAnsi="Arial" w:cs="Arial"/>
          <w:b/>
          <w:sz w:val="22"/>
          <w:szCs w:val="22"/>
        </w:rPr>
        <w:t>X</w:t>
      </w:r>
      <w:r w:rsidR="003F311B" w:rsidRPr="00A64175">
        <w:rPr>
          <w:rFonts w:ascii="Arial" w:hAnsi="Arial" w:cs="Arial"/>
          <w:b/>
          <w:sz w:val="22"/>
          <w:szCs w:val="22"/>
        </w:rPr>
        <w:t>I</w:t>
      </w:r>
      <w:r w:rsidR="00843511" w:rsidRPr="00A64175">
        <w:rPr>
          <w:rFonts w:ascii="Arial" w:hAnsi="Arial" w:cs="Arial"/>
          <w:b/>
          <w:sz w:val="22"/>
          <w:szCs w:val="22"/>
        </w:rPr>
        <w:t>I</w:t>
      </w:r>
      <w:r w:rsidR="003F311B" w:rsidRPr="00A64175">
        <w:rPr>
          <w:rFonts w:ascii="Arial" w:hAnsi="Arial" w:cs="Arial"/>
          <w:b/>
          <w:sz w:val="22"/>
          <w:szCs w:val="22"/>
        </w:rPr>
        <w:t>I</w:t>
      </w:r>
      <w:r w:rsidRPr="00A64175">
        <w:rPr>
          <w:rFonts w:ascii="Arial" w:hAnsi="Arial" w:cs="Arial"/>
          <w:b/>
          <w:sz w:val="22"/>
          <w:szCs w:val="22"/>
        </w:rPr>
        <w:t xml:space="preserve"> – DISPOSITIONS FINALES</w:t>
      </w:r>
    </w:p>
    <w:p w14:paraId="6062F6D4" w14:textId="77777777" w:rsidR="007D3FF2" w:rsidRPr="00A64175" w:rsidRDefault="007D3FF2" w:rsidP="00A64175">
      <w:pPr>
        <w:jc w:val="both"/>
        <w:rPr>
          <w:rFonts w:ascii="Arial" w:hAnsi="Arial" w:cs="Arial"/>
          <w:b/>
          <w:bCs/>
          <w:color w:val="333333"/>
          <w:sz w:val="22"/>
          <w:szCs w:val="22"/>
        </w:rPr>
      </w:pPr>
    </w:p>
    <w:p w14:paraId="4EE3F737" w14:textId="4D5B1940" w:rsidR="0009508C" w:rsidRPr="00A64175" w:rsidRDefault="007D3FF2" w:rsidP="00A64175">
      <w:pPr>
        <w:jc w:val="both"/>
        <w:rPr>
          <w:rFonts w:ascii="Arial" w:hAnsi="Arial" w:cs="Arial"/>
          <w:sz w:val="22"/>
          <w:szCs w:val="22"/>
        </w:rPr>
      </w:pPr>
      <w:r w:rsidRPr="00A64175">
        <w:rPr>
          <w:rFonts w:ascii="Arial" w:hAnsi="Arial" w:cs="Arial"/>
          <w:b/>
          <w:bCs/>
          <w:color w:val="333333"/>
          <w:sz w:val="22"/>
          <w:szCs w:val="22"/>
        </w:rPr>
        <w:t>Artic</w:t>
      </w:r>
      <w:r w:rsidR="00D028A2" w:rsidRPr="00A64175">
        <w:rPr>
          <w:rFonts w:ascii="Arial" w:hAnsi="Arial" w:cs="Arial"/>
          <w:b/>
          <w:bCs/>
          <w:color w:val="333333"/>
          <w:sz w:val="22"/>
          <w:szCs w:val="22"/>
        </w:rPr>
        <w:t>le 6</w:t>
      </w:r>
      <w:r w:rsidR="00EA066C">
        <w:rPr>
          <w:rFonts w:ascii="Arial" w:hAnsi="Arial" w:cs="Arial"/>
          <w:b/>
          <w:bCs/>
          <w:color w:val="333333"/>
          <w:sz w:val="22"/>
          <w:szCs w:val="22"/>
        </w:rPr>
        <w:t xml:space="preserve">68 </w:t>
      </w:r>
      <w:r w:rsidRPr="00A64175">
        <w:rPr>
          <w:rFonts w:ascii="Arial" w:hAnsi="Arial" w:cs="Arial"/>
          <w:b/>
          <w:bCs/>
          <w:color w:val="333333"/>
          <w:sz w:val="22"/>
          <w:szCs w:val="22"/>
        </w:rPr>
        <w:t xml:space="preserve"> –</w:t>
      </w:r>
      <w:r w:rsidRPr="00A64175">
        <w:rPr>
          <w:rFonts w:ascii="Arial" w:hAnsi="Arial" w:cs="Arial"/>
          <w:color w:val="333333"/>
          <w:sz w:val="22"/>
          <w:szCs w:val="22"/>
        </w:rPr>
        <w:t xml:space="preserve"> </w:t>
      </w:r>
      <w:r w:rsidR="00ED30C2" w:rsidRPr="00A64175">
        <w:rPr>
          <w:rFonts w:ascii="Arial" w:hAnsi="Arial" w:cs="Arial"/>
          <w:color w:val="333333"/>
          <w:sz w:val="22"/>
          <w:szCs w:val="22"/>
        </w:rPr>
        <w:t xml:space="preserve">Conformément aux dispositions de </w:t>
      </w:r>
      <w:r w:rsidR="00ED30C2" w:rsidRPr="00A64175">
        <w:rPr>
          <w:rFonts w:ascii="Arial" w:hAnsi="Arial" w:cs="Arial"/>
          <w:sz w:val="22"/>
          <w:szCs w:val="22"/>
        </w:rPr>
        <w:t>l’article 21 du Règlement</w:t>
      </w:r>
      <w:r w:rsidR="00ED30C2" w:rsidRPr="00A64175">
        <w:rPr>
          <w:rFonts w:ascii="Arial" w:hAnsi="Arial" w:cs="Arial"/>
          <w:color w:val="000000"/>
          <w:sz w:val="22"/>
          <w:szCs w:val="22"/>
        </w:rPr>
        <w:t xml:space="preserve"> n°01/22/CEMAC/UMAC/CM/COSUMAF du 21 juillet 2022, après son adoption par le Collège de la COSUMAF, le présent règlement général est homologué par le Comité Ministériel de l’UMAC avant d’entrer en vigueur.</w:t>
      </w:r>
    </w:p>
    <w:p w14:paraId="25E5F2D0" w14:textId="77777777" w:rsidR="005462FB" w:rsidRPr="00A64175" w:rsidRDefault="005462FB" w:rsidP="00A64175">
      <w:pPr>
        <w:jc w:val="both"/>
        <w:rPr>
          <w:rFonts w:ascii="Arial" w:hAnsi="Arial" w:cs="Arial"/>
          <w:b/>
          <w:sz w:val="22"/>
          <w:szCs w:val="22"/>
        </w:rPr>
      </w:pPr>
    </w:p>
    <w:p w14:paraId="5B818000" w14:textId="089755C8" w:rsidR="009F06D9" w:rsidRDefault="00D028A2" w:rsidP="00A64175">
      <w:pPr>
        <w:jc w:val="both"/>
        <w:rPr>
          <w:rFonts w:ascii="Arial" w:hAnsi="Arial" w:cs="Arial"/>
          <w:sz w:val="22"/>
          <w:szCs w:val="22"/>
        </w:rPr>
      </w:pPr>
      <w:r w:rsidRPr="00A64175">
        <w:rPr>
          <w:rFonts w:ascii="Arial" w:hAnsi="Arial" w:cs="Arial"/>
          <w:b/>
          <w:sz w:val="22"/>
          <w:szCs w:val="22"/>
        </w:rPr>
        <w:t xml:space="preserve">Article </w:t>
      </w:r>
      <w:r w:rsidR="00694EC1" w:rsidRPr="00A64175">
        <w:rPr>
          <w:rFonts w:ascii="Arial" w:hAnsi="Arial" w:cs="Arial"/>
          <w:b/>
          <w:sz w:val="22"/>
          <w:szCs w:val="22"/>
        </w:rPr>
        <w:t>6</w:t>
      </w:r>
      <w:r w:rsidR="00694EC1">
        <w:rPr>
          <w:rFonts w:ascii="Arial" w:hAnsi="Arial" w:cs="Arial"/>
          <w:b/>
          <w:sz w:val="22"/>
          <w:szCs w:val="22"/>
        </w:rPr>
        <w:t xml:space="preserve">69. </w:t>
      </w:r>
      <w:r w:rsidR="009F06D9" w:rsidRPr="00A64175">
        <w:rPr>
          <w:rFonts w:ascii="Arial" w:hAnsi="Arial" w:cs="Arial"/>
          <w:b/>
          <w:sz w:val="22"/>
          <w:szCs w:val="22"/>
        </w:rPr>
        <w:t xml:space="preserve">– </w:t>
      </w:r>
      <w:r w:rsidR="009F06D9" w:rsidRPr="00A64175">
        <w:rPr>
          <w:rFonts w:ascii="Arial" w:hAnsi="Arial" w:cs="Arial"/>
          <w:sz w:val="22"/>
          <w:szCs w:val="22"/>
        </w:rPr>
        <w:t>Le prés</w:t>
      </w:r>
      <w:r w:rsidR="00990768" w:rsidRPr="00A64175">
        <w:rPr>
          <w:rFonts w:ascii="Arial" w:hAnsi="Arial" w:cs="Arial"/>
          <w:sz w:val="22"/>
          <w:szCs w:val="22"/>
        </w:rPr>
        <w:t>ent r</w:t>
      </w:r>
      <w:r w:rsidR="009F06D9" w:rsidRPr="00A64175">
        <w:rPr>
          <w:rFonts w:ascii="Arial" w:hAnsi="Arial" w:cs="Arial"/>
          <w:sz w:val="22"/>
          <w:szCs w:val="22"/>
        </w:rPr>
        <w:t>èglement</w:t>
      </w:r>
      <w:r w:rsidR="007D3FF2" w:rsidRPr="00A64175">
        <w:rPr>
          <w:rFonts w:ascii="Arial" w:hAnsi="Arial" w:cs="Arial"/>
          <w:sz w:val="22"/>
          <w:szCs w:val="22"/>
        </w:rPr>
        <w:t xml:space="preserve"> général</w:t>
      </w:r>
      <w:r w:rsidR="009F06D9" w:rsidRPr="00A64175">
        <w:rPr>
          <w:rFonts w:ascii="Arial" w:hAnsi="Arial" w:cs="Arial"/>
          <w:sz w:val="22"/>
          <w:szCs w:val="22"/>
        </w:rPr>
        <w:t xml:space="preserve"> abroge </w:t>
      </w:r>
      <w:r w:rsidR="0081302C" w:rsidRPr="00A64175">
        <w:rPr>
          <w:rFonts w:ascii="Arial" w:hAnsi="Arial" w:cs="Arial"/>
          <w:sz w:val="22"/>
          <w:szCs w:val="22"/>
        </w:rPr>
        <w:t xml:space="preserve">toutes dispositions antérieures contraires et </w:t>
      </w:r>
      <w:r w:rsidR="009F06D9" w:rsidRPr="00A64175">
        <w:rPr>
          <w:rFonts w:ascii="Arial" w:hAnsi="Arial" w:cs="Arial"/>
          <w:sz w:val="22"/>
          <w:szCs w:val="22"/>
        </w:rPr>
        <w:t>da</w:t>
      </w:r>
      <w:r w:rsidR="00990768" w:rsidRPr="00A64175">
        <w:rPr>
          <w:rFonts w:ascii="Arial" w:hAnsi="Arial" w:cs="Arial"/>
          <w:sz w:val="22"/>
          <w:szCs w:val="22"/>
        </w:rPr>
        <w:t>ns toutes ses dispositions, le r</w:t>
      </w:r>
      <w:r w:rsidR="009F06D9" w:rsidRPr="00A64175">
        <w:rPr>
          <w:rFonts w:ascii="Arial" w:hAnsi="Arial" w:cs="Arial"/>
          <w:sz w:val="22"/>
          <w:szCs w:val="22"/>
        </w:rPr>
        <w:t xml:space="preserve">èglement général de la COSUMAF </w:t>
      </w:r>
      <w:r w:rsidR="005462FB" w:rsidRPr="00A64175">
        <w:rPr>
          <w:rFonts w:ascii="Arial" w:hAnsi="Arial" w:cs="Arial"/>
          <w:sz w:val="22"/>
          <w:szCs w:val="22"/>
        </w:rPr>
        <w:t>du 23 juillet 2008</w:t>
      </w:r>
      <w:r w:rsidR="009F06D9" w:rsidRPr="00A64175">
        <w:rPr>
          <w:rFonts w:ascii="Arial" w:hAnsi="Arial" w:cs="Arial"/>
          <w:sz w:val="22"/>
          <w:szCs w:val="22"/>
        </w:rPr>
        <w:t>.</w:t>
      </w:r>
    </w:p>
    <w:p w14:paraId="7C2D218A" w14:textId="77777777" w:rsidR="00F339DC" w:rsidRDefault="00F339DC" w:rsidP="00A64175">
      <w:pPr>
        <w:jc w:val="both"/>
        <w:rPr>
          <w:rFonts w:ascii="Arial" w:hAnsi="Arial" w:cs="Arial"/>
          <w:sz w:val="22"/>
          <w:szCs w:val="22"/>
        </w:rPr>
      </w:pPr>
    </w:p>
    <w:p w14:paraId="655D0CB4" w14:textId="77777777" w:rsidR="00F339DC" w:rsidRDefault="00F339DC" w:rsidP="00A64175">
      <w:pPr>
        <w:jc w:val="both"/>
        <w:rPr>
          <w:rFonts w:ascii="Arial" w:hAnsi="Arial" w:cs="Arial"/>
          <w:sz w:val="22"/>
          <w:szCs w:val="22"/>
        </w:rPr>
      </w:pPr>
      <w:r>
        <w:rPr>
          <w:rFonts w:ascii="Arial" w:hAnsi="Arial" w:cs="Arial"/>
          <w:sz w:val="22"/>
          <w:szCs w:val="22"/>
        </w:rPr>
        <w:t>Il entre en vigueur le premier jour suivant celui de son homologation. Il est publié au Bulletin Officiel de la CEMAC.</w:t>
      </w:r>
    </w:p>
    <w:p w14:paraId="22CEA24D" w14:textId="77777777" w:rsidR="00F339DC" w:rsidRDefault="00F339DC" w:rsidP="00A64175">
      <w:pPr>
        <w:jc w:val="both"/>
        <w:rPr>
          <w:rFonts w:ascii="Arial" w:hAnsi="Arial" w:cs="Arial"/>
          <w:sz w:val="22"/>
          <w:szCs w:val="22"/>
        </w:rPr>
      </w:pPr>
    </w:p>
    <w:p w14:paraId="2A09969C" w14:textId="5D277BEA" w:rsidR="004D50B3" w:rsidRPr="00A64175" w:rsidRDefault="0009508C" w:rsidP="00A64175">
      <w:pPr>
        <w:jc w:val="both"/>
        <w:rPr>
          <w:rFonts w:ascii="Arial" w:hAnsi="Arial" w:cs="Arial"/>
          <w:sz w:val="22"/>
          <w:szCs w:val="22"/>
        </w:rPr>
      </w:pPr>
      <w:r w:rsidRPr="00A64175">
        <w:rPr>
          <w:rFonts w:ascii="Arial" w:hAnsi="Arial" w:cs="Arial"/>
          <w:sz w:val="22"/>
          <w:szCs w:val="22"/>
        </w:rPr>
        <w:t xml:space="preserve">Le Président de la COSUMAF est chargé </w:t>
      </w:r>
      <w:r w:rsidR="00F339DC">
        <w:rPr>
          <w:rFonts w:ascii="Arial" w:hAnsi="Arial" w:cs="Arial"/>
          <w:sz w:val="22"/>
          <w:szCs w:val="22"/>
        </w:rPr>
        <w:t xml:space="preserve">de veiller à l’application des dispositions </w:t>
      </w:r>
      <w:r w:rsidR="00053F23" w:rsidRPr="00A64175">
        <w:rPr>
          <w:rFonts w:ascii="Arial" w:hAnsi="Arial" w:cs="Arial"/>
          <w:sz w:val="22"/>
          <w:szCs w:val="22"/>
        </w:rPr>
        <w:t>du présent Règlement</w:t>
      </w:r>
      <w:r w:rsidR="007D3FF2" w:rsidRPr="00A64175">
        <w:rPr>
          <w:rFonts w:ascii="Arial" w:hAnsi="Arial" w:cs="Arial"/>
          <w:sz w:val="22"/>
          <w:szCs w:val="22"/>
        </w:rPr>
        <w:t xml:space="preserve"> général</w:t>
      </w:r>
      <w:r w:rsidR="00F339DC">
        <w:rPr>
          <w:rFonts w:ascii="Arial" w:hAnsi="Arial" w:cs="Arial"/>
          <w:sz w:val="22"/>
          <w:szCs w:val="22"/>
        </w:rPr>
        <w:t xml:space="preserve">. </w:t>
      </w:r>
    </w:p>
    <w:p w14:paraId="4558852F" w14:textId="77777777" w:rsidR="0009508C" w:rsidRPr="00A64175" w:rsidRDefault="0009508C" w:rsidP="00A64175">
      <w:pPr>
        <w:jc w:val="both"/>
        <w:rPr>
          <w:rFonts w:ascii="Arial" w:hAnsi="Arial" w:cs="Arial"/>
          <w:sz w:val="22"/>
          <w:szCs w:val="22"/>
        </w:rPr>
      </w:pPr>
    </w:p>
    <w:p w14:paraId="3132D776" w14:textId="77777777" w:rsidR="00D62C5D" w:rsidRDefault="00D62C5D" w:rsidP="00A64175">
      <w:pPr>
        <w:jc w:val="both"/>
        <w:rPr>
          <w:rFonts w:ascii="Arial" w:hAnsi="Arial" w:cs="Arial"/>
          <w:sz w:val="22"/>
          <w:szCs w:val="22"/>
        </w:rPr>
      </w:pPr>
    </w:p>
    <w:p w14:paraId="06809792" w14:textId="77777777" w:rsidR="00D62C5D" w:rsidRDefault="00D62C5D" w:rsidP="00A64175">
      <w:pPr>
        <w:jc w:val="both"/>
        <w:rPr>
          <w:rFonts w:ascii="Arial" w:hAnsi="Arial" w:cs="Arial"/>
          <w:sz w:val="22"/>
          <w:szCs w:val="22"/>
        </w:rPr>
      </w:pPr>
    </w:p>
    <w:p w14:paraId="0E437D61" w14:textId="77777777" w:rsidR="00D62C5D" w:rsidRDefault="00D62C5D" w:rsidP="00A64175">
      <w:pPr>
        <w:jc w:val="both"/>
        <w:rPr>
          <w:rFonts w:ascii="Arial" w:hAnsi="Arial" w:cs="Arial"/>
          <w:sz w:val="22"/>
          <w:szCs w:val="22"/>
        </w:rPr>
      </w:pPr>
    </w:p>
    <w:p w14:paraId="4E2DB4B3" w14:textId="77777777" w:rsidR="00D62C5D" w:rsidRDefault="00D62C5D" w:rsidP="00A64175">
      <w:pPr>
        <w:jc w:val="both"/>
        <w:rPr>
          <w:rFonts w:ascii="Arial" w:hAnsi="Arial" w:cs="Arial"/>
          <w:sz w:val="22"/>
          <w:szCs w:val="22"/>
        </w:rPr>
      </w:pPr>
    </w:p>
    <w:p w14:paraId="4A7A1549" w14:textId="77777777" w:rsidR="00D62C5D" w:rsidRDefault="00D62C5D" w:rsidP="00A64175">
      <w:pPr>
        <w:jc w:val="both"/>
        <w:rPr>
          <w:rFonts w:ascii="Arial" w:hAnsi="Arial" w:cs="Arial"/>
          <w:sz w:val="22"/>
          <w:szCs w:val="22"/>
        </w:rPr>
      </w:pPr>
    </w:p>
    <w:p w14:paraId="488F7EB1" w14:textId="77777777" w:rsidR="00D62C5D" w:rsidRDefault="00D62C5D" w:rsidP="00A64175">
      <w:pPr>
        <w:jc w:val="both"/>
        <w:rPr>
          <w:rFonts w:ascii="Arial" w:hAnsi="Arial" w:cs="Arial"/>
          <w:sz w:val="22"/>
          <w:szCs w:val="22"/>
        </w:rPr>
      </w:pPr>
    </w:p>
    <w:p w14:paraId="43FC18BA" w14:textId="77777777" w:rsidR="00D62C5D" w:rsidRDefault="00D62C5D" w:rsidP="00A64175">
      <w:pPr>
        <w:jc w:val="both"/>
        <w:rPr>
          <w:rFonts w:ascii="Arial" w:hAnsi="Arial" w:cs="Arial"/>
          <w:sz w:val="22"/>
          <w:szCs w:val="22"/>
        </w:rPr>
      </w:pPr>
    </w:p>
    <w:p w14:paraId="394D7BE6" w14:textId="77777777" w:rsidR="00D62C5D" w:rsidRDefault="00D62C5D" w:rsidP="00A64175">
      <w:pPr>
        <w:jc w:val="both"/>
        <w:rPr>
          <w:rFonts w:ascii="Arial" w:hAnsi="Arial" w:cs="Arial"/>
          <w:sz w:val="22"/>
          <w:szCs w:val="22"/>
        </w:rPr>
      </w:pPr>
    </w:p>
    <w:p w14:paraId="6C9708B5" w14:textId="77777777" w:rsidR="00D62C5D" w:rsidRDefault="00D62C5D" w:rsidP="00A64175">
      <w:pPr>
        <w:jc w:val="both"/>
        <w:rPr>
          <w:rFonts w:ascii="Arial" w:hAnsi="Arial" w:cs="Arial"/>
          <w:sz w:val="22"/>
          <w:szCs w:val="22"/>
        </w:rPr>
      </w:pPr>
    </w:p>
    <w:p w14:paraId="6FFA2A72" w14:textId="7240F84B" w:rsidR="0009508C" w:rsidRPr="00A64175" w:rsidRDefault="0009508C" w:rsidP="00A64175">
      <w:pPr>
        <w:jc w:val="both"/>
        <w:rPr>
          <w:rFonts w:ascii="Arial" w:hAnsi="Arial" w:cs="Arial"/>
          <w:sz w:val="22"/>
          <w:szCs w:val="22"/>
        </w:rPr>
      </w:pPr>
      <w:r w:rsidRPr="00A64175">
        <w:rPr>
          <w:rFonts w:ascii="Arial" w:hAnsi="Arial" w:cs="Arial"/>
          <w:sz w:val="22"/>
          <w:szCs w:val="22"/>
        </w:rPr>
        <w:t>Fait à Librevi</w:t>
      </w:r>
      <w:r w:rsidR="00191446">
        <w:rPr>
          <w:rFonts w:ascii="Arial" w:hAnsi="Arial" w:cs="Arial"/>
          <w:sz w:val="22"/>
          <w:szCs w:val="22"/>
        </w:rPr>
        <w:t>lle, le ………………..</w:t>
      </w:r>
      <w:r w:rsidR="00026854" w:rsidRPr="00A64175">
        <w:rPr>
          <w:rFonts w:ascii="Arial" w:hAnsi="Arial" w:cs="Arial"/>
          <w:sz w:val="22"/>
          <w:szCs w:val="22"/>
        </w:rPr>
        <w:t xml:space="preserve">  2023</w:t>
      </w:r>
      <w:r w:rsidR="00053F23" w:rsidRPr="00A64175">
        <w:rPr>
          <w:rFonts w:ascii="Arial" w:hAnsi="Arial" w:cs="Arial"/>
          <w:sz w:val="22"/>
          <w:szCs w:val="22"/>
        </w:rPr>
        <w:t>, étant présent</w:t>
      </w:r>
      <w:r w:rsidR="00191446">
        <w:rPr>
          <w:rFonts w:ascii="Arial" w:hAnsi="Arial" w:cs="Arial"/>
          <w:sz w:val="22"/>
          <w:szCs w:val="22"/>
        </w:rPr>
        <w:t>s</w:t>
      </w:r>
      <w:r w:rsidRPr="00A64175">
        <w:rPr>
          <w:rFonts w:ascii="Arial" w:hAnsi="Arial" w:cs="Arial"/>
          <w:sz w:val="22"/>
          <w:szCs w:val="22"/>
        </w:rPr>
        <w:t> :</w:t>
      </w:r>
      <w:r w:rsidR="00026854" w:rsidRPr="00A64175">
        <w:rPr>
          <w:rFonts w:ascii="Arial" w:hAnsi="Arial" w:cs="Arial"/>
          <w:sz w:val="22"/>
          <w:szCs w:val="22"/>
        </w:rPr>
        <w:t xml:space="preserve"> MM……………….</w:t>
      </w:r>
    </w:p>
    <w:p w14:paraId="520196ED" w14:textId="72E48AFC" w:rsidR="00026854" w:rsidRPr="00A64175" w:rsidRDefault="00026854" w:rsidP="00A64175">
      <w:pPr>
        <w:jc w:val="both"/>
        <w:rPr>
          <w:rFonts w:ascii="Arial" w:hAnsi="Arial" w:cs="Arial"/>
          <w:sz w:val="22"/>
          <w:szCs w:val="22"/>
        </w:rPr>
      </w:pPr>
      <w:r w:rsidRPr="00A64175">
        <w:rPr>
          <w:rFonts w:ascii="Arial" w:hAnsi="Arial" w:cs="Arial"/>
          <w:sz w:val="22"/>
          <w:szCs w:val="22"/>
        </w:rPr>
        <w:t>…………………………</w:t>
      </w:r>
    </w:p>
    <w:p w14:paraId="2207D8DE" w14:textId="77777777" w:rsidR="00026854" w:rsidRPr="00A64175" w:rsidRDefault="00026854" w:rsidP="00A64175">
      <w:pPr>
        <w:jc w:val="both"/>
        <w:rPr>
          <w:rFonts w:ascii="Arial" w:hAnsi="Arial" w:cs="Arial"/>
          <w:sz w:val="22"/>
          <w:szCs w:val="22"/>
        </w:rPr>
      </w:pPr>
    </w:p>
    <w:p w14:paraId="5E975A67" w14:textId="53C13688" w:rsidR="0009508C" w:rsidRPr="00A64175" w:rsidRDefault="00026854" w:rsidP="00A64175">
      <w:pPr>
        <w:jc w:val="both"/>
        <w:rPr>
          <w:rFonts w:ascii="Arial" w:hAnsi="Arial" w:cs="Arial"/>
          <w:sz w:val="22"/>
          <w:szCs w:val="22"/>
        </w:rPr>
      </w:pPr>
      <w:r w:rsidRPr="00A64175">
        <w:rPr>
          <w:rFonts w:ascii="Arial" w:hAnsi="Arial" w:cs="Arial"/>
          <w:sz w:val="22"/>
          <w:szCs w:val="22"/>
        </w:rPr>
        <w:t>M. </w:t>
      </w:r>
      <w:r w:rsidR="00191446">
        <w:rPr>
          <w:rFonts w:ascii="Arial" w:hAnsi="Arial" w:cs="Arial"/>
          <w:sz w:val="22"/>
          <w:szCs w:val="22"/>
        </w:rPr>
        <w:t>……….</w:t>
      </w:r>
      <w:r w:rsidR="00191446" w:rsidRPr="00A64175">
        <w:rPr>
          <w:rFonts w:ascii="Arial" w:hAnsi="Arial" w:cs="Arial"/>
          <w:sz w:val="22"/>
          <w:szCs w:val="22"/>
        </w:rPr>
        <w:t>…,</w:t>
      </w:r>
      <w:r w:rsidR="00FC301C" w:rsidRPr="00A64175">
        <w:rPr>
          <w:rFonts w:ascii="Arial" w:hAnsi="Arial" w:cs="Arial"/>
          <w:sz w:val="22"/>
          <w:szCs w:val="22"/>
        </w:rPr>
        <w:t xml:space="preserve"> Président ;</w:t>
      </w:r>
    </w:p>
    <w:p w14:paraId="51B40B0B" w14:textId="77777777" w:rsidR="0009508C" w:rsidRPr="00A64175" w:rsidRDefault="0009508C" w:rsidP="00A64175">
      <w:pPr>
        <w:jc w:val="both"/>
        <w:rPr>
          <w:rFonts w:ascii="Arial" w:hAnsi="Arial" w:cs="Arial"/>
          <w:sz w:val="22"/>
          <w:szCs w:val="22"/>
        </w:rPr>
      </w:pPr>
    </w:p>
    <w:p w14:paraId="21C290A5" w14:textId="77777777" w:rsidR="0009508C" w:rsidRDefault="0009508C" w:rsidP="00A64175">
      <w:pPr>
        <w:jc w:val="both"/>
        <w:rPr>
          <w:rFonts w:ascii="Arial" w:hAnsi="Arial" w:cs="Arial"/>
          <w:sz w:val="22"/>
          <w:szCs w:val="22"/>
        </w:rPr>
      </w:pPr>
    </w:p>
    <w:p w14:paraId="41823741" w14:textId="77777777" w:rsidR="00191446" w:rsidRDefault="00191446" w:rsidP="00A64175">
      <w:pPr>
        <w:jc w:val="both"/>
        <w:rPr>
          <w:rFonts w:ascii="Arial" w:hAnsi="Arial" w:cs="Arial"/>
          <w:sz w:val="22"/>
          <w:szCs w:val="22"/>
        </w:rPr>
      </w:pPr>
    </w:p>
    <w:p w14:paraId="3B8E8291" w14:textId="77777777" w:rsidR="00191446" w:rsidRPr="00A64175" w:rsidRDefault="00191446" w:rsidP="00A64175">
      <w:pPr>
        <w:jc w:val="both"/>
        <w:rPr>
          <w:rFonts w:ascii="Arial" w:hAnsi="Arial" w:cs="Arial"/>
          <w:sz w:val="22"/>
          <w:szCs w:val="22"/>
        </w:rPr>
      </w:pPr>
    </w:p>
    <w:p w14:paraId="4033DF96" w14:textId="77777777" w:rsidR="0009508C" w:rsidRPr="00A64175" w:rsidRDefault="0009508C" w:rsidP="00A64175">
      <w:pPr>
        <w:jc w:val="both"/>
        <w:rPr>
          <w:rFonts w:ascii="Arial" w:hAnsi="Arial" w:cs="Arial"/>
          <w:sz w:val="22"/>
          <w:szCs w:val="22"/>
        </w:rPr>
      </w:pPr>
      <w:r w:rsidRPr="00A64175">
        <w:rPr>
          <w:rFonts w:ascii="Arial" w:hAnsi="Arial" w:cs="Arial"/>
          <w:sz w:val="22"/>
          <w:szCs w:val="22"/>
        </w:rPr>
        <w:t>Pour la COSUMAF</w:t>
      </w:r>
    </w:p>
    <w:p w14:paraId="21154893" w14:textId="77777777" w:rsidR="0009508C" w:rsidRDefault="0009508C" w:rsidP="00A64175">
      <w:pPr>
        <w:jc w:val="both"/>
        <w:rPr>
          <w:rFonts w:ascii="Arial" w:hAnsi="Arial" w:cs="Arial"/>
          <w:sz w:val="22"/>
          <w:szCs w:val="22"/>
        </w:rPr>
      </w:pPr>
    </w:p>
    <w:p w14:paraId="6533D93A" w14:textId="77777777" w:rsidR="00191446" w:rsidRDefault="00191446" w:rsidP="00A64175">
      <w:pPr>
        <w:jc w:val="both"/>
        <w:rPr>
          <w:rFonts w:ascii="Arial" w:hAnsi="Arial" w:cs="Arial"/>
          <w:sz w:val="22"/>
          <w:szCs w:val="22"/>
        </w:rPr>
      </w:pPr>
    </w:p>
    <w:p w14:paraId="11217D22" w14:textId="77777777" w:rsidR="00191446" w:rsidRPr="00A64175" w:rsidRDefault="00191446" w:rsidP="00A64175">
      <w:pPr>
        <w:jc w:val="both"/>
        <w:rPr>
          <w:rFonts w:ascii="Arial" w:hAnsi="Arial" w:cs="Arial"/>
          <w:sz w:val="22"/>
          <w:szCs w:val="22"/>
        </w:rPr>
      </w:pPr>
    </w:p>
    <w:p w14:paraId="064B6328" w14:textId="16643437" w:rsidR="0017058E" w:rsidRPr="00A64175" w:rsidRDefault="0009508C" w:rsidP="00A64175">
      <w:pPr>
        <w:jc w:val="both"/>
        <w:rPr>
          <w:rFonts w:ascii="Arial" w:hAnsi="Arial" w:cs="Arial"/>
          <w:sz w:val="22"/>
          <w:szCs w:val="22"/>
        </w:rPr>
      </w:pPr>
      <w:r w:rsidRPr="00A64175">
        <w:rPr>
          <w:rFonts w:ascii="Arial" w:hAnsi="Arial" w:cs="Arial"/>
          <w:sz w:val="22"/>
          <w:szCs w:val="22"/>
        </w:rPr>
        <w:t>Le Président</w:t>
      </w:r>
    </w:p>
    <w:sectPr w:rsidR="0017058E" w:rsidRPr="00A64175" w:rsidSect="0017058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25FD4" w14:textId="77777777" w:rsidR="00445A85" w:rsidRDefault="00445A85" w:rsidP="003C3691">
      <w:r>
        <w:separator/>
      </w:r>
    </w:p>
  </w:endnote>
  <w:endnote w:type="continuationSeparator" w:id="0">
    <w:p w14:paraId="5DD177D3" w14:textId="77777777" w:rsidR="00445A85" w:rsidRDefault="00445A85" w:rsidP="003C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Titres CS)">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E23" w14:textId="77777777" w:rsidR="00583131" w:rsidRDefault="00583131" w:rsidP="00FB47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D26381" w14:textId="77777777" w:rsidR="00583131" w:rsidRDefault="00583131" w:rsidP="000170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6DD6" w14:textId="77777777" w:rsidR="00583131" w:rsidRDefault="00583131" w:rsidP="00FB47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71C7">
      <w:rPr>
        <w:rStyle w:val="Numrodepage"/>
        <w:noProof/>
      </w:rPr>
      <w:t>2</w:t>
    </w:r>
    <w:r>
      <w:rPr>
        <w:rStyle w:val="Numrodepage"/>
      </w:rPr>
      <w:fldChar w:fldCharType="end"/>
    </w:r>
  </w:p>
  <w:p w14:paraId="76958B2C" w14:textId="77777777" w:rsidR="00583131" w:rsidRDefault="00583131" w:rsidP="000170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56F5" w14:textId="77777777" w:rsidR="00445A85" w:rsidRDefault="00445A85" w:rsidP="003C3691">
      <w:r>
        <w:separator/>
      </w:r>
    </w:p>
  </w:footnote>
  <w:footnote w:type="continuationSeparator" w:id="0">
    <w:p w14:paraId="28B736F0" w14:textId="77777777" w:rsidR="00445A85" w:rsidRDefault="00445A85" w:rsidP="003C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4D9"/>
    <w:multiLevelType w:val="hybridMultilevel"/>
    <w:tmpl w:val="5C4652F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97A5D"/>
    <w:multiLevelType w:val="hybridMultilevel"/>
    <w:tmpl w:val="7DC8E8A6"/>
    <w:lvl w:ilvl="0" w:tplc="040C0017">
      <w:start w:val="1"/>
      <w:numFmt w:val="lowerLetter"/>
      <w:lvlText w:val="%1)"/>
      <w:lvlJc w:val="left"/>
      <w:pPr>
        <w:ind w:left="1440" w:hanging="360"/>
      </w:pPr>
    </w:lvl>
    <w:lvl w:ilvl="1" w:tplc="040C0019">
      <w:start w:val="1"/>
      <w:numFmt w:val="lowerLetter"/>
      <w:lvlText w:val="%2."/>
      <w:lvlJc w:val="left"/>
      <w:pPr>
        <w:ind w:left="1440" w:hanging="360"/>
      </w:pPr>
    </w:lvl>
    <w:lvl w:ilvl="2" w:tplc="6E90E4A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0267B4"/>
    <w:multiLevelType w:val="hybridMultilevel"/>
    <w:tmpl w:val="25FEEDD4"/>
    <w:lvl w:ilvl="0" w:tplc="EB12AA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8D1B43"/>
    <w:multiLevelType w:val="hybridMultilevel"/>
    <w:tmpl w:val="31784746"/>
    <w:lvl w:ilvl="0" w:tplc="040C0017">
      <w:start w:val="1"/>
      <w:numFmt w:val="lowerLetter"/>
      <w:lvlText w:val="%1)"/>
      <w:lvlJc w:val="left"/>
      <w:pPr>
        <w:ind w:left="720" w:hanging="360"/>
      </w:p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1B940BC"/>
    <w:multiLevelType w:val="multilevel"/>
    <w:tmpl w:val="77E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65E49"/>
    <w:multiLevelType w:val="hybridMultilevel"/>
    <w:tmpl w:val="E2D6C83C"/>
    <w:lvl w:ilvl="0" w:tplc="FA7E6300">
      <w:start w:val="1"/>
      <w:numFmt w:val="lowerRoman"/>
      <w:lvlText w:val="%1)"/>
      <w:lvlJc w:val="left"/>
      <w:pPr>
        <w:ind w:left="1440" w:hanging="360"/>
      </w:pPr>
      <w:rPr>
        <w:rFonts w:hint="default"/>
      </w:rPr>
    </w:lvl>
    <w:lvl w:ilvl="1" w:tplc="FA7E6300">
      <w:start w:val="1"/>
      <w:numFmt w:val="lowerRoman"/>
      <w:lvlText w:val="%2)"/>
      <w:lvlJc w:val="left"/>
      <w:pPr>
        <w:ind w:left="72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2D60153"/>
    <w:multiLevelType w:val="hybridMultilevel"/>
    <w:tmpl w:val="F8D22F6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2A0C44"/>
    <w:multiLevelType w:val="hybridMultilevel"/>
    <w:tmpl w:val="4ECAEED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37D77FD"/>
    <w:multiLevelType w:val="hybridMultilevel"/>
    <w:tmpl w:val="2D9C32D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F43D1D"/>
    <w:multiLevelType w:val="multilevel"/>
    <w:tmpl w:val="9AF673D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0D05DF"/>
    <w:multiLevelType w:val="multilevel"/>
    <w:tmpl w:val="EB98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350482"/>
    <w:multiLevelType w:val="hybridMultilevel"/>
    <w:tmpl w:val="63CAB4F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56553C"/>
    <w:multiLevelType w:val="hybridMultilevel"/>
    <w:tmpl w:val="7EBC82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A2456A"/>
    <w:multiLevelType w:val="hybridMultilevel"/>
    <w:tmpl w:val="5E625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62C7A6E"/>
    <w:multiLevelType w:val="hybridMultilevel"/>
    <w:tmpl w:val="21CE381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0A1B8C"/>
    <w:multiLevelType w:val="hybridMultilevel"/>
    <w:tmpl w:val="2A7E8AC0"/>
    <w:lvl w:ilvl="0" w:tplc="E514B2D8">
      <w:start w:val="1"/>
      <w:numFmt w:val="decimal"/>
      <w:lvlText w:val="%1."/>
      <w:lvlJc w:val="left"/>
      <w:pPr>
        <w:ind w:left="959" w:hanging="360"/>
      </w:pPr>
      <w:rPr>
        <w:b w:val="0"/>
        <w:bCs w:val="0"/>
      </w:rPr>
    </w:lvl>
    <w:lvl w:ilvl="1" w:tplc="040C0019" w:tentative="1">
      <w:start w:val="1"/>
      <w:numFmt w:val="lowerLetter"/>
      <w:lvlText w:val="%2."/>
      <w:lvlJc w:val="left"/>
      <w:pPr>
        <w:ind w:left="1679" w:hanging="360"/>
      </w:pPr>
    </w:lvl>
    <w:lvl w:ilvl="2" w:tplc="040C001B" w:tentative="1">
      <w:start w:val="1"/>
      <w:numFmt w:val="lowerRoman"/>
      <w:lvlText w:val="%3."/>
      <w:lvlJc w:val="right"/>
      <w:pPr>
        <w:ind w:left="2399" w:hanging="180"/>
      </w:pPr>
    </w:lvl>
    <w:lvl w:ilvl="3" w:tplc="040C000F" w:tentative="1">
      <w:start w:val="1"/>
      <w:numFmt w:val="decimal"/>
      <w:lvlText w:val="%4."/>
      <w:lvlJc w:val="left"/>
      <w:pPr>
        <w:ind w:left="3119" w:hanging="360"/>
      </w:pPr>
    </w:lvl>
    <w:lvl w:ilvl="4" w:tplc="040C0019" w:tentative="1">
      <w:start w:val="1"/>
      <w:numFmt w:val="lowerLetter"/>
      <w:lvlText w:val="%5."/>
      <w:lvlJc w:val="left"/>
      <w:pPr>
        <w:ind w:left="3839" w:hanging="360"/>
      </w:pPr>
    </w:lvl>
    <w:lvl w:ilvl="5" w:tplc="040C001B" w:tentative="1">
      <w:start w:val="1"/>
      <w:numFmt w:val="lowerRoman"/>
      <w:lvlText w:val="%6."/>
      <w:lvlJc w:val="right"/>
      <w:pPr>
        <w:ind w:left="4559" w:hanging="180"/>
      </w:pPr>
    </w:lvl>
    <w:lvl w:ilvl="6" w:tplc="040C000F" w:tentative="1">
      <w:start w:val="1"/>
      <w:numFmt w:val="decimal"/>
      <w:lvlText w:val="%7."/>
      <w:lvlJc w:val="left"/>
      <w:pPr>
        <w:ind w:left="5279" w:hanging="360"/>
      </w:pPr>
    </w:lvl>
    <w:lvl w:ilvl="7" w:tplc="040C0019" w:tentative="1">
      <w:start w:val="1"/>
      <w:numFmt w:val="lowerLetter"/>
      <w:lvlText w:val="%8."/>
      <w:lvlJc w:val="left"/>
      <w:pPr>
        <w:ind w:left="5999" w:hanging="360"/>
      </w:pPr>
    </w:lvl>
    <w:lvl w:ilvl="8" w:tplc="040C001B" w:tentative="1">
      <w:start w:val="1"/>
      <w:numFmt w:val="lowerRoman"/>
      <w:lvlText w:val="%9."/>
      <w:lvlJc w:val="right"/>
      <w:pPr>
        <w:ind w:left="6719" w:hanging="180"/>
      </w:pPr>
    </w:lvl>
  </w:abstractNum>
  <w:abstractNum w:abstractNumId="16">
    <w:nsid w:val="090252B1"/>
    <w:multiLevelType w:val="multilevel"/>
    <w:tmpl w:val="3E5497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9422A8"/>
    <w:multiLevelType w:val="multilevel"/>
    <w:tmpl w:val="76DC5B9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0F7D37"/>
    <w:multiLevelType w:val="hybridMultilevel"/>
    <w:tmpl w:val="D9F87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B223D7A"/>
    <w:multiLevelType w:val="hybridMultilevel"/>
    <w:tmpl w:val="6D304E8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3F63BC"/>
    <w:multiLevelType w:val="hybridMultilevel"/>
    <w:tmpl w:val="FF46C018"/>
    <w:lvl w:ilvl="0" w:tplc="6A1AE67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0DFF1CA1"/>
    <w:multiLevelType w:val="hybridMultilevel"/>
    <w:tmpl w:val="124645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0E8E2073"/>
    <w:multiLevelType w:val="hybridMultilevel"/>
    <w:tmpl w:val="3E84C34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F90D05"/>
    <w:multiLevelType w:val="hybridMultilevel"/>
    <w:tmpl w:val="68421430"/>
    <w:lvl w:ilvl="0" w:tplc="040C0017">
      <w:start w:val="1"/>
      <w:numFmt w:val="lowerLetter"/>
      <w:lvlText w:val="%1)"/>
      <w:lvlJc w:val="left"/>
      <w:pPr>
        <w:ind w:left="720" w:hanging="360"/>
      </w:pPr>
    </w:lvl>
    <w:lvl w:ilvl="1" w:tplc="FA7E6300">
      <w:start w:val="1"/>
      <w:numFmt w:val="lowerRoman"/>
      <w:lvlText w:val="%2)"/>
      <w:lvlJc w:val="left"/>
      <w:pPr>
        <w:ind w:left="72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F7E06CB"/>
    <w:multiLevelType w:val="hybridMultilevel"/>
    <w:tmpl w:val="A4E8F230"/>
    <w:lvl w:ilvl="0" w:tplc="FC8E9A7C">
      <w:start w:val="9"/>
      <w:numFmt w:val="bullet"/>
      <w:lvlText w:val="-"/>
      <w:lvlJc w:val="left"/>
      <w:pPr>
        <w:ind w:left="814" w:hanging="360"/>
      </w:pPr>
      <w:rPr>
        <w:rFonts w:ascii="Arial" w:eastAsia="Times New Roman" w:hAnsi="Arial" w:cs="Aria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25">
    <w:nsid w:val="0FB706D9"/>
    <w:multiLevelType w:val="hybridMultilevel"/>
    <w:tmpl w:val="BCDA916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247366"/>
    <w:multiLevelType w:val="hybridMultilevel"/>
    <w:tmpl w:val="E7E25B3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4C7068"/>
    <w:multiLevelType w:val="hybridMultilevel"/>
    <w:tmpl w:val="2D488E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04E32FC"/>
    <w:multiLevelType w:val="hybridMultilevel"/>
    <w:tmpl w:val="5034474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0CC26FA"/>
    <w:multiLevelType w:val="hybridMultilevel"/>
    <w:tmpl w:val="1DCEF1B4"/>
    <w:lvl w:ilvl="0" w:tplc="040C000F">
      <w:start w:val="1"/>
      <w:numFmt w:val="decimal"/>
      <w:lvlText w:val="%1."/>
      <w:lvlJc w:val="left"/>
      <w:pPr>
        <w:ind w:left="720" w:hanging="360"/>
      </w:pPr>
    </w:lvl>
    <w:lvl w:ilvl="1" w:tplc="040C000F">
      <w:start w:val="1"/>
      <w:numFmt w:val="decimal"/>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1121A02"/>
    <w:multiLevelType w:val="hybridMultilevel"/>
    <w:tmpl w:val="0D609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1AE6F37"/>
    <w:multiLevelType w:val="hybridMultilevel"/>
    <w:tmpl w:val="61543DC6"/>
    <w:lvl w:ilvl="0" w:tplc="1A4EA20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1C441DB"/>
    <w:multiLevelType w:val="hybridMultilevel"/>
    <w:tmpl w:val="6A0A6830"/>
    <w:lvl w:ilvl="0" w:tplc="040C000F">
      <w:start w:val="1"/>
      <w:numFmt w:val="decimal"/>
      <w:lvlText w:val="%1."/>
      <w:lvlJc w:val="left"/>
      <w:pPr>
        <w:ind w:left="1210" w:hanging="360"/>
      </w:p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3">
    <w:nsid w:val="11CC718A"/>
    <w:multiLevelType w:val="multilevel"/>
    <w:tmpl w:val="1676290C"/>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20A416A"/>
    <w:multiLevelType w:val="hybridMultilevel"/>
    <w:tmpl w:val="CF4E7C60"/>
    <w:lvl w:ilvl="0" w:tplc="EB12AA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24639ED"/>
    <w:multiLevelType w:val="hybridMultilevel"/>
    <w:tmpl w:val="C5BA0826"/>
    <w:lvl w:ilvl="0" w:tplc="B0BEDB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2947428"/>
    <w:multiLevelType w:val="hybridMultilevel"/>
    <w:tmpl w:val="0874A1F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2BA1357"/>
    <w:multiLevelType w:val="hybridMultilevel"/>
    <w:tmpl w:val="C2E8D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13491B9A"/>
    <w:multiLevelType w:val="hybridMultilevel"/>
    <w:tmpl w:val="3B9087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8759F2"/>
    <w:multiLevelType w:val="hybridMultilevel"/>
    <w:tmpl w:val="F59CF746"/>
    <w:lvl w:ilvl="0" w:tplc="D974F336">
      <w:start w:val="17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4953B41"/>
    <w:multiLevelType w:val="hybridMultilevel"/>
    <w:tmpl w:val="AD3C45FA"/>
    <w:lvl w:ilvl="0" w:tplc="F94EAEFC">
      <w:start w:val="1"/>
      <w:numFmt w:val="decimal"/>
      <w:lvlText w:val="%1)"/>
      <w:lvlJc w:val="left"/>
      <w:pPr>
        <w:ind w:left="690" w:hanging="360"/>
      </w:pPr>
      <w:rPr>
        <w:rFonts w:hint="default"/>
      </w:rPr>
    </w:lvl>
    <w:lvl w:ilvl="1" w:tplc="040C0019" w:tentative="1">
      <w:start w:val="1"/>
      <w:numFmt w:val="lowerLetter"/>
      <w:lvlText w:val="%2."/>
      <w:lvlJc w:val="left"/>
      <w:pPr>
        <w:ind w:left="1410" w:hanging="360"/>
      </w:pPr>
    </w:lvl>
    <w:lvl w:ilvl="2" w:tplc="040C001B" w:tentative="1">
      <w:start w:val="1"/>
      <w:numFmt w:val="lowerRoman"/>
      <w:lvlText w:val="%3."/>
      <w:lvlJc w:val="right"/>
      <w:pPr>
        <w:ind w:left="2130" w:hanging="180"/>
      </w:pPr>
    </w:lvl>
    <w:lvl w:ilvl="3" w:tplc="040C000F" w:tentative="1">
      <w:start w:val="1"/>
      <w:numFmt w:val="decimal"/>
      <w:lvlText w:val="%4."/>
      <w:lvlJc w:val="left"/>
      <w:pPr>
        <w:ind w:left="2850" w:hanging="360"/>
      </w:pPr>
    </w:lvl>
    <w:lvl w:ilvl="4" w:tplc="040C0019" w:tentative="1">
      <w:start w:val="1"/>
      <w:numFmt w:val="lowerLetter"/>
      <w:lvlText w:val="%5."/>
      <w:lvlJc w:val="left"/>
      <w:pPr>
        <w:ind w:left="3570" w:hanging="360"/>
      </w:pPr>
    </w:lvl>
    <w:lvl w:ilvl="5" w:tplc="040C001B" w:tentative="1">
      <w:start w:val="1"/>
      <w:numFmt w:val="lowerRoman"/>
      <w:lvlText w:val="%6."/>
      <w:lvlJc w:val="right"/>
      <w:pPr>
        <w:ind w:left="4290" w:hanging="180"/>
      </w:pPr>
    </w:lvl>
    <w:lvl w:ilvl="6" w:tplc="040C000F" w:tentative="1">
      <w:start w:val="1"/>
      <w:numFmt w:val="decimal"/>
      <w:lvlText w:val="%7."/>
      <w:lvlJc w:val="left"/>
      <w:pPr>
        <w:ind w:left="5010" w:hanging="360"/>
      </w:pPr>
    </w:lvl>
    <w:lvl w:ilvl="7" w:tplc="040C0019" w:tentative="1">
      <w:start w:val="1"/>
      <w:numFmt w:val="lowerLetter"/>
      <w:lvlText w:val="%8."/>
      <w:lvlJc w:val="left"/>
      <w:pPr>
        <w:ind w:left="5730" w:hanging="360"/>
      </w:pPr>
    </w:lvl>
    <w:lvl w:ilvl="8" w:tplc="040C001B" w:tentative="1">
      <w:start w:val="1"/>
      <w:numFmt w:val="lowerRoman"/>
      <w:lvlText w:val="%9."/>
      <w:lvlJc w:val="right"/>
      <w:pPr>
        <w:ind w:left="6450" w:hanging="180"/>
      </w:pPr>
    </w:lvl>
  </w:abstractNum>
  <w:abstractNum w:abstractNumId="41">
    <w:nsid w:val="15173D2D"/>
    <w:multiLevelType w:val="multilevel"/>
    <w:tmpl w:val="4DCA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4F25BB"/>
    <w:multiLevelType w:val="hybridMultilevel"/>
    <w:tmpl w:val="EDF45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1614420F"/>
    <w:multiLevelType w:val="hybridMultilevel"/>
    <w:tmpl w:val="5F4E9106"/>
    <w:lvl w:ilvl="0" w:tplc="8BA60032">
      <w:start w:val="1"/>
      <w:numFmt w:val="decimal"/>
      <w:lvlText w:val="%1."/>
      <w:lvlJc w:val="left"/>
      <w:pPr>
        <w:ind w:left="720" w:hanging="360"/>
      </w:pPr>
      <w:rPr>
        <w:rFonts w:hint="default"/>
      </w:rPr>
    </w:lvl>
    <w:lvl w:ilvl="1" w:tplc="4C2A6E76">
      <w:start w:val="1"/>
      <w:numFmt w:val="lowerLetter"/>
      <w:lvlText w:val="%2)"/>
      <w:lvlJc w:val="left"/>
      <w:pPr>
        <w:ind w:left="1440" w:hanging="360"/>
      </w:pPr>
      <w:rPr>
        <w:rFonts w:hint="default"/>
      </w:rPr>
    </w:lvl>
    <w:lvl w:ilvl="2" w:tplc="311694DC">
      <w:start w:val="2"/>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6167AAC"/>
    <w:multiLevelType w:val="hybridMultilevel"/>
    <w:tmpl w:val="D75C67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7">
      <w:start w:val="1"/>
      <w:numFmt w:val="lowerLetter"/>
      <w:lvlText w:val="%3)"/>
      <w:lvlJc w:val="left"/>
      <w:pPr>
        <w:ind w:left="720" w:hanging="36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16C54353"/>
    <w:multiLevelType w:val="multilevel"/>
    <w:tmpl w:val="99445B5C"/>
    <w:lvl w:ilvl="0">
      <w:start w:val="1"/>
      <w:numFmt w:val="lowerLetter"/>
      <w:lvlText w:val="%1)"/>
      <w:lvlJc w:val="left"/>
      <w:pPr>
        <w:ind w:left="1080" w:hanging="360"/>
      </w:pPr>
      <w:rPr>
        <w:rFonts w:asciiTheme="minorHAnsi" w:hAnsi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6C94A6D"/>
    <w:multiLevelType w:val="multilevel"/>
    <w:tmpl w:val="082A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70E3637"/>
    <w:multiLevelType w:val="multilevel"/>
    <w:tmpl w:val="4C5A6C4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192E3CE7"/>
    <w:multiLevelType w:val="hybridMultilevel"/>
    <w:tmpl w:val="47D05DFE"/>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B03DA9"/>
    <w:multiLevelType w:val="multilevel"/>
    <w:tmpl w:val="5ECAF2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F21B57"/>
    <w:multiLevelType w:val="hybridMultilevel"/>
    <w:tmpl w:val="27A6852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7">
      <w:start w:val="1"/>
      <w:numFmt w:val="lowerLetter"/>
      <w:lvlText w:val="%3)"/>
      <w:lvlJc w:val="left"/>
      <w:pPr>
        <w:ind w:left="720" w:hanging="36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nsid w:val="1A4507FE"/>
    <w:multiLevelType w:val="hybridMultilevel"/>
    <w:tmpl w:val="3A762296"/>
    <w:lvl w:ilvl="0" w:tplc="EB12AA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1A4923BB"/>
    <w:multiLevelType w:val="hybridMultilevel"/>
    <w:tmpl w:val="CC022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AB5362D"/>
    <w:multiLevelType w:val="hybridMultilevel"/>
    <w:tmpl w:val="3146B6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AC233D7"/>
    <w:multiLevelType w:val="hybridMultilevel"/>
    <w:tmpl w:val="D97C248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AD62A47"/>
    <w:multiLevelType w:val="hybridMultilevel"/>
    <w:tmpl w:val="2CE8106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AFB41BB"/>
    <w:multiLevelType w:val="hybridMultilevel"/>
    <w:tmpl w:val="D3201EE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B1F2F9E"/>
    <w:multiLevelType w:val="hybridMultilevel"/>
    <w:tmpl w:val="DD7C91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C203B27"/>
    <w:multiLevelType w:val="hybridMultilevel"/>
    <w:tmpl w:val="8C342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C67485C"/>
    <w:multiLevelType w:val="hybridMultilevel"/>
    <w:tmpl w:val="7EFC037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D207FCF"/>
    <w:multiLevelType w:val="hybridMultilevel"/>
    <w:tmpl w:val="E6F85D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D446D9F"/>
    <w:multiLevelType w:val="hybridMultilevel"/>
    <w:tmpl w:val="70CA512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D9B776A"/>
    <w:multiLevelType w:val="hybridMultilevel"/>
    <w:tmpl w:val="FC62F3C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DA31CA8"/>
    <w:multiLevelType w:val="hybridMultilevel"/>
    <w:tmpl w:val="2D545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1DC12405"/>
    <w:multiLevelType w:val="hybridMultilevel"/>
    <w:tmpl w:val="BD085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1DDC42F1"/>
    <w:multiLevelType w:val="multilevel"/>
    <w:tmpl w:val="D4F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380461"/>
    <w:multiLevelType w:val="hybridMultilevel"/>
    <w:tmpl w:val="D7067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1E415BDF"/>
    <w:multiLevelType w:val="hybridMultilevel"/>
    <w:tmpl w:val="DC0C3A16"/>
    <w:lvl w:ilvl="0" w:tplc="EB12AA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1F111283"/>
    <w:multiLevelType w:val="hybridMultilevel"/>
    <w:tmpl w:val="B36E311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C35CD6"/>
    <w:multiLevelType w:val="hybridMultilevel"/>
    <w:tmpl w:val="7DD02EB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3F77398"/>
    <w:multiLevelType w:val="hybridMultilevel"/>
    <w:tmpl w:val="A6E06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1">
    <w:nsid w:val="24866D45"/>
    <w:multiLevelType w:val="hybridMultilevel"/>
    <w:tmpl w:val="7A4AC58E"/>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7">
      <w:start w:val="1"/>
      <w:numFmt w:val="lowerLetter"/>
      <w:lvlText w:val="%3)"/>
      <w:lvlJc w:val="left"/>
      <w:pPr>
        <w:ind w:left="720" w:hanging="36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2">
    <w:nsid w:val="257126AF"/>
    <w:multiLevelType w:val="multilevel"/>
    <w:tmpl w:val="997239D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5903019"/>
    <w:multiLevelType w:val="hybridMultilevel"/>
    <w:tmpl w:val="48AC57C8"/>
    <w:lvl w:ilvl="0" w:tplc="C07E2F96">
      <w:start w:val="1"/>
      <w:numFmt w:val="decimal"/>
      <w:lvlText w:val="%1."/>
      <w:lvlJc w:val="left"/>
      <w:pPr>
        <w:ind w:left="720" w:hanging="360"/>
      </w:pPr>
      <w:rPr>
        <w:rFonts w:hint="default"/>
      </w:rPr>
    </w:lvl>
    <w:lvl w:ilvl="1" w:tplc="E97E22A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25C53BBB"/>
    <w:multiLevelType w:val="hybridMultilevel"/>
    <w:tmpl w:val="49C4348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F1406B"/>
    <w:multiLevelType w:val="hybridMultilevel"/>
    <w:tmpl w:val="0116EB7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6066BF"/>
    <w:multiLevelType w:val="hybridMultilevel"/>
    <w:tmpl w:val="049C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972251"/>
    <w:multiLevelType w:val="hybridMultilevel"/>
    <w:tmpl w:val="57D8722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AD650D"/>
    <w:multiLevelType w:val="hybridMultilevel"/>
    <w:tmpl w:val="E812B96A"/>
    <w:lvl w:ilvl="0" w:tplc="B27CDC3C">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7E81D22"/>
    <w:multiLevelType w:val="hybridMultilevel"/>
    <w:tmpl w:val="AD60A8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17">
      <w:start w:val="1"/>
      <w:numFmt w:val="lowerLetter"/>
      <w:lvlText w:val="%4)"/>
      <w:lvlJc w:val="left"/>
      <w:pPr>
        <w:ind w:left="72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28131563"/>
    <w:multiLevelType w:val="hybridMultilevel"/>
    <w:tmpl w:val="71C4E80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8527A2E"/>
    <w:multiLevelType w:val="hybridMultilevel"/>
    <w:tmpl w:val="322C4EC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19">
      <w:start w:val="1"/>
      <w:numFmt w:val="lowerLetter"/>
      <w:lvlText w:val="%4."/>
      <w:lvlJc w:val="left"/>
      <w:pPr>
        <w:ind w:left="144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A3E3944"/>
    <w:multiLevelType w:val="multilevel"/>
    <w:tmpl w:val="6BB2ED34"/>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A815C7C"/>
    <w:multiLevelType w:val="hybridMultilevel"/>
    <w:tmpl w:val="0E1E13B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A955988"/>
    <w:multiLevelType w:val="multilevel"/>
    <w:tmpl w:val="FFC4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B7159A2"/>
    <w:multiLevelType w:val="hybridMultilevel"/>
    <w:tmpl w:val="C532AF3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BD00534"/>
    <w:multiLevelType w:val="multilevel"/>
    <w:tmpl w:val="9A0AFDAE"/>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CBC6F64"/>
    <w:multiLevelType w:val="hybridMultilevel"/>
    <w:tmpl w:val="4FAC0F8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DB7B65"/>
    <w:multiLevelType w:val="multilevel"/>
    <w:tmpl w:val="417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CF31590"/>
    <w:multiLevelType w:val="hybridMultilevel"/>
    <w:tmpl w:val="5930148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D4B647A"/>
    <w:multiLevelType w:val="hybridMultilevel"/>
    <w:tmpl w:val="CD4695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D7D3F9A"/>
    <w:multiLevelType w:val="multilevel"/>
    <w:tmpl w:val="5DE2036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DDE6063"/>
    <w:multiLevelType w:val="hybridMultilevel"/>
    <w:tmpl w:val="07B27E2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0B0E37"/>
    <w:multiLevelType w:val="hybridMultilevel"/>
    <w:tmpl w:val="F76EC65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E8E3661"/>
    <w:multiLevelType w:val="hybridMultilevel"/>
    <w:tmpl w:val="09F43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2EB50D84"/>
    <w:multiLevelType w:val="hybridMultilevel"/>
    <w:tmpl w:val="39EC6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2F465583"/>
    <w:multiLevelType w:val="hybridMultilevel"/>
    <w:tmpl w:val="B41C3DD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FAA4940"/>
    <w:multiLevelType w:val="hybridMultilevel"/>
    <w:tmpl w:val="19B48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30BB3A09"/>
    <w:multiLevelType w:val="hybridMultilevel"/>
    <w:tmpl w:val="4782B9FC"/>
    <w:lvl w:ilvl="0" w:tplc="040C0017">
      <w:start w:val="1"/>
      <w:numFmt w:val="lowerLetter"/>
      <w:lvlText w:val="%1)"/>
      <w:lvlJc w:val="left"/>
      <w:pPr>
        <w:ind w:left="1440" w:hanging="360"/>
      </w:pPr>
    </w:lvl>
    <w:lvl w:ilvl="1" w:tplc="040C0017">
      <w:start w:val="1"/>
      <w:numFmt w:val="lowerLetter"/>
      <w:lvlText w:val="%2)"/>
      <w:lvlJc w:val="left"/>
      <w:pPr>
        <w:ind w:left="72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9">
    <w:nsid w:val="30C24178"/>
    <w:multiLevelType w:val="hybridMultilevel"/>
    <w:tmpl w:val="DD72F26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16C2C6F"/>
    <w:multiLevelType w:val="hybridMultilevel"/>
    <w:tmpl w:val="A7F4AB7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18E4ABC"/>
    <w:multiLevelType w:val="hybridMultilevel"/>
    <w:tmpl w:val="C5A4DAF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1EE4288"/>
    <w:multiLevelType w:val="hybridMultilevel"/>
    <w:tmpl w:val="47D4F88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20E0EED"/>
    <w:multiLevelType w:val="hybridMultilevel"/>
    <w:tmpl w:val="A14665D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2DE27E9"/>
    <w:multiLevelType w:val="hybridMultilevel"/>
    <w:tmpl w:val="26029C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336A261B"/>
    <w:multiLevelType w:val="hybridMultilevel"/>
    <w:tmpl w:val="77904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34431CD1"/>
    <w:multiLevelType w:val="hybridMultilevel"/>
    <w:tmpl w:val="45F0713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4B65EE2"/>
    <w:multiLevelType w:val="multilevel"/>
    <w:tmpl w:val="7926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4710C3"/>
    <w:multiLevelType w:val="multilevel"/>
    <w:tmpl w:val="AB80D670"/>
    <w:lvl w:ilvl="0">
      <w:start w:val="1"/>
      <w:numFmt w:val="decimal"/>
      <w:lvlText w:val="%1."/>
      <w:lvlJc w:val="left"/>
      <w:pPr>
        <w:tabs>
          <w:tab w:val="num" w:pos="720"/>
        </w:tabs>
        <w:ind w:left="720" w:hanging="360"/>
      </w:pPr>
      <w:rPr>
        <w:b w:val="0"/>
        <w:bCs/>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5B21F25"/>
    <w:multiLevelType w:val="hybridMultilevel"/>
    <w:tmpl w:val="2FCADD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72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35ED0869"/>
    <w:multiLevelType w:val="hybridMultilevel"/>
    <w:tmpl w:val="C122ED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C88E83A6">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361E5C62"/>
    <w:multiLevelType w:val="multilevel"/>
    <w:tmpl w:val="EA24F422"/>
    <w:lvl w:ilvl="0">
      <w:start w:val="1"/>
      <w:numFmt w:val="decimal"/>
      <w:pStyle w:val="Titre1"/>
      <w:suff w:val="space"/>
      <w:lvlText w:val="Article %1"/>
      <w:lvlJc w:val="left"/>
      <w:pPr>
        <w:ind w:left="1287" w:hanging="720"/>
      </w:pPr>
      <w:rPr>
        <w:rFonts w:hint="default"/>
      </w:rPr>
    </w:lvl>
    <w:lvl w:ilvl="1">
      <w:start w:val="1"/>
      <w:numFmt w:val="decimal"/>
      <w:pStyle w:val="Titre2"/>
      <w:suff w:val="space"/>
      <w:lvlText w:val="Article %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3624303F"/>
    <w:multiLevelType w:val="multilevel"/>
    <w:tmpl w:val="364EC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6B57BBE"/>
    <w:multiLevelType w:val="hybridMultilevel"/>
    <w:tmpl w:val="19EA8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6B91CB1"/>
    <w:multiLevelType w:val="hybridMultilevel"/>
    <w:tmpl w:val="0B18F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7254C50"/>
    <w:multiLevelType w:val="hybridMultilevel"/>
    <w:tmpl w:val="E140FFB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737728E"/>
    <w:multiLevelType w:val="multilevel"/>
    <w:tmpl w:val="7C22B8FE"/>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7865D86"/>
    <w:multiLevelType w:val="hybridMultilevel"/>
    <w:tmpl w:val="2B744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38B77D23"/>
    <w:multiLevelType w:val="hybridMultilevel"/>
    <w:tmpl w:val="ED0A359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8D87A03"/>
    <w:multiLevelType w:val="hybridMultilevel"/>
    <w:tmpl w:val="75A010D8"/>
    <w:lvl w:ilvl="0" w:tplc="040C000F">
      <w:start w:val="1"/>
      <w:numFmt w:val="decimal"/>
      <w:lvlText w:val="%1."/>
      <w:lvlJc w:val="left"/>
      <w:pPr>
        <w:ind w:left="720" w:hanging="360"/>
      </w:pPr>
    </w:lvl>
    <w:lvl w:ilvl="1" w:tplc="040C000F">
      <w:start w:val="1"/>
      <w:numFmt w:val="decimal"/>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391174E6"/>
    <w:multiLevelType w:val="hybridMultilevel"/>
    <w:tmpl w:val="3920C84C"/>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1">
    <w:nsid w:val="391B7AE0"/>
    <w:multiLevelType w:val="hybridMultilevel"/>
    <w:tmpl w:val="96E0A4C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93C7952"/>
    <w:multiLevelType w:val="hybridMultilevel"/>
    <w:tmpl w:val="3998EBB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93E4850"/>
    <w:multiLevelType w:val="hybridMultilevel"/>
    <w:tmpl w:val="E4CE55F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774EEC"/>
    <w:multiLevelType w:val="hybridMultilevel"/>
    <w:tmpl w:val="F638629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99E1674"/>
    <w:multiLevelType w:val="hybridMultilevel"/>
    <w:tmpl w:val="70E20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3ADB3270"/>
    <w:multiLevelType w:val="hybridMultilevel"/>
    <w:tmpl w:val="7E7CFAFC"/>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7">
      <w:start w:val="1"/>
      <w:numFmt w:val="lowerLetter"/>
      <w:lvlText w:val="%3)"/>
      <w:lvlJc w:val="left"/>
      <w:pPr>
        <w:ind w:left="720" w:hanging="36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7">
    <w:nsid w:val="3AF9251A"/>
    <w:multiLevelType w:val="hybridMultilevel"/>
    <w:tmpl w:val="3C4A427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B8B7922"/>
    <w:multiLevelType w:val="hybridMultilevel"/>
    <w:tmpl w:val="B9709470"/>
    <w:lvl w:ilvl="0" w:tplc="FC8E9A7C">
      <w:start w:val="9"/>
      <w:numFmt w:val="bullet"/>
      <w:lvlText w:val="-"/>
      <w:lvlJc w:val="left"/>
      <w:pPr>
        <w:ind w:left="814" w:hanging="360"/>
      </w:pPr>
      <w:rPr>
        <w:rFonts w:ascii="Arial" w:eastAsia="Times New Roman" w:hAnsi="Arial" w:cs="Aria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29">
    <w:nsid w:val="3BEA2F79"/>
    <w:multiLevelType w:val="hybridMultilevel"/>
    <w:tmpl w:val="EE0036B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19">
      <w:start w:val="1"/>
      <w:numFmt w:val="lowerLetter"/>
      <w:lvlText w:val="%4."/>
      <w:lvlJc w:val="left"/>
      <w:pPr>
        <w:ind w:left="144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0">
    <w:nsid w:val="3CE72F6D"/>
    <w:multiLevelType w:val="hybridMultilevel"/>
    <w:tmpl w:val="602A9C7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D872B22"/>
    <w:multiLevelType w:val="hybridMultilevel"/>
    <w:tmpl w:val="BA9A33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3EF277DF"/>
    <w:multiLevelType w:val="hybridMultilevel"/>
    <w:tmpl w:val="645CB9B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F51411B"/>
    <w:multiLevelType w:val="hybridMultilevel"/>
    <w:tmpl w:val="4A88A8F0"/>
    <w:lvl w:ilvl="0" w:tplc="54082BF8">
      <w:start w:val="1"/>
      <w:numFmt w:val="lowerLetter"/>
      <w:lvlText w:val="%1)"/>
      <w:lvlJc w:val="left"/>
      <w:pPr>
        <w:ind w:left="1080" w:hanging="360"/>
      </w:pPr>
      <w:rPr>
        <w:rFonts w:ascii="Times" w:hAnsi="Times" w:hint="default"/>
      </w:rPr>
    </w:lvl>
    <w:lvl w:ilvl="1" w:tplc="8BB2A6EC">
      <w:start w:val="1"/>
      <w:numFmt w:val="decimal"/>
      <w:lvlText w:val="%2."/>
      <w:lvlJc w:val="left"/>
      <w:pPr>
        <w:ind w:left="1800" w:hanging="360"/>
      </w:pPr>
      <w:rPr>
        <w:rFonts w:hint="default"/>
        <w:b w:val="0"/>
        <w:bCs/>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4">
    <w:nsid w:val="3F9566E3"/>
    <w:multiLevelType w:val="hybridMultilevel"/>
    <w:tmpl w:val="64EAB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3F985DF7"/>
    <w:multiLevelType w:val="multilevel"/>
    <w:tmpl w:val="2B083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FBD7B9F"/>
    <w:multiLevelType w:val="hybridMultilevel"/>
    <w:tmpl w:val="AC5E487E"/>
    <w:lvl w:ilvl="0" w:tplc="040C000F">
      <w:start w:val="1"/>
      <w:numFmt w:val="decimal"/>
      <w:lvlText w:val="%1."/>
      <w:lvlJc w:val="left"/>
      <w:pPr>
        <w:ind w:left="720" w:hanging="360"/>
      </w:pPr>
    </w:lvl>
    <w:lvl w:ilvl="1" w:tplc="A18867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402161D7"/>
    <w:multiLevelType w:val="hybridMultilevel"/>
    <w:tmpl w:val="77BA919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1227707"/>
    <w:multiLevelType w:val="hybridMultilevel"/>
    <w:tmpl w:val="4D02D54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2A86646"/>
    <w:multiLevelType w:val="hybridMultilevel"/>
    <w:tmpl w:val="AA506B66"/>
    <w:lvl w:ilvl="0" w:tplc="040C000F">
      <w:start w:val="1"/>
      <w:numFmt w:val="decimal"/>
      <w:lvlText w:val="%1."/>
      <w:lvlJc w:val="left"/>
      <w:pPr>
        <w:ind w:left="720" w:hanging="360"/>
      </w:pPr>
    </w:lvl>
    <w:lvl w:ilvl="1" w:tplc="040C0017">
      <w:start w:val="1"/>
      <w:numFmt w:val="lowerLetter"/>
      <w:lvlText w:val="%2)"/>
      <w:lvlJc w:val="left"/>
      <w:pPr>
        <w:ind w:left="72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43723CE0"/>
    <w:multiLevelType w:val="hybridMultilevel"/>
    <w:tmpl w:val="B16E3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445D61EB"/>
    <w:multiLevelType w:val="hybridMultilevel"/>
    <w:tmpl w:val="8286BAF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48C017B"/>
    <w:multiLevelType w:val="hybridMultilevel"/>
    <w:tmpl w:val="E0E2FDA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4E00BAA"/>
    <w:multiLevelType w:val="hybridMultilevel"/>
    <w:tmpl w:val="774C1A00"/>
    <w:lvl w:ilvl="0" w:tplc="040C0017">
      <w:start w:val="1"/>
      <w:numFmt w:val="lowerLetter"/>
      <w:lvlText w:val="%1)"/>
      <w:lvlJc w:val="left"/>
      <w:pPr>
        <w:ind w:left="1440" w:hanging="360"/>
      </w:pPr>
    </w:lvl>
    <w:lvl w:ilvl="1" w:tplc="040C0017">
      <w:start w:val="1"/>
      <w:numFmt w:val="lowerLetter"/>
      <w:lvlText w:val="%2)"/>
      <w:lvlJc w:val="left"/>
      <w:pPr>
        <w:ind w:left="72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4">
    <w:nsid w:val="454B0753"/>
    <w:multiLevelType w:val="multilevel"/>
    <w:tmpl w:val="432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57271ED"/>
    <w:multiLevelType w:val="hybridMultilevel"/>
    <w:tmpl w:val="9EEEB5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45F7542B"/>
    <w:multiLevelType w:val="hybridMultilevel"/>
    <w:tmpl w:val="335EF8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6016534"/>
    <w:multiLevelType w:val="hybridMultilevel"/>
    <w:tmpl w:val="7F020274"/>
    <w:lvl w:ilvl="0" w:tplc="040C0019">
      <w:start w:val="1"/>
      <w:numFmt w:val="lowerLetter"/>
      <w:lvlText w:val="%1."/>
      <w:lvlJc w:val="left"/>
      <w:pPr>
        <w:ind w:left="762" w:hanging="360"/>
      </w:p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19">
      <w:start w:val="1"/>
      <w:numFmt w:val="lowerLetter"/>
      <w:lvlText w:val="%4."/>
      <w:lvlJc w:val="left"/>
      <w:pPr>
        <w:ind w:left="1440"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148">
    <w:nsid w:val="464A3E70"/>
    <w:multiLevelType w:val="hybridMultilevel"/>
    <w:tmpl w:val="AA1C958E"/>
    <w:lvl w:ilvl="0" w:tplc="E514B2D8">
      <w:start w:val="1"/>
      <w:numFmt w:val="decimal"/>
      <w:lvlText w:val="%1."/>
      <w:lvlJc w:val="left"/>
      <w:pPr>
        <w:ind w:left="959" w:hanging="360"/>
      </w:pPr>
      <w:rPr>
        <w:b w:val="0"/>
        <w:bCs w:val="0"/>
      </w:rPr>
    </w:lvl>
    <w:lvl w:ilvl="1" w:tplc="040C0019" w:tentative="1">
      <w:start w:val="1"/>
      <w:numFmt w:val="lowerLetter"/>
      <w:lvlText w:val="%2."/>
      <w:lvlJc w:val="left"/>
      <w:pPr>
        <w:ind w:left="1679" w:hanging="360"/>
      </w:pPr>
    </w:lvl>
    <w:lvl w:ilvl="2" w:tplc="040C001B" w:tentative="1">
      <w:start w:val="1"/>
      <w:numFmt w:val="lowerRoman"/>
      <w:lvlText w:val="%3."/>
      <w:lvlJc w:val="right"/>
      <w:pPr>
        <w:ind w:left="2399" w:hanging="180"/>
      </w:pPr>
    </w:lvl>
    <w:lvl w:ilvl="3" w:tplc="040C000F" w:tentative="1">
      <w:start w:val="1"/>
      <w:numFmt w:val="decimal"/>
      <w:lvlText w:val="%4."/>
      <w:lvlJc w:val="left"/>
      <w:pPr>
        <w:ind w:left="3119" w:hanging="360"/>
      </w:pPr>
    </w:lvl>
    <w:lvl w:ilvl="4" w:tplc="040C0019" w:tentative="1">
      <w:start w:val="1"/>
      <w:numFmt w:val="lowerLetter"/>
      <w:lvlText w:val="%5."/>
      <w:lvlJc w:val="left"/>
      <w:pPr>
        <w:ind w:left="3839" w:hanging="360"/>
      </w:pPr>
    </w:lvl>
    <w:lvl w:ilvl="5" w:tplc="040C001B" w:tentative="1">
      <w:start w:val="1"/>
      <w:numFmt w:val="lowerRoman"/>
      <w:lvlText w:val="%6."/>
      <w:lvlJc w:val="right"/>
      <w:pPr>
        <w:ind w:left="4559" w:hanging="180"/>
      </w:pPr>
    </w:lvl>
    <w:lvl w:ilvl="6" w:tplc="040C000F" w:tentative="1">
      <w:start w:val="1"/>
      <w:numFmt w:val="decimal"/>
      <w:lvlText w:val="%7."/>
      <w:lvlJc w:val="left"/>
      <w:pPr>
        <w:ind w:left="5279" w:hanging="360"/>
      </w:pPr>
    </w:lvl>
    <w:lvl w:ilvl="7" w:tplc="040C0019" w:tentative="1">
      <w:start w:val="1"/>
      <w:numFmt w:val="lowerLetter"/>
      <w:lvlText w:val="%8."/>
      <w:lvlJc w:val="left"/>
      <w:pPr>
        <w:ind w:left="5999" w:hanging="360"/>
      </w:pPr>
    </w:lvl>
    <w:lvl w:ilvl="8" w:tplc="040C001B" w:tentative="1">
      <w:start w:val="1"/>
      <w:numFmt w:val="lowerRoman"/>
      <w:lvlText w:val="%9."/>
      <w:lvlJc w:val="right"/>
      <w:pPr>
        <w:ind w:left="6719" w:hanging="180"/>
      </w:pPr>
    </w:lvl>
  </w:abstractNum>
  <w:abstractNum w:abstractNumId="149">
    <w:nsid w:val="479E2F8F"/>
    <w:multiLevelType w:val="hybridMultilevel"/>
    <w:tmpl w:val="722473E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480B0CDF"/>
    <w:multiLevelType w:val="hybridMultilevel"/>
    <w:tmpl w:val="FFBC723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8396B0E"/>
    <w:multiLevelType w:val="multilevel"/>
    <w:tmpl w:val="B09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8396E8B"/>
    <w:multiLevelType w:val="hybridMultilevel"/>
    <w:tmpl w:val="A9AA66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488A1444"/>
    <w:multiLevelType w:val="hybridMultilevel"/>
    <w:tmpl w:val="0636A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488E2CC3"/>
    <w:multiLevelType w:val="multilevel"/>
    <w:tmpl w:val="CA6AB87C"/>
    <w:lvl w:ilvl="0">
      <w:start w:val="1"/>
      <w:numFmt w:val="decimal"/>
      <w:lvlText w:val="%1."/>
      <w:lvlJc w:val="left"/>
      <w:pPr>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91C0D3A"/>
    <w:multiLevelType w:val="hybridMultilevel"/>
    <w:tmpl w:val="DB0C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4A7368F5"/>
    <w:multiLevelType w:val="hybridMultilevel"/>
    <w:tmpl w:val="A5AEB2B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9B2BAC"/>
    <w:multiLevelType w:val="hybridMultilevel"/>
    <w:tmpl w:val="459E51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4BC171F9"/>
    <w:multiLevelType w:val="hybridMultilevel"/>
    <w:tmpl w:val="929C0DC2"/>
    <w:lvl w:ilvl="0" w:tplc="B2224F2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4C2141DC"/>
    <w:multiLevelType w:val="hybridMultilevel"/>
    <w:tmpl w:val="42EEFF3A"/>
    <w:lvl w:ilvl="0" w:tplc="040C0017">
      <w:start w:val="1"/>
      <w:numFmt w:val="lowerLetter"/>
      <w:lvlText w:val="%1)"/>
      <w:lvlJc w:val="left"/>
      <w:pPr>
        <w:ind w:left="720" w:hanging="360"/>
      </w:pPr>
    </w:lvl>
    <w:lvl w:ilvl="1" w:tplc="43AC6E34">
      <w:start w:val="1"/>
      <w:numFmt w:val="lowerLetter"/>
      <w:lvlText w:val="%2)"/>
      <w:lvlJc w:val="left"/>
      <w:pPr>
        <w:ind w:left="1440" w:hanging="360"/>
      </w:pPr>
      <w:rPr>
        <w:rFonts w:asciiTheme="minorHAnsi" w:eastAsia="Times New Roman" w:hAnsiTheme="minorHAnsi" w:cs="Times New Roman"/>
      </w:rPr>
    </w:lvl>
    <w:lvl w:ilvl="2" w:tplc="F858F124">
      <w:start w:val="1"/>
      <w:numFmt w:val="decimal"/>
      <w:lvlText w:val="%3."/>
      <w:lvlJc w:val="left"/>
      <w:pPr>
        <w:ind w:left="2340" w:hanging="360"/>
      </w:pPr>
      <w:rPr>
        <w:rFonts w:hint="default"/>
        <w:sz w:val="2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4DC23E24"/>
    <w:multiLevelType w:val="hybridMultilevel"/>
    <w:tmpl w:val="5DF629D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E805252"/>
    <w:multiLevelType w:val="hybridMultilevel"/>
    <w:tmpl w:val="CE1A47CA"/>
    <w:lvl w:ilvl="0" w:tplc="7B6C51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4E8F0BBF"/>
    <w:multiLevelType w:val="hybridMultilevel"/>
    <w:tmpl w:val="A0C8BC5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F95B2F"/>
    <w:multiLevelType w:val="hybridMultilevel"/>
    <w:tmpl w:val="93EE93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D06C4A52">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nsid w:val="4F524866"/>
    <w:multiLevelType w:val="hybridMultilevel"/>
    <w:tmpl w:val="47A0572A"/>
    <w:lvl w:ilvl="0" w:tplc="040C001B">
      <w:start w:val="1"/>
      <w:numFmt w:val="lowerRoman"/>
      <w:lvlText w:val="%1."/>
      <w:lvlJc w:val="right"/>
      <w:pPr>
        <w:ind w:left="1440" w:hanging="360"/>
      </w:p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5">
    <w:nsid w:val="501C7DBE"/>
    <w:multiLevelType w:val="hybridMultilevel"/>
    <w:tmpl w:val="E812B96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51920965"/>
    <w:multiLevelType w:val="multilevel"/>
    <w:tmpl w:val="4AB6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1AC6B0C"/>
    <w:multiLevelType w:val="multilevel"/>
    <w:tmpl w:val="D9064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2293EB4"/>
    <w:multiLevelType w:val="hybridMultilevel"/>
    <w:tmpl w:val="673CD3A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295640E"/>
    <w:multiLevelType w:val="hybridMultilevel"/>
    <w:tmpl w:val="548E4042"/>
    <w:lvl w:ilvl="0" w:tplc="040C0017">
      <w:start w:val="1"/>
      <w:numFmt w:val="lowerLetter"/>
      <w:lvlText w:val="%1)"/>
      <w:lvlJc w:val="left"/>
      <w:pPr>
        <w:ind w:left="720" w:hanging="360"/>
      </w:pPr>
    </w:lvl>
    <w:lvl w:ilvl="1" w:tplc="040C0017">
      <w:start w:val="1"/>
      <w:numFmt w:val="lowerLetter"/>
      <w:lvlText w:val="%2)"/>
      <w:lvlJc w:val="left"/>
      <w:pPr>
        <w:ind w:left="720" w:hanging="360"/>
      </w:pPr>
    </w:lvl>
    <w:lvl w:ilvl="2" w:tplc="B8C85BFC">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540C102D"/>
    <w:multiLevelType w:val="hybridMultilevel"/>
    <w:tmpl w:val="61D8F49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41313D8"/>
    <w:multiLevelType w:val="hybridMultilevel"/>
    <w:tmpl w:val="FC1C79C0"/>
    <w:lvl w:ilvl="0" w:tplc="503C7B1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2">
    <w:nsid w:val="54557EE9"/>
    <w:multiLevelType w:val="hybridMultilevel"/>
    <w:tmpl w:val="00F2A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54BC0A5D"/>
    <w:multiLevelType w:val="hybridMultilevel"/>
    <w:tmpl w:val="92C40E5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4EA5A85"/>
    <w:multiLevelType w:val="hybridMultilevel"/>
    <w:tmpl w:val="EF7E6D7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53E7F69"/>
    <w:multiLevelType w:val="hybridMultilevel"/>
    <w:tmpl w:val="CC7E8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nsid w:val="55C11B64"/>
    <w:multiLevelType w:val="multilevel"/>
    <w:tmpl w:val="CA62B9EE"/>
    <w:lvl w:ilvl="0">
      <w:start w:val="1"/>
      <w:numFmt w:val="decimal"/>
      <w:lvlText w:val="%1."/>
      <w:lvlJc w:val="left"/>
      <w:pPr>
        <w:tabs>
          <w:tab w:val="num" w:pos="360"/>
        </w:tabs>
        <w:ind w:left="36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5CE05C0"/>
    <w:multiLevelType w:val="hybridMultilevel"/>
    <w:tmpl w:val="A24A908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497E3C"/>
    <w:multiLevelType w:val="hybridMultilevel"/>
    <w:tmpl w:val="4EA6CF74"/>
    <w:lvl w:ilvl="0" w:tplc="352C31F8">
      <w:start w:val="1"/>
      <w:numFmt w:val="decimal"/>
      <w:suff w:val="nothing"/>
      <w:lvlText w:val="Article %1 - "/>
      <w:lvlJc w:val="left"/>
      <w:pPr>
        <w:ind w:left="360" w:hanging="360"/>
      </w:pPr>
      <w:rPr>
        <w:rFonts w:hint="default"/>
        <w:b/>
        <w:i w:val="0"/>
        <w:sz w:val="26"/>
        <w:szCs w:val="26"/>
        <w:u w:val="none"/>
      </w:rPr>
    </w:lvl>
    <w:lvl w:ilvl="1" w:tplc="040C0019">
      <w:start w:val="1"/>
      <w:numFmt w:val="lowerLetter"/>
      <w:lvlText w:val="%2."/>
      <w:lvlJc w:val="left"/>
      <w:pPr>
        <w:ind w:left="-1330" w:hanging="360"/>
      </w:pPr>
    </w:lvl>
    <w:lvl w:ilvl="2" w:tplc="040C001B">
      <w:start w:val="1"/>
      <w:numFmt w:val="lowerRoman"/>
      <w:lvlText w:val="%3."/>
      <w:lvlJc w:val="right"/>
      <w:pPr>
        <w:ind w:left="-610" w:hanging="180"/>
      </w:pPr>
    </w:lvl>
    <w:lvl w:ilvl="3" w:tplc="040C000F" w:tentative="1">
      <w:start w:val="1"/>
      <w:numFmt w:val="decimal"/>
      <w:lvlText w:val="%4."/>
      <w:lvlJc w:val="left"/>
      <w:pPr>
        <w:ind w:left="110" w:hanging="360"/>
      </w:pPr>
    </w:lvl>
    <w:lvl w:ilvl="4" w:tplc="040C0019" w:tentative="1">
      <w:start w:val="1"/>
      <w:numFmt w:val="lowerLetter"/>
      <w:lvlText w:val="%5."/>
      <w:lvlJc w:val="left"/>
      <w:pPr>
        <w:ind w:left="830" w:hanging="360"/>
      </w:pPr>
    </w:lvl>
    <w:lvl w:ilvl="5" w:tplc="040C001B" w:tentative="1">
      <w:start w:val="1"/>
      <w:numFmt w:val="lowerRoman"/>
      <w:lvlText w:val="%6."/>
      <w:lvlJc w:val="right"/>
      <w:pPr>
        <w:ind w:left="1550" w:hanging="180"/>
      </w:pPr>
    </w:lvl>
    <w:lvl w:ilvl="6" w:tplc="040C000F" w:tentative="1">
      <w:start w:val="1"/>
      <w:numFmt w:val="decimal"/>
      <w:lvlText w:val="%7."/>
      <w:lvlJc w:val="left"/>
      <w:pPr>
        <w:ind w:left="2270" w:hanging="360"/>
      </w:pPr>
    </w:lvl>
    <w:lvl w:ilvl="7" w:tplc="040C0019" w:tentative="1">
      <w:start w:val="1"/>
      <w:numFmt w:val="lowerLetter"/>
      <w:lvlText w:val="%8."/>
      <w:lvlJc w:val="left"/>
      <w:pPr>
        <w:ind w:left="2990" w:hanging="360"/>
      </w:pPr>
    </w:lvl>
    <w:lvl w:ilvl="8" w:tplc="040C001B" w:tentative="1">
      <w:start w:val="1"/>
      <w:numFmt w:val="lowerRoman"/>
      <w:lvlText w:val="%9."/>
      <w:lvlJc w:val="right"/>
      <w:pPr>
        <w:ind w:left="3710" w:hanging="180"/>
      </w:pPr>
    </w:lvl>
  </w:abstractNum>
  <w:abstractNum w:abstractNumId="179">
    <w:nsid w:val="56FE0B5B"/>
    <w:multiLevelType w:val="hybridMultilevel"/>
    <w:tmpl w:val="95D0F822"/>
    <w:lvl w:ilvl="0" w:tplc="C3D4105A">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5877223E"/>
    <w:multiLevelType w:val="multilevel"/>
    <w:tmpl w:val="459C016C"/>
    <w:lvl w:ilvl="0">
      <w:start w:val="1"/>
      <w:numFmt w:val="decimal"/>
      <w:lvlText w:val="%1."/>
      <w:lvlJc w:val="left"/>
      <w:pPr>
        <w:tabs>
          <w:tab w:val="num" w:pos="720"/>
        </w:tabs>
        <w:ind w:left="720" w:hanging="360"/>
      </w:pPr>
    </w:lvl>
    <w:lvl w:ilvl="1">
      <w:start w:val="1"/>
      <w:numFmt w:val="lowerRoman"/>
      <w:lvlText w:val="%2)"/>
      <w:lvlJc w:val="left"/>
      <w:pPr>
        <w:ind w:left="72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AA11E98"/>
    <w:multiLevelType w:val="multilevel"/>
    <w:tmpl w:val="EF10C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nsid w:val="5B7B3BD7"/>
    <w:multiLevelType w:val="hybridMultilevel"/>
    <w:tmpl w:val="DCBE1F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720" w:hanging="36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nsid w:val="5C8F1C81"/>
    <w:multiLevelType w:val="hybridMultilevel"/>
    <w:tmpl w:val="4AB46F4C"/>
    <w:lvl w:ilvl="0" w:tplc="D97AB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nsid w:val="5CBF5AC7"/>
    <w:multiLevelType w:val="hybridMultilevel"/>
    <w:tmpl w:val="98F2194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DB11129"/>
    <w:multiLevelType w:val="hybridMultilevel"/>
    <w:tmpl w:val="08E0B2B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DB65F33"/>
    <w:multiLevelType w:val="hybridMultilevel"/>
    <w:tmpl w:val="E0BAD8EA"/>
    <w:lvl w:ilvl="0" w:tplc="1CC8991A">
      <w:start w:val="1"/>
      <w:numFmt w:val="decimal"/>
      <w:lvlText w:val="%1)"/>
      <w:lvlJc w:val="left"/>
      <w:pPr>
        <w:ind w:left="720" w:hanging="360"/>
      </w:pPr>
      <w:rPr>
        <w:rFonts w:cs="Aria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5E37223A"/>
    <w:multiLevelType w:val="hybridMultilevel"/>
    <w:tmpl w:val="894EF5A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nsid w:val="5EE674B5"/>
    <w:multiLevelType w:val="hybridMultilevel"/>
    <w:tmpl w:val="1DA6BF1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F311268"/>
    <w:multiLevelType w:val="hybridMultilevel"/>
    <w:tmpl w:val="A704EBD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F8C3EA7"/>
    <w:multiLevelType w:val="hybridMultilevel"/>
    <w:tmpl w:val="DCE259FA"/>
    <w:lvl w:ilvl="0" w:tplc="8BB2A6EC">
      <w:start w:val="1"/>
      <w:numFmt w:val="decimal"/>
      <w:lvlText w:val="%1."/>
      <w:lvlJc w:val="left"/>
      <w:pPr>
        <w:ind w:left="180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5F906936"/>
    <w:multiLevelType w:val="hybridMultilevel"/>
    <w:tmpl w:val="71064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nsid w:val="5FBA301F"/>
    <w:multiLevelType w:val="hybridMultilevel"/>
    <w:tmpl w:val="B16C25A0"/>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0E04D4D"/>
    <w:multiLevelType w:val="hybridMultilevel"/>
    <w:tmpl w:val="80BC4AE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1EA200D"/>
    <w:multiLevelType w:val="multilevel"/>
    <w:tmpl w:val="5BD2DEAE"/>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2731DDB"/>
    <w:multiLevelType w:val="hybridMultilevel"/>
    <w:tmpl w:val="44E46EE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2AA4D86"/>
    <w:multiLevelType w:val="hybridMultilevel"/>
    <w:tmpl w:val="AADC27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7">
    <w:nsid w:val="632B2446"/>
    <w:multiLevelType w:val="hybridMultilevel"/>
    <w:tmpl w:val="79E606C6"/>
    <w:lvl w:ilvl="0" w:tplc="040C0017">
      <w:start w:val="1"/>
      <w:numFmt w:val="lowerLetter"/>
      <w:lvlText w:val="%1)"/>
      <w:lvlJc w:val="left"/>
      <w:pPr>
        <w:ind w:left="720" w:hanging="360"/>
      </w:pPr>
    </w:lvl>
    <w:lvl w:ilvl="1" w:tplc="040C0017">
      <w:start w:val="1"/>
      <w:numFmt w:val="lowerLetter"/>
      <w:lvlText w:val="%2)"/>
      <w:lvlJc w:val="left"/>
      <w:pPr>
        <w:ind w:left="720" w:hanging="360"/>
      </w:pPr>
    </w:lvl>
    <w:lvl w:ilvl="2" w:tplc="1D48B432">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39B09B6"/>
    <w:multiLevelType w:val="multilevel"/>
    <w:tmpl w:val="662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515199E"/>
    <w:multiLevelType w:val="hybridMultilevel"/>
    <w:tmpl w:val="F7BEBA2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5332E11"/>
    <w:multiLevelType w:val="hybridMultilevel"/>
    <w:tmpl w:val="FB72EE3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57747D9"/>
    <w:multiLevelType w:val="hybridMultilevel"/>
    <w:tmpl w:val="64047D4E"/>
    <w:lvl w:ilvl="0" w:tplc="0B18EFA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2">
    <w:nsid w:val="664C4938"/>
    <w:multiLevelType w:val="hybridMultilevel"/>
    <w:tmpl w:val="962473B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67D10BC"/>
    <w:multiLevelType w:val="hybridMultilevel"/>
    <w:tmpl w:val="5846F126"/>
    <w:lvl w:ilvl="0" w:tplc="040C0017">
      <w:start w:val="1"/>
      <w:numFmt w:val="lowerLetter"/>
      <w:lvlText w:val="%1)"/>
      <w:lvlJc w:val="left"/>
      <w:pPr>
        <w:ind w:left="990" w:hanging="360"/>
      </w:pPr>
    </w:lvl>
    <w:lvl w:ilvl="1" w:tplc="039E1226">
      <w:start w:val="1"/>
      <w:numFmt w:val="decimal"/>
      <w:lvlText w:val="%2."/>
      <w:lvlJc w:val="left"/>
      <w:pPr>
        <w:ind w:left="1710" w:hanging="360"/>
      </w:pPr>
      <w:rPr>
        <w:rFonts w:hint="default"/>
      </w:r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204">
    <w:nsid w:val="6781049C"/>
    <w:multiLevelType w:val="hybridMultilevel"/>
    <w:tmpl w:val="078A9A5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86D6522"/>
    <w:multiLevelType w:val="hybridMultilevel"/>
    <w:tmpl w:val="46B05BF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9025047"/>
    <w:multiLevelType w:val="hybridMultilevel"/>
    <w:tmpl w:val="4B2C4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6967613C"/>
    <w:multiLevelType w:val="hybridMultilevel"/>
    <w:tmpl w:val="072A32B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9C50A8C"/>
    <w:multiLevelType w:val="hybridMultilevel"/>
    <w:tmpl w:val="884A038C"/>
    <w:lvl w:ilvl="0" w:tplc="FA7E6300">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69CE61AE"/>
    <w:multiLevelType w:val="hybridMultilevel"/>
    <w:tmpl w:val="3438983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A201AB8"/>
    <w:multiLevelType w:val="hybridMultilevel"/>
    <w:tmpl w:val="908236B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A2F6D9C"/>
    <w:multiLevelType w:val="hybridMultilevel"/>
    <w:tmpl w:val="266E8F68"/>
    <w:lvl w:ilvl="0" w:tplc="FB18565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6A3F3327"/>
    <w:multiLevelType w:val="multilevel"/>
    <w:tmpl w:val="51E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A882B39"/>
    <w:multiLevelType w:val="hybridMultilevel"/>
    <w:tmpl w:val="E39EC82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BB674AF"/>
    <w:multiLevelType w:val="hybridMultilevel"/>
    <w:tmpl w:val="838AD4B8"/>
    <w:lvl w:ilvl="0" w:tplc="FA7E6300">
      <w:start w:val="1"/>
      <w:numFmt w:val="lowerRoman"/>
      <w:lvlText w:val="%1)"/>
      <w:lvlJc w:val="left"/>
      <w:pPr>
        <w:ind w:left="720" w:hanging="360"/>
      </w:pPr>
      <w:rPr>
        <w:rFonts w:hint="default"/>
      </w:rPr>
    </w:lvl>
    <w:lvl w:ilvl="1" w:tplc="FA7E6300">
      <w:start w:val="1"/>
      <w:numFmt w:val="lowerRoman"/>
      <w:lvlText w:val="%2)"/>
      <w:lvlJc w:val="left"/>
      <w:pPr>
        <w:ind w:left="72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5">
    <w:nsid w:val="6C33213A"/>
    <w:multiLevelType w:val="hybridMultilevel"/>
    <w:tmpl w:val="AD98517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C566339"/>
    <w:multiLevelType w:val="multilevel"/>
    <w:tmpl w:val="7A92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D2917BE"/>
    <w:multiLevelType w:val="hybridMultilevel"/>
    <w:tmpl w:val="2B502A7C"/>
    <w:lvl w:ilvl="0" w:tplc="8BA60032">
      <w:start w:val="1"/>
      <w:numFmt w:val="decimal"/>
      <w:lvlText w:val="%1."/>
      <w:lvlJc w:val="left"/>
      <w:pPr>
        <w:ind w:left="720" w:hanging="360"/>
      </w:pPr>
      <w:rPr>
        <w:rFonts w:hint="default"/>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8">
    <w:nsid w:val="6E3D7AC0"/>
    <w:multiLevelType w:val="hybridMultilevel"/>
    <w:tmpl w:val="F7DEC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9">
    <w:nsid w:val="6EB85E32"/>
    <w:multiLevelType w:val="hybridMultilevel"/>
    <w:tmpl w:val="D0201B7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F24079A"/>
    <w:multiLevelType w:val="hybridMultilevel"/>
    <w:tmpl w:val="D4D8E5A2"/>
    <w:lvl w:ilvl="0" w:tplc="0A70D2D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1">
    <w:nsid w:val="6F630021"/>
    <w:multiLevelType w:val="hybridMultilevel"/>
    <w:tmpl w:val="FF10B01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FDF1C61"/>
    <w:multiLevelType w:val="hybridMultilevel"/>
    <w:tmpl w:val="F45E5F9A"/>
    <w:lvl w:ilvl="0" w:tplc="43F6A686">
      <w:start w:val="1"/>
      <w:numFmt w:val="decimal"/>
      <w:lvlText w:val="%1."/>
      <w:lvlJc w:val="left"/>
      <w:pPr>
        <w:ind w:left="720" w:hanging="360"/>
      </w:pPr>
      <w:rPr>
        <w:rFonts w:hint="default"/>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3">
    <w:nsid w:val="700304CA"/>
    <w:multiLevelType w:val="hybridMultilevel"/>
    <w:tmpl w:val="9C8A011C"/>
    <w:lvl w:ilvl="0" w:tplc="040C000F">
      <w:start w:val="1"/>
      <w:numFmt w:val="decimal"/>
      <w:lvlText w:val="%1."/>
      <w:lvlJc w:val="left"/>
      <w:pPr>
        <w:ind w:left="720" w:hanging="360"/>
      </w:pPr>
    </w:lvl>
    <w:lvl w:ilvl="1" w:tplc="040C000F">
      <w:start w:val="1"/>
      <w:numFmt w:val="decimal"/>
      <w:lvlText w:val="%2."/>
      <w:lvlJc w:val="left"/>
      <w:pPr>
        <w:ind w:left="720" w:hanging="360"/>
      </w:pPr>
    </w:lvl>
    <w:lvl w:ilvl="2" w:tplc="F864D32C">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4">
    <w:nsid w:val="70890C64"/>
    <w:multiLevelType w:val="hybridMultilevel"/>
    <w:tmpl w:val="FE94413A"/>
    <w:lvl w:ilvl="0" w:tplc="98A2128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70BE70B6"/>
    <w:multiLevelType w:val="hybridMultilevel"/>
    <w:tmpl w:val="FA1E1A1A"/>
    <w:lvl w:ilvl="0" w:tplc="B5E815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6">
    <w:nsid w:val="71EB0819"/>
    <w:multiLevelType w:val="hybridMultilevel"/>
    <w:tmpl w:val="A9908E2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4F82FAE"/>
    <w:multiLevelType w:val="hybridMultilevel"/>
    <w:tmpl w:val="CA9A2E0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56B647E"/>
    <w:multiLevelType w:val="hybridMultilevel"/>
    <w:tmpl w:val="F342E1EA"/>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5EA6BC3"/>
    <w:multiLevelType w:val="hybridMultilevel"/>
    <w:tmpl w:val="DE68E2D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6875BF7"/>
    <w:multiLevelType w:val="hybridMultilevel"/>
    <w:tmpl w:val="7198732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1">
    <w:nsid w:val="76A32DCD"/>
    <w:multiLevelType w:val="hybridMultilevel"/>
    <w:tmpl w:val="B902121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nsid w:val="77222F81"/>
    <w:multiLevelType w:val="hybridMultilevel"/>
    <w:tmpl w:val="935A5872"/>
    <w:lvl w:ilvl="0" w:tplc="74403ED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nsid w:val="7734580C"/>
    <w:multiLevelType w:val="hybridMultilevel"/>
    <w:tmpl w:val="334C6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nsid w:val="774742F9"/>
    <w:multiLevelType w:val="hybridMultilevel"/>
    <w:tmpl w:val="3C5C27F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8AA711A"/>
    <w:multiLevelType w:val="hybridMultilevel"/>
    <w:tmpl w:val="882A45E8"/>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942198F"/>
    <w:multiLevelType w:val="multilevel"/>
    <w:tmpl w:val="5EDC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9C2604D"/>
    <w:multiLevelType w:val="hybridMultilevel"/>
    <w:tmpl w:val="8F46DE3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B095FF8"/>
    <w:multiLevelType w:val="multilevel"/>
    <w:tmpl w:val="ECC0163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9">
    <w:nsid w:val="7C3004C9"/>
    <w:multiLevelType w:val="hybridMultilevel"/>
    <w:tmpl w:val="6E96E86E"/>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CDD71F9"/>
    <w:multiLevelType w:val="multilevel"/>
    <w:tmpl w:val="4176C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D561154"/>
    <w:multiLevelType w:val="hybridMultilevel"/>
    <w:tmpl w:val="E9829D9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D690502"/>
    <w:multiLevelType w:val="hybridMultilevel"/>
    <w:tmpl w:val="A7D2CD24"/>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D8709C6"/>
    <w:multiLevelType w:val="hybridMultilevel"/>
    <w:tmpl w:val="68447046"/>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DF97E3C"/>
    <w:multiLevelType w:val="hybridMultilevel"/>
    <w:tmpl w:val="176A7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nsid w:val="7E09671C"/>
    <w:multiLevelType w:val="multilevel"/>
    <w:tmpl w:val="D674C5D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E4A3D65"/>
    <w:multiLevelType w:val="hybridMultilevel"/>
    <w:tmpl w:val="00D8D2A2"/>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F320070"/>
    <w:multiLevelType w:val="hybridMultilevel"/>
    <w:tmpl w:val="08864A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8"/>
  </w:num>
  <w:num w:numId="2">
    <w:abstractNumId w:val="192"/>
  </w:num>
  <w:num w:numId="3">
    <w:abstractNumId w:val="207"/>
  </w:num>
  <w:num w:numId="4">
    <w:abstractNumId w:val="199"/>
  </w:num>
  <w:num w:numId="5">
    <w:abstractNumId w:val="69"/>
  </w:num>
  <w:num w:numId="6">
    <w:abstractNumId w:val="101"/>
  </w:num>
  <w:num w:numId="7">
    <w:abstractNumId w:val="168"/>
  </w:num>
  <w:num w:numId="8">
    <w:abstractNumId w:val="229"/>
  </w:num>
  <w:num w:numId="9">
    <w:abstractNumId w:val="142"/>
  </w:num>
  <w:num w:numId="10">
    <w:abstractNumId w:val="123"/>
  </w:num>
  <w:num w:numId="11">
    <w:abstractNumId w:val="205"/>
  </w:num>
  <w:num w:numId="12">
    <w:abstractNumId w:val="25"/>
  </w:num>
  <w:num w:numId="13">
    <w:abstractNumId w:val="59"/>
  </w:num>
  <w:num w:numId="14">
    <w:abstractNumId w:val="132"/>
  </w:num>
  <w:num w:numId="15">
    <w:abstractNumId w:val="210"/>
  </w:num>
  <w:num w:numId="16">
    <w:abstractNumId w:val="14"/>
  </w:num>
  <w:num w:numId="17">
    <w:abstractNumId w:val="160"/>
  </w:num>
  <w:num w:numId="18">
    <w:abstractNumId w:val="141"/>
  </w:num>
  <w:num w:numId="19">
    <w:abstractNumId w:val="246"/>
  </w:num>
  <w:num w:numId="20">
    <w:abstractNumId w:val="241"/>
  </w:num>
  <w:num w:numId="21">
    <w:abstractNumId w:val="130"/>
  </w:num>
  <w:num w:numId="22">
    <w:abstractNumId w:val="162"/>
  </w:num>
  <w:num w:numId="23">
    <w:abstractNumId w:val="243"/>
  </w:num>
  <w:num w:numId="24">
    <w:abstractNumId w:val="47"/>
  </w:num>
  <w:num w:numId="25">
    <w:abstractNumId w:val="121"/>
  </w:num>
  <w:num w:numId="26">
    <w:abstractNumId w:val="99"/>
  </w:num>
  <w:num w:numId="27">
    <w:abstractNumId w:val="89"/>
  </w:num>
  <w:num w:numId="28">
    <w:abstractNumId w:val="155"/>
  </w:num>
  <w:num w:numId="29">
    <w:abstractNumId w:val="54"/>
  </w:num>
  <w:num w:numId="30">
    <w:abstractNumId w:val="221"/>
  </w:num>
  <w:num w:numId="31">
    <w:abstractNumId w:val="177"/>
  </w:num>
  <w:num w:numId="32">
    <w:abstractNumId w:val="242"/>
  </w:num>
  <w:num w:numId="33">
    <w:abstractNumId w:val="85"/>
  </w:num>
  <w:num w:numId="34">
    <w:abstractNumId w:val="11"/>
  </w:num>
  <w:num w:numId="35">
    <w:abstractNumId w:val="227"/>
  </w:num>
  <w:num w:numId="36">
    <w:abstractNumId w:val="92"/>
  </w:num>
  <w:num w:numId="37">
    <w:abstractNumId w:val="62"/>
  </w:num>
  <w:num w:numId="38">
    <w:abstractNumId w:val="202"/>
  </w:num>
  <w:num w:numId="39">
    <w:abstractNumId w:val="170"/>
  </w:num>
  <w:num w:numId="40">
    <w:abstractNumId w:val="75"/>
  </w:num>
  <w:num w:numId="41">
    <w:abstractNumId w:val="96"/>
  </w:num>
  <w:num w:numId="42">
    <w:abstractNumId w:val="235"/>
  </w:num>
  <w:num w:numId="43">
    <w:abstractNumId w:val="215"/>
  </w:num>
  <w:num w:numId="44">
    <w:abstractNumId w:val="55"/>
  </w:num>
  <w:num w:numId="45">
    <w:abstractNumId w:val="239"/>
  </w:num>
  <w:num w:numId="46">
    <w:abstractNumId w:val="115"/>
  </w:num>
  <w:num w:numId="47">
    <w:abstractNumId w:val="80"/>
  </w:num>
  <w:num w:numId="48">
    <w:abstractNumId w:val="184"/>
  </w:num>
  <w:num w:numId="49">
    <w:abstractNumId w:val="150"/>
  </w:num>
  <w:num w:numId="50">
    <w:abstractNumId w:val="93"/>
  </w:num>
  <w:num w:numId="51">
    <w:abstractNumId w:val="68"/>
  </w:num>
  <w:num w:numId="52">
    <w:abstractNumId w:val="156"/>
  </w:num>
  <w:num w:numId="53">
    <w:abstractNumId w:val="185"/>
  </w:num>
  <w:num w:numId="54">
    <w:abstractNumId w:val="100"/>
  </w:num>
  <w:num w:numId="55">
    <w:abstractNumId w:val="189"/>
  </w:num>
  <w:num w:numId="56">
    <w:abstractNumId w:val="74"/>
  </w:num>
  <w:num w:numId="57">
    <w:abstractNumId w:val="122"/>
  </w:num>
  <w:num w:numId="58">
    <w:abstractNumId w:val="106"/>
  </w:num>
  <w:num w:numId="59">
    <w:abstractNumId w:val="61"/>
  </w:num>
  <w:num w:numId="60">
    <w:abstractNumId w:val="193"/>
  </w:num>
  <w:num w:numId="61">
    <w:abstractNumId w:val="36"/>
  </w:num>
  <w:num w:numId="62">
    <w:abstractNumId w:val="83"/>
  </w:num>
  <w:num w:numId="63">
    <w:abstractNumId w:val="87"/>
  </w:num>
  <w:num w:numId="64">
    <w:abstractNumId w:val="228"/>
  </w:num>
  <w:num w:numId="65">
    <w:abstractNumId w:val="127"/>
  </w:num>
  <w:num w:numId="66">
    <w:abstractNumId w:val="173"/>
  </w:num>
  <w:num w:numId="67">
    <w:abstractNumId w:val="6"/>
  </w:num>
  <w:num w:numId="68">
    <w:abstractNumId w:val="234"/>
  </w:num>
  <w:num w:numId="69">
    <w:abstractNumId w:val="102"/>
  </w:num>
  <w:num w:numId="70">
    <w:abstractNumId w:val="8"/>
  </w:num>
  <w:num w:numId="71">
    <w:abstractNumId w:val="137"/>
  </w:num>
  <w:num w:numId="72">
    <w:abstractNumId w:val="226"/>
  </w:num>
  <w:num w:numId="73">
    <w:abstractNumId w:val="26"/>
  </w:num>
  <w:num w:numId="74">
    <w:abstractNumId w:val="213"/>
  </w:num>
  <w:num w:numId="75">
    <w:abstractNumId w:val="195"/>
  </w:num>
  <w:num w:numId="76">
    <w:abstractNumId w:val="174"/>
  </w:num>
  <w:num w:numId="77">
    <w:abstractNumId w:val="200"/>
  </w:num>
  <w:num w:numId="78">
    <w:abstractNumId w:val="56"/>
  </w:num>
  <w:num w:numId="79">
    <w:abstractNumId w:val="19"/>
  </w:num>
  <w:num w:numId="80">
    <w:abstractNumId w:val="124"/>
  </w:num>
  <w:num w:numId="81">
    <w:abstractNumId w:val="103"/>
  </w:num>
  <w:num w:numId="82">
    <w:abstractNumId w:val="188"/>
  </w:num>
  <w:num w:numId="83">
    <w:abstractNumId w:val="77"/>
  </w:num>
  <w:num w:numId="84">
    <w:abstractNumId w:val="237"/>
  </w:num>
  <w:num w:numId="85">
    <w:abstractNumId w:val="0"/>
  </w:num>
  <w:num w:numId="86">
    <w:abstractNumId w:val="204"/>
  </w:num>
  <w:num w:numId="87">
    <w:abstractNumId w:val="158"/>
  </w:num>
  <w:num w:numId="88">
    <w:abstractNumId w:val="120"/>
  </w:num>
  <w:num w:numId="89">
    <w:abstractNumId w:val="20"/>
  </w:num>
  <w:num w:numId="90">
    <w:abstractNumId w:val="111"/>
  </w:num>
  <w:num w:numId="91">
    <w:abstractNumId w:val="51"/>
  </w:num>
  <w:num w:numId="92">
    <w:abstractNumId w:val="2"/>
  </w:num>
  <w:num w:numId="93">
    <w:abstractNumId w:val="233"/>
  </w:num>
  <w:num w:numId="94">
    <w:abstractNumId w:val="232"/>
  </w:num>
  <w:num w:numId="95">
    <w:abstractNumId w:val="186"/>
  </w:num>
  <w:num w:numId="96">
    <w:abstractNumId w:val="48"/>
  </w:num>
  <w:num w:numId="97">
    <w:abstractNumId w:val="159"/>
  </w:num>
  <w:num w:numId="98">
    <w:abstractNumId w:val="211"/>
  </w:num>
  <w:num w:numId="99">
    <w:abstractNumId w:val="113"/>
  </w:num>
  <w:num w:numId="100">
    <w:abstractNumId w:val="108"/>
  </w:num>
  <w:num w:numId="101">
    <w:abstractNumId w:val="167"/>
  </w:num>
  <w:num w:numId="102">
    <w:abstractNumId w:val="76"/>
  </w:num>
  <w:num w:numId="103">
    <w:abstractNumId w:val="67"/>
  </w:num>
  <w:num w:numId="104">
    <w:abstractNumId w:val="34"/>
  </w:num>
  <w:num w:numId="105">
    <w:abstractNumId w:val="53"/>
  </w:num>
  <w:num w:numId="106">
    <w:abstractNumId w:val="181"/>
  </w:num>
  <w:num w:numId="107">
    <w:abstractNumId w:val="15"/>
  </w:num>
  <w:num w:numId="108">
    <w:abstractNumId w:val="148"/>
  </w:num>
  <w:num w:numId="109">
    <w:abstractNumId w:val="45"/>
  </w:num>
  <w:num w:numId="110">
    <w:abstractNumId w:val="95"/>
  </w:num>
  <w:num w:numId="111">
    <w:abstractNumId w:val="57"/>
  </w:num>
  <w:num w:numId="112">
    <w:abstractNumId w:val="201"/>
  </w:num>
  <w:num w:numId="113">
    <w:abstractNumId w:val="220"/>
  </w:num>
  <w:num w:numId="114">
    <w:abstractNumId w:val="86"/>
  </w:num>
  <w:num w:numId="115">
    <w:abstractNumId w:val="110"/>
  </w:num>
  <w:num w:numId="116">
    <w:abstractNumId w:val="39"/>
  </w:num>
  <w:num w:numId="117">
    <w:abstractNumId w:val="219"/>
  </w:num>
  <w:num w:numId="118">
    <w:abstractNumId w:val="73"/>
  </w:num>
  <w:num w:numId="119">
    <w:abstractNumId w:val="143"/>
  </w:num>
  <w:num w:numId="120">
    <w:abstractNumId w:val="245"/>
  </w:num>
  <w:num w:numId="121">
    <w:abstractNumId w:val="43"/>
  </w:num>
  <w:num w:numId="122">
    <w:abstractNumId w:val="217"/>
  </w:num>
  <w:num w:numId="123">
    <w:abstractNumId w:val="230"/>
  </w:num>
  <w:num w:numId="124">
    <w:abstractNumId w:val="1"/>
  </w:num>
  <w:num w:numId="125">
    <w:abstractNumId w:val="197"/>
  </w:num>
  <w:num w:numId="126">
    <w:abstractNumId w:val="131"/>
  </w:num>
  <w:num w:numId="127">
    <w:abstractNumId w:val="157"/>
  </w:num>
  <w:num w:numId="128">
    <w:abstractNumId w:val="139"/>
  </w:num>
  <w:num w:numId="129">
    <w:abstractNumId w:val="196"/>
  </w:num>
  <w:num w:numId="130">
    <w:abstractNumId w:val="66"/>
  </w:num>
  <w:num w:numId="131">
    <w:abstractNumId w:val="114"/>
  </w:num>
  <w:num w:numId="132">
    <w:abstractNumId w:val="149"/>
  </w:num>
  <w:num w:numId="133">
    <w:abstractNumId w:val="203"/>
  </w:num>
  <w:num w:numId="134">
    <w:abstractNumId w:val="169"/>
  </w:num>
  <w:num w:numId="135">
    <w:abstractNumId w:val="52"/>
  </w:num>
  <w:num w:numId="136">
    <w:abstractNumId w:val="82"/>
  </w:num>
  <w:num w:numId="137">
    <w:abstractNumId w:val="63"/>
  </w:num>
  <w:num w:numId="138">
    <w:abstractNumId w:val="9"/>
  </w:num>
  <w:num w:numId="139">
    <w:abstractNumId w:val="194"/>
  </w:num>
  <w:num w:numId="140">
    <w:abstractNumId w:val="3"/>
  </w:num>
  <w:num w:numId="141">
    <w:abstractNumId w:val="23"/>
  </w:num>
  <w:num w:numId="142">
    <w:abstractNumId w:val="12"/>
  </w:num>
  <w:num w:numId="143">
    <w:abstractNumId w:val="163"/>
  </w:num>
  <w:num w:numId="144">
    <w:abstractNumId w:val="218"/>
  </w:num>
  <w:num w:numId="145">
    <w:abstractNumId w:val="91"/>
  </w:num>
  <w:num w:numId="146">
    <w:abstractNumId w:val="172"/>
  </w:num>
  <w:num w:numId="147">
    <w:abstractNumId w:val="231"/>
  </w:num>
  <w:num w:numId="148">
    <w:abstractNumId w:val="116"/>
  </w:num>
  <w:num w:numId="149">
    <w:abstractNumId w:val="109"/>
  </w:num>
  <w:num w:numId="150">
    <w:abstractNumId w:val="42"/>
  </w:num>
  <w:num w:numId="151">
    <w:abstractNumId w:val="72"/>
  </w:num>
  <w:num w:numId="152">
    <w:abstractNumId w:val="180"/>
  </w:num>
  <w:num w:numId="153">
    <w:abstractNumId w:val="79"/>
  </w:num>
  <w:num w:numId="154">
    <w:abstractNumId w:val="5"/>
  </w:num>
  <w:num w:numId="155">
    <w:abstractNumId w:val="214"/>
  </w:num>
  <w:num w:numId="156">
    <w:abstractNumId w:val="136"/>
  </w:num>
  <w:num w:numId="157">
    <w:abstractNumId w:val="98"/>
  </w:num>
  <w:num w:numId="158">
    <w:abstractNumId w:val="13"/>
  </w:num>
  <w:num w:numId="159">
    <w:abstractNumId w:val="223"/>
  </w:num>
  <w:num w:numId="160">
    <w:abstractNumId w:val="29"/>
  </w:num>
  <w:num w:numId="161">
    <w:abstractNumId w:val="21"/>
  </w:num>
  <w:num w:numId="162">
    <w:abstractNumId w:val="126"/>
  </w:num>
  <w:num w:numId="163">
    <w:abstractNumId w:val="119"/>
  </w:num>
  <w:num w:numId="164">
    <w:abstractNumId w:val="17"/>
  </w:num>
  <w:num w:numId="165">
    <w:abstractNumId w:val="166"/>
  </w:num>
  <w:num w:numId="166">
    <w:abstractNumId w:val="175"/>
  </w:num>
  <w:num w:numId="167">
    <w:abstractNumId w:val="145"/>
  </w:num>
  <w:num w:numId="168">
    <w:abstractNumId w:val="107"/>
  </w:num>
  <w:num w:numId="169">
    <w:abstractNumId w:val="50"/>
  </w:num>
  <w:num w:numId="170">
    <w:abstractNumId w:val="208"/>
  </w:num>
  <w:num w:numId="171">
    <w:abstractNumId w:val="44"/>
  </w:num>
  <w:num w:numId="172">
    <w:abstractNumId w:val="71"/>
  </w:num>
  <w:num w:numId="173">
    <w:abstractNumId w:val="182"/>
  </w:num>
  <w:num w:numId="174">
    <w:abstractNumId w:val="90"/>
  </w:num>
  <w:num w:numId="175">
    <w:abstractNumId w:val="105"/>
  </w:num>
  <w:num w:numId="176">
    <w:abstractNumId w:val="70"/>
  </w:num>
  <w:num w:numId="177">
    <w:abstractNumId w:val="187"/>
  </w:num>
  <w:num w:numId="178">
    <w:abstractNumId w:val="117"/>
  </w:num>
  <w:num w:numId="179">
    <w:abstractNumId w:val="30"/>
  </w:num>
  <w:num w:numId="180">
    <w:abstractNumId w:val="37"/>
  </w:num>
  <w:num w:numId="181">
    <w:abstractNumId w:val="125"/>
  </w:num>
  <w:num w:numId="182">
    <w:abstractNumId w:val="7"/>
  </w:num>
  <w:num w:numId="183">
    <w:abstractNumId w:val="183"/>
  </w:num>
  <w:num w:numId="184">
    <w:abstractNumId w:val="28"/>
  </w:num>
  <w:num w:numId="185">
    <w:abstractNumId w:val="33"/>
  </w:num>
  <w:num w:numId="186">
    <w:abstractNumId w:val="191"/>
  </w:num>
  <w:num w:numId="187">
    <w:abstractNumId w:val="154"/>
  </w:num>
  <w:num w:numId="188">
    <w:abstractNumId w:val="35"/>
  </w:num>
  <w:num w:numId="189">
    <w:abstractNumId w:val="135"/>
  </w:num>
  <w:num w:numId="190">
    <w:abstractNumId w:val="40"/>
  </w:num>
  <w:num w:numId="191">
    <w:abstractNumId w:val="240"/>
  </w:num>
  <w:num w:numId="192">
    <w:abstractNumId w:val="238"/>
  </w:num>
  <w:num w:numId="193">
    <w:abstractNumId w:val="118"/>
  </w:num>
  <w:num w:numId="194">
    <w:abstractNumId w:val="22"/>
  </w:num>
  <w:num w:numId="195">
    <w:abstractNumId w:val="209"/>
  </w:num>
  <w:num w:numId="196">
    <w:abstractNumId w:val="178"/>
  </w:num>
  <w:num w:numId="197">
    <w:abstractNumId w:val="24"/>
  </w:num>
  <w:num w:numId="198">
    <w:abstractNumId w:val="128"/>
  </w:num>
  <w:num w:numId="199">
    <w:abstractNumId w:val="134"/>
  </w:num>
  <w:num w:numId="200">
    <w:abstractNumId w:val="27"/>
  </w:num>
  <w:num w:numId="201">
    <w:abstractNumId w:val="146"/>
  </w:num>
  <w:num w:numId="202">
    <w:abstractNumId w:val="94"/>
  </w:num>
  <w:num w:numId="203">
    <w:abstractNumId w:val="171"/>
  </w:num>
  <w:num w:numId="204">
    <w:abstractNumId w:val="97"/>
  </w:num>
  <w:num w:numId="205">
    <w:abstractNumId w:val="32"/>
  </w:num>
  <w:num w:numId="206">
    <w:abstractNumId w:val="244"/>
  </w:num>
  <w:num w:numId="207">
    <w:abstractNumId w:val="206"/>
  </w:num>
  <w:num w:numId="208">
    <w:abstractNumId w:val="176"/>
  </w:num>
  <w:num w:numId="209">
    <w:abstractNumId w:val="58"/>
  </w:num>
  <w:num w:numId="210">
    <w:abstractNumId w:val="104"/>
  </w:num>
  <w:num w:numId="211">
    <w:abstractNumId w:val="64"/>
  </w:num>
  <w:num w:numId="212">
    <w:abstractNumId w:val="31"/>
  </w:num>
  <w:num w:numId="213">
    <w:abstractNumId w:val="179"/>
  </w:num>
  <w:num w:numId="214">
    <w:abstractNumId w:val="140"/>
  </w:num>
  <w:num w:numId="215">
    <w:abstractNumId w:val="133"/>
  </w:num>
  <w:num w:numId="216">
    <w:abstractNumId w:val="84"/>
  </w:num>
  <w:num w:numId="217">
    <w:abstractNumId w:val="112"/>
  </w:num>
  <w:num w:numId="218">
    <w:abstractNumId w:val="78"/>
  </w:num>
  <w:num w:numId="219">
    <w:abstractNumId w:val="152"/>
  </w:num>
  <w:num w:numId="220">
    <w:abstractNumId w:val="222"/>
  </w:num>
  <w:num w:numId="221">
    <w:abstractNumId w:val="224"/>
  </w:num>
  <w:num w:numId="222">
    <w:abstractNumId w:val="225"/>
  </w:num>
  <w:num w:numId="223">
    <w:abstractNumId w:val="18"/>
  </w:num>
  <w:num w:numId="224">
    <w:abstractNumId w:val="161"/>
  </w:num>
  <w:num w:numId="225">
    <w:abstractNumId w:val="153"/>
  </w:num>
  <w:num w:numId="226">
    <w:abstractNumId w:val="190"/>
  </w:num>
  <w:num w:numId="227">
    <w:abstractNumId w:val="151"/>
  </w:num>
  <w:num w:numId="228">
    <w:abstractNumId w:val="198"/>
  </w:num>
  <w:num w:numId="229">
    <w:abstractNumId w:val="4"/>
  </w:num>
  <w:num w:numId="230">
    <w:abstractNumId w:val="65"/>
  </w:num>
  <w:num w:numId="231">
    <w:abstractNumId w:val="49"/>
  </w:num>
  <w:num w:numId="232">
    <w:abstractNumId w:val="164"/>
  </w:num>
  <w:num w:numId="233">
    <w:abstractNumId w:val="10"/>
  </w:num>
  <w:num w:numId="234">
    <w:abstractNumId w:val="144"/>
  </w:num>
  <w:num w:numId="235">
    <w:abstractNumId w:val="41"/>
  </w:num>
  <w:num w:numId="236">
    <w:abstractNumId w:val="88"/>
  </w:num>
  <w:num w:numId="237">
    <w:abstractNumId w:val="236"/>
  </w:num>
  <w:num w:numId="238">
    <w:abstractNumId w:val="212"/>
  </w:num>
  <w:num w:numId="239">
    <w:abstractNumId w:val="46"/>
  </w:num>
  <w:num w:numId="240">
    <w:abstractNumId w:val="216"/>
  </w:num>
  <w:num w:numId="241">
    <w:abstractNumId w:val="16"/>
  </w:num>
  <w:num w:numId="242">
    <w:abstractNumId w:val="60"/>
  </w:num>
  <w:num w:numId="243">
    <w:abstractNumId w:val="247"/>
  </w:num>
  <w:num w:numId="244">
    <w:abstractNumId w:val="38"/>
  </w:num>
  <w:num w:numId="245">
    <w:abstractNumId w:val="81"/>
  </w:num>
  <w:num w:numId="246">
    <w:abstractNumId w:val="147"/>
  </w:num>
  <w:num w:numId="247">
    <w:abstractNumId w:val="129"/>
  </w:num>
  <w:num w:numId="248">
    <w:abstractNumId w:val="165"/>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96"/>
    <w:rsid w:val="000002CF"/>
    <w:rsid w:val="0000046E"/>
    <w:rsid w:val="0000050C"/>
    <w:rsid w:val="00000DB7"/>
    <w:rsid w:val="000016CD"/>
    <w:rsid w:val="000019E5"/>
    <w:rsid w:val="00001B46"/>
    <w:rsid w:val="00001C0C"/>
    <w:rsid w:val="000035F3"/>
    <w:rsid w:val="00004022"/>
    <w:rsid w:val="0000470B"/>
    <w:rsid w:val="00005CA8"/>
    <w:rsid w:val="00005D5A"/>
    <w:rsid w:val="00005E02"/>
    <w:rsid w:val="00006621"/>
    <w:rsid w:val="00006B08"/>
    <w:rsid w:val="00006E88"/>
    <w:rsid w:val="00007CED"/>
    <w:rsid w:val="000108A6"/>
    <w:rsid w:val="00010B82"/>
    <w:rsid w:val="00011755"/>
    <w:rsid w:val="00011EC3"/>
    <w:rsid w:val="000126DE"/>
    <w:rsid w:val="000126FB"/>
    <w:rsid w:val="00013608"/>
    <w:rsid w:val="00013863"/>
    <w:rsid w:val="00013DBE"/>
    <w:rsid w:val="00013E86"/>
    <w:rsid w:val="00014041"/>
    <w:rsid w:val="0001427D"/>
    <w:rsid w:val="00015D86"/>
    <w:rsid w:val="00016C40"/>
    <w:rsid w:val="000170D0"/>
    <w:rsid w:val="00017250"/>
    <w:rsid w:val="000176C1"/>
    <w:rsid w:val="000177CF"/>
    <w:rsid w:val="00020C09"/>
    <w:rsid w:val="00020D8E"/>
    <w:rsid w:val="0002192F"/>
    <w:rsid w:val="00022113"/>
    <w:rsid w:val="000225A0"/>
    <w:rsid w:val="0002264E"/>
    <w:rsid w:val="00023DBB"/>
    <w:rsid w:val="00023FB5"/>
    <w:rsid w:val="00024193"/>
    <w:rsid w:val="00024747"/>
    <w:rsid w:val="0002567E"/>
    <w:rsid w:val="00025B86"/>
    <w:rsid w:val="00025C99"/>
    <w:rsid w:val="0002613F"/>
    <w:rsid w:val="00026854"/>
    <w:rsid w:val="00026D94"/>
    <w:rsid w:val="00026EAB"/>
    <w:rsid w:val="0002729A"/>
    <w:rsid w:val="00027C02"/>
    <w:rsid w:val="00027EA8"/>
    <w:rsid w:val="00030E11"/>
    <w:rsid w:val="00031560"/>
    <w:rsid w:val="000318B4"/>
    <w:rsid w:val="00031F76"/>
    <w:rsid w:val="0003217D"/>
    <w:rsid w:val="00032666"/>
    <w:rsid w:val="00032D1B"/>
    <w:rsid w:val="000335E9"/>
    <w:rsid w:val="00033C34"/>
    <w:rsid w:val="00033D55"/>
    <w:rsid w:val="00033E61"/>
    <w:rsid w:val="00033EB9"/>
    <w:rsid w:val="00033ED5"/>
    <w:rsid w:val="000353AD"/>
    <w:rsid w:val="00035D80"/>
    <w:rsid w:val="00036D04"/>
    <w:rsid w:val="00037660"/>
    <w:rsid w:val="000379A1"/>
    <w:rsid w:val="0004006F"/>
    <w:rsid w:val="00040ADA"/>
    <w:rsid w:val="00042A7C"/>
    <w:rsid w:val="000432BB"/>
    <w:rsid w:val="00043502"/>
    <w:rsid w:val="000435FE"/>
    <w:rsid w:val="0004418E"/>
    <w:rsid w:val="000441B6"/>
    <w:rsid w:val="0004497D"/>
    <w:rsid w:val="00044ACE"/>
    <w:rsid w:val="00044B0E"/>
    <w:rsid w:val="00044CE6"/>
    <w:rsid w:val="00044D37"/>
    <w:rsid w:val="00044F8F"/>
    <w:rsid w:val="00045081"/>
    <w:rsid w:val="0004544E"/>
    <w:rsid w:val="00045566"/>
    <w:rsid w:val="00045695"/>
    <w:rsid w:val="0004570B"/>
    <w:rsid w:val="0004595E"/>
    <w:rsid w:val="00045B00"/>
    <w:rsid w:val="00046787"/>
    <w:rsid w:val="00046925"/>
    <w:rsid w:val="00046928"/>
    <w:rsid w:val="00046F10"/>
    <w:rsid w:val="00047530"/>
    <w:rsid w:val="00047E85"/>
    <w:rsid w:val="0005018F"/>
    <w:rsid w:val="00050751"/>
    <w:rsid w:val="0005081F"/>
    <w:rsid w:val="00050A79"/>
    <w:rsid w:val="00050FDC"/>
    <w:rsid w:val="00051790"/>
    <w:rsid w:val="00053032"/>
    <w:rsid w:val="00053149"/>
    <w:rsid w:val="0005323E"/>
    <w:rsid w:val="000535B1"/>
    <w:rsid w:val="00053F23"/>
    <w:rsid w:val="000541BB"/>
    <w:rsid w:val="000546EC"/>
    <w:rsid w:val="00055007"/>
    <w:rsid w:val="0005549E"/>
    <w:rsid w:val="000556EF"/>
    <w:rsid w:val="00055E4C"/>
    <w:rsid w:val="00055EC3"/>
    <w:rsid w:val="00057110"/>
    <w:rsid w:val="000577CC"/>
    <w:rsid w:val="00060192"/>
    <w:rsid w:val="00060A4F"/>
    <w:rsid w:val="00060DE2"/>
    <w:rsid w:val="00061008"/>
    <w:rsid w:val="00061117"/>
    <w:rsid w:val="0006139B"/>
    <w:rsid w:val="0006213A"/>
    <w:rsid w:val="0006227C"/>
    <w:rsid w:val="000624AC"/>
    <w:rsid w:val="00062627"/>
    <w:rsid w:val="000627C6"/>
    <w:rsid w:val="00063E37"/>
    <w:rsid w:val="00063F61"/>
    <w:rsid w:val="00064EB3"/>
    <w:rsid w:val="0006534A"/>
    <w:rsid w:val="000654E6"/>
    <w:rsid w:val="00065EAE"/>
    <w:rsid w:val="00065FA3"/>
    <w:rsid w:val="00065FF4"/>
    <w:rsid w:val="00066B04"/>
    <w:rsid w:val="00066B84"/>
    <w:rsid w:val="0006721B"/>
    <w:rsid w:val="000672FC"/>
    <w:rsid w:val="00067768"/>
    <w:rsid w:val="00067778"/>
    <w:rsid w:val="00067B88"/>
    <w:rsid w:val="000704D8"/>
    <w:rsid w:val="000705F2"/>
    <w:rsid w:val="00070C3C"/>
    <w:rsid w:val="00071534"/>
    <w:rsid w:val="00072789"/>
    <w:rsid w:val="0007284B"/>
    <w:rsid w:val="00072FED"/>
    <w:rsid w:val="00073D01"/>
    <w:rsid w:val="0007408C"/>
    <w:rsid w:val="00074B3B"/>
    <w:rsid w:val="00074BAB"/>
    <w:rsid w:val="000761AC"/>
    <w:rsid w:val="00076E40"/>
    <w:rsid w:val="0007742F"/>
    <w:rsid w:val="0008027A"/>
    <w:rsid w:val="000806C0"/>
    <w:rsid w:val="00080B5D"/>
    <w:rsid w:val="00080CA7"/>
    <w:rsid w:val="000810E7"/>
    <w:rsid w:val="00081CD1"/>
    <w:rsid w:val="000832A2"/>
    <w:rsid w:val="000832B4"/>
    <w:rsid w:val="000839D0"/>
    <w:rsid w:val="00083EA5"/>
    <w:rsid w:val="00084050"/>
    <w:rsid w:val="000848D3"/>
    <w:rsid w:val="000848E6"/>
    <w:rsid w:val="00085058"/>
    <w:rsid w:val="00085128"/>
    <w:rsid w:val="00085361"/>
    <w:rsid w:val="000868D9"/>
    <w:rsid w:val="000874EF"/>
    <w:rsid w:val="0008792D"/>
    <w:rsid w:val="00087B7B"/>
    <w:rsid w:val="00090465"/>
    <w:rsid w:val="00090A4E"/>
    <w:rsid w:val="00090D28"/>
    <w:rsid w:val="00090E10"/>
    <w:rsid w:val="00090FD1"/>
    <w:rsid w:val="0009166B"/>
    <w:rsid w:val="00091693"/>
    <w:rsid w:val="000916CE"/>
    <w:rsid w:val="00091F4E"/>
    <w:rsid w:val="000920C8"/>
    <w:rsid w:val="00092147"/>
    <w:rsid w:val="000925F3"/>
    <w:rsid w:val="000928AB"/>
    <w:rsid w:val="00092A6F"/>
    <w:rsid w:val="00092B44"/>
    <w:rsid w:val="00093AD3"/>
    <w:rsid w:val="0009406D"/>
    <w:rsid w:val="00094460"/>
    <w:rsid w:val="00094A45"/>
    <w:rsid w:val="00094AD0"/>
    <w:rsid w:val="00094C8A"/>
    <w:rsid w:val="0009508C"/>
    <w:rsid w:val="00095134"/>
    <w:rsid w:val="000951EA"/>
    <w:rsid w:val="0009539C"/>
    <w:rsid w:val="00095703"/>
    <w:rsid w:val="00095C8F"/>
    <w:rsid w:val="00095F65"/>
    <w:rsid w:val="00096986"/>
    <w:rsid w:val="00097029"/>
    <w:rsid w:val="000976A3"/>
    <w:rsid w:val="00097802"/>
    <w:rsid w:val="000A01AC"/>
    <w:rsid w:val="000A04E5"/>
    <w:rsid w:val="000A13A7"/>
    <w:rsid w:val="000A16D9"/>
    <w:rsid w:val="000A197D"/>
    <w:rsid w:val="000A1D38"/>
    <w:rsid w:val="000A1E7C"/>
    <w:rsid w:val="000A2D12"/>
    <w:rsid w:val="000A3255"/>
    <w:rsid w:val="000A3CA0"/>
    <w:rsid w:val="000A455D"/>
    <w:rsid w:val="000A4CA0"/>
    <w:rsid w:val="000A4D65"/>
    <w:rsid w:val="000A5891"/>
    <w:rsid w:val="000A5B31"/>
    <w:rsid w:val="000A5C37"/>
    <w:rsid w:val="000A695A"/>
    <w:rsid w:val="000A699F"/>
    <w:rsid w:val="000A7459"/>
    <w:rsid w:val="000A7FE8"/>
    <w:rsid w:val="000B06FE"/>
    <w:rsid w:val="000B0876"/>
    <w:rsid w:val="000B0BE0"/>
    <w:rsid w:val="000B0C60"/>
    <w:rsid w:val="000B0E2C"/>
    <w:rsid w:val="000B1308"/>
    <w:rsid w:val="000B134B"/>
    <w:rsid w:val="000B1C88"/>
    <w:rsid w:val="000B1FA1"/>
    <w:rsid w:val="000B2BB2"/>
    <w:rsid w:val="000B2D7B"/>
    <w:rsid w:val="000B2FDD"/>
    <w:rsid w:val="000B401B"/>
    <w:rsid w:val="000B4552"/>
    <w:rsid w:val="000B5AE1"/>
    <w:rsid w:val="000B5BA4"/>
    <w:rsid w:val="000B5CD9"/>
    <w:rsid w:val="000B6BC2"/>
    <w:rsid w:val="000B6F16"/>
    <w:rsid w:val="000B7469"/>
    <w:rsid w:val="000B7709"/>
    <w:rsid w:val="000B7E42"/>
    <w:rsid w:val="000B7FF4"/>
    <w:rsid w:val="000C041D"/>
    <w:rsid w:val="000C10EB"/>
    <w:rsid w:val="000C136F"/>
    <w:rsid w:val="000C17EE"/>
    <w:rsid w:val="000C1B3C"/>
    <w:rsid w:val="000C1D39"/>
    <w:rsid w:val="000C256D"/>
    <w:rsid w:val="000C2909"/>
    <w:rsid w:val="000C2914"/>
    <w:rsid w:val="000C3B1D"/>
    <w:rsid w:val="000C3E16"/>
    <w:rsid w:val="000C4081"/>
    <w:rsid w:val="000C40FE"/>
    <w:rsid w:val="000C4630"/>
    <w:rsid w:val="000C46B7"/>
    <w:rsid w:val="000C4E2C"/>
    <w:rsid w:val="000C5698"/>
    <w:rsid w:val="000C5D81"/>
    <w:rsid w:val="000C6809"/>
    <w:rsid w:val="000C6878"/>
    <w:rsid w:val="000C75C8"/>
    <w:rsid w:val="000D07AC"/>
    <w:rsid w:val="000D09A0"/>
    <w:rsid w:val="000D0B57"/>
    <w:rsid w:val="000D0C67"/>
    <w:rsid w:val="000D11B2"/>
    <w:rsid w:val="000D173F"/>
    <w:rsid w:val="000D26F6"/>
    <w:rsid w:val="000D34EC"/>
    <w:rsid w:val="000D4291"/>
    <w:rsid w:val="000D4981"/>
    <w:rsid w:val="000D4994"/>
    <w:rsid w:val="000D50E9"/>
    <w:rsid w:val="000D513F"/>
    <w:rsid w:val="000D5246"/>
    <w:rsid w:val="000D5320"/>
    <w:rsid w:val="000D5440"/>
    <w:rsid w:val="000D5B43"/>
    <w:rsid w:val="000D7265"/>
    <w:rsid w:val="000D7366"/>
    <w:rsid w:val="000D7627"/>
    <w:rsid w:val="000D7EBD"/>
    <w:rsid w:val="000E0165"/>
    <w:rsid w:val="000E08D6"/>
    <w:rsid w:val="000E0B6D"/>
    <w:rsid w:val="000E12B3"/>
    <w:rsid w:val="000E18F5"/>
    <w:rsid w:val="000E1C95"/>
    <w:rsid w:val="000E1EE6"/>
    <w:rsid w:val="000E2025"/>
    <w:rsid w:val="000E2A20"/>
    <w:rsid w:val="000E2E36"/>
    <w:rsid w:val="000E3109"/>
    <w:rsid w:val="000E3743"/>
    <w:rsid w:val="000E41B5"/>
    <w:rsid w:val="000E42EE"/>
    <w:rsid w:val="000E4729"/>
    <w:rsid w:val="000E4BA2"/>
    <w:rsid w:val="000E54F6"/>
    <w:rsid w:val="000E607B"/>
    <w:rsid w:val="000E60DC"/>
    <w:rsid w:val="000E61E1"/>
    <w:rsid w:val="000E6307"/>
    <w:rsid w:val="000E6576"/>
    <w:rsid w:val="000E65A4"/>
    <w:rsid w:val="000E7336"/>
    <w:rsid w:val="000E751B"/>
    <w:rsid w:val="000E75C1"/>
    <w:rsid w:val="000E75E6"/>
    <w:rsid w:val="000E76AA"/>
    <w:rsid w:val="000E7C97"/>
    <w:rsid w:val="000F08A2"/>
    <w:rsid w:val="000F0B8A"/>
    <w:rsid w:val="000F0FB6"/>
    <w:rsid w:val="000F1200"/>
    <w:rsid w:val="000F1951"/>
    <w:rsid w:val="000F25F1"/>
    <w:rsid w:val="000F3139"/>
    <w:rsid w:val="000F404F"/>
    <w:rsid w:val="000F5256"/>
    <w:rsid w:val="000F5B40"/>
    <w:rsid w:val="000F5DD5"/>
    <w:rsid w:val="000F688F"/>
    <w:rsid w:val="000F6A6B"/>
    <w:rsid w:val="000F6B68"/>
    <w:rsid w:val="000F6D56"/>
    <w:rsid w:val="000F6D70"/>
    <w:rsid w:val="000F7326"/>
    <w:rsid w:val="0010063A"/>
    <w:rsid w:val="00100984"/>
    <w:rsid w:val="00100EE8"/>
    <w:rsid w:val="00101836"/>
    <w:rsid w:val="00101D57"/>
    <w:rsid w:val="00101D67"/>
    <w:rsid w:val="001020A1"/>
    <w:rsid w:val="001024D0"/>
    <w:rsid w:val="00102513"/>
    <w:rsid w:val="0010258B"/>
    <w:rsid w:val="0010258C"/>
    <w:rsid w:val="00102B21"/>
    <w:rsid w:val="00102B57"/>
    <w:rsid w:val="0010302C"/>
    <w:rsid w:val="0010385B"/>
    <w:rsid w:val="00104BB6"/>
    <w:rsid w:val="001056EE"/>
    <w:rsid w:val="001059CC"/>
    <w:rsid w:val="001063E0"/>
    <w:rsid w:val="00107034"/>
    <w:rsid w:val="001104EC"/>
    <w:rsid w:val="00110F97"/>
    <w:rsid w:val="00111B9F"/>
    <w:rsid w:val="00112446"/>
    <w:rsid w:val="001129F0"/>
    <w:rsid w:val="00112A31"/>
    <w:rsid w:val="00112B3E"/>
    <w:rsid w:val="0011327B"/>
    <w:rsid w:val="001137C7"/>
    <w:rsid w:val="001141FF"/>
    <w:rsid w:val="001146A8"/>
    <w:rsid w:val="00115077"/>
    <w:rsid w:val="0011574D"/>
    <w:rsid w:val="001164C9"/>
    <w:rsid w:val="001169AB"/>
    <w:rsid w:val="00117179"/>
    <w:rsid w:val="0011742D"/>
    <w:rsid w:val="00120662"/>
    <w:rsid w:val="00120666"/>
    <w:rsid w:val="001206FD"/>
    <w:rsid w:val="0012110B"/>
    <w:rsid w:val="0012115F"/>
    <w:rsid w:val="00121534"/>
    <w:rsid w:val="001216C8"/>
    <w:rsid w:val="00121C19"/>
    <w:rsid w:val="00122492"/>
    <w:rsid w:val="001228D5"/>
    <w:rsid w:val="001229E5"/>
    <w:rsid w:val="00122D56"/>
    <w:rsid w:val="00122EB1"/>
    <w:rsid w:val="00123466"/>
    <w:rsid w:val="001238A4"/>
    <w:rsid w:val="001243A2"/>
    <w:rsid w:val="00124D27"/>
    <w:rsid w:val="00124DB4"/>
    <w:rsid w:val="00124DBD"/>
    <w:rsid w:val="001253D3"/>
    <w:rsid w:val="00125815"/>
    <w:rsid w:val="00125863"/>
    <w:rsid w:val="00125C5D"/>
    <w:rsid w:val="00126066"/>
    <w:rsid w:val="0012607E"/>
    <w:rsid w:val="001262DF"/>
    <w:rsid w:val="00126C91"/>
    <w:rsid w:val="00127283"/>
    <w:rsid w:val="00127391"/>
    <w:rsid w:val="001301CE"/>
    <w:rsid w:val="0013034A"/>
    <w:rsid w:val="001304A0"/>
    <w:rsid w:val="00130CC7"/>
    <w:rsid w:val="00130DE0"/>
    <w:rsid w:val="0013117E"/>
    <w:rsid w:val="001324B2"/>
    <w:rsid w:val="00132F5A"/>
    <w:rsid w:val="00133205"/>
    <w:rsid w:val="00133723"/>
    <w:rsid w:val="0013399C"/>
    <w:rsid w:val="00133BB8"/>
    <w:rsid w:val="00133D18"/>
    <w:rsid w:val="00133EDE"/>
    <w:rsid w:val="0013407C"/>
    <w:rsid w:val="0013445D"/>
    <w:rsid w:val="00134653"/>
    <w:rsid w:val="00134A5E"/>
    <w:rsid w:val="00134D61"/>
    <w:rsid w:val="00135D47"/>
    <w:rsid w:val="0013602E"/>
    <w:rsid w:val="00136261"/>
    <w:rsid w:val="00136DE9"/>
    <w:rsid w:val="00136F45"/>
    <w:rsid w:val="00137FE0"/>
    <w:rsid w:val="001402BE"/>
    <w:rsid w:val="00140941"/>
    <w:rsid w:val="001412E9"/>
    <w:rsid w:val="001414D7"/>
    <w:rsid w:val="00141821"/>
    <w:rsid w:val="00141A18"/>
    <w:rsid w:val="00141FC5"/>
    <w:rsid w:val="001420B9"/>
    <w:rsid w:val="0014226F"/>
    <w:rsid w:val="001425B0"/>
    <w:rsid w:val="001427BE"/>
    <w:rsid w:val="00142801"/>
    <w:rsid w:val="00142911"/>
    <w:rsid w:val="0014297C"/>
    <w:rsid w:val="00142B0B"/>
    <w:rsid w:val="00143426"/>
    <w:rsid w:val="00143519"/>
    <w:rsid w:val="00143C21"/>
    <w:rsid w:val="00143DC4"/>
    <w:rsid w:val="001445AA"/>
    <w:rsid w:val="00144E57"/>
    <w:rsid w:val="00144ECD"/>
    <w:rsid w:val="00146CC4"/>
    <w:rsid w:val="00147238"/>
    <w:rsid w:val="001474B4"/>
    <w:rsid w:val="00147650"/>
    <w:rsid w:val="00147950"/>
    <w:rsid w:val="00147B51"/>
    <w:rsid w:val="00150011"/>
    <w:rsid w:val="00150B15"/>
    <w:rsid w:val="00150F65"/>
    <w:rsid w:val="0015118E"/>
    <w:rsid w:val="00151292"/>
    <w:rsid w:val="001518A8"/>
    <w:rsid w:val="00151AD4"/>
    <w:rsid w:val="00151B99"/>
    <w:rsid w:val="00151E3D"/>
    <w:rsid w:val="00151EC1"/>
    <w:rsid w:val="001525B5"/>
    <w:rsid w:val="00152A84"/>
    <w:rsid w:val="00153811"/>
    <w:rsid w:val="00154727"/>
    <w:rsid w:val="00154AC9"/>
    <w:rsid w:val="00154C52"/>
    <w:rsid w:val="00154E06"/>
    <w:rsid w:val="001551E8"/>
    <w:rsid w:val="00155476"/>
    <w:rsid w:val="0015556D"/>
    <w:rsid w:val="0015636C"/>
    <w:rsid w:val="00156C56"/>
    <w:rsid w:val="00156EE5"/>
    <w:rsid w:val="00157E48"/>
    <w:rsid w:val="0016053A"/>
    <w:rsid w:val="0016064B"/>
    <w:rsid w:val="001612CD"/>
    <w:rsid w:val="0016142F"/>
    <w:rsid w:val="00161758"/>
    <w:rsid w:val="0016181B"/>
    <w:rsid w:val="00161F81"/>
    <w:rsid w:val="00162493"/>
    <w:rsid w:val="00162828"/>
    <w:rsid w:val="0016292B"/>
    <w:rsid w:val="00162A6F"/>
    <w:rsid w:val="00162D49"/>
    <w:rsid w:val="00162F90"/>
    <w:rsid w:val="00162FAD"/>
    <w:rsid w:val="0016315E"/>
    <w:rsid w:val="001631FC"/>
    <w:rsid w:val="00163535"/>
    <w:rsid w:val="00163907"/>
    <w:rsid w:val="00163BF9"/>
    <w:rsid w:val="00163E61"/>
    <w:rsid w:val="00163FEF"/>
    <w:rsid w:val="00164490"/>
    <w:rsid w:val="00164715"/>
    <w:rsid w:val="00164C6A"/>
    <w:rsid w:val="00164E6D"/>
    <w:rsid w:val="00164F10"/>
    <w:rsid w:val="00164F91"/>
    <w:rsid w:val="0016623D"/>
    <w:rsid w:val="00166621"/>
    <w:rsid w:val="00166C6C"/>
    <w:rsid w:val="00166C97"/>
    <w:rsid w:val="0016710A"/>
    <w:rsid w:val="00167B2E"/>
    <w:rsid w:val="00167E27"/>
    <w:rsid w:val="00167F9F"/>
    <w:rsid w:val="00170580"/>
    <w:rsid w:val="0017058E"/>
    <w:rsid w:val="00171538"/>
    <w:rsid w:val="0017199B"/>
    <w:rsid w:val="00171CF0"/>
    <w:rsid w:val="00171EBC"/>
    <w:rsid w:val="00172866"/>
    <w:rsid w:val="00172C60"/>
    <w:rsid w:val="00172CDA"/>
    <w:rsid w:val="00172F92"/>
    <w:rsid w:val="00173BB2"/>
    <w:rsid w:val="00174518"/>
    <w:rsid w:val="00174889"/>
    <w:rsid w:val="00174A3A"/>
    <w:rsid w:val="00174FEE"/>
    <w:rsid w:val="0017571B"/>
    <w:rsid w:val="001757D9"/>
    <w:rsid w:val="0017697B"/>
    <w:rsid w:val="00176B61"/>
    <w:rsid w:val="00177155"/>
    <w:rsid w:val="00177645"/>
    <w:rsid w:val="0017770F"/>
    <w:rsid w:val="00180473"/>
    <w:rsid w:val="0018058A"/>
    <w:rsid w:val="001808BD"/>
    <w:rsid w:val="00180E38"/>
    <w:rsid w:val="001813CD"/>
    <w:rsid w:val="0018172D"/>
    <w:rsid w:val="0018182C"/>
    <w:rsid w:val="001826A3"/>
    <w:rsid w:val="001828E8"/>
    <w:rsid w:val="00182FDE"/>
    <w:rsid w:val="00183151"/>
    <w:rsid w:val="00183730"/>
    <w:rsid w:val="00183E99"/>
    <w:rsid w:val="001845E2"/>
    <w:rsid w:val="00184EC5"/>
    <w:rsid w:val="00185C3A"/>
    <w:rsid w:val="00185F58"/>
    <w:rsid w:val="00185FCD"/>
    <w:rsid w:val="001862F8"/>
    <w:rsid w:val="001865BC"/>
    <w:rsid w:val="0018665F"/>
    <w:rsid w:val="00186C43"/>
    <w:rsid w:val="0018712B"/>
    <w:rsid w:val="001874E3"/>
    <w:rsid w:val="00187BD0"/>
    <w:rsid w:val="001904CF"/>
    <w:rsid w:val="001905DF"/>
    <w:rsid w:val="00191446"/>
    <w:rsid w:val="0019151B"/>
    <w:rsid w:val="00192025"/>
    <w:rsid w:val="00192E78"/>
    <w:rsid w:val="00193048"/>
    <w:rsid w:val="00194449"/>
    <w:rsid w:val="001947ED"/>
    <w:rsid w:val="0019495A"/>
    <w:rsid w:val="001949EB"/>
    <w:rsid w:val="0019518E"/>
    <w:rsid w:val="001956AF"/>
    <w:rsid w:val="00195BC7"/>
    <w:rsid w:val="00195FE6"/>
    <w:rsid w:val="001960B4"/>
    <w:rsid w:val="001961EA"/>
    <w:rsid w:val="001967A1"/>
    <w:rsid w:val="00197094"/>
    <w:rsid w:val="0019735F"/>
    <w:rsid w:val="001A0152"/>
    <w:rsid w:val="001A0790"/>
    <w:rsid w:val="001A0B0F"/>
    <w:rsid w:val="001A133F"/>
    <w:rsid w:val="001A171C"/>
    <w:rsid w:val="001A1D03"/>
    <w:rsid w:val="001A20FB"/>
    <w:rsid w:val="001A214B"/>
    <w:rsid w:val="001A21EB"/>
    <w:rsid w:val="001A2327"/>
    <w:rsid w:val="001A2371"/>
    <w:rsid w:val="001A2785"/>
    <w:rsid w:val="001A398D"/>
    <w:rsid w:val="001A40B3"/>
    <w:rsid w:val="001A447F"/>
    <w:rsid w:val="001A44F0"/>
    <w:rsid w:val="001A456A"/>
    <w:rsid w:val="001A6444"/>
    <w:rsid w:val="001A68DA"/>
    <w:rsid w:val="001A72F8"/>
    <w:rsid w:val="001A7383"/>
    <w:rsid w:val="001A7522"/>
    <w:rsid w:val="001A787F"/>
    <w:rsid w:val="001A7D71"/>
    <w:rsid w:val="001A7FCE"/>
    <w:rsid w:val="001B01AA"/>
    <w:rsid w:val="001B0813"/>
    <w:rsid w:val="001B107A"/>
    <w:rsid w:val="001B12A0"/>
    <w:rsid w:val="001B1319"/>
    <w:rsid w:val="001B1B42"/>
    <w:rsid w:val="001B2E2F"/>
    <w:rsid w:val="001B4238"/>
    <w:rsid w:val="001B4408"/>
    <w:rsid w:val="001B4842"/>
    <w:rsid w:val="001B4C8E"/>
    <w:rsid w:val="001B4D03"/>
    <w:rsid w:val="001B542C"/>
    <w:rsid w:val="001B5EBE"/>
    <w:rsid w:val="001B69F3"/>
    <w:rsid w:val="001B6A87"/>
    <w:rsid w:val="001B6B14"/>
    <w:rsid w:val="001B7163"/>
    <w:rsid w:val="001B7182"/>
    <w:rsid w:val="001B735F"/>
    <w:rsid w:val="001C0623"/>
    <w:rsid w:val="001C11EE"/>
    <w:rsid w:val="001C148C"/>
    <w:rsid w:val="001C191B"/>
    <w:rsid w:val="001C242E"/>
    <w:rsid w:val="001C251C"/>
    <w:rsid w:val="001C2977"/>
    <w:rsid w:val="001C2F51"/>
    <w:rsid w:val="001C32FA"/>
    <w:rsid w:val="001C3F11"/>
    <w:rsid w:val="001C42C8"/>
    <w:rsid w:val="001C4543"/>
    <w:rsid w:val="001C5B2E"/>
    <w:rsid w:val="001C5B32"/>
    <w:rsid w:val="001C62F2"/>
    <w:rsid w:val="001C6A0F"/>
    <w:rsid w:val="001C6E59"/>
    <w:rsid w:val="001C790F"/>
    <w:rsid w:val="001D0018"/>
    <w:rsid w:val="001D0477"/>
    <w:rsid w:val="001D0839"/>
    <w:rsid w:val="001D0FA0"/>
    <w:rsid w:val="001D12E2"/>
    <w:rsid w:val="001D1BD9"/>
    <w:rsid w:val="001D256D"/>
    <w:rsid w:val="001D35FC"/>
    <w:rsid w:val="001D3A0A"/>
    <w:rsid w:val="001D48DA"/>
    <w:rsid w:val="001D4AF3"/>
    <w:rsid w:val="001D4CC7"/>
    <w:rsid w:val="001D4EC3"/>
    <w:rsid w:val="001D574B"/>
    <w:rsid w:val="001D5A98"/>
    <w:rsid w:val="001D5CBB"/>
    <w:rsid w:val="001D63E9"/>
    <w:rsid w:val="001D654A"/>
    <w:rsid w:val="001D6E1E"/>
    <w:rsid w:val="001D7080"/>
    <w:rsid w:val="001D7820"/>
    <w:rsid w:val="001D789B"/>
    <w:rsid w:val="001D7ECA"/>
    <w:rsid w:val="001E0966"/>
    <w:rsid w:val="001E0F93"/>
    <w:rsid w:val="001E1132"/>
    <w:rsid w:val="001E1254"/>
    <w:rsid w:val="001E15D9"/>
    <w:rsid w:val="001E1F3D"/>
    <w:rsid w:val="001E22CF"/>
    <w:rsid w:val="001E23BF"/>
    <w:rsid w:val="001E2639"/>
    <w:rsid w:val="001E3E63"/>
    <w:rsid w:val="001E3EAC"/>
    <w:rsid w:val="001E3F79"/>
    <w:rsid w:val="001E4063"/>
    <w:rsid w:val="001E4E9A"/>
    <w:rsid w:val="001E504C"/>
    <w:rsid w:val="001E51F2"/>
    <w:rsid w:val="001E5218"/>
    <w:rsid w:val="001E565C"/>
    <w:rsid w:val="001E57FB"/>
    <w:rsid w:val="001E58A2"/>
    <w:rsid w:val="001E597B"/>
    <w:rsid w:val="001E6B73"/>
    <w:rsid w:val="001E6DD2"/>
    <w:rsid w:val="001E75DA"/>
    <w:rsid w:val="001F01D3"/>
    <w:rsid w:val="001F0C36"/>
    <w:rsid w:val="001F17CB"/>
    <w:rsid w:val="001F2056"/>
    <w:rsid w:val="001F217E"/>
    <w:rsid w:val="001F24D3"/>
    <w:rsid w:val="001F2942"/>
    <w:rsid w:val="001F2DC5"/>
    <w:rsid w:val="001F2F87"/>
    <w:rsid w:val="001F3FAC"/>
    <w:rsid w:val="001F43EF"/>
    <w:rsid w:val="001F4962"/>
    <w:rsid w:val="001F4D18"/>
    <w:rsid w:val="001F5038"/>
    <w:rsid w:val="001F53C3"/>
    <w:rsid w:val="001F6854"/>
    <w:rsid w:val="001F75A5"/>
    <w:rsid w:val="001F76F8"/>
    <w:rsid w:val="002005FF"/>
    <w:rsid w:val="00200D21"/>
    <w:rsid w:val="002012C9"/>
    <w:rsid w:val="0020175D"/>
    <w:rsid w:val="002018CD"/>
    <w:rsid w:val="00202535"/>
    <w:rsid w:val="002025F7"/>
    <w:rsid w:val="0020270A"/>
    <w:rsid w:val="00202B9B"/>
    <w:rsid w:val="00203C40"/>
    <w:rsid w:val="00203FFD"/>
    <w:rsid w:val="00204246"/>
    <w:rsid w:val="0020427C"/>
    <w:rsid w:val="002046C3"/>
    <w:rsid w:val="002049E9"/>
    <w:rsid w:val="00205B56"/>
    <w:rsid w:val="00205FAA"/>
    <w:rsid w:val="00205FE3"/>
    <w:rsid w:val="0020613F"/>
    <w:rsid w:val="0020671F"/>
    <w:rsid w:val="00207AAA"/>
    <w:rsid w:val="00210BD2"/>
    <w:rsid w:val="002110B8"/>
    <w:rsid w:val="002117F3"/>
    <w:rsid w:val="00211A53"/>
    <w:rsid w:val="00211F98"/>
    <w:rsid w:val="00212450"/>
    <w:rsid w:val="00212487"/>
    <w:rsid w:val="002127B0"/>
    <w:rsid w:val="00213616"/>
    <w:rsid w:val="00214D50"/>
    <w:rsid w:val="0021509C"/>
    <w:rsid w:val="002163D0"/>
    <w:rsid w:val="002165E0"/>
    <w:rsid w:val="00216BED"/>
    <w:rsid w:val="00216E6F"/>
    <w:rsid w:val="0021738B"/>
    <w:rsid w:val="00217E97"/>
    <w:rsid w:val="00220017"/>
    <w:rsid w:val="00220074"/>
    <w:rsid w:val="00220187"/>
    <w:rsid w:val="002207A4"/>
    <w:rsid w:val="00220A4E"/>
    <w:rsid w:val="00220DBD"/>
    <w:rsid w:val="00220F82"/>
    <w:rsid w:val="00221BD8"/>
    <w:rsid w:val="00221C6B"/>
    <w:rsid w:val="00222143"/>
    <w:rsid w:val="00222F6C"/>
    <w:rsid w:val="00222FE7"/>
    <w:rsid w:val="00223150"/>
    <w:rsid w:val="00223353"/>
    <w:rsid w:val="00223593"/>
    <w:rsid w:val="002235B1"/>
    <w:rsid w:val="00223A3F"/>
    <w:rsid w:val="00223F9D"/>
    <w:rsid w:val="0022460D"/>
    <w:rsid w:val="00224C99"/>
    <w:rsid w:val="00224F02"/>
    <w:rsid w:val="00224F6E"/>
    <w:rsid w:val="002256AE"/>
    <w:rsid w:val="00225BBD"/>
    <w:rsid w:val="00225F9E"/>
    <w:rsid w:val="00226211"/>
    <w:rsid w:val="00226D2D"/>
    <w:rsid w:val="00227465"/>
    <w:rsid w:val="00227B9A"/>
    <w:rsid w:val="00230D8A"/>
    <w:rsid w:val="00230EC1"/>
    <w:rsid w:val="00231137"/>
    <w:rsid w:val="00231473"/>
    <w:rsid w:val="002314E3"/>
    <w:rsid w:val="0023175F"/>
    <w:rsid w:val="00231ADA"/>
    <w:rsid w:val="0023266D"/>
    <w:rsid w:val="00232B52"/>
    <w:rsid w:val="0023337A"/>
    <w:rsid w:val="00233734"/>
    <w:rsid w:val="00233A54"/>
    <w:rsid w:val="00234129"/>
    <w:rsid w:val="0023463C"/>
    <w:rsid w:val="002355D2"/>
    <w:rsid w:val="002357DB"/>
    <w:rsid w:val="00235A14"/>
    <w:rsid w:val="00235F72"/>
    <w:rsid w:val="00236C2E"/>
    <w:rsid w:val="00236DCD"/>
    <w:rsid w:val="002370C0"/>
    <w:rsid w:val="00237332"/>
    <w:rsid w:val="00237782"/>
    <w:rsid w:val="0023796C"/>
    <w:rsid w:val="00237BA8"/>
    <w:rsid w:val="00241022"/>
    <w:rsid w:val="002410D8"/>
    <w:rsid w:val="0024132F"/>
    <w:rsid w:val="00241458"/>
    <w:rsid w:val="00241781"/>
    <w:rsid w:val="002419CE"/>
    <w:rsid w:val="00241C43"/>
    <w:rsid w:val="00241C68"/>
    <w:rsid w:val="00241C93"/>
    <w:rsid w:val="00241CE0"/>
    <w:rsid w:val="00242144"/>
    <w:rsid w:val="0024216F"/>
    <w:rsid w:val="00242321"/>
    <w:rsid w:val="00242443"/>
    <w:rsid w:val="0024268E"/>
    <w:rsid w:val="00242836"/>
    <w:rsid w:val="0024299A"/>
    <w:rsid w:val="0024335A"/>
    <w:rsid w:val="00243400"/>
    <w:rsid w:val="00243442"/>
    <w:rsid w:val="0024413F"/>
    <w:rsid w:val="00244A88"/>
    <w:rsid w:val="002452C9"/>
    <w:rsid w:val="00245918"/>
    <w:rsid w:val="00245EA4"/>
    <w:rsid w:val="00246145"/>
    <w:rsid w:val="002461DD"/>
    <w:rsid w:val="00246270"/>
    <w:rsid w:val="0024628A"/>
    <w:rsid w:val="00246369"/>
    <w:rsid w:val="00246641"/>
    <w:rsid w:val="002467E2"/>
    <w:rsid w:val="0024693D"/>
    <w:rsid w:val="00246F10"/>
    <w:rsid w:val="0024709A"/>
    <w:rsid w:val="002473B1"/>
    <w:rsid w:val="0024770C"/>
    <w:rsid w:val="002478D9"/>
    <w:rsid w:val="00250080"/>
    <w:rsid w:val="00250ACA"/>
    <w:rsid w:val="00250B0A"/>
    <w:rsid w:val="00251625"/>
    <w:rsid w:val="00251722"/>
    <w:rsid w:val="00252028"/>
    <w:rsid w:val="002521CE"/>
    <w:rsid w:val="00252251"/>
    <w:rsid w:val="00252463"/>
    <w:rsid w:val="002527FC"/>
    <w:rsid w:val="0025305C"/>
    <w:rsid w:val="002531E4"/>
    <w:rsid w:val="0025360F"/>
    <w:rsid w:val="00253757"/>
    <w:rsid w:val="00253DC6"/>
    <w:rsid w:val="002542E7"/>
    <w:rsid w:val="00254B3B"/>
    <w:rsid w:val="00254D8C"/>
    <w:rsid w:val="0025568F"/>
    <w:rsid w:val="0025600A"/>
    <w:rsid w:val="00256986"/>
    <w:rsid w:val="002578B3"/>
    <w:rsid w:val="00257909"/>
    <w:rsid w:val="00257A98"/>
    <w:rsid w:val="0026011E"/>
    <w:rsid w:val="00260526"/>
    <w:rsid w:val="00260689"/>
    <w:rsid w:val="002611BB"/>
    <w:rsid w:val="00261335"/>
    <w:rsid w:val="0026180D"/>
    <w:rsid w:val="0026207F"/>
    <w:rsid w:val="0026238C"/>
    <w:rsid w:val="002624CB"/>
    <w:rsid w:val="00262BC3"/>
    <w:rsid w:val="00264541"/>
    <w:rsid w:val="00264DD9"/>
    <w:rsid w:val="00265428"/>
    <w:rsid w:val="0026642B"/>
    <w:rsid w:val="002672C6"/>
    <w:rsid w:val="002701AA"/>
    <w:rsid w:val="00270610"/>
    <w:rsid w:val="00271413"/>
    <w:rsid w:val="00271B91"/>
    <w:rsid w:val="00272687"/>
    <w:rsid w:val="002729A6"/>
    <w:rsid w:val="002732E3"/>
    <w:rsid w:val="00273B3B"/>
    <w:rsid w:val="0027430C"/>
    <w:rsid w:val="002749FE"/>
    <w:rsid w:val="00274DDC"/>
    <w:rsid w:val="00274EA9"/>
    <w:rsid w:val="002752CE"/>
    <w:rsid w:val="00275695"/>
    <w:rsid w:val="0027577B"/>
    <w:rsid w:val="00275A55"/>
    <w:rsid w:val="00275C6B"/>
    <w:rsid w:val="00275F2F"/>
    <w:rsid w:val="002763D4"/>
    <w:rsid w:val="00276832"/>
    <w:rsid w:val="00276FA7"/>
    <w:rsid w:val="00277102"/>
    <w:rsid w:val="00277152"/>
    <w:rsid w:val="002772CC"/>
    <w:rsid w:val="00277CDE"/>
    <w:rsid w:val="00280385"/>
    <w:rsid w:val="00281367"/>
    <w:rsid w:val="00281904"/>
    <w:rsid w:val="00281BF3"/>
    <w:rsid w:val="00281CA7"/>
    <w:rsid w:val="00282B65"/>
    <w:rsid w:val="00282D77"/>
    <w:rsid w:val="002837B9"/>
    <w:rsid w:val="00283D7F"/>
    <w:rsid w:val="002840AC"/>
    <w:rsid w:val="00284B58"/>
    <w:rsid w:val="00284B5E"/>
    <w:rsid w:val="00285673"/>
    <w:rsid w:val="00285A22"/>
    <w:rsid w:val="0028673A"/>
    <w:rsid w:val="00286F0A"/>
    <w:rsid w:val="002876B4"/>
    <w:rsid w:val="002878E1"/>
    <w:rsid w:val="002878F7"/>
    <w:rsid w:val="00287F4A"/>
    <w:rsid w:val="00290A61"/>
    <w:rsid w:val="00290CED"/>
    <w:rsid w:val="00291078"/>
    <w:rsid w:val="002914DE"/>
    <w:rsid w:val="002916A9"/>
    <w:rsid w:val="00291AFE"/>
    <w:rsid w:val="0029339D"/>
    <w:rsid w:val="00294561"/>
    <w:rsid w:val="0029493B"/>
    <w:rsid w:val="002949C5"/>
    <w:rsid w:val="00294B2E"/>
    <w:rsid w:val="00294BD3"/>
    <w:rsid w:val="002958A1"/>
    <w:rsid w:val="00295D94"/>
    <w:rsid w:val="00295EC6"/>
    <w:rsid w:val="002961CC"/>
    <w:rsid w:val="002965E1"/>
    <w:rsid w:val="002969EA"/>
    <w:rsid w:val="00296FD2"/>
    <w:rsid w:val="00297324"/>
    <w:rsid w:val="002A0233"/>
    <w:rsid w:val="002A025F"/>
    <w:rsid w:val="002A1444"/>
    <w:rsid w:val="002A16BC"/>
    <w:rsid w:val="002A2BC8"/>
    <w:rsid w:val="002A3511"/>
    <w:rsid w:val="002A3716"/>
    <w:rsid w:val="002A3F47"/>
    <w:rsid w:val="002A4321"/>
    <w:rsid w:val="002A48A5"/>
    <w:rsid w:val="002A49F9"/>
    <w:rsid w:val="002A53D9"/>
    <w:rsid w:val="002A62DE"/>
    <w:rsid w:val="002A67B0"/>
    <w:rsid w:val="002A6C95"/>
    <w:rsid w:val="002A7439"/>
    <w:rsid w:val="002A7F3B"/>
    <w:rsid w:val="002B09EF"/>
    <w:rsid w:val="002B0F3B"/>
    <w:rsid w:val="002B1C01"/>
    <w:rsid w:val="002B1C88"/>
    <w:rsid w:val="002B1E6D"/>
    <w:rsid w:val="002B211D"/>
    <w:rsid w:val="002B2371"/>
    <w:rsid w:val="002B2920"/>
    <w:rsid w:val="002B2D5F"/>
    <w:rsid w:val="002B3ED1"/>
    <w:rsid w:val="002B41C2"/>
    <w:rsid w:val="002B47A6"/>
    <w:rsid w:val="002B4DB8"/>
    <w:rsid w:val="002B4EC8"/>
    <w:rsid w:val="002B50B2"/>
    <w:rsid w:val="002B51DD"/>
    <w:rsid w:val="002B534B"/>
    <w:rsid w:val="002B5594"/>
    <w:rsid w:val="002B5ECD"/>
    <w:rsid w:val="002B64D2"/>
    <w:rsid w:val="002B6867"/>
    <w:rsid w:val="002B6C86"/>
    <w:rsid w:val="002B72E7"/>
    <w:rsid w:val="002B7E59"/>
    <w:rsid w:val="002B7E71"/>
    <w:rsid w:val="002C0316"/>
    <w:rsid w:val="002C0590"/>
    <w:rsid w:val="002C071C"/>
    <w:rsid w:val="002C0927"/>
    <w:rsid w:val="002C146B"/>
    <w:rsid w:val="002C2370"/>
    <w:rsid w:val="002C258D"/>
    <w:rsid w:val="002C2956"/>
    <w:rsid w:val="002C2A29"/>
    <w:rsid w:val="002C34CE"/>
    <w:rsid w:val="002C37A6"/>
    <w:rsid w:val="002C3A17"/>
    <w:rsid w:val="002C424E"/>
    <w:rsid w:val="002C44D7"/>
    <w:rsid w:val="002C510A"/>
    <w:rsid w:val="002C57F8"/>
    <w:rsid w:val="002C5B8A"/>
    <w:rsid w:val="002C5BD5"/>
    <w:rsid w:val="002C6F29"/>
    <w:rsid w:val="002D0333"/>
    <w:rsid w:val="002D0891"/>
    <w:rsid w:val="002D0CDB"/>
    <w:rsid w:val="002D0F5D"/>
    <w:rsid w:val="002D1953"/>
    <w:rsid w:val="002D1BF6"/>
    <w:rsid w:val="002D1CCC"/>
    <w:rsid w:val="002D1FF9"/>
    <w:rsid w:val="002D26CC"/>
    <w:rsid w:val="002D3405"/>
    <w:rsid w:val="002D365A"/>
    <w:rsid w:val="002D3AAD"/>
    <w:rsid w:val="002D3D08"/>
    <w:rsid w:val="002D3D97"/>
    <w:rsid w:val="002D3EA4"/>
    <w:rsid w:val="002D44D4"/>
    <w:rsid w:val="002D4D56"/>
    <w:rsid w:val="002D50A8"/>
    <w:rsid w:val="002D5232"/>
    <w:rsid w:val="002D5810"/>
    <w:rsid w:val="002D5F51"/>
    <w:rsid w:val="002D6695"/>
    <w:rsid w:val="002D75D0"/>
    <w:rsid w:val="002E082D"/>
    <w:rsid w:val="002E0FF6"/>
    <w:rsid w:val="002E1549"/>
    <w:rsid w:val="002E15B1"/>
    <w:rsid w:val="002E180F"/>
    <w:rsid w:val="002E1842"/>
    <w:rsid w:val="002E1DA3"/>
    <w:rsid w:val="002E1E94"/>
    <w:rsid w:val="002E2678"/>
    <w:rsid w:val="002E27FE"/>
    <w:rsid w:val="002E287B"/>
    <w:rsid w:val="002E2E8C"/>
    <w:rsid w:val="002E3114"/>
    <w:rsid w:val="002E3ACF"/>
    <w:rsid w:val="002E4265"/>
    <w:rsid w:val="002E4799"/>
    <w:rsid w:val="002E4A37"/>
    <w:rsid w:val="002E5F63"/>
    <w:rsid w:val="002E6CA3"/>
    <w:rsid w:val="002E6E75"/>
    <w:rsid w:val="002E6FC9"/>
    <w:rsid w:val="002E6FE4"/>
    <w:rsid w:val="002E7343"/>
    <w:rsid w:val="002E757C"/>
    <w:rsid w:val="002E76EB"/>
    <w:rsid w:val="002E79E2"/>
    <w:rsid w:val="002E7A05"/>
    <w:rsid w:val="002F0080"/>
    <w:rsid w:val="002F035A"/>
    <w:rsid w:val="002F038E"/>
    <w:rsid w:val="002F05A2"/>
    <w:rsid w:val="002F060A"/>
    <w:rsid w:val="002F0CDB"/>
    <w:rsid w:val="002F1333"/>
    <w:rsid w:val="002F189D"/>
    <w:rsid w:val="002F26D4"/>
    <w:rsid w:val="002F28AA"/>
    <w:rsid w:val="002F2987"/>
    <w:rsid w:val="002F2C39"/>
    <w:rsid w:val="002F2C6D"/>
    <w:rsid w:val="002F3A42"/>
    <w:rsid w:val="002F3AF8"/>
    <w:rsid w:val="002F4B7E"/>
    <w:rsid w:val="002F52AA"/>
    <w:rsid w:val="002F5AEE"/>
    <w:rsid w:val="002F5D42"/>
    <w:rsid w:val="002F6811"/>
    <w:rsid w:val="002F725F"/>
    <w:rsid w:val="002F7361"/>
    <w:rsid w:val="002F7A17"/>
    <w:rsid w:val="002F7ACE"/>
    <w:rsid w:val="002F7EA0"/>
    <w:rsid w:val="00300192"/>
    <w:rsid w:val="00300313"/>
    <w:rsid w:val="00300C69"/>
    <w:rsid w:val="00301C0C"/>
    <w:rsid w:val="00302016"/>
    <w:rsid w:val="00302DA1"/>
    <w:rsid w:val="003039D1"/>
    <w:rsid w:val="00304D46"/>
    <w:rsid w:val="003061A5"/>
    <w:rsid w:val="003068A7"/>
    <w:rsid w:val="0030799B"/>
    <w:rsid w:val="00307C42"/>
    <w:rsid w:val="00307D3D"/>
    <w:rsid w:val="00307D67"/>
    <w:rsid w:val="003108A7"/>
    <w:rsid w:val="00310AA5"/>
    <w:rsid w:val="00310FBD"/>
    <w:rsid w:val="003113A7"/>
    <w:rsid w:val="0031147A"/>
    <w:rsid w:val="00311C71"/>
    <w:rsid w:val="00312B5F"/>
    <w:rsid w:val="00312E64"/>
    <w:rsid w:val="00312FD1"/>
    <w:rsid w:val="0031349C"/>
    <w:rsid w:val="003138CF"/>
    <w:rsid w:val="00314029"/>
    <w:rsid w:val="00315730"/>
    <w:rsid w:val="00315DD1"/>
    <w:rsid w:val="00316978"/>
    <w:rsid w:val="00316C10"/>
    <w:rsid w:val="003178B6"/>
    <w:rsid w:val="00317A4F"/>
    <w:rsid w:val="00317D81"/>
    <w:rsid w:val="00320CFE"/>
    <w:rsid w:val="00320D28"/>
    <w:rsid w:val="00320DA5"/>
    <w:rsid w:val="003210E1"/>
    <w:rsid w:val="00321218"/>
    <w:rsid w:val="00321644"/>
    <w:rsid w:val="00321E0E"/>
    <w:rsid w:val="00322387"/>
    <w:rsid w:val="00322394"/>
    <w:rsid w:val="003228CE"/>
    <w:rsid w:val="00322CE2"/>
    <w:rsid w:val="00322DB1"/>
    <w:rsid w:val="00322DD3"/>
    <w:rsid w:val="00323128"/>
    <w:rsid w:val="003232A9"/>
    <w:rsid w:val="00323630"/>
    <w:rsid w:val="00323E19"/>
    <w:rsid w:val="00323FC8"/>
    <w:rsid w:val="00325061"/>
    <w:rsid w:val="003259D2"/>
    <w:rsid w:val="00325B02"/>
    <w:rsid w:val="00325B45"/>
    <w:rsid w:val="00326198"/>
    <w:rsid w:val="00326877"/>
    <w:rsid w:val="003269AC"/>
    <w:rsid w:val="003269B8"/>
    <w:rsid w:val="00326B83"/>
    <w:rsid w:val="00326EDF"/>
    <w:rsid w:val="00327234"/>
    <w:rsid w:val="003273B7"/>
    <w:rsid w:val="00327497"/>
    <w:rsid w:val="003274B2"/>
    <w:rsid w:val="00327ADF"/>
    <w:rsid w:val="00327C65"/>
    <w:rsid w:val="0033078D"/>
    <w:rsid w:val="0033094D"/>
    <w:rsid w:val="00330D05"/>
    <w:rsid w:val="00331C1A"/>
    <w:rsid w:val="00331E29"/>
    <w:rsid w:val="00331ECA"/>
    <w:rsid w:val="00331F82"/>
    <w:rsid w:val="00332113"/>
    <w:rsid w:val="0033286D"/>
    <w:rsid w:val="00333038"/>
    <w:rsid w:val="003331F0"/>
    <w:rsid w:val="003335C7"/>
    <w:rsid w:val="00333758"/>
    <w:rsid w:val="00333953"/>
    <w:rsid w:val="00333959"/>
    <w:rsid w:val="003339C0"/>
    <w:rsid w:val="00333A32"/>
    <w:rsid w:val="00334C68"/>
    <w:rsid w:val="00335982"/>
    <w:rsid w:val="00335BC9"/>
    <w:rsid w:val="00335F20"/>
    <w:rsid w:val="00336116"/>
    <w:rsid w:val="003369F2"/>
    <w:rsid w:val="00337B4E"/>
    <w:rsid w:val="00337B56"/>
    <w:rsid w:val="00337E72"/>
    <w:rsid w:val="003401CA"/>
    <w:rsid w:val="003404D7"/>
    <w:rsid w:val="00340789"/>
    <w:rsid w:val="003409B8"/>
    <w:rsid w:val="00340ED2"/>
    <w:rsid w:val="00342513"/>
    <w:rsid w:val="00342A2F"/>
    <w:rsid w:val="00342C70"/>
    <w:rsid w:val="00342CFC"/>
    <w:rsid w:val="00342E09"/>
    <w:rsid w:val="00343562"/>
    <w:rsid w:val="00343699"/>
    <w:rsid w:val="00343AD8"/>
    <w:rsid w:val="00343F7E"/>
    <w:rsid w:val="0034477C"/>
    <w:rsid w:val="00344986"/>
    <w:rsid w:val="00344B82"/>
    <w:rsid w:val="00344DF8"/>
    <w:rsid w:val="00344FCD"/>
    <w:rsid w:val="00345280"/>
    <w:rsid w:val="00346852"/>
    <w:rsid w:val="00346919"/>
    <w:rsid w:val="00346AC4"/>
    <w:rsid w:val="00346FE3"/>
    <w:rsid w:val="0034793A"/>
    <w:rsid w:val="00347C6A"/>
    <w:rsid w:val="00347D73"/>
    <w:rsid w:val="00350284"/>
    <w:rsid w:val="003505A7"/>
    <w:rsid w:val="00350DDD"/>
    <w:rsid w:val="003512FA"/>
    <w:rsid w:val="00351B9C"/>
    <w:rsid w:val="00351BCC"/>
    <w:rsid w:val="00351D16"/>
    <w:rsid w:val="00351D7B"/>
    <w:rsid w:val="00351EF9"/>
    <w:rsid w:val="0035238F"/>
    <w:rsid w:val="00352A1A"/>
    <w:rsid w:val="00352B11"/>
    <w:rsid w:val="003536BC"/>
    <w:rsid w:val="00353C93"/>
    <w:rsid w:val="00353E21"/>
    <w:rsid w:val="00354312"/>
    <w:rsid w:val="003544B7"/>
    <w:rsid w:val="00355664"/>
    <w:rsid w:val="00355E88"/>
    <w:rsid w:val="00356873"/>
    <w:rsid w:val="00356E0A"/>
    <w:rsid w:val="00356E7B"/>
    <w:rsid w:val="00357DA3"/>
    <w:rsid w:val="00360B74"/>
    <w:rsid w:val="00360B75"/>
    <w:rsid w:val="00361FB3"/>
    <w:rsid w:val="003622BF"/>
    <w:rsid w:val="003624F9"/>
    <w:rsid w:val="0036296C"/>
    <w:rsid w:val="0036311B"/>
    <w:rsid w:val="00363397"/>
    <w:rsid w:val="00363E84"/>
    <w:rsid w:val="00364187"/>
    <w:rsid w:val="0036479F"/>
    <w:rsid w:val="003650BF"/>
    <w:rsid w:val="0036551F"/>
    <w:rsid w:val="00365643"/>
    <w:rsid w:val="00365779"/>
    <w:rsid w:val="003657A1"/>
    <w:rsid w:val="0036591D"/>
    <w:rsid w:val="00365B96"/>
    <w:rsid w:val="003660AD"/>
    <w:rsid w:val="0036636D"/>
    <w:rsid w:val="003664C0"/>
    <w:rsid w:val="003665F7"/>
    <w:rsid w:val="00366BD0"/>
    <w:rsid w:val="00367471"/>
    <w:rsid w:val="0036755E"/>
    <w:rsid w:val="0036770B"/>
    <w:rsid w:val="003679E9"/>
    <w:rsid w:val="00370138"/>
    <w:rsid w:val="003703CC"/>
    <w:rsid w:val="00370446"/>
    <w:rsid w:val="00371511"/>
    <w:rsid w:val="00371D85"/>
    <w:rsid w:val="003726AC"/>
    <w:rsid w:val="00372932"/>
    <w:rsid w:val="00372A04"/>
    <w:rsid w:val="00373099"/>
    <w:rsid w:val="003732AF"/>
    <w:rsid w:val="0037348A"/>
    <w:rsid w:val="003737F0"/>
    <w:rsid w:val="00373B7D"/>
    <w:rsid w:val="00373EF5"/>
    <w:rsid w:val="00374C7D"/>
    <w:rsid w:val="00375E3C"/>
    <w:rsid w:val="00376282"/>
    <w:rsid w:val="00376D03"/>
    <w:rsid w:val="0037740E"/>
    <w:rsid w:val="0038188D"/>
    <w:rsid w:val="00381BDB"/>
    <w:rsid w:val="00382573"/>
    <w:rsid w:val="00382C77"/>
    <w:rsid w:val="00382E9D"/>
    <w:rsid w:val="00383491"/>
    <w:rsid w:val="003842C2"/>
    <w:rsid w:val="003842F5"/>
    <w:rsid w:val="00384A14"/>
    <w:rsid w:val="00384C61"/>
    <w:rsid w:val="0038568E"/>
    <w:rsid w:val="00385762"/>
    <w:rsid w:val="00386009"/>
    <w:rsid w:val="003861BE"/>
    <w:rsid w:val="003861D7"/>
    <w:rsid w:val="003864A4"/>
    <w:rsid w:val="003868DB"/>
    <w:rsid w:val="00386BD9"/>
    <w:rsid w:val="00387E36"/>
    <w:rsid w:val="00390416"/>
    <w:rsid w:val="00390435"/>
    <w:rsid w:val="00390E3F"/>
    <w:rsid w:val="00391926"/>
    <w:rsid w:val="00392309"/>
    <w:rsid w:val="00393549"/>
    <w:rsid w:val="0039382C"/>
    <w:rsid w:val="00393B02"/>
    <w:rsid w:val="00393BB7"/>
    <w:rsid w:val="0039404A"/>
    <w:rsid w:val="00394742"/>
    <w:rsid w:val="003947D7"/>
    <w:rsid w:val="0039497E"/>
    <w:rsid w:val="00394DB5"/>
    <w:rsid w:val="00395733"/>
    <w:rsid w:val="00395C51"/>
    <w:rsid w:val="00396224"/>
    <w:rsid w:val="00396456"/>
    <w:rsid w:val="00396922"/>
    <w:rsid w:val="0039787F"/>
    <w:rsid w:val="00397880"/>
    <w:rsid w:val="00397A60"/>
    <w:rsid w:val="00397A9A"/>
    <w:rsid w:val="00397BC9"/>
    <w:rsid w:val="00397E53"/>
    <w:rsid w:val="00397F6C"/>
    <w:rsid w:val="003A00A9"/>
    <w:rsid w:val="003A18C6"/>
    <w:rsid w:val="003A19A7"/>
    <w:rsid w:val="003A1AA3"/>
    <w:rsid w:val="003A2446"/>
    <w:rsid w:val="003A27B2"/>
    <w:rsid w:val="003A2C13"/>
    <w:rsid w:val="003A3122"/>
    <w:rsid w:val="003A32B5"/>
    <w:rsid w:val="003A370F"/>
    <w:rsid w:val="003A3A41"/>
    <w:rsid w:val="003A3EE7"/>
    <w:rsid w:val="003A48EA"/>
    <w:rsid w:val="003A4A96"/>
    <w:rsid w:val="003A55CC"/>
    <w:rsid w:val="003A5668"/>
    <w:rsid w:val="003A5737"/>
    <w:rsid w:val="003A5F20"/>
    <w:rsid w:val="003A710A"/>
    <w:rsid w:val="003A7207"/>
    <w:rsid w:val="003B08D8"/>
    <w:rsid w:val="003B101D"/>
    <w:rsid w:val="003B1A61"/>
    <w:rsid w:val="003B222B"/>
    <w:rsid w:val="003B254E"/>
    <w:rsid w:val="003B27CF"/>
    <w:rsid w:val="003B2BC1"/>
    <w:rsid w:val="003B333D"/>
    <w:rsid w:val="003B3344"/>
    <w:rsid w:val="003B423F"/>
    <w:rsid w:val="003B4254"/>
    <w:rsid w:val="003B433B"/>
    <w:rsid w:val="003B4774"/>
    <w:rsid w:val="003B4EFE"/>
    <w:rsid w:val="003B513D"/>
    <w:rsid w:val="003B515D"/>
    <w:rsid w:val="003B556D"/>
    <w:rsid w:val="003B5D13"/>
    <w:rsid w:val="003B6702"/>
    <w:rsid w:val="003B6B8B"/>
    <w:rsid w:val="003B7817"/>
    <w:rsid w:val="003B7AC9"/>
    <w:rsid w:val="003C00CD"/>
    <w:rsid w:val="003C0AB3"/>
    <w:rsid w:val="003C15DC"/>
    <w:rsid w:val="003C1745"/>
    <w:rsid w:val="003C1B3A"/>
    <w:rsid w:val="003C262F"/>
    <w:rsid w:val="003C270C"/>
    <w:rsid w:val="003C2970"/>
    <w:rsid w:val="003C29BD"/>
    <w:rsid w:val="003C352C"/>
    <w:rsid w:val="003C3592"/>
    <w:rsid w:val="003C35E6"/>
    <w:rsid w:val="003C3691"/>
    <w:rsid w:val="003C3905"/>
    <w:rsid w:val="003C44AA"/>
    <w:rsid w:val="003C47F0"/>
    <w:rsid w:val="003C4AB1"/>
    <w:rsid w:val="003C4F40"/>
    <w:rsid w:val="003C54F7"/>
    <w:rsid w:val="003C5F4D"/>
    <w:rsid w:val="003C6488"/>
    <w:rsid w:val="003C664E"/>
    <w:rsid w:val="003C7A1B"/>
    <w:rsid w:val="003C7A80"/>
    <w:rsid w:val="003C7AA5"/>
    <w:rsid w:val="003D0C85"/>
    <w:rsid w:val="003D0E2E"/>
    <w:rsid w:val="003D16FA"/>
    <w:rsid w:val="003D1C31"/>
    <w:rsid w:val="003D1D38"/>
    <w:rsid w:val="003D1E8E"/>
    <w:rsid w:val="003D1FBF"/>
    <w:rsid w:val="003D3AF6"/>
    <w:rsid w:val="003D3C1C"/>
    <w:rsid w:val="003D3CF3"/>
    <w:rsid w:val="003D4233"/>
    <w:rsid w:val="003D42DC"/>
    <w:rsid w:val="003D4642"/>
    <w:rsid w:val="003D47E1"/>
    <w:rsid w:val="003D4DE2"/>
    <w:rsid w:val="003D5170"/>
    <w:rsid w:val="003D537E"/>
    <w:rsid w:val="003D57DF"/>
    <w:rsid w:val="003D61FE"/>
    <w:rsid w:val="003D6763"/>
    <w:rsid w:val="003D6E73"/>
    <w:rsid w:val="003D73ED"/>
    <w:rsid w:val="003E0196"/>
    <w:rsid w:val="003E01DA"/>
    <w:rsid w:val="003E0736"/>
    <w:rsid w:val="003E0AD3"/>
    <w:rsid w:val="003E0BE6"/>
    <w:rsid w:val="003E1275"/>
    <w:rsid w:val="003E1597"/>
    <w:rsid w:val="003E1622"/>
    <w:rsid w:val="003E173D"/>
    <w:rsid w:val="003E1DA9"/>
    <w:rsid w:val="003E209C"/>
    <w:rsid w:val="003E22E4"/>
    <w:rsid w:val="003E2C92"/>
    <w:rsid w:val="003E2E83"/>
    <w:rsid w:val="003E3062"/>
    <w:rsid w:val="003E5235"/>
    <w:rsid w:val="003E52D1"/>
    <w:rsid w:val="003E56BA"/>
    <w:rsid w:val="003E5D31"/>
    <w:rsid w:val="003E66AD"/>
    <w:rsid w:val="003E6A13"/>
    <w:rsid w:val="003E706D"/>
    <w:rsid w:val="003E7153"/>
    <w:rsid w:val="003E743B"/>
    <w:rsid w:val="003E76C7"/>
    <w:rsid w:val="003E78FD"/>
    <w:rsid w:val="003E7A05"/>
    <w:rsid w:val="003E7B7F"/>
    <w:rsid w:val="003F0309"/>
    <w:rsid w:val="003F030E"/>
    <w:rsid w:val="003F106D"/>
    <w:rsid w:val="003F1679"/>
    <w:rsid w:val="003F1F50"/>
    <w:rsid w:val="003F20FB"/>
    <w:rsid w:val="003F2434"/>
    <w:rsid w:val="003F2805"/>
    <w:rsid w:val="003F2B2A"/>
    <w:rsid w:val="003F2E81"/>
    <w:rsid w:val="003F311B"/>
    <w:rsid w:val="003F3856"/>
    <w:rsid w:val="003F46E8"/>
    <w:rsid w:val="003F4C74"/>
    <w:rsid w:val="003F5495"/>
    <w:rsid w:val="003F5E2E"/>
    <w:rsid w:val="003F5EF2"/>
    <w:rsid w:val="003F636F"/>
    <w:rsid w:val="003F65D6"/>
    <w:rsid w:val="003F6660"/>
    <w:rsid w:val="003F6759"/>
    <w:rsid w:val="003F689D"/>
    <w:rsid w:val="003F6A60"/>
    <w:rsid w:val="003F6AA4"/>
    <w:rsid w:val="003F6CEB"/>
    <w:rsid w:val="003F752F"/>
    <w:rsid w:val="003F7C5D"/>
    <w:rsid w:val="003F7E36"/>
    <w:rsid w:val="0040066A"/>
    <w:rsid w:val="00400E4B"/>
    <w:rsid w:val="0040200E"/>
    <w:rsid w:val="004028DD"/>
    <w:rsid w:val="00402CB6"/>
    <w:rsid w:val="00402E2B"/>
    <w:rsid w:val="004034DD"/>
    <w:rsid w:val="004039C2"/>
    <w:rsid w:val="00403A10"/>
    <w:rsid w:val="00403F48"/>
    <w:rsid w:val="0040487E"/>
    <w:rsid w:val="00404D2B"/>
    <w:rsid w:val="00404E45"/>
    <w:rsid w:val="00404FF1"/>
    <w:rsid w:val="00405478"/>
    <w:rsid w:val="00405642"/>
    <w:rsid w:val="00405A46"/>
    <w:rsid w:val="0040642D"/>
    <w:rsid w:val="00407296"/>
    <w:rsid w:val="00407568"/>
    <w:rsid w:val="00407CC8"/>
    <w:rsid w:val="004100F7"/>
    <w:rsid w:val="00410666"/>
    <w:rsid w:val="00411298"/>
    <w:rsid w:val="0041156A"/>
    <w:rsid w:val="004122C0"/>
    <w:rsid w:val="00412598"/>
    <w:rsid w:val="0041264F"/>
    <w:rsid w:val="00412680"/>
    <w:rsid w:val="004134F3"/>
    <w:rsid w:val="0041389E"/>
    <w:rsid w:val="00413F2C"/>
    <w:rsid w:val="00414275"/>
    <w:rsid w:val="0041442A"/>
    <w:rsid w:val="004146C1"/>
    <w:rsid w:val="004147D0"/>
    <w:rsid w:val="00414CCA"/>
    <w:rsid w:val="00414E89"/>
    <w:rsid w:val="00414EB3"/>
    <w:rsid w:val="00415C4E"/>
    <w:rsid w:val="00415FBA"/>
    <w:rsid w:val="00416CE5"/>
    <w:rsid w:val="00417751"/>
    <w:rsid w:val="004177B3"/>
    <w:rsid w:val="00417EA8"/>
    <w:rsid w:val="004201F2"/>
    <w:rsid w:val="004204A0"/>
    <w:rsid w:val="004208DD"/>
    <w:rsid w:val="004209B6"/>
    <w:rsid w:val="00420BA5"/>
    <w:rsid w:val="004210FD"/>
    <w:rsid w:val="0042110B"/>
    <w:rsid w:val="00421151"/>
    <w:rsid w:val="0042126F"/>
    <w:rsid w:val="00421489"/>
    <w:rsid w:val="00421C9D"/>
    <w:rsid w:val="00421DA6"/>
    <w:rsid w:val="0042213B"/>
    <w:rsid w:val="004221EA"/>
    <w:rsid w:val="00422730"/>
    <w:rsid w:val="004228C8"/>
    <w:rsid w:val="00422962"/>
    <w:rsid w:val="00422A75"/>
    <w:rsid w:val="00422DD2"/>
    <w:rsid w:val="004232D0"/>
    <w:rsid w:val="0042368E"/>
    <w:rsid w:val="00423A9D"/>
    <w:rsid w:val="00424436"/>
    <w:rsid w:val="004252F6"/>
    <w:rsid w:val="00425878"/>
    <w:rsid w:val="0042599F"/>
    <w:rsid w:val="00425D83"/>
    <w:rsid w:val="0042666C"/>
    <w:rsid w:val="00426C24"/>
    <w:rsid w:val="0042763D"/>
    <w:rsid w:val="00427CD0"/>
    <w:rsid w:val="004302C5"/>
    <w:rsid w:val="00431587"/>
    <w:rsid w:val="004321C6"/>
    <w:rsid w:val="00433347"/>
    <w:rsid w:val="004339F8"/>
    <w:rsid w:val="00433AF6"/>
    <w:rsid w:val="00433C9F"/>
    <w:rsid w:val="00433D42"/>
    <w:rsid w:val="00433DD6"/>
    <w:rsid w:val="00433F33"/>
    <w:rsid w:val="0043437D"/>
    <w:rsid w:val="00434D09"/>
    <w:rsid w:val="00435D7A"/>
    <w:rsid w:val="00436196"/>
    <w:rsid w:val="00436240"/>
    <w:rsid w:val="0043645E"/>
    <w:rsid w:val="004367D0"/>
    <w:rsid w:val="00437131"/>
    <w:rsid w:val="004371B4"/>
    <w:rsid w:val="0043720A"/>
    <w:rsid w:val="00437578"/>
    <w:rsid w:val="00437F60"/>
    <w:rsid w:val="00437F77"/>
    <w:rsid w:val="00441168"/>
    <w:rsid w:val="00441973"/>
    <w:rsid w:val="00441BDD"/>
    <w:rsid w:val="0044282D"/>
    <w:rsid w:val="00442A47"/>
    <w:rsid w:val="00444C23"/>
    <w:rsid w:val="00444E8D"/>
    <w:rsid w:val="00445A85"/>
    <w:rsid w:val="004463D2"/>
    <w:rsid w:val="004465A5"/>
    <w:rsid w:val="004466A2"/>
    <w:rsid w:val="00447AF2"/>
    <w:rsid w:val="0045077C"/>
    <w:rsid w:val="004508CB"/>
    <w:rsid w:val="00450F1D"/>
    <w:rsid w:val="004510A8"/>
    <w:rsid w:val="0045157D"/>
    <w:rsid w:val="00451874"/>
    <w:rsid w:val="00451C7F"/>
    <w:rsid w:val="004520FF"/>
    <w:rsid w:val="004530AD"/>
    <w:rsid w:val="004535D6"/>
    <w:rsid w:val="00453A1B"/>
    <w:rsid w:val="00453C98"/>
    <w:rsid w:val="00453F82"/>
    <w:rsid w:val="00454619"/>
    <w:rsid w:val="0045476D"/>
    <w:rsid w:val="00454D90"/>
    <w:rsid w:val="0045517E"/>
    <w:rsid w:val="00455E5E"/>
    <w:rsid w:val="00455F72"/>
    <w:rsid w:val="004560FD"/>
    <w:rsid w:val="004564B6"/>
    <w:rsid w:val="00456838"/>
    <w:rsid w:val="00456B91"/>
    <w:rsid w:val="00456BE4"/>
    <w:rsid w:val="00456CB3"/>
    <w:rsid w:val="004572F7"/>
    <w:rsid w:val="00460597"/>
    <w:rsid w:val="00460E82"/>
    <w:rsid w:val="0046118D"/>
    <w:rsid w:val="0046126C"/>
    <w:rsid w:val="00461CAD"/>
    <w:rsid w:val="00461FFF"/>
    <w:rsid w:val="004626EF"/>
    <w:rsid w:val="004633B2"/>
    <w:rsid w:val="00463A5C"/>
    <w:rsid w:val="00463C02"/>
    <w:rsid w:val="00463C29"/>
    <w:rsid w:val="00463F3F"/>
    <w:rsid w:val="004644DA"/>
    <w:rsid w:val="0046458A"/>
    <w:rsid w:val="004647EB"/>
    <w:rsid w:val="00464AD4"/>
    <w:rsid w:val="00464AE8"/>
    <w:rsid w:val="004652B3"/>
    <w:rsid w:val="00465306"/>
    <w:rsid w:val="0046563F"/>
    <w:rsid w:val="0046610A"/>
    <w:rsid w:val="0046643B"/>
    <w:rsid w:val="004664E1"/>
    <w:rsid w:val="0046678D"/>
    <w:rsid w:val="00466BF0"/>
    <w:rsid w:val="00466F79"/>
    <w:rsid w:val="0046740F"/>
    <w:rsid w:val="0046766A"/>
    <w:rsid w:val="004677B3"/>
    <w:rsid w:val="00467FFE"/>
    <w:rsid w:val="0047015E"/>
    <w:rsid w:val="00470349"/>
    <w:rsid w:val="00470DB6"/>
    <w:rsid w:val="00470F43"/>
    <w:rsid w:val="00471153"/>
    <w:rsid w:val="004713D0"/>
    <w:rsid w:val="00472ED8"/>
    <w:rsid w:val="004734CF"/>
    <w:rsid w:val="004741B8"/>
    <w:rsid w:val="00474CBA"/>
    <w:rsid w:val="00474EEA"/>
    <w:rsid w:val="0047571F"/>
    <w:rsid w:val="00475EDC"/>
    <w:rsid w:val="00476843"/>
    <w:rsid w:val="00476A34"/>
    <w:rsid w:val="00476CA5"/>
    <w:rsid w:val="0047755B"/>
    <w:rsid w:val="00477565"/>
    <w:rsid w:val="0047758D"/>
    <w:rsid w:val="004778CA"/>
    <w:rsid w:val="00477B6E"/>
    <w:rsid w:val="00477BAB"/>
    <w:rsid w:val="004800A7"/>
    <w:rsid w:val="00480280"/>
    <w:rsid w:val="00481BB2"/>
    <w:rsid w:val="00481DF7"/>
    <w:rsid w:val="00481F35"/>
    <w:rsid w:val="00482324"/>
    <w:rsid w:val="00482BBF"/>
    <w:rsid w:val="004833D6"/>
    <w:rsid w:val="00484913"/>
    <w:rsid w:val="00484C15"/>
    <w:rsid w:val="00484CE5"/>
    <w:rsid w:val="00484D40"/>
    <w:rsid w:val="00484F13"/>
    <w:rsid w:val="00485739"/>
    <w:rsid w:val="00485A29"/>
    <w:rsid w:val="00485A6C"/>
    <w:rsid w:val="00485ACB"/>
    <w:rsid w:val="0048614F"/>
    <w:rsid w:val="00486172"/>
    <w:rsid w:val="00486E67"/>
    <w:rsid w:val="00487AD0"/>
    <w:rsid w:val="00487C5F"/>
    <w:rsid w:val="00487EEC"/>
    <w:rsid w:val="004904D0"/>
    <w:rsid w:val="00490528"/>
    <w:rsid w:val="00490B67"/>
    <w:rsid w:val="00490D92"/>
    <w:rsid w:val="004913B1"/>
    <w:rsid w:val="00491ED0"/>
    <w:rsid w:val="004924A7"/>
    <w:rsid w:val="00492568"/>
    <w:rsid w:val="004926A8"/>
    <w:rsid w:val="00492A54"/>
    <w:rsid w:val="00492EAB"/>
    <w:rsid w:val="004937E8"/>
    <w:rsid w:val="00493AB3"/>
    <w:rsid w:val="00493B5B"/>
    <w:rsid w:val="00493CED"/>
    <w:rsid w:val="00493D33"/>
    <w:rsid w:val="0049451E"/>
    <w:rsid w:val="00494BEF"/>
    <w:rsid w:val="0049556B"/>
    <w:rsid w:val="00495746"/>
    <w:rsid w:val="00495F1D"/>
    <w:rsid w:val="00495FEE"/>
    <w:rsid w:val="00496A2F"/>
    <w:rsid w:val="00496D34"/>
    <w:rsid w:val="0049718E"/>
    <w:rsid w:val="004971E9"/>
    <w:rsid w:val="0049730F"/>
    <w:rsid w:val="00497450"/>
    <w:rsid w:val="004976C9"/>
    <w:rsid w:val="00497AA0"/>
    <w:rsid w:val="00497D13"/>
    <w:rsid w:val="004A03D8"/>
    <w:rsid w:val="004A05CC"/>
    <w:rsid w:val="004A08D1"/>
    <w:rsid w:val="004A0AFC"/>
    <w:rsid w:val="004A0B75"/>
    <w:rsid w:val="004A13AB"/>
    <w:rsid w:val="004A13E6"/>
    <w:rsid w:val="004A141B"/>
    <w:rsid w:val="004A14AC"/>
    <w:rsid w:val="004A18A6"/>
    <w:rsid w:val="004A1A43"/>
    <w:rsid w:val="004A1FC1"/>
    <w:rsid w:val="004A2298"/>
    <w:rsid w:val="004A2361"/>
    <w:rsid w:val="004A23A2"/>
    <w:rsid w:val="004A25A0"/>
    <w:rsid w:val="004A2B13"/>
    <w:rsid w:val="004A4254"/>
    <w:rsid w:val="004A5245"/>
    <w:rsid w:val="004A5656"/>
    <w:rsid w:val="004A69BB"/>
    <w:rsid w:val="004A6C0A"/>
    <w:rsid w:val="004A74B2"/>
    <w:rsid w:val="004B00D0"/>
    <w:rsid w:val="004B0284"/>
    <w:rsid w:val="004B05AD"/>
    <w:rsid w:val="004B06F1"/>
    <w:rsid w:val="004B0837"/>
    <w:rsid w:val="004B1162"/>
    <w:rsid w:val="004B19F4"/>
    <w:rsid w:val="004B2655"/>
    <w:rsid w:val="004B27C4"/>
    <w:rsid w:val="004B2BDD"/>
    <w:rsid w:val="004B2EA4"/>
    <w:rsid w:val="004B34D4"/>
    <w:rsid w:val="004B3AF8"/>
    <w:rsid w:val="004B3F86"/>
    <w:rsid w:val="004B3FD9"/>
    <w:rsid w:val="004B4CEE"/>
    <w:rsid w:val="004B4FB4"/>
    <w:rsid w:val="004B538D"/>
    <w:rsid w:val="004B5467"/>
    <w:rsid w:val="004B5559"/>
    <w:rsid w:val="004B5917"/>
    <w:rsid w:val="004B5C36"/>
    <w:rsid w:val="004B5C4E"/>
    <w:rsid w:val="004B6243"/>
    <w:rsid w:val="004B692F"/>
    <w:rsid w:val="004B6F4B"/>
    <w:rsid w:val="004C0366"/>
    <w:rsid w:val="004C05D1"/>
    <w:rsid w:val="004C0F8F"/>
    <w:rsid w:val="004C15BC"/>
    <w:rsid w:val="004C18F6"/>
    <w:rsid w:val="004C1B67"/>
    <w:rsid w:val="004C1DA4"/>
    <w:rsid w:val="004C225E"/>
    <w:rsid w:val="004C27CC"/>
    <w:rsid w:val="004C2FE4"/>
    <w:rsid w:val="004C341D"/>
    <w:rsid w:val="004C346A"/>
    <w:rsid w:val="004C34A7"/>
    <w:rsid w:val="004C3F55"/>
    <w:rsid w:val="004C4135"/>
    <w:rsid w:val="004C4BC8"/>
    <w:rsid w:val="004C6867"/>
    <w:rsid w:val="004C7499"/>
    <w:rsid w:val="004D030A"/>
    <w:rsid w:val="004D0FB5"/>
    <w:rsid w:val="004D1C69"/>
    <w:rsid w:val="004D1F9B"/>
    <w:rsid w:val="004D2267"/>
    <w:rsid w:val="004D22CA"/>
    <w:rsid w:val="004D22EC"/>
    <w:rsid w:val="004D251C"/>
    <w:rsid w:val="004D254A"/>
    <w:rsid w:val="004D3025"/>
    <w:rsid w:val="004D4051"/>
    <w:rsid w:val="004D4928"/>
    <w:rsid w:val="004D49CC"/>
    <w:rsid w:val="004D4DFD"/>
    <w:rsid w:val="004D5024"/>
    <w:rsid w:val="004D50B3"/>
    <w:rsid w:val="004D569D"/>
    <w:rsid w:val="004D5748"/>
    <w:rsid w:val="004D58F3"/>
    <w:rsid w:val="004D5C3C"/>
    <w:rsid w:val="004D6107"/>
    <w:rsid w:val="004D728F"/>
    <w:rsid w:val="004E01EF"/>
    <w:rsid w:val="004E0335"/>
    <w:rsid w:val="004E047F"/>
    <w:rsid w:val="004E0B86"/>
    <w:rsid w:val="004E0BD7"/>
    <w:rsid w:val="004E0C08"/>
    <w:rsid w:val="004E1F41"/>
    <w:rsid w:val="004E2953"/>
    <w:rsid w:val="004E2D82"/>
    <w:rsid w:val="004E31B2"/>
    <w:rsid w:val="004E36BF"/>
    <w:rsid w:val="004E37D1"/>
    <w:rsid w:val="004E45EF"/>
    <w:rsid w:val="004E4A46"/>
    <w:rsid w:val="004E4D73"/>
    <w:rsid w:val="004E5EC2"/>
    <w:rsid w:val="004E60CD"/>
    <w:rsid w:val="004E65E0"/>
    <w:rsid w:val="004E6AC5"/>
    <w:rsid w:val="004E6BA7"/>
    <w:rsid w:val="004E721C"/>
    <w:rsid w:val="004E7260"/>
    <w:rsid w:val="004E74E4"/>
    <w:rsid w:val="004E7513"/>
    <w:rsid w:val="004E780B"/>
    <w:rsid w:val="004F0312"/>
    <w:rsid w:val="004F03A4"/>
    <w:rsid w:val="004F076C"/>
    <w:rsid w:val="004F078C"/>
    <w:rsid w:val="004F0889"/>
    <w:rsid w:val="004F08BD"/>
    <w:rsid w:val="004F0E13"/>
    <w:rsid w:val="004F0F96"/>
    <w:rsid w:val="004F1124"/>
    <w:rsid w:val="004F1650"/>
    <w:rsid w:val="004F1724"/>
    <w:rsid w:val="004F1A2F"/>
    <w:rsid w:val="004F2056"/>
    <w:rsid w:val="004F25EE"/>
    <w:rsid w:val="004F29D6"/>
    <w:rsid w:val="004F2CBE"/>
    <w:rsid w:val="004F3033"/>
    <w:rsid w:val="004F337E"/>
    <w:rsid w:val="004F34A0"/>
    <w:rsid w:val="004F3744"/>
    <w:rsid w:val="004F3E0C"/>
    <w:rsid w:val="004F402A"/>
    <w:rsid w:val="004F4416"/>
    <w:rsid w:val="004F508E"/>
    <w:rsid w:val="004F5267"/>
    <w:rsid w:val="004F5537"/>
    <w:rsid w:val="004F563B"/>
    <w:rsid w:val="004F5996"/>
    <w:rsid w:val="004F5C3D"/>
    <w:rsid w:val="004F6232"/>
    <w:rsid w:val="004F6760"/>
    <w:rsid w:val="004F6D2D"/>
    <w:rsid w:val="004F7181"/>
    <w:rsid w:val="004F739E"/>
    <w:rsid w:val="004F7500"/>
    <w:rsid w:val="004F7EAF"/>
    <w:rsid w:val="005005A1"/>
    <w:rsid w:val="00501796"/>
    <w:rsid w:val="005018B7"/>
    <w:rsid w:val="00501B3D"/>
    <w:rsid w:val="00501CC2"/>
    <w:rsid w:val="00501D21"/>
    <w:rsid w:val="00502F43"/>
    <w:rsid w:val="0050316A"/>
    <w:rsid w:val="0050348A"/>
    <w:rsid w:val="00504564"/>
    <w:rsid w:val="00504CCF"/>
    <w:rsid w:val="00504E52"/>
    <w:rsid w:val="0050523F"/>
    <w:rsid w:val="005058F9"/>
    <w:rsid w:val="005060DF"/>
    <w:rsid w:val="00506236"/>
    <w:rsid w:val="0050662F"/>
    <w:rsid w:val="00506658"/>
    <w:rsid w:val="00507072"/>
    <w:rsid w:val="00507260"/>
    <w:rsid w:val="00507A13"/>
    <w:rsid w:val="00507C79"/>
    <w:rsid w:val="00507D9C"/>
    <w:rsid w:val="005109E6"/>
    <w:rsid w:val="00510C93"/>
    <w:rsid w:val="00510EBD"/>
    <w:rsid w:val="0051104C"/>
    <w:rsid w:val="00511409"/>
    <w:rsid w:val="005118C2"/>
    <w:rsid w:val="005121CA"/>
    <w:rsid w:val="005126FB"/>
    <w:rsid w:val="005132F9"/>
    <w:rsid w:val="00513315"/>
    <w:rsid w:val="005135A9"/>
    <w:rsid w:val="00514062"/>
    <w:rsid w:val="00514C4E"/>
    <w:rsid w:val="0051525D"/>
    <w:rsid w:val="0051577B"/>
    <w:rsid w:val="00516229"/>
    <w:rsid w:val="005162EC"/>
    <w:rsid w:val="00516488"/>
    <w:rsid w:val="00516567"/>
    <w:rsid w:val="00516B42"/>
    <w:rsid w:val="00516E1C"/>
    <w:rsid w:val="00516E88"/>
    <w:rsid w:val="005175FB"/>
    <w:rsid w:val="00517BED"/>
    <w:rsid w:val="00517C8B"/>
    <w:rsid w:val="005205E1"/>
    <w:rsid w:val="00520661"/>
    <w:rsid w:val="005208BA"/>
    <w:rsid w:val="00521C54"/>
    <w:rsid w:val="0052230C"/>
    <w:rsid w:val="005223DC"/>
    <w:rsid w:val="00522946"/>
    <w:rsid w:val="00522BD2"/>
    <w:rsid w:val="00522E60"/>
    <w:rsid w:val="005236A5"/>
    <w:rsid w:val="005249E9"/>
    <w:rsid w:val="0052514E"/>
    <w:rsid w:val="00525F70"/>
    <w:rsid w:val="00525FB6"/>
    <w:rsid w:val="005263FC"/>
    <w:rsid w:val="0052652A"/>
    <w:rsid w:val="005266AB"/>
    <w:rsid w:val="00526C51"/>
    <w:rsid w:val="00526F81"/>
    <w:rsid w:val="00527614"/>
    <w:rsid w:val="0052773E"/>
    <w:rsid w:val="005277F8"/>
    <w:rsid w:val="00527988"/>
    <w:rsid w:val="005279A1"/>
    <w:rsid w:val="00527A50"/>
    <w:rsid w:val="00527E2F"/>
    <w:rsid w:val="00530110"/>
    <w:rsid w:val="00530484"/>
    <w:rsid w:val="00530A7F"/>
    <w:rsid w:val="00530B6D"/>
    <w:rsid w:val="00530C2E"/>
    <w:rsid w:val="0053156F"/>
    <w:rsid w:val="00531632"/>
    <w:rsid w:val="0053197B"/>
    <w:rsid w:val="00531B72"/>
    <w:rsid w:val="005329A9"/>
    <w:rsid w:val="00532A25"/>
    <w:rsid w:val="00532B85"/>
    <w:rsid w:val="00532F78"/>
    <w:rsid w:val="00533602"/>
    <w:rsid w:val="00534C10"/>
    <w:rsid w:val="0053529E"/>
    <w:rsid w:val="005352A6"/>
    <w:rsid w:val="00535F7E"/>
    <w:rsid w:val="00536770"/>
    <w:rsid w:val="005403FC"/>
    <w:rsid w:val="0054122B"/>
    <w:rsid w:val="005415C0"/>
    <w:rsid w:val="00541854"/>
    <w:rsid w:val="00541886"/>
    <w:rsid w:val="005423C4"/>
    <w:rsid w:val="00542403"/>
    <w:rsid w:val="005427B9"/>
    <w:rsid w:val="00542B04"/>
    <w:rsid w:val="005432DF"/>
    <w:rsid w:val="0054334C"/>
    <w:rsid w:val="005436D6"/>
    <w:rsid w:val="005443CC"/>
    <w:rsid w:val="0054455D"/>
    <w:rsid w:val="00544B81"/>
    <w:rsid w:val="00544BA4"/>
    <w:rsid w:val="00544D36"/>
    <w:rsid w:val="005456B8"/>
    <w:rsid w:val="0054584A"/>
    <w:rsid w:val="00546090"/>
    <w:rsid w:val="005462FB"/>
    <w:rsid w:val="0054651D"/>
    <w:rsid w:val="00547137"/>
    <w:rsid w:val="0054750B"/>
    <w:rsid w:val="00547EEB"/>
    <w:rsid w:val="005515A4"/>
    <w:rsid w:val="0055262B"/>
    <w:rsid w:val="00552B7A"/>
    <w:rsid w:val="00552FD6"/>
    <w:rsid w:val="005531B6"/>
    <w:rsid w:val="00553437"/>
    <w:rsid w:val="0055402D"/>
    <w:rsid w:val="00554696"/>
    <w:rsid w:val="00554F43"/>
    <w:rsid w:val="005557A1"/>
    <w:rsid w:val="00556802"/>
    <w:rsid w:val="00556C47"/>
    <w:rsid w:val="00560DF1"/>
    <w:rsid w:val="00562664"/>
    <w:rsid w:val="00562AEF"/>
    <w:rsid w:val="00562B55"/>
    <w:rsid w:val="0056349C"/>
    <w:rsid w:val="00563D21"/>
    <w:rsid w:val="005644F4"/>
    <w:rsid w:val="00564651"/>
    <w:rsid w:val="00564B88"/>
    <w:rsid w:val="00564E55"/>
    <w:rsid w:val="00564EB4"/>
    <w:rsid w:val="005654CB"/>
    <w:rsid w:val="00565AEE"/>
    <w:rsid w:val="00565B44"/>
    <w:rsid w:val="00565D92"/>
    <w:rsid w:val="005664B9"/>
    <w:rsid w:val="00567027"/>
    <w:rsid w:val="0056757B"/>
    <w:rsid w:val="00567D1D"/>
    <w:rsid w:val="005713DD"/>
    <w:rsid w:val="005715DA"/>
    <w:rsid w:val="0057194A"/>
    <w:rsid w:val="00571B57"/>
    <w:rsid w:val="00571BA4"/>
    <w:rsid w:val="00572252"/>
    <w:rsid w:val="005724E8"/>
    <w:rsid w:val="005726A5"/>
    <w:rsid w:val="00572D3A"/>
    <w:rsid w:val="00573EC1"/>
    <w:rsid w:val="005744C7"/>
    <w:rsid w:val="005752F3"/>
    <w:rsid w:val="005753B5"/>
    <w:rsid w:val="00575790"/>
    <w:rsid w:val="00575E7D"/>
    <w:rsid w:val="005775F3"/>
    <w:rsid w:val="0058085D"/>
    <w:rsid w:val="00580A09"/>
    <w:rsid w:val="00580B4F"/>
    <w:rsid w:val="005810B1"/>
    <w:rsid w:val="0058119A"/>
    <w:rsid w:val="005811FA"/>
    <w:rsid w:val="005818EE"/>
    <w:rsid w:val="00581A32"/>
    <w:rsid w:val="00581B1E"/>
    <w:rsid w:val="00581E54"/>
    <w:rsid w:val="00581F0E"/>
    <w:rsid w:val="00582B38"/>
    <w:rsid w:val="00582C7B"/>
    <w:rsid w:val="00583097"/>
    <w:rsid w:val="00583131"/>
    <w:rsid w:val="005846AC"/>
    <w:rsid w:val="00585369"/>
    <w:rsid w:val="0058547D"/>
    <w:rsid w:val="00585D19"/>
    <w:rsid w:val="00585E6F"/>
    <w:rsid w:val="00585FB4"/>
    <w:rsid w:val="005861AF"/>
    <w:rsid w:val="00586A9B"/>
    <w:rsid w:val="00586DF1"/>
    <w:rsid w:val="00587176"/>
    <w:rsid w:val="0058792F"/>
    <w:rsid w:val="00587B13"/>
    <w:rsid w:val="00587F9C"/>
    <w:rsid w:val="005901C3"/>
    <w:rsid w:val="00590D2E"/>
    <w:rsid w:val="00591267"/>
    <w:rsid w:val="00591616"/>
    <w:rsid w:val="00591DE7"/>
    <w:rsid w:val="00592005"/>
    <w:rsid w:val="0059267A"/>
    <w:rsid w:val="0059289C"/>
    <w:rsid w:val="00593329"/>
    <w:rsid w:val="00593437"/>
    <w:rsid w:val="0059354E"/>
    <w:rsid w:val="00593724"/>
    <w:rsid w:val="0059378D"/>
    <w:rsid w:val="00594083"/>
    <w:rsid w:val="005944AF"/>
    <w:rsid w:val="0059570F"/>
    <w:rsid w:val="00595C74"/>
    <w:rsid w:val="00595C7A"/>
    <w:rsid w:val="0059706E"/>
    <w:rsid w:val="005970D2"/>
    <w:rsid w:val="005971F0"/>
    <w:rsid w:val="0059731A"/>
    <w:rsid w:val="005A005E"/>
    <w:rsid w:val="005A0372"/>
    <w:rsid w:val="005A071C"/>
    <w:rsid w:val="005A196A"/>
    <w:rsid w:val="005A1F78"/>
    <w:rsid w:val="005A2CA1"/>
    <w:rsid w:val="005A3346"/>
    <w:rsid w:val="005A3364"/>
    <w:rsid w:val="005A369F"/>
    <w:rsid w:val="005A3BE0"/>
    <w:rsid w:val="005A4748"/>
    <w:rsid w:val="005A5083"/>
    <w:rsid w:val="005A611B"/>
    <w:rsid w:val="005A6C64"/>
    <w:rsid w:val="005A76D6"/>
    <w:rsid w:val="005A797F"/>
    <w:rsid w:val="005A7D40"/>
    <w:rsid w:val="005B1071"/>
    <w:rsid w:val="005B125F"/>
    <w:rsid w:val="005B14C1"/>
    <w:rsid w:val="005B19B8"/>
    <w:rsid w:val="005B1EA8"/>
    <w:rsid w:val="005B1FCD"/>
    <w:rsid w:val="005B2384"/>
    <w:rsid w:val="005B2A50"/>
    <w:rsid w:val="005B2B29"/>
    <w:rsid w:val="005B3718"/>
    <w:rsid w:val="005B38D4"/>
    <w:rsid w:val="005B3D7D"/>
    <w:rsid w:val="005B47B9"/>
    <w:rsid w:val="005B5E3E"/>
    <w:rsid w:val="005B6ED5"/>
    <w:rsid w:val="005B6FEF"/>
    <w:rsid w:val="005B705C"/>
    <w:rsid w:val="005B7100"/>
    <w:rsid w:val="005B75F7"/>
    <w:rsid w:val="005B7F4D"/>
    <w:rsid w:val="005C005E"/>
    <w:rsid w:val="005C0D8E"/>
    <w:rsid w:val="005C0DE6"/>
    <w:rsid w:val="005C0F2E"/>
    <w:rsid w:val="005C23E3"/>
    <w:rsid w:val="005C277F"/>
    <w:rsid w:val="005C2B76"/>
    <w:rsid w:val="005C3410"/>
    <w:rsid w:val="005C3E54"/>
    <w:rsid w:val="005C404B"/>
    <w:rsid w:val="005C4282"/>
    <w:rsid w:val="005C4FAF"/>
    <w:rsid w:val="005C4FCC"/>
    <w:rsid w:val="005C51B4"/>
    <w:rsid w:val="005C51D0"/>
    <w:rsid w:val="005C55A8"/>
    <w:rsid w:val="005C5B7F"/>
    <w:rsid w:val="005C5D4F"/>
    <w:rsid w:val="005C5DAB"/>
    <w:rsid w:val="005C6394"/>
    <w:rsid w:val="005C6DCD"/>
    <w:rsid w:val="005C7318"/>
    <w:rsid w:val="005C757F"/>
    <w:rsid w:val="005C7C05"/>
    <w:rsid w:val="005D0905"/>
    <w:rsid w:val="005D1C98"/>
    <w:rsid w:val="005D2720"/>
    <w:rsid w:val="005D4515"/>
    <w:rsid w:val="005D4734"/>
    <w:rsid w:val="005D4AC8"/>
    <w:rsid w:val="005D5CBB"/>
    <w:rsid w:val="005D6CCF"/>
    <w:rsid w:val="005D6E20"/>
    <w:rsid w:val="005D7032"/>
    <w:rsid w:val="005D7283"/>
    <w:rsid w:val="005D77D6"/>
    <w:rsid w:val="005D7A81"/>
    <w:rsid w:val="005D7FB5"/>
    <w:rsid w:val="005E0028"/>
    <w:rsid w:val="005E002F"/>
    <w:rsid w:val="005E17C7"/>
    <w:rsid w:val="005E17EC"/>
    <w:rsid w:val="005E1857"/>
    <w:rsid w:val="005E213A"/>
    <w:rsid w:val="005E2213"/>
    <w:rsid w:val="005E27F0"/>
    <w:rsid w:val="005E28E2"/>
    <w:rsid w:val="005E2939"/>
    <w:rsid w:val="005E294D"/>
    <w:rsid w:val="005E36D8"/>
    <w:rsid w:val="005E38D8"/>
    <w:rsid w:val="005E3971"/>
    <w:rsid w:val="005E39EE"/>
    <w:rsid w:val="005E3F64"/>
    <w:rsid w:val="005E403B"/>
    <w:rsid w:val="005E44BD"/>
    <w:rsid w:val="005E45DB"/>
    <w:rsid w:val="005E471E"/>
    <w:rsid w:val="005E4744"/>
    <w:rsid w:val="005E57D1"/>
    <w:rsid w:val="005E58BD"/>
    <w:rsid w:val="005E643A"/>
    <w:rsid w:val="005E6666"/>
    <w:rsid w:val="005E6C54"/>
    <w:rsid w:val="005E7064"/>
    <w:rsid w:val="005E7928"/>
    <w:rsid w:val="005E7B4F"/>
    <w:rsid w:val="005F0497"/>
    <w:rsid w:val="005F061B"/>
    <w:rsid w:val="005F0905"/>
    <w:rsid w:val="005F0E2E"/>
    <w:rsid w:val="005F1E2F"/>
    <w:rsid w:val="005F1FEF"/>
    <w:rsid w:val="005F27AE"/>
    <w:rsid w:val="005F3107"/>
    <w:rsid w:val="005F31C2"/>
    <w:rsid w:val="005F369E"/>
    <w:rsid w:val="005F3986"/>
    <w:rsid w:val="005F4DC8"/>
    <w:rsid w:val="005F4E92"/>
    <w:rsid w:val="005F6E36"/>
    <w:rsid w:val="005F7558"/>
    <w:rsid w:val="005F7921"/>
    <w:rsid w:val="005F7DB1"/>
    <w:rsid w:val="00600184"/>
    <w:rsid w:val="006004FF"/>
    <w:rsid w:val="00600837"/>
    <w:rsid w:val="00600A9E"/>
    <w:rsid w:val="00600ED7"/>
    <w:rsid w:val="0060169F"/>
    <w:rsid w:val="006019F7"/>
    <w:rsid w:val="0060203A"/>
    <w:rsid w:val="00604113"/>
    <w:rsid w:val="00604270"/>
    <w:rsid w:val="006042AE"/>
    <w:rsid w:val="00604E21"/>
    <w:rsid w:val="00605086"/>
    <w:rsid w:val="00606057"/>
    <w:rsid w:val="006060D7"/>
    <w:rsid w:val="0060634D"/>
    <w:rsid w:val="00607087"/>
    <w:rsid w:val="006073EF"/>
    <w:rsid w:val="00607771"/>
    <w:rsid w:val="00610019"/>
    <w:rsid w:val="006100D4"/>
    <w:rsid w:val="0061021F"/>
    <w:rsid w:val="006104DF"/>
    <w:rsid w:val="00610503"/>
    <w:rsid w:val="006108D3"/>
    <w:rsid w:val="00612095"/>
    <w:rsid w:val="00612862"/>
    <w:rsid w:val="00613BEB"/>
    <w:rsid w:val="00613C8C"/>
    <w:rsid w:val="006141CA"/>
    <w:rsid w:val="006146A6"/>
    <w:rsid w:val="00614F7D"/>
    <w:rsid w:val="006151A7"/>
    <w:rsid w:val="0061549C"/>
    <w:rsid w:val="00615948"/>
    <w:rsid w:val="0061616A"/>
    <w:rsid w:val="00616A08"/>
    <w:rsid w:val="00616B0C"/>
    <w:rsid w:val="00616BED"/>
    <w:rsid w:val="0061733E"/>
    <w:rsid w:val="00617ECF"/>
    <w:rsid w:val="00620143"/>
    <w:rsid w:val="00620955"/>
    <w:rsid w:val="0062095E"/>
    <w:rsid w:val="00620986"/>
    <w:rsid w:val="00620C85"/>
    <w:rsid w:val="006216D7"/>
    <w:rsid w:val="00621770"/>
    <w:rsid w:val="00621773"/>
    <w:rsid w:val="00621856"/>
    <w:rsid w:val="006220EC"/>
    <w:rsid w:val="0062326A"/>
    <w:rsid w:val="006232D5"/>
    <w:rsid w:val="006239AE"/>
    <w:rsid w:val="00624CB3"/>
    <w:rsid w:val="00624D66"/>
    <w:rsid w:val="0062508C"/>
    <w:rsid w:val="006255B8"/>
    <w:rsid w:val="006255FE"/>
    <w:rsid w:val="006257BC"/>
    <w:rsid w:val="00625A83"/>
    <w:rsid w:val="00625BE8"/>
    <w:rsid w:val="006261D0"/>
    <w:rsid w:val="0062651F"/>
    <w:rsid w:val="00630480"/>
    <w:rsid w:val="0063055A"/>
    <w:rsid w:val="00630955"/>
    <w:rsid w:val="00631381"/>
    <w:rsid w:val="006313EF"/>
    <w:rsid w:val="00631818"/>
    <w:rsid w:val="00631AF5"/>
    <w:rsid w:val="00631EB1"/>
    <w:rsid w:val="006322A8"/>
    <w:rsid w:val="0063339C"/>
    <w:rsid w:val="006338A5"/>
    <w:rsid w:val="00633A2B"/>
    <w:rsid w:val="00634286"/>
    <w:rsid w:val="00634A16"/>
    <w:rsid w:val="0063540E"/>
    <w:rsid w:val="00635594"/>
    <w:rsid w:val="00635763"/>
    <w:rsid w:val="006357AB"/>
    <w:rsid w:val="00636030"/>
    <w:rsid w:val="00636584"/>
    <w:rsid w:val="006369B6"/>
    <w:rsid w:val="00636CE4"/>
    <w:rsid w:val="00636F68"/>
    <w:rsid w:val="00636FEC"/>
    <w:rsid w:val="006375A2"/>
    <w:rsid w:val="006404F2"/>
    <w:rsid w:val="00640C68"/>
    <w:rsid w:val="0064113D"/>
    <w:rsid w:val="00642613"/>
    <w:rsid w:val="006428A9"/>
    <w:rsid w:val="006429F5"/>
    <w:rsid w:val="006432BE"/>
    <w:rsid w:val="0064334E"/>
    <w:rsid w:val="00644650"/>
    <w:rsid w:val="00644B67"/>
    <w:rsid w:val="0064602B"/>
    <w:rsid w:val="006462A2"/>
    <w:rsid w:val="006463B2"/>
    <w:rsid w:val="00646B6C"/>
    <w:rsid w:val="00646C95"/>
    <w:rsid w:val="006475D2"/>
    <w:rsid w:val="00647619"/>
    <w:rsid w:val="0064792E"/>
    <w:rsid w:val="00647A43"/>
    <w:rsid w:val="00647A8C"/>
    <w:rsid w:val="00647B0D"/>
    <w:rsid w:val="00647BE2"/>
    <w:rsid w:val="00647C27"/>
    <w:rsid w:val="00650171"/>
    <w:rsid w:val="00650375"/>
    <w:rsid w:val="00650624"/>
    <w:rsid w:val="00650811"/>
    <w:rsid w:val="00650B48"/>
    <w:rsid w:val="00651115"/>
    <w:rsid w:val="006514D2"/>
    <w:rsid w:val="0065171F"/>
    <w:rsid w:val="00651A31"/>
    <w:rsid w:val="00651B50"/>
    <w:rsid w:val="00651EAE"/>
    <w:rsid w:val="00651F9D"/>
    <w:rsid w:val="0065231E"/>
    <w:rsid w:val="0065297B"/>
    <w:rsid w:val="00652E2F"/>
    <w:rsid w:val="0065307F"/>
    <w:rsid w:val="006534FC"/>
    <w:rsid w:val="0065383F"/>
    <w:rsid w:val="00653B52"/>
    <w:rsid w:val="00653BA0"/>
    <w:rsid w:val="00653CBC"/>
    <w:rsid w:val="00654214"/>
    <w:rsid w:val="006547BF"/>
    <w:rsid w:val="00654C4F"/>
    <w:rsid w:val="00654C67"/>
    <w:rsid w:val="00654D85"/>
    <w:rsid w:val="0065524C"/>
    <w:rsid w:val="0065535E"/>
    <w:rsid w:val="00655F04"/>
    <w:rsid w:val="00656EF0"/>
    <w:rsid w:val="006572CA"/>
    <w:rsid w:val="00657A3A"/>
    <w:rsid w:val="00657BCE"/>
    <w:rsid w:val="006607A0"/>
    <w:rsid w:val="00660A24"/>
    <w:rsid w:val="006610A2"/>
    <w:rsid w:val="00661887"/>
    <w:rsid w:val="00661D09"/>
    <w:rsid w:val="00661D14"/>
    <w:rsid w:val="00662344"/>
    <w:rsid w:val="006627F1"/>
    <w:rsid w:val="00663508"/>
    <w:rsid w:val="006638FB"/>
    <w:rsid w:val="00663AEA"/>
    <w:rsid w:val="00664321"/>
    <w:rsid w:val="00664641"/>
    <w:rsid w:val="00664698"/>
    <w:rsid w:val="006652FA"/>
    <w:rsid w:val="00665A5C"/>
    <w:rsid w:val="00667F38"/>
    <w:rsid w:val="006701AB"/>
    <w:rsid w:val="006702D7"/>
    <w:rsid w:val="006706D6"/>
    <w:rsid w:val="006708F7"/>
    <w:rsid w:val="00670A1B"/>
    <w:rsid w:val="00670A34"/>
    <w:rsid w:val="00670DE1"/>
    <w:rsid w:val="006714C1"/>
    <w:rsid w:val="006716FC"/>
    <w:rsid w:val="006720E9"/>
    <w:rsid w:val="00672347"/>
    <w:rsid w:val="00672668"/>
    <w:rsid w:val="006736AE"/>
    <w:rsid w:val="006738A4"/>
    <w:rsid w:val="0067481A"/>
    <w:rsid w:val="006748F3"/>
    <w:rsid w:val="00674B94"/>
    <w:rsid w:val="006761F1"/>
    <w:rsid w:val="006763B6"/>
    <w:rsid w:val="00676490"/>
    <w:rsid w:val="0067664A"/>
    <w:rsid w:val="006769C1"/>
    <w:rsid w:val="006773A8"/>
    <w:rsid w:val="006778B7"/>
    <w:rsid w:val="006779CA"/>
    <w:rsid w:val="00677B25"/>
    <w:rsid w:val="00677EFE"/>
    <w:rsid w:val="00680CA8"/>
    <w:rsid w:val="00681EEE"/>
    <w:rsid w:val="006826F9"/>
    <w:rsid w:val="0068349B"/>
    <w:rsid w:val="006835DF"/>
    <w:rsid w:val="006838E7"/>
    <w:rsid w:val="00683CB4"/>
    <w:rsid w:val="0068451C"/>
    <w:rsid w:val="006847B2"/>
    <w:rsid w:val="00685071"/>
    <w:rsid w:val="0068539C"/>
    <w:rsid w:val="00685904"/>
    <w:rsid w:val="00685FC2"/>
    <w:rsid w:val="00685FDD"/>
    <w:rsid w:val="006870AE"/>
    <w:rsid w:val="006871A4"/>
    <w:rsid w:val="00687254"/>
    <w:rsid w:val="00687918"/>
    <w:rsid w:val="00687E81"/>
    <w:rsid w:val="00690249"/>
    <w:rsid w:val="00690363"/>
    <w:rsid w:val="00690878"/>
    <w:rsid w:val="00691D5F"/>
    <w:rsid w:val="0069216C"/>
    <w:rsid w:val="006924CE"/>
    <w:rsid w:val="00692AE6"/>
    <w:rsid w:val="00692C06"/>
    <w:rsid w:val="00694597"/>
    <w:rsid w:val="006945C4"/>
    <w:rsid w:val="00694662"/>
    <w:rsid w:val="00694B26"/>
    <w:rsid w:val="00694EC1"/>
    <w:rsid w:val="0069556B"/>
    <w:rsid w:val="00695B56"/>
    <w:rsid w:val="0069692E"/>
    <w:rsid w:val="00696C1C"/>
    <w:rsid w:val="00696D8E"/>
    <w:rsid w:val="00696FB6"/>
    <w:rsid w:val="00697411"/>
    <w:rsid w:val="006A04B1"/>
    <w:rsid w:val="006A059D"/>
    <w:rsid w:val="006A07EE"/>
    <w:rsid w:val="006A1566"/>
    <w:rsid w:val="006A2369"/>
    <w:rsid w:val="006A2428"/>
    <w:rsid w:val="006A25E2"/>
    <w:rsid w:val="006A2620"/>
    <w:rsid w:val="006A2694"/>
    <w:rsid w:val="006A29C5"/>
    <w:rsid w:val="006A2A57"/>
    <w:rsid w:val="006A3AD5"/>
    <w:rsid w:val="006A42A9"/>
    <w:rsid w:val="006A474D"/>
    <w:rsid w:val="006A479C"/>
    <w:rsid w:val="006A4D08"/>
    <w:rsid w:val="006A5152"/>
    <w:rsid w:val="006A5560"/>
    <w:rsid w:val="006A5598"/>
    <w:rsid w:val="006A586D"/>
    <w:rsid w:val="006A5976"/>
    <w:rsid w:val="006A59BB"/>
    <w:rsid w:val="006A5BCC"/>
    <w:rsid w:val="006A62FE"/>
    <w:rsid w:val="006A656E"/>
    <w:rsid w:val="006A65A2"/>
    <w:rsid w:val="006A66AF"/>
    <w:rsid w:val="006A680E"/>
    <w:rsid w:val="006A7196"/>
    <w:rsid w:val="006A750F"/>
    <w:rsid w:val="006B0260"/>
    <w:rsid w:val="006B0702"/>
    <w:rsid w:val="006B08A9"/>
    <w:rsid w:val="006B0C55"/>
    <w:rsid w:val="006B12A1"/>
    <w:rsid w:val="006B1574"/>
    <w:rsid w:val="006B2637"/>
    <w:rsid w:val="006B2CA9"/>
    <w:rsid w:val="006B35AF"/>
    <w:rsid w:val="006B409A"/>
    <w:rsid w:val="006B424E"/>
    <w:rsid w:val="006B4C8E"/>
    <w:rsid w:val="006B5835"/>
    <w:rsid w:val="006B591B"/>
    <w:rsid w:val="006C0899"/>
    <w:rsid w:val="006C0A08"/>
    <w:rsid w:val="006C0EBE"/>
    <w:rsid w:val="006C0FF9"/>
    <w:rsid w:val="006C1724"/>
    <w:rsid w:val="006C19FE"/>
    <w:rsid w:val="006C1B3C"/>
    <w:rsid w:val="006C1DFB"/>
    <w:rsid w:val="006C1E0A"/>
    <w:rsid w:val="006C22FB"/>
    <w:rsid w:val="006C2770"/>
    <w:rsid w:val="006C2D21"/>
    <w:rsid w:val="006C2DBD"/>
    <w:rsid w:val="006C3065"/>
    <w:rsid w:val="006C33B8"/>
    <w:rsid w:val="006C3A4E"/>
    <w:rsid w:val="006C3A86"/>
    <w:rsid w:val="006C3DAA"/>
    <w:rsid w:val="006C3F57"/>
    <w:rsid w:val="006C4043"/>
    <w:rsid w:val="006C470A"/>
    <w:rsid w:val="006C4806"/>
    <w:rsid w:val="006C4C75"/>
    <w:rsid w:val="006C4EAB"/>
    <w:rsid w:val="006C5E88"/>
    <w:rsid w:val="006C636B"/>
    <w:rsid w:val="006D00C7"/>
    <w:rsid w:val="006D0672"/>
    <w:rsid w:val="006D080E"/>
    <w:rsid w:val="006D0A92"/>
    <w:rsid w:val="006D1403"/>
    <w:rsid w:val="006D1576"/>
    <w:rsid w:val="006D194E"/>
    <w:rsid w:val="006D1B53"/>
    <w:rsid w:val="006D1C04"/>
    <w:rsid w:val="006D220A"/>
    <w:rsid w:val="006D22F7"/>
    <w:rsid w:val="006D25C7"/>
    <w:rsid w:val="006D2ECD"/>
    <w:rsid w:val="006D3004"/>
    <w:rsid w:val="006D324F"/>
    <w:rsid w:val="006D3CCD"/>
    <w:rsid w:val="006D3CD3"/>
    <w:rsid w:val="006D45DD"/>
    <w:rsid w:val="006D4BA8"/>
    <w:rsid w:val="006D4DCD"/>
    <w:rsid w:val="006D532C"/>
    <w:rsid w:val="006D579D"/>
    <w:rsid w:val="006D5A46"/>
    <w:rsid w:val="006D618F"/>
    <w:rsid w:val="006D61CE"/>
    <w:rsid w:val="006D6EE8"/>
    <w:rsid w:val="006D7300"/>
    <w:rsid w:val="006D78D8"/>
    <w:rsid w:val="006D7962"/>
    <w:rsid w:val="006D7B36"/>
    <w:rsid w:val="006D7CF0"/>
    <w:rsid w:val="006D7F0A"/>
    <w:rsid w:val="006E005F"/>
    <w:rsid w:val="006E0226"/>
    <w:rsid w:val="006E0433"/>
    <w:rsid w:val="006E05A6"/>
    <w:rsid w:val="006E0B3C"/>
    <w:rsid w:val="006E0DDE"/>
    <w:rsid w:val="006E164D"/>
    <w:rsid w:val="006E16F3"/>
    <w:rsid w:val="006E1D60"/>
    <w:rsid w:val="006E2721"/>
    <w:rsid w:val="006E29AB"/>
    <w:rsid w:val="006E2BBD"/>
    <w:rsid w:val="006E37AD"/>
    <w:rsid w:val="006E46E0"/>
    <w:rsid w:val="006E478C"/>
    <w:rsid w:val="006E4CD4"/>
    <w:rsid w:val="006E5BA5"/>
    <w:rsid w:val="006E63B5"/>
    <w:rsid w:val="006E63BF"/>
    <w:rsid w:val="006E63D4"/>
    <w:rsid w:val="006E6565"/>
    <w:rsid w:val="006E6B79"/>
    <w:rsid w:val="006E6D15"/>
    <w:rsid w:val="006E7031"/>
    <w:rsid w:val="006E798C"/>
    <w:rsid w:val="006E7F63"/>
    <w:rsid w:val="006F0617"/>
    <w:rsid w:val="006F0E88"/>
    <w:rsid w:val="006F0F3A"/>
    <w:rsid w:val="006F107E"/>
    <w:rsid w:val="006F1B85"/>
    <w:rsid w:val="006F1CD0"/>
    <w:rsid w:val="006F1F19"/>
    <w:rsid w:val="006F276D"/>
    <w:rsid w:val="006F2994"/>
    <w:rsid w:val="006F29C2"/>
    <w:rsid w:val="006F2ACD"/>
    <w:rsid w:val="006F2B0E"/>
    <w:rsid w:val="006F3478"/>
    <w:rsid w:val="006F349E"/>
    <w:rsid w:val="006F3D81"/>
    <w:rsid w:val="006F529A"/>
    <w:rsid w:val="006F5BF2"/>
    <w:rsid w:val="006F605C"/>
    <w:rsid w:val="006F6C12"/>
    <w:rsid w:val="006F727E"/>
    <w:rsid w:val="006F72C3"/>
    <w:rsid w:val="006F74F4"/>
    <w:rsid w:val="006F7D6E"/>
    <w:rsid w:val="00700006"/>
    <w:rsid w:val="007004BE"/>
    <w:rsid w:val="007006D8"/>
    <w:rsid w:val="00700C12"/>
    <w:rsid w:val="00700EFE"/>
    <w:rsid w:val="007011F0"/>
    <w:rsid w:val="007012D5"/>
    <w:rsid w:val="007012D9"/>
    <w:rsid w:val="0070180B"/>
    <w:rsid w:val="007020CF"/>
    <w:rsid w:val="00702CD1"/>
    <w:rsid w:val="00703A74"/>
    <w:rsid w:val="00703BF6"/>
    <w:rsid w:val="00703CF7"/>
    <w:rsid w:val="00703FC6"/>
    <w:rsid w:val="00704686"/>
    <w:rsid w:val="00705469"/>
    <w:rsid w:val="007058CC"/>
    <w:rsid w:val="007066E3"/>
    <w:rsid w:val="007066F7"/>
    <w:rsid w:val="00706827"/>
    <w:rsid w:val="007068DE"/>
    <w:rsid w:val="00706FC1"/>
    <w:rsid w:val="007071F8"/>
    <w:rsid w:val="007077DD"/>
    <w:rsid w:val="0071003F"/>
    <w:rsid w:val="007100CA"/>
    <w:rsid w:val="0071017F"/>
    <w:rsid w:val="007103EA"/>
    <w:rsid w:val="007105DF"/>
    <w:rsid w:val="0071103F"/>
    <w:rsid w:val="007118AC"/>
    <w:rsid w:val="00711A91"/>
    <w:rsid w:val="00713B2A"/>
    <w:rsid w:val="007149EF"/>
    <w:rsid w:val="00714D49"/>
    <w:rsid w:val="0071586E"/>
    <w:rsid w:val="00715D7E"/>
    <w:rsid w:val="00716277"/>
    <w:rsid w:val="00716707"/>
    <w:rsid w:val="00716CB2"/>
    <w:rsid w:val="0071748D"/>
    <w:rsid w:val="00717966"/>
    <w:rsid w:val="00717EA9"/>
    <w:rsid w:val="00720236"/>
    <w:rsid w:val="007203A0"/>
    <w:rsid w:val="007203C7"/>
    <w:rsid w:val="007204C8"/>
    <w:rsid w:val="00720A6A"/>
    <w:rsid w:val="0072141A"/>
    <w:rsid w:val="007216D9"/>
    <w:rsid w:val="0072179F"/>
    <w:rsid w:val="0072243F"/>
    <w:rsid w:val="0072251F"/>
    <w:rsid w:val="00722CDD"/>
    <w:rsid w:val="00722EE9"/>
    <w:rsid w:val="00723498"/>
    <w:rsid w:val="00723C99"/>
    <w:rsid w:val="00723D16"/>
    <w:rsid w:val="00723E79"/>
    <w:rsid w:val="0072417C"/>
    <w:rsid w:val="00724497"/>
    <w:rsid w:val="0072520F"/>
    <w:rsid w:val="00725ED4"/>
    <w:rsid w:val="00725F64"/>
    <w:rsid w:val="00726399"/>
    <w:rsid w:val="00726532"/>
    <w:rsid w:val="00726C26"/>
    <w:rsid w:val="00726E26"/>
    <w:rsid w:val="00727F3E"/>
    <w:rsid w:val="00727F6C"/>
    <w:rsid w:val="007308BC"/>
    <w:rsid w:val="007312D0"/>
    <w:rsid w:val="007325B4"/>
    <w:rsid w:val="007329D9"/>
    <w:rsid w:val="0073336B"/>
    <w:rsid w:val="007333D8"/>
    <w:rsid w:val="00733BD2"/>
    <w:rsid w:val="00734190"/>
    <w:rsid w:val="00734511"/>
    <w:rsid w:val="00734B7B"/>
    <w:rsid w:val="00734FAD"/>
    <w:rsid w:val="007350FD"/>
    <w:rsid w:val="007351BF"/>
    <w:rsid w:val="0073621C"/>
    <w:rsid w:val="0073622E"/>
    <w:rsid w:val="007362D6"/>
    <w:rsid w:val="0073655F"/>
    <w:rsid w:val="00736957"/>
    <w:rsid w:val="00736FAE"/>
    <w:rsid w:val="007371A9"/>
    <w:rsid w:val="00737D38"/>
    <w:rsid w:val="00737DAA"/>
    <w:rsid w:val="00740509"/>
    <w:rsid w:val="0074163B"/>
    <w:rsid w:val="0074169C"/>
    <w:rsid w:val="00742029"/>
    <w:rsid w:val="007421BE"/>
    <w:rsid w:val="0074226D"/>
    <w:rsid w:val="00742448"/>
    <w:rsid w:val="007433C9"/>
    <w:rsid w:val="00743E94"/>
    <w:rsid w:val="00744324"/>
    <w:rsid w:val="00744A50"/>
    <w:rsid w:val="00745C30"/>
    <w:rsid w:val="007462B9"/>
    <w:rsid w:val="007466B3"/>
    <w:rsid w:val="007469B0"/>
    <w:rsid w:val="00746F02"/>
    <w:rsid w:val="007477B0"/>
    <w:rsid w:val="00747DC5"/>
    <w:rsid w:val="007508B6"/>
    <w:rsid w:val="00750A95"/>
    <w:rsid w:val="00750CCF"/>
    <w:rsid w:val="00750D05"/>
    <w:rsid w:val="00750D72"/>
    <w:rsid w:val="007511AC"/>
    <w:rsid w:val="0075142C"/>
    <w:rsid w:val="00751500"/>
    <w:rsid w:val="007515F6"/>
    <w:rsid w:val="00752A90"/>
    <w:rsid w:val="00753C96"/>
    <w:rsid w:val="00754207"/>
    <w:rsid w:val="00754779"/>
    <w:rsid w:val="00754917"/>
    <w:rsid w:val="00754C22"/>
    <w:rsid w:val="007550A7"/>
    <w:rsid w:val="007557D8"/>
    <w:rsid w:val="00755E5C"/>
    <w:rsid w:val="00756036"/>
    <w:rsid w:val="007560FC"/>
    <w:rsid w:val="00757151"/>
    <w:rsid w:val="00757360"/>
    <w:rsid w:val="00757C84"/>
    <w:rsid w:val="00757D7F"/>
    <w:rsid w:val="0076016B"/>
    <w:rsid w:val="007605B9"/>
    <w:rsid w:val="0076097B"/>
    <w:rsid w:val="007610AD"/>
    <w:rsid w:val="00761121"/>
    <w:rsid w:val="00761200"/>
    <w:rsid w:val="007616A3"/>
    <w:rsid w:val="00761D11"/>
    <w:rsid w:val="00762048"/>
    <w:rsid w:val="00762201"/>
    <w:rsid w:val="007628B4"/>
    <w:rsid w:val="00762B54"/>
    <w:rsid w:val="00763194"/>
    <w:rsid w:val="007636F4"/>
    <w:rsid w:val="0076383F"/>
    <w:rsid w:val="00763AE9"/>
    <w:rsid w:val="00764309"/>
    <w:rsid w:val="007643CF"/>
    <w:rsid w:val="00764C28"/>
    <w:rsid w:val="00764EE6"/>
    <w:rsid w:val="00765E7A"/>
    <w:rsid w:val="00765FC6"/>
    <w:rsid w:val="00766D8C"/>
    <w:rsid w:val="007677C0"/>
    <w:rsid w:val="00770108"/>
    <w:rsid w:val="00770757"/>
    <w:rsid w:val="00770F52"/>
    <w:rsid w:val="00770F98"/>
    <w:rsid w:val="0077104D"/>
    <w:rsid w:val="007711DA"/>
    <w:rsid w:val="00771598"/>
    <w:rsid w:val="00771721"/>
    <w:rsid w:val="00771B16"/>
    <w:rsid w:val="007720D4"/>
    <w:rsid w:val="00772181"/>
    <w:rsid w:val="0077294A"/>
    <w:rsid w:val="00772B5D"/>
    <w:rsid w:val="00772C6A"/>
    <w:rsid w:val="007731B6"/>
    <w:rsid w:val="00773352"/>
    <w:rsid w:val="00774107"/>
    <w:rsid w:val="00774AE5"/>
    <w:rsid w:val="00774EB5"/>
    <w:rsid w:val="0077554A"/>
    <w:rsid w:val="0077576C"/>
    <w:rsid w:val="0077578A"/>
    <w:rsid w:val="00775824"/>
    <w:rsid w:val="00775EF3"/>
    <w:rsid w:val="007766DF"/>
    <w:rsid w:val="00776AC8"/>
    <w:rsid w:val="007774B7"/>
    <w:rsid w:val="007774EF"/>
    <w:rsid w:val="00777B2A"/>
    <w:rsid w:val="00777E90"/>
    <w:rsid w:val="00780150"/>
    <w:rsid w:val="007802DB"/>
    <w:rsid w:val="00780DC4"/>
    <w:rsid w:val="0078117F"/>
    <w:rsid w:val="00781683"/>
    <w:rsid w:val="00781982"/>
    <w:rsid w:val="00781AE4"/>
    <w:rsid w:val="00781B25"/>
    <w:rsid w:val="00781C81"/>
    <w:rsid w:val="007820C8"/>
    <w:rsid w:val="007822A5"/>
    <w:rsid w:val="00782895"/>
    <w:rsid w:val="00783997"/>
    <w:rsid w:val="00783CEE"/>
    <w:rsid w:val="007846C4"/>
    <w:rsid w:val="00784E60"/>
    <w:rsid w:val="0078574D"/>
    <w:rsid w:val="007857FC"/>
    <w:rsid w:val="00785B48"/>
    <w:rsid w:val="00785C11"/>
    <w:rsid w:val="00785CE2"/>
    <w:rsid w:val="007867C9"/>
    <w:rsid w:val="00786A4A"/>
    <w:rsid w:val="00786B99"/>
    <w:rsid w:val="00786D7F"/>
    <w:rsid w:val="007871A5"/>
    <w:rsid w:val="007871B1"/>
    <w:rsid w:val="0078784B"/>
    <w:rsid w:val="0079041A"/>
    <w:rsid w:val="00790823"/>
    <w:rsid w:val="00790999"/>
    <w:rsid w:val="00790D7E"/>
    <w:rsid w:val="00790FF2"/>
    <w:rsid w:val="00791EA0"/>
    <w:rsid w:val="00792056"/>
    <w:rsid w:val="007925CB"/>
    <w:rsid w:val="0079260B"/>
    <w:rsid w:val="00793B34"/>
    <w:rsid w:val="00794215"/>
    <w:rsid w:val="0079474C"/>
    <w:rsid w:val="0079478D"/>
    <w:rsid w:val="00794A89"/>
    <w:rsid w:val="00794EC9"/>
    <w:rsid w:val="007954DA"/>
    <w:rsid w:val="00795BCF"/>
    <w:rsid w:val="00795FFE"/>
    <w:rsid w:val="007960AC"/>
    <w:rsid w:val="00796334"/>
    <w:rsid w:val="00796872"/>
    <w:rsid w:val="00796B12"/>
    <w:rsid w:val="00796E4C"/>
    <w:rsid w:val="00797499"/>
    <w:rsid w:val="007976BE"/>
    <w:rsid w:val="007978BB"/>
    <w:rsid w:val="007A0DF3"/>
    <w:rsid w:val="007A1837"/>
    <w:rsid w:val="007A1CCD"/>
    <w:rsid w:val="007A1D68"/>
    <w:rsid w:val="007A27BA"/>
    <w:rsid w:val="007A2EDA"/>
    <w:rsid w:val="007A36C9"/>
    <w:rsid w:val="007A3A4A"/>
    <w:rsid w:val="007A3A79"/>
    <w:rsid w:val="007A3B6A"/>
    <w:rsid w:val="007A4507"/>
    <w:rsid w:val="007A4C0F"/>
    <w:rsid w:val="007A4D22"/>
    <w:rsid w:val="007A564F"/>
    <w:rsid w:val="007A632B"/>
    <w:rsid w:val="007A663A"/>
    <w:rsid w:val="007A6773"/>
    <w:rsid w:val="007A6C2D"/>
    <w:rsid w:val="007A6F71"/>
    <w:rsid w:val="007A7767"/>
    <w:rsid w:val="007B038E"/>
    <w:rsid w:val="007B04B5"/>
    <w:rsid w:val="007B0623"/>
    <w:rsid w:val="007B0845"/>
    <w:rsid w:val="007B0F29"/>
    <w:rsid w:val="007B137E"/>
    <w:rsid w:val="007B1A95"/>
    <w:rsid w:val="007B1E25"/>
    <w:rsid w:val="007B270C"/>
    <w:rsid w:val="007B293E"/>
    <w:rsid w:val="007B2D65"/>
    <w:rsid w:val="007B3697"/>
    <w:rsid w:val="007B36A2"/>
    <w:rsid w:val="007B3802"/>
    <w:rsid w:val="007B4440"/>
    <w:rsid w:val="007B4B9A"/>
    <w:rsid w:val="007B5013"/>
    <w:rsid w:val="007B5293"/>
    <w:rsid w:val="007B5AE4"/>
    <w:rsid w:val="007B659B"/>
    <w:rsid w:val="007B681C"/>
    <w:rsid w:val="007B6865"/>
    <w:rsid w:val="007B694B"/>
    <w:rsid w:val="007B7085"/>
    <w:rsid w:val="007B7486"/>
    <w:rsid w:val="007B77E7"/>
    <w:rsid w:val="007B7D44"/>
    <w:rsid w:val="007C019F"/>
    <w:rsid w:val="007C0685"/>
    <w:rsid w:val="007C0E8F"/>
    <w:rsid w:val="007C1410"/>
    <w:rsid w:val="007C2440"/>
    <w:rsid w:val="007C2715"/>
    <w:rsid w:val="007C2ADD"/>
    <w:rsid w:val="007C2F0B"/>
    <w:rsid w:val="007C36FA"/>
    <w:rsid w:val="007C4A63"/>
    <w:rsid w:val="007C4AF2"/>
    <w:rsid w:val="007C51A5"/>
    <w:rsid w:val="007C615A"/>
    <w:rsid w:val="007C621B"/>
    <w:rsid w:val="007C65B6"/>
    <w:rsid w:val="007C6910"/>
    <w:rsid w:val="007C693D"/>
    <w:rsid w:val="007C6F3F"/>
    <w:rsid w:val="007C7486"/>
    <w:rsid w:val="007C7D4C"/>
    <w:rsid w:val="007C7ED5"/>
    <w:rsid w:val="007D00EF"/>
    <w:rsid w:val="007D0A22"/>
    <w:rsid w:val="007D1177"/>
    <w:rsid w:val="007D1E22"/>
    <w:rsid w:val="007D221E"/>
    <w:rsid w:val="007D39A6"/>
    <w:rsid w:val="007D3FF2"/>
    <w:rsid w:val="007D4158"/>
    <w:rsid w:val="007D4476"/>
    <w:rsid w:val="007D5269"/>
    <w:rsid w:val="007D5630"/>
    <w:rsid w:val="007D68B3"/>
    <w:rsid w:val="007D68D6"/>
    <w:rsid w:val="007D7359"/>
    <w:rsid w:val="007D78E0"/>
    <w:rsid w:val="007D7A6D"/>
    <w:rsid w:val="007D7AFF"/>
    <w:rsid w:val="007E01B7"/>
    <w:rsid w:val="007E055D"/>
    <w:rsid w:val="007E06DD"/>
    <w:rsid w:val="007E1ADA"/>
    <w:rsid w:val="007E2088"/>
    <w:rsid w:val="007E24F9"/>
    <w:rsid w:val="007E33E4"/>
    <w:rsid w:val="007E3E73"/>
    <w:rsid w:val="007E45E4"/>
    <w:rsid w:val="007E4686"/>
    <w:rsid w:val="007E47F1"/>
    <w:rsid w:val="007E484C"/>
    <w:rsid w:val="007E520C"/>
    <w:rsid w:val="007E569E"/>
    <w:rsid w:val="007E6068"/>
    <w:rsid w:val="007E6164"/>
    <w:rsid w:val="007E64FA"/>
    <w:rsid w:val="007E6A99"/>
    <w:rsid w:val="007E6F40"/>
    <w:rsid w:val="007E6FD9"/>
    <w:rsid w:val="007E74C3"/>
    <w:rsid w:val="007E7D09"/>
    <w:rsid w:val="007E7E22"/>
    <w:rsid w:val="007E7ED5"/>
    <w:rsid w:val="007F04FB"/>
    <w:rsid w:val="007F1900"/>
    <w:rsid w:val="007F2694"/>
    <w:rsid w:val="007F28AB"/>
    <w:rsid w:val="007F39BE"/>
    <w:rsid w:val="007F3A37"/>
    <w:rsid w:val="007F3B31"/>
    <w:rsid w:val="007F42FA"/>
    <w:rsid w:val="007F45AF"/>
    <w:rsid w:val="007F47C9"/>
    <w:rsid w:val="007F4827"/>
    <w:rsid w:val="007F521A"/>
    <w:rsid w:val="007F53F9"/>
    <w:rsid w:val="007F547F"/>
    <w:rsid w:val="007F5C3C"/>
    <w:rsid w:val="007F5FC1"/>
    <w:rsid w:val="007F601F"/>
    <w:rsid w:val="007F6343"/>
    <w:rsid w:val="007F6656"/>
    <w:rsid w:val="007F68A6"/>
    <w:rsid w:val="007F696E"/>
    <w:rsid w:val="007F6E52"/>
    <w:rsid w:val="007F71A1"/>
    <w:rsid w:val="007F79B4"/>
    <w:rsid w:val="007F79BB"/>
    <w:rsid w:val="007F7AB1"/>
    <w:rsid w:val="008001FA"/>
    <w:rsid w:val="0080039B"/>
    <w:rsid w:val="00800817"/>
    <w:rsid w:val="00800BAA"/>
    <w:rsid w:val="0080126C"/>
    <w:rsid w:val="00801367"/>
    <w:rsid w:val="00801752"/>
    <w:rsid w:val="008018D9"/>
    <w:rsid w:val="00801D7F"/>
    <w:rsid w:val="008020F5"/>
    <w:rsid w:val="008026CF"/>
    <w:rsid w:val="00802ABD"/>
    <w:rsid w:val="00802BB3"/>
    <w:rsid w:val="00803183"/>
    <w:rsid w:val="0080346A"/>
    <w:rsid w:val="00803CBC"/>
    <w:rsid w:val="0080442F"/>
    <w:rsid w:val="008048B9"/>
    <w:rsid w:val="00804B15"/>
    <w:rsid w:val="00804E34"/>
    <w:rsid w:val="00805396"/>
    <w:rsid w:val="00805800"/>
    <w:rsid w:val="00805E25"/>
    <w:rsid w:val="008063D5"/>
    <w:rsid w:val="00806C2F"/>
    <w:rsid w:val="008078C5"/>
    <w:rsid w:val="008101A9"/>
    <w:rsid w:val="0081030E"/>
    <w:rsid w:val="00810824"/>
    <w:rsid w:val="00810B16"/>
    <w:rsid w:val="00811255"/>
    <w:rsid w:val="00811523"/>
    <w:rsid w:val="008116D3"/>
    <w:rsid w:val="00812E2E"/>
    <w:rsid w:val="00812E38"/>
    <w:rsid w:val="00812FD2"/>
    <w:rsid w:val="0081302C"/>
    <w:rsid w:val="00813AAB"/>
    <w:rsid w:val="00813B1F"/>
    <w:rsid w:val="00813B2D"/>
    <w:rsid w:val="008143F9"/>
    <w:rsid w:val="008147D5"/>
    <w:rsid w:val="00814DC2"/>
    <w:rsid w:val="00814DFA"/>
    <w:rsid w:val="00815188"/>
    <w:rsid w:val="00815426"/>
    <w:rsid w:val="008154CA"/>
    <w:rsid w:val="00816043"/>
    <w:rsid w:val="00817F36"/>
    <w:rsid w:val="008201B8"/>
    <w:rsid w:val="00820A39"/>
    <w:rsid w:val="008210E5"/>
    <w:rsid w:val="00821241"/>
    <w:rsid w:val="00821359"/>
    <w:rsid w:val="00821391"/>
    <w:rsid w:val="00821493"/>
    <w:rsid w:val="00821686"/>
    <w:rsid w:val="0082170C"/>
    <w:rsid w:val="00821891"/>
    <w:rsid w:val="00821D65"/>
    <w:rsid w:val="008222C5"/>
    <w:rsid w:val="008223E3"/>
    <w:rsid w:val="008226E1"/>
    <w:rsid w:val="008230FC"/>
    <w:rsid w:val="008231D3"/>
    <w:rsid w:val="00823599"/>
    <w:rsid w:val="0082415B"/>
    <w:rsid w:val="00824D1B"/>
    <w:rsid w:val="00825CA5"/>
    <w:rsid w:val="00825F50"/>
    <w:rsid w:val="00825F54"/>
    <w:rsid w:val="00826053"/>
    <w:rsid w:val="008263FD"/>
    <w:rsid w:val="00826582"/>
    <w:rsid w:val="00826745"/>
    <w:rsid w:val="00826902"/>
    <w:rsid w:val="00826E14"/>
    <w:rsid w:val="0082749A"/>
    <w:rsid w:val="00827562"/>
    <w:rsid w:val="00827595"/>
    <w:rsid w:val="008278D7"/>
    <w:rsid w:val="00830614"/>
    <w:rsid w:val="0083098C"/>
    <w:rsid w:val="00830CD5"/>
    <w:rsid w:val="00830E27"/>
    <w:rsid w:val="00831429"/>
    <w:rsid w:val="008315AF"/>
    <w:rsid w:val="0083174C"/>
    <w:rsid w:val="00832910"/>
    <w:rsid w:val="00832AE9"/>
    <w:rsid w:val="00832DEF"/>
    <w:rsid w:val="00834102"/>
    <w:rsid w:val="00834698"/>
    <w:rsid w:val="00834C3F"/>
    <w:rsid w:val="00834DFC"/>
    <w:rsid w:val="008353E7"/>
    <w:rsid w:val="00835F98"/>
    <w:rsid w:val="008362C4"/>
    <w:rsid w:val="008365DA"/>
    <w:rsid w:val="00836A36"/>
    <w:rsid w:val="00836EB7"/>
    <w:rsid w:val="00836EE5"/>
    <w:rsid w:val="008370FB"/>
    <w:rsid w:val="00837197"/>
    <w:rsid w:val="00837429"/>
    <w:rsid w:val="00837811"/>
    <w:rsid w:val="00837CFF"/>
    <w:rsid w:val="00837F13"/>
    <w:rsid w:val="008403D7"/>
    <w:rsid w:val="008407B1"/>
    <w:rsid w:val="00840B7B"/>
    <w:rsid w:val="00840B89"/>
    <w:rsid w:val="00840F91"/>
    <w:rsid w:val="00841385"/>
    <w:rsid w:val="00841950"/>
    <w:rsid w:val="0084206C"/>
    <w:rsid w:val="008421BB"/>
    <w:rsid w:val="00842C97"/>
    <w:rsid w:val="00842E0A"/>
    <w:rsid w:val="00843511"/>
    <w:rsid w:val="008436A7"/>
    <w:rsid w:val="00843859"/>
    <w:rsid w:val="00843E18"/>
    <w:rsid w:val="00844424"/>
    <w:rsid w:val="00844C88"/>
    <w:rsid w:val="008452A8"/>
    <w:rsid w:val="008455FA"/>
    <w:rsid w:val="008459B4"/>
    <w:rsid w:val="008460F1"/>
    <w:rsid w:val="00846712"/>
    <w:rsid w:val="008477EF"/>
    <w:rsid w:val="00847A3B"/>
    <w:rsid w:val="00850185"/>
    <w:rsid w:val="008506AD"/>
    <w:rsid w:val="00850E98"/>
    <w:rsid w:val="00851C3B"/>
    <w:rsid w:val="0085295F"/>
    <w:rsid w:val="008530BB"/>
    <w:rsid w:val="00853193"/>
    <w:rsid w:val="0085360C"/>
    <w:rsid w:val="008544C8"/>
    <w:rsid w:val="00854866"/>
    <w:rsid w:val="00855139"/>
    <w:rsid w:val="008556DA"/>
    <w:rsid w:val="00855C60"/>
    <w:rsid w:val="00856252"/>
    <w:rsid w:val="00856661"/>
    <w:rsid w:val="0085703D"/>
    <w:rsid w:val="008576BD"/>
    <w:rsid w:val="00857B96"/>
    <w:rsid w:val="00857FAA"/>
    <w:rsid w:val="008604CD"/>
    <w:rsid w:val="008606D6"/>
    <w:rsid w:val="00860929"/>
    <w:rsid w:val="00861190"/>
    <w:rsid w:val="00861610"/>
    <w:rsid w:val="00861947"/>
    <w:rsid w:val="0086239B"/>
    <w:rsid w:val="00862620"/>
    <w:rsid w:val="00862CE8"/>
    <w:rsid w:val="00862F22"/>
    <w:rsid w:val="008633E7"/>
    <w:rsid w:val="008639B4"/>
    <w:rsid w:val="00863D04"/>
    <w:rsid w:val="0086423E"/>
    <w:rsid w:val="008650B8"/>
    <w:rsid w:val="0086515B"/>
    <w:rsid w:val="008653C2"/>
    <w:rsid w:val="0086568E"/>
    <w:rsid w:val="00865C2B"/>
    <w:rsid w:val="00866512"/>
    <w:rsid w:val="008676F7"/>
    <w:rsid w:val="00867A60"/>
    <w:rsid w:val="00867D08"/>
    <w:rsid w:val="00867DB6"/>
    <w:rsid w:val="00867E40"/>
    <w:rsid w:val="00867F5F"/>
    <w:rsid w:val="00867FA4"/>
    <w:rsid w:val="00867FF0"/>
    <w:rsid w:val="00870249"/>
    <w:rsid w:val="00870434"/>
    <w:rsid w:val="0087068A"/>
    <w:rsid w:val="008706C7"/>
    <w:rsid w:val="00870ADB"/>
    <w:rsid w:val="008713F8"/>
    <w:rsid w:val="00871549"/>
    <w:rsid w:val="00871D73"/>
    <w:rsid w:val="00871FA2"/>
    <w:rsid w:val="00872AC2"/>
    <w:rsid w:val="00872B63"/>
    <w:rsid w:val="00872E5E"/>
    <w:rsid w:val="0087325C"/>
    <w:rsid w:val="00873AA2"/>
    <w:rsid w:val="00873DD5"/>
    <w:rsid w:val="008742AA"/>
    <w:rsid w:val="0087454B"/>
    <w:rsid w:val="00874982"/>
    <w:rsid w:val="00874E50"/>
    <w:rsid w:val="00875029"/>
    <w:rsid w:val="00875392"/>
    <w:rsid w:val="0087546A"/>
    <w:rsid w:val="00875DA3"/>
    <w:rsid w:val="00875FA6"/>
    <w:rsid w:val="00876367"/>
    <w:rsid w:val="0087643A"/>
    <w:rsid w:val="0087670B"/>
    <w:rsid w:val="0087732C"/>
    <w:rsid w:val="0087770D"/>
    <w:rsid w:val="00877A98"/>
    <w:rsid w:val="008800A4"/>
    <w:rsid w:val="0088082D"/>
    <w:rsid w:val="00880CC9"/>
    <w:rsid w:val="00880D80"/>
    <w:rsid w:val="00881CEA"/>
    <w:rsid w:val="008823B2"/>
    <w:rsid w:val="008829E8"/>
    <w:rsid w:val="008831E6"/>
    <w:rsid w:val="0088338C"/>
    <w:rsid w:val="00883417"/>
    <w:rsid w:val="00884B53"/>
    <w:rsid w:val="00884EFC"/>
    <w:rsid w:val="00885B4B"/>
    <w:rsid w:val="00885E06"/>
    <w:rsid w:val="008861CA"/>
    <w:rsid w:val="00886647"/>
    <w:rsid w:val="00886ADD"/>
    <w:rsid w:val="008877A5"/>
    <w:rsid w:val="00887B6C"/>
    <w:rsid w:val="0089002D"/>
    <w:rsid w:val="0089024B"/>
    <w:rsid w:val="008902BC"/>
    <w:rsid w:val="0089034A"/>
    <w:rsid w:val="008903E6"/>
    <w:rsid w:val="00890C10"/>
    <w:rsid w:val="00891821"/>
    <w:rsid w:val="00891903"/>
    <w:rsid w:val="00891EEA"/>
    <w:rsid w:val="00891FC9"/>
    <w:rsid w:val="008920B4"/>
    <w:rsid w:val="008924A2"/>
    <w:rsid w:val="00892912"/>
    <w:rsid w:val="00893776"/>
    <w:rsid w:val="00893A8F"/>
    <w:rsid w:val="00893ABF"/>
    <w:rsid w:val="00893F52"/>
    <w:rsid w:val="00894026"/>
    <w:rsid w:val="00894051"/>
    <w:rsid w:val="0089480A"/>
    <w:rsid w:val="00894A7C"/>
    <w:rsid w:val="00895867"/>
    <w:rsid w:val="0089611C"/>
    <w:rsid w:val="00896C25"/>
    <w:rsid w:val="00896D8B"/>
    <w:rsid w:val="00896F6C"/>
    <w:rsid w:val="0089735C"/>
    <w:rsid w:val="008975B5"/>
    <w:rsid w:val="008976F6"/>
    <w:rsid w:val="00897AC0"/>
    <w:rsid w:val="008A00C3"/>
    <w:rsid w:val="008A0CE4"/>
    <w:rsid w:val="008A0F0A"/>
    <w:rsid w:val="008A142C"/>
    <w:rsid w:val="008A1D09"/>
    <w:rsid w:val="008A1E99"/>
    <w:rsid w:val="008A23E0"/>
    <w:rsid w:val="008A24A3"/>
    <w:rsid w:val="008A2519"/>
    <w:rsid w:val="008A2E2C"/>
    <w:rsid w:val="008A35DA"/>
    <w:rsid w:val="008A3EFE"/>
    <w:rsid w:val="008A4458"/>
    <w:rsid w:val="008A580F"/>
    <w:rsid w:val="008A5B89"/>
    <w:rsid w:val="008A5E60"/>
    <w:rsid w:val="008A5F4E"/>
    <w:rsid w:val="008A6CF1"/>
    <w:rsid w:val="008A74F7"/>
    <w:rsid w:val="008A7E80"/>
    <w:rsid w:val="008B024F"/>
    <w:rsid w:val="008B0343"/>
    <w:rsid w:val="008B0755"/>
    <w:rsid w:val="008B07BD"/>
    <w:rsid w:val="008B15AB"/>
    <w:rsid w:val="008B1CB1"/>
    <w:rsid w:val="008B1E1C"/>
    <w:rsid w:val="008B28BD"/>
    <w:rsid w:val="008B3265"/>
    <w:rsid w:val="008B326B"/>
    <w:rsid w:val="008B39EB"/>
    <w:rsid w:val="008B3D2B"/>
    <w:rsid w:val="008B4422"/>
    <w:rsid w:val="008B48A4"/>
    <w:rsid w:val="008B5832"/>
    <w:rsid w:val="008B66FF"/>
    <w:rsid w:val="008B6F98"/>
    <w:rsid w:val="008B70D1"/>
    <w:rsid w:val="008B7224"/>
    <w:rsid w:val="008C025D"/>
    <w:rsid w:val="008C051D"/>
    <w:rsid w:val="008C05BD"/>
    <w:rsid w:val="008C0B8E"/>
    <w:rsid w:val="008C0DB6"/>
    <w:rsid w:val="008C0F60"/>
    <w:rsid w:val="008C131D"/>
    <w:rsid w:val="008C15A4"/>
    <w:rsid w:val="008C1885"/>
    <w:rsid w:val="008C1D33"/>
    <w:rsid w:val="008C1E78"/>
    <w:rsid w:val="008C2564"/>
    <w:rsid w:val="008C2758"/>
    <w:rsid w:val="008C29BC"/>
    <w:rsid w:val="008C2BFE"/>
    <w:rsid w:val="008C3602"/>
    <w:rsid w:val="008C439E"/>
    <w:rsid w:val="008C45AB"/>
    <w:rsid w:val="008C4627"/>
    <w:rsid w:val="008C52D6"/>
    <w:rsid w:val="008C5CE1"/>
    <w:rsid w:val="008C5E9B"/>
    <w:rsid w:val="008C6187"/>
    <w:rsid w:val="008C6A5F"/>
    <w:rsid w:val="008C70BB"/>
    <w:rsid w:val="008C714E"/>
    <w:rsid w:val="008C74FC"/>
    <w:rsid w:val="008D0AFD"/>
    <w:rsid w:val="008D11F7"/>
    <w:rsid w:val="008D19F6"/>
    <w:rsid w:val="008D1B17"/>
    <w:rsid w:val="008D1C23"/>
    <w:rsid w:val="008D1CBA"/>
    <w:rsid w:val="008D1CCB"/>
    <w:rsid w:val="008D2B52"/>
    <w:rsid w:val="008D3806"/>
    <w:rsid w:val="008D393D"/>
    <w:rsid w:val="008D3B7D"/>
    <w:rsid w:val="008D3E94"/>
    <w:rsid w:val="008D3F2C"/>
    <w:rsid w:val="008D3F33"/>
    <w:rsid w:val="008D44A5"/>
    <w:rsid w:val="008D47A4"/>
    <w:rsid w:val="008D4A0B"/>
    <w:rsid w:val="008D4D36"/>
    <w:rsid w:val="008D4E42"/>
    <w:rsid w:val="008D5811"/>
    <w:rsid w:val="008D5BF8"/>
    <w:rsid w:val="008D6859"/>
    <w:rsid w:val="008D6AB0"/>
    <w:rsid w:val="008D6C55"/>
    <w:rsid w:val="008D7D7A"/>
    <w:rsid w:val="008E051A"/>
    <w:rsid w:val="008E0B6D"/>
    <w:rsid w:val="008E0F1F"/>
    <w:rsid w:val="008E19F3"/>
    <w:rsid w:val="008E2591"/>
    <w:rsid w:val="008E2624"/>
    <w:rsid w:val="008E266D"/>
    <w:rsid w:val="008E2ED1"/>
    <w:rsid w:val="008E30B7"/>
    <w:rsid w:val="008E30ED"/>
    <w:rsid w:val="008E349B"/>
    <w:rsid w:val="008E379E"/>
    <w:rsid w:val="008E398B"/>
    <w:rsid w:val="008E3B76"/>
    <w:rsid w:val="008E3BCD"/>
    <w:rsid w:val="008E433A"/>
    <w:rsid w:val="008E48A5"/>
    <w:rsid w:val="008E4A29"/>
    <w:rsid w:val="008E4C5D"/>
    <w:rsid w:val="008E58FD"/>
    <w:rsid w:val="008E6AE0"/>
    <w:rsid w:val="008E6FEC"/>
    <w:rsid w:val="008E7178"/>
    <w:rsid w:val="008E7BEB"/>
    <w:rsid w:val="008E7F26"/>
    <w:rsid w:val="008E7FC7"/>
    <w:rsid w:val="008F05A5"/>
    <w:rsid w:val="008F0620"/>
    <w:rsid w:val="008F0C80"/>
    <w:rsid w:val="008F0EE5"/>
    <w:rsid w:val="008F1470"/>
    <w:rsid w:val="008F17FE"/>
    <w:rsid w:val="008F1940"/>
    <w:rsid w:val="008F1A18"/>
    <w:rsid w:val="008F2407"/>
    <w:rsid w:val="008F24EC"/>
    <w:rsid w:val="008F29D1"/>
    <w:rsid w:val="008F33A7"/>
    <w:rsid w:val="008F33E8"/>
    <w:rsid w:val="008F386E"/>
    <w:rsid w:val="008F3AB0"/>
    <w:rsid w:val="008F3C2C"/>
    <w:rsid w:val="008F4B34"/>
    <w:rsid w:val="008F4C3E"/>
    <w:rsid w:val="008F504B"/>
    <w:rsid w:val="008F56E4"/>
    <w:rsid w:val="008F5A32"/>
    <w:rsid w:val="008F6485"/>
    <w:rsid w:val="008F6820"/>
    <w:rsid w:val="008F693F"/>
    <w:rsid w:val="008F6BF5"/>
    <w:rsid w:val="008F73B9"/>
    <w:rsid w:val="008F7A0C"/>
    <w:rsid w:val="008F7EE5"/>
    <w:rsid w:val="009004B5"/>
    <w:rsid w:val="009005C9"/>
    <w:rsid w:val="009006B9"/>
    <w:rsid w:val="00900B72"/>
    <w:rsid w:val="00900BB1"/>
    <w:rsid w:val="00900DE4"/>
    <w:rsid w:val="00901290"/>
    <w:rsid w:val="00902BFE"/>
    <w:rsid w:val="00903300"/>
    <w:rsid w:val="0090342D"/>
    <w:rsid w:val="0090359D"/>
    <w:rsid w:val="009035F4"/>
    <w:rsid w:val="009042FA"/>
    <w:rsid w:val="00904A6F"/>
    <w:rsid w:val="009051D7"/>
    <w:rsid w:val="00905C32"/>
    <w:rsid w:val="0090689F"/>
    <w:rsid w:val="00906DDE"/>
    <w:rsid w:val="009072CE"/>
    <w:rsid w:val="00907784"/>
    <w:rsid w:val="00907AE5"/>
    <w:rsid w:val="0091015D"/>
    <w:rsid w:val="00911032"/>
    <w:rsid w:val="0091143E"/>
    <w:rsid w:val="00911BF6"/>
    <w:rsid w:val="00912445"/>
    <w:rsid w:val="00912B7A"/>
    <w:rsid w:val="00912D53"/>
    <w:rsid w:val="009143FB"/>
    <w:rsid w:val="00914F49"/>
    <w:rsid w:val="009152A5"/>
    <w:rsid w:val="00915AC3"/>
    <w:rsid w:val="009160E4"/>
    <w:rsid w:val="00916946"/>
    <w:rsid w:val="00917099"/>
    <w:rsid w:val="00917B31"/>
    <w:rsid w:val="009200C3"/>
    <w:rsid w:val="009200E3"/>
    <w:rsid w:val="0092063A"/>
    <w:rsid w:val="00920CA8"/>
    <w:rsid w:val="00920F55"/>
    <w:rsid w:val="009211D7"/>
    <w:rsid w:val="009212C5"/>
    <w:rsid w:val="0092161D"/>
    <w:rsid w:val="00921900"/>
    <w:rsid w:val="00921B35"/>
    <w:rsid w:val="00921B9C"/>
    <w:rsid w:val="00921EE4"/>
    <w:rsid w:val="00922136"/>
    <w:rsid w:val="00922177"/>
    <w:rsid w:val="009228D4"/>
    <w:rsid w:val="009236F0"/>
    <w:rsid w:val="00923707"/>
    <w:rsid w:val="009239E0"/>
    <w:rsid w:val="00923B60"/>
    <w:rsid w:val="00924057"/>
    <w:rsid w:val="009242DD"/>
    <w:rsid w:val="00924745"/>
    <w:rsid w:val="00924814"/>
    <w:rsid w:val="0092507B"/>
    <w:rsid w:val="00925358"/>
    <w:rsid w:val="0092552B"/>
    <w:rsid w:val="00925591"/>
    <w:rsid w:val="00926200"/>
    <w:rsid w:val="009264D8"/>
    <w:rsid w:val="00926819"/>
    <w:rsid w:val="00926EB7"/>
    <w:rsid w:val="009275F2"/>
    <w:rsid w:val="00927CA5"/>
    <w:rsid w:val="00930044"/>
    <w:rsid w:val="0093011C"/>
    <w:rsid w:val="009309DB"/>
    <w:rsid w:val="00931A0C"/>
    <w:rsid w:val="00932CB4"/>
    <w:rsid w:val="00933134"/>
    <w:rsid w:val="00933666"/>
    <w:rsid w:val="009343AB"/>
    <w:rsid w:val="009348B5"/>
    <w:rsid w:val="009349D0"/>
    <w:rsid w:val="00934DF6"/>
    <w:rsid w:val="0093528C"/>
    <w:rsid w:val="0093553E"/>
    <w:rsid w:val="00935D63"/>
    <w:rsid w:val="00936134"/>
    <w:rsid w:val="00936435"/>
    <w:rsid w:val="00936C4E"/>
    <w:rsid w:val="00936F0B"/>
    <w:rsid w:val="00937247"/>
    <w:rsid w:val="00937739"/>
    <w:rsid w:val="00937F2B"/>
    <w:rsid w:val="00940273"/>
    <w:rsid w:val="00940530"/>
    <w:rsid w:val="009407EF"/>
    <w:rsid w:val="00940E29"/>
    <w:rsid w:val="00941077"/>
    <w:rsid w:val="00941105"/>
    <w:rsid w:val="00941E75"/>
    <w:rsid w:val="00941F8F"/>
    <w:rsid w:val="0094281A"/>
    <w:rsid w:val="00942BA2"/>
    <w:rsid w:val="00942C45"/>
    <w:rsid w:val="00942EF8"/>
    <w:rsid w:val="00943CFC"/>
    <w:rsid w:val="00944417"/>
    <w:rsid w:val="0094463F"/>
    <w:rsid w:val="009449D1"/>
    <w:rsid w:val="00944B80"/>
    <w:rsid w:val="009450F7"/>
    <w:rsid w:val="0094514E"/>
    <w:rsid w:val="0094593D"/>
    <w:rsid w:val="00946434"/>
    <w:rsid w:val="00947070"/>
    <w:rsid w:val="00947874"/>
    <w:rsid w:val="009506E2"/>
    <w:rsid w:val="00950CA9"/>
    <w:rsid w:val="00950DAA"/>
    <w:rsid w:val="00950E37"/>
    <w:rsid w:val="00951732"/>
    <w:rsid w:val="00951AF1"/>
    <w:rsid w:val="00951B2B"/>
    <w:rsid w:val="00951DC7"/>
    <w:rsid w:val="00953C23"/>
    <w:rsid w:val="009540E7"/>
    <w:rsid w:val="0095412B"/>
    <w:rsid w:val="00954B3C"/>
    <w:rsid w:val="00954B74"/>
    <w:rsid w:val="00955770"/>
    <w:rsid w:val="00955E6B"/>
    <w:rsid w:val="00956E99"/>
    <w:rsid w:val="00957544"/>
    <w:rsid w:val="0095766F"/>
    <w:rsid w:val="00957808"/>
    <w:rsid w:val="00957FD8"/>
    <w:rsid w:val="00960265"/>
    <w:rsid w:val="0096034E"/>
    <w:rsid w:val="0096065A"/>
    <w:rsid w:val="00960C6C"/>
    <w:rsid w:val="00961D24"/>
    <w:rsid w:val="009626EA"/>
    <w:rsid w:val="00962DAE"/>
    <w:rsid w:val="00963576"/>
    <w:rsid w:val="0096400D"/>
    <w:rsid w:val="00964CD4"/>
    <w:rsid w:val="00964DE5"/>
    <w:rsid w:val="009651FA"/>
    <w:rsid w:val="00965895"/>
    <w:rsid w:val="009666DC"/>
    <w:rsid w:val="00966707"/>
    <w:rsid w:val="00966712"/>
    <w:rsid w:val="0097010A"/>
    <w:rsid w:val="009702FD"/>
    <w:rsid w:val="009707B8"/>
    <w:rsid w:val="00970F46"/>
    <w:rsid w:val="00971538"/>
    <w:rsid w:val="0097184D"/>
    <w:rsid w:val="00971A6B"/>
    <w:rsid w:val="00971F1E"/>
    <w:rsid w:val="00971F3B"/>
    <w:rsid w:val="00971F55"/>
    <w:rsid w:val="009727DD"/>
    <w:rsid w:val="00972C3A"/>
    <w:rsid w:val="00972F85"/>
    <w:rsid w:val="00973698"/>
    <w:rsid w:val="009742EA"/>
    <w:rsid w:val="009745D2"/>
    <w:rsid w:val="00975303"/>
    <w:rsid w:val="0097574A"/>
    <w:rsid w:val="00975796"/>
    <w:rsid w:val="00975A34"/>
    <w:rsid w:val="00975BEE"/>
    <w:rsid w:val="009761BC"/>
    <w:rsid w:val="00976A07"/>
    <w:rsid w:val="00976DEE"/>
    <w:rsid w:val="00977B70"/>
    <w:rsid w:val="009801F6"/>
    <w:rsid w:val="00980870"/>
    <w:rsid w:val="00981104"/>
    <w:rsid w:val="0098168D"/>
    <w:rsid w:val="00981D82"/>
    <w:rsid w:val="0098296F"/>
    <w:rsid w:val="00982FF2"/>
    <w:rsid w:val="0098300E"/>
    <w:rsid w:val="00983345"/>
    <w:rsid w:val="00983516"/>
    <w:rsid w:val="009839FA"/>
    <w:rsid w:val="00984F3F"/>
    <w:rsid w:val="0098512A"/>
    <w:rsid w:val="00985672"/>
    <w:rsid w:val="009856EF"/>
    <w:rsid w:val="00986FBF"/>
    <w:rsid w:val="009874F0"/>
    <w:rsid w:val="00987AE7"/>
    <w:rsid w:val="00987D5B"/>
    <w:rsid w:val="0099012C"/>
    <w:rsid w:val="00990768"/>
    <w:rsid w:val="009911B0"/>
    <w:rsid w:val="00991CE1"/>
    <w:rsid w:val="00991F2B"/>
    <w:rsid w:val="009921BE"/>
    <w:rsid w:val="00992BDA"/>
    <w:rsid w:val="00992DF7"/>
    <w:rsid w:val="00992F88"/>
    <w:rsid w:val="009937EA"/>
    <w:rsid w:val="00994AB8"/>
    <w:rsid w:val="00994D57"/>
    <w:rsid w:val="00994E38"/>
    <w:rsid w:val="00994F10"/>
    <w:rsid w:val="00994F73"/>
    <w:rsid w:val="00994F80"/>
    <w:rsid w:val="0099532F"/>
    <w:rsid w:val="0099559B"/>
    <w:rsid w:val="00995618"/>
    <w:rsid w:val="00995CB5"/>
    <w:rsid w:val="00995E4E"/>
    <w:rsid w:val="00996791"/>
    <w:rsid w:val="0099687B"/>
    <w:rsid w:val="00996F12"/>
    <w:rsid w:val="00997A31"/>
    <w:rsid w:val="00997E80"/>
    <w:rsid w:val="009A008F"/>
    <w:rsid w:val="009A04AD"/>
    <w:rsid w:val="009A09F3"/>
    <w:rsid w:val="009A0CB7"/>
    <w:rsid w:val="009A0CEB"/>
    <w:rsid w:val="009A0F5E"/>
    <w:rsid w:val="009A1019"/>
    <w:rsid w:val="009A12B0"/>
    <w:rsid w:val="009A156D"/>
    <w:rsid w:val="009A20F7"/>
    <w:rsid w:val="009A275D"/>
    <w:rsid w:val="009A2B2D"/>
    <w:rsid w:val="009A402F"/>
    <w:rsid w:val="009A4044"/>
    <w:rsid w:val="009A487F"/>
    <w:rsid w:val="009A4F8D"/>
    <w:rsid w:val="009A50AB"/>
    <w:rsid w:val="009A525E"/>
    <w:rsid w:val="009A5329"/>
    <w:rsid w:val="009A569F"/>
    <w:rsid w:val="009A6939"/>
    <w:rsid w:val="009A6A59"/>
    <w:rsid w:val="009A72C4"/>
    <w:rsid w:val="009A7500"/>
    <w:rsid w:val="009A7C94"/>
    <w:rsid w:val="009A7CF0"/>
    <w:rsid w:val="009A7DA0"/>
    <w:rsid w:val="009A7FE0"/>
    <w:rsid w:val="009B0023"/>
    <w:rsid w:val="009B1793"/>
    <w:rsid w:val="009B1DD9"/>
    <w:rsid w:val="009B1EDF"/>
    <w:rsid w:val="009B217F"/>
    <w:rsid w:val="009B231D"/>
    <w:rsid w:val="009B2B96"/>
    <w:rsid w:val="009B381E"/>
    <w:rsid w:val="009B3A5D"/>
    <w:rsid w:val="009B3AAB"/>
    <w:rsid w:val="009B3D43"/>
    <w:rsid w:val="009B434C"/>
    <w:rsid w:val="009B4809"/>
    <w:rsid w:val="009B4BBE"/>
    <w:rsid w:val="009B4D8B"/>
    <w:rsid w:val="009B62DE"/>
    <w:rsid w:val="009B647D"/>
    <w:rsid w:val="009B6CF5"/>
    <w:rsid w:val="009B6E9B"/>
    <w:rsid w:val="009B74E8"/>
    <w:rsid w:val="009C00E5"/>
    <w:rsid w:val="009C0183"/>
    <w:rsid w:val="009C0459"/>
    <w:rsid w:val="009C0A55"/>
    <w:rsid w:val="009C10A3"/>
    <w:rsid w:val="009C1796"/>
    <w:rsid w:val="009C2651"/>
    <w:rsid w:val="009C2E4E"/>
    <w:rsid w:val="009C2F2B"/>
    <w:rsid w:val="009C3A65"/>
    <w:rsid w:val="009C3B4E"/>
    <w:rsid w:val="009C3ECF"/>
    <w:rsid w:val="009C49C2"/>
    <w:rsid w:val="009C6143"/>
    <w:rsid w:val="009C6395"/>
    <w:rsid w:val="009C6472"/>
    <w:rsid w:val="009C673E"/>
    <w:rsid w:val="009C69F6"/>
    <w:rsid w:val="009C6AA7"/>
    <w:rsid w:val="009C7780"/>
    <w:rsid w:val="009C7E28"/>
    <w:rsid w:val="009C7EE3"/>
    <w:rsid w:val="009D0003"/>
    <w:rsid w:val="009D008E"/>
    <w:rsid w:val="009D0345"/>
    <w:rsid w:val="009D0801"/>
    <w:rsid w:val="009D080F"/>
    <w:rsid w:val="009D0DE4"/>
    <w:rsid w:val="009D0E5D"/>
    <w:rsid w:val="009D1060"/>
    <w:rsid w:val="009D15F5"/>
    <w:rsid w:val="009D168B"/>
    <w:rsid w:val="009D1944"/>
    <w:rsid w:val="009D198B"/>
    <w:rsid w:val="009D1A58"/>
    <w:rsid w:val="009D222B"/>
    <w:rsid w:val="009D281F"/>
    <w:rsid w:val="009D310B"/>
    <w:rsid w:val="009D40E1"/>
    <w:rsid w:val="009D43E4"/>
    <w:rsid w:val="009D46A4"/>
    <w:rsid w:val="009D4B4C"/>
    <w:rsid w:val="009D4B5E"/>
    <w:rsid w:val="009D5340"/>
    <w:rsid w:val="009D57DB"/>
    <w:rsid w:val="009D5DF1"/>
    <w:rsid w:val="009D63C5"/>
    <w:rsid w:val="009D6521"/>
    <w:rsid w:val="009D6946"/>
    <w:rsid w:val="009D6AB7"/>
    <w:rsid w:val="009D70A4"/>
    <w:rsid w:val="009D7F81"/>
    <w:rsid w:val="009E1184"/>
    <w:rsid w:val="009E1FE0"/>
    <w:rsid w:val="009E2101"/>
    <w:rsid w:val="009E24A3"/>
    <w:rsid w:val="009E2943"/>
    <w:rsid w:val="009E2A85"/>
    <w:rsid w:val="009E2B59"/>
    <w:rsid w:val="009E2CD6"/>
    <w:rsid w:val="009E2D66"/>
    <w:rsid w:val="009E2E08"/>
    <w:rsid w:val="009E4172"/>
    <w:rsid w:val="009E44E2"/>
    <w:rsid w:val="009E5366"/>
    <w:rsid w:val="009E55A7"/>
    <w:rsid w:val="009E5821"/>
    <w:rsid w:val="009E5976"/>
    <w:rsid w:val="009E5B12"/>
    <w:rsid w:val="009E5BCF"/>
    <w:rsid w:val="009E608E"/>
    <w:rsid w:val="009E62BD"/>
    <w:rsid w:val="009E67BB"/>
    <w:rsid w:val="009E7501"/>
    <w:rsid w:val="009E791D"/>
    <w:rsid w:val="009E7A72"/>
    <w:rsid w:val="009F0134"/>
    <w:rsid w:val="009F06D9"/>
    <w:rsid w:val="009F0931"/>
    <w:rsid w:val="009F0D15"/>
    <w:rsid w:val="009F13FD"/>
    <w:rsid w:val="009F1409"/>
    <w:rsid w:val="009F1C95"/>
    <w:rsid w:val="009F2608"/>
    <w:rsid w:val="009F33DA"/>
    <w:rsid w:val="009F3582"/>
    <w:rsid w:val="009F3D08"/>
    <w:rsid w:val="009F401C"/>
    <w:rsid w:val="009F4E87"/>
    <w:rsid w:val="009F527A"/>
    <w:rsid w:val="009F59E3"/>
    <w:rsid w:val="009F5BA5"/>
    <w:rsid w:val="009F5C3A"/>
    <w:rsid w:val="009F6311"/>
    <w:rsid w:val="009F6322"/>
    <w:rsid w:val="009F6CBC"/>
    <w:rsid w:val="009F78DB"/>
    <w:rsid w:val="009F7DD0"/>
    <w:rsid w:val="00A005F8"/>
    <w:rsid w:val="00A00FEE"/>
    <w:rsid w:val="00A0108C"/>
    <w:rsid w:val="00A011AA"/>
    <w:rsid w:val="00A01798"/>
    <w:rsid w:val="00A0264F"/>
    <w:rsid w:val="00A0295A"/>
    <w:rsid w:val="00A02C05"/>
    <w:rsid w:val="00A03048"/>
    <w:rsid w:val="00A0309F"/>
    <w:rsid w:val="00A04286"/>
    <w:rsid w:val="00A04364"/>
    <w:rsid w:val="00A04A0B"/>
    <w:rsid w:val="00A04CFD"/>
    <w:rsid w:val="00A04E08"/>
    <w:rsid w:val="00A053B8"/>
    <w:rsid w:val="00A055A8"/>
    <w:rsid w:val="00A05886"/>
    <w:rsid w:val="00A06082"/>
    <w:rsid w:val="00A0656E"/>
    <w:rsid w:val="00A06B89"/>
    <w:rsid w:val="00A06D36"/>
    <w:rsid w:val="00A06E57"/>
    <w:rsid w:val="00A076A9"/>
    <w:rsid w:val="00A107E3"/>
    <w:rsid w:val="00A10A47"/>
    <w:rsid w:val="00A10A90"/>
    <w:rsid w:val="00A10DDF"/>
    <w:rsid w:val="00A10F9F"/>
    <w:rsid w:val="00A11A2A"/>
    <w:rsid w:val="00A11B6E"/>
    <w:rsid w:val="00A11EF8"/>
    <w:rsid w:val="00A121B4"/>
    <w:rsid w:val="00A123CA"/>
    <w:rsid w:val="00A12BE7"/>
    <w:rsid w:val="00A1313A"/>
    <w:rsid w:val="00A1381E"/>
    <w:rsid w:val="00A14B65"/>
    <w:rsid w:val="00A14EA8"/>
    <w:rsid w:val="00A15683"/>
    <w:rsid w:val="00A16FDA"/>
    <w:rsid w:val="00A170A3"/>
    <w:rsid w:val="00A205E6"/>
    <w:rsid w:val="00A210FF"/>
    <w:rsid w:val="00A215B6"/>
    <w:rsid w:val="00A21728"/>
    <w:rsid w:val="00A21C6D"/>
    <w:rsid w:val="00A22563"/>
    <w:rsid w:val="00A23173"/>
    <w:rsid w:val="00A232EF"/>
    <w:rsid w:val="00A235D2"/>
    <w:rsid w:val="00A24153"/>
    <w:rsid w:val="00A24678"/>
    <w:rsid w:val="00A24695"/>
    <w:rsid w:val="00A24A2B"/>
    <w:rsid w:val="00A24E72"/>
    <w:rsid w:val="00A25328"/>
    <w:rsid w:val="00A26046"/>
    <w:rsid w:val="00A2612D"/>
    <w:rsid w:val="00A26658"/>
    <w:rsid w:val="00A274D9"/>
    <w:rsid w:val="00A27879"/>
    <w:rsid w:val="00A27DD0"/>
    <w:rsid w:val="00A307EB"/>
    <w:rsid w:val="00A31666"/>
    <w:rsid w:val="00A31CB9"/>
    <w:rsid w:val="00A31D3D"/>
    <w:rsid w:val="00A31F64"/>
    <w:rsid w:val="00A33074"/>
    <w:rsid w:val="00A3308F"/>
    <w:rsid w:val="00A33540"/>
    <w:rsid w:val="00A337F6"/>
    <w:rsid w:val="00A33AFA"/>
    <w:rsid w:val="00A33EA5"/>
    <w:rsid w:val="00A33F56"/>
    <w:rsid w:val="00A33F75"/>
    <w:rsid w:val="00A3470F"/>
    <w:rsid w:val="00A3479B"/>
    <w:rsid w:val="00A34F35"/>
    <w:rsid w:val="00A35655"/>
    <w:rsid w:val="00A359AA"/>
    <w:rsid w:val="00A3623E"/>
    <w:rsid w:val="00A3641D"/>
    <w:rsid w:val="00A365BA"/>
    <w:rsid w:val="00A37FBD"/>
    <w:rsid w:val="00A40062"/>
    <w:rsid w:val="00A405CB"/>
    <w:rsid w:val="00A40E12"/>
    <w:rsid w:val="00A4113C"/>
    <w:rsid w:val="00A41264"/>
    <w:rsid w:val="00A41766"/>
    <w:rsid w:val="00A41C5E"/>
    <w:rsid w:val="00A425DD"/>
    <w:rsid w:val="00A42B74"/>
    <w:rsid w:val="00A440C0"/>
    <w:rsid w:val="00A44CE1"/>
    <w:rsid w:val="00A450C8"/>
    <w:rsid w:val="00A4526B"/>
    <w:rsid w:val="00A45500"/>
    <w:rsid w:val="00A45DFA"/>
    <w:rsid w:val="00A46130"/>
    <w:rsid w:val="00A4686B"/>
    <w:rsid w:val="00A469E6"/>
    <w:rsid w:val="00A46AFB"/>
    <w:rsid w:val="00A4741A"/>
    <w:rsid w:val="00A501BC"/>
    <w:rsid w:val="00A50E75"/>
    <w:rsid w:val="00A50EB3"/>
    <w:rsid w:val="00A5115E"/>
    <w:rsid w:val="00A51308"/>
    <w:rsid w:val="00A518F3"/>
    <w:rsid w:val="00A524AB"/>
    <w:rsid w:val="00A52D15"/>
    <w:rsid w:val="00A53871"/>
    <w:rsid w:val="00A54586"/>
    <w:rsid w:val="00A549F0"/>
    <w:rsid w:val="00A54CE0"/>
    <w:rsid w:val="00A555E3"/>
    <w:rsid w:val="00A557BF"/>
    <w:rsid w:val="00A5580B"/>
    <w:rsid w:val="00A55D65"/>
    <w:rsid w:val="00A561CC"/>
    <w:rsid w:val="00A564C3"/>
    <w:rsid w:val="00A56B16"/>
    <w:rsid w:val="00A57078"/>
    <w:rsid w:val="00A57BC6"/>
    <w:rsid w:val="00A57C50"/>
    <w:rsid w:val="00A60373"/>
    <w:rsid w:val="00A60C0A"/>
    <w:rsid w:val="00A6151A"/>
    <w:rsid w:val="00A618DF"/>
    <w:rsid w:val="00A619BB"/>
    <w:rsid w:val="00A61A07"/>
    <w:rsid w:val="00A61C98"/>
    <w:rsid w:val="00A61DD5"/>
    <w:rsid w:val="00A6287F"/>
    <w:rsid w:val="00A62E7D"/>
    <w:rsid w:val="00A64175"/>
    <w:rsid w:val="00A645F5"/>
    <w:rsid w:val="00A65A75"/>
    <w:rsid w:val="00A65B6C"/>
    <w:rsid w:val="00A66131"/>
    <w:rsid w:val="00A67149"/>
    <w:rsid w:val="00A675A0"/>
    <w:rsid w:val="00A67839"/>
    <w:rsid w:val="00A67C41"/>
    <w:rsid w:val="00A67F5B"/>
    <w:rsid w:val="00A67F9D"/>
    <w:rsid w:val="00A70BAE"/>
    <w:rsid w:val="00A7121C"/>
    <w:rsid w:val="00A71482"/>
    <w:rsid w:val="00A7154B"/>
    <w:rsid w:val="00A71566"/>
    <w:rsid w:val="00A718FF"/>
    <w:rsid w:val="00A71D62"/>
    <w:rsid w:val="00A72CFC"/>
    <w:rsid w:val="00A7313F"/>
    <w:rsid w:val="00A73320"/>
    <w:rsid w:val="00A73509"/>
    <w:rsid w:val="00A73B2E"/>
    <w:rsid w:val="00A74262"/>
    <w:rsid w:val="00A7428C"/>
    <w:rsid w:val="00A7556E"/>
    <w:rsid w:val="00A75C62"/>
    <w:rsid w:val="00A76A2F"/>
    <w:rsid w:val="00A76CB3"/>
    <w:rsid w:val="00A76EBC"/>
    <w:rsid w:val="00A76F40"/>
    <w:rsid w:val="00A7702F"/>
    <w:rsid w:val="00A773EF"/>
    <w:rsid w:val="00A77A03"/>
    <w:rsid w:val="00A77DC9"/>
    <w:rsid w:val="00A805DE"/>
    <w:rsid w:val="00A81506"/>
    <w:rsid w:val="00A8187D"/>
    <w:rsid w:val="00A82548"/>
    <w:rsid w:val="00A82714"/>
    <w:rsid w:val="00A828C1"/>
    <w:rsid w:val="00A82920"/>
    <w:rsid w:val="00A83F10"/>
    <w:rsid w:val="00A84358"/>
    <w:rsid w:val="00A84D3C"/>
    <w:rsid w:val="00A84D5A"/>
    <w:rsid w:val="00A85162"/>
    <w:rsid w:val="00A8580A"/>
    <w:rsid w:val="00A8584E"/>
    <w:rsid w:val="00A86451"/>
    <w:rsid w:val="00A870BE"/>
    <w:rsid w:val="00A8745D"/>
    <w:rsid w:val="00A87513"/>
    <w:rsid w:val="00A8781E"/>
    <w:rsid w:val="00A902FD"/>
    <w:rsid w:val="00A90788"/>
    <w:rsid w:val="00A90ACB"/>
    <w:rsid w:val="00A90DD6"/>
    <w:rsid w:val="00A91185"/>
    <w:rsid w:val="00A91491"/>
    <w:rsid w:val="00A914F6"/>
    <w:rsid w:val="00A91B06"/>
    <w:rsid w:val="00A91FE0"/>
    <w:rsid w:val="00A922E4"/>
    <w:rsid w:val="00A924D7"/>
    <w:rsid w:val="00A92C1B"/>
    <w:rsid w:val="00A92C4E"/>
    <w:rsid w:val="00A92EA6"/>
    <w:rsid w:val="00A93055"/>
    <w:rsid w:val="00A930BF"/>
    <w:rsid w:val="00A9371E"/>
    <w:rsid w:val="00A93989"/>
    <w:rsid w:val="00A93F4D"/>
    <w:rsid w:val="00A9407D"/>
    <w:rsid w:val="00A9424D"/>
    <w:rsid w:val="00A942E4"/>
    <w:rsid w:val="00A94F99"/>
    <w:rsid w:val="00A965EA"/>
    <w:rsid w:val="00A967D7"/>
    <w:rsid w:val="00A97026"/>
    <w:rsid w:val="00A976D1"/>
    <w:rsid w:val="00A97B72"/>
    <w:rsid w:val="00AA048B"/>
    <w:rsid w:val="00AA09A4"/>
    <w:rsid w:val="00AA0B42"/>
    <w:rsid w:val="00AA0DC6"/>
    <w:rsid w:val="00AA1586"/>
    <w:rsid w:val="00AA158D"/>
    <w:rsid w:val="00AA189C"/>
    <w:rsid w:val="00AA1AD2"/>
    <w:rsid w:val="00AA335B"/>
    <w:rsid w:val="00AA3950"/>
    <w:rsid w:val="00AA3B05"/>
    <w:rsid w:val="00AA4BFE"/>
    <w:rsid w:val="00AA53E9"/>
    <w:rsid w:val="00AA554E"/>
    <w:rsid w:val="00AA5D28"/>
    <w:rsid w:val="00AA6348"/>
    <w:rsid w:val="00AA7185"/>
    <w:rsid w:val="00AA752C"/>
    <w:rsid w:val="00AA756D"/>
    <w:rsid w:val="00AA774A"/>
    <w:rsid w:val="00AA77C1"/>
    <w:rsid w:val="00AA790C"/>
    <w:rsid w:val="00AA7B1E"/>
    <w:rsid w:val="00AB04A7"/>
    <w:rsid w:val="00AB095F"/>
    <w:rsid w:val="00AB0EB0"/>
    <w:rsid w:val="00AB1E63"/>
    <w:rsid w:val="00AB1FAA"/>
    <w:rsid w:val="00AB2924"/>
    <w:rsid w:val="00AB2AF7"/>
    <w:rsid w:val="00AB395A"/>
    <w:rsid w:val="00AB4E01"/>
    <w:rsid w:val="00AB5037"/>
    <w:rsid w:val="00AB5B06"/>
    <w:rsid w:val="00AB6023"/>
    <w:rsid w:val="00AB6176"/>
    <w:rsid w:val="00AB6AFC"/>
    <w:rsid w:val="00AB6F68"/>
    <w:rsid w:val="00AB7038"/>
    <w:rsid w:val="00AB70B6"/>
    <w:rsid w:val="00AB73BB"/>
    <w:rsid w:val="00AB779C"/>
    <w:rsid w:val="00AB7895"/>
    <w:rsid w:val="00AB79F7"/>
    <w:rsid w:val="00AC022F"/>
    <w:rsid w:val="00AC0D80"/>
    <w:rsid w:val="00AC1038"/>
    <w:rsid w:val="00AC1F2E"/>
    <w:rsid w:val="00AC1F89"/>
    <w:rsid w:val="00AC24AD"/>
    <w:rsid w:val="00AC2BD2"/>
    <w:rsid w:val="00AC2E6D"/>
    <w:rsid w:val="00AC38FC"/>
    <w:rsid w:val="00AC3B3B"/>
    <w:rsid w:val="00AC3DC5"/>
    <w:rsid w:val="00AC44BE"/>
    <w:rsid w:val="00AC4650"/>
    <w:rsid w:val="00AC48FA"/>
    <w:rsid w:val="00AC4B23"/>
    <w:rsid w:val="00AC5183"/>
    <w:rsid w:val="00AC5320"/>
    <w:rsid w:val="00AC57C4"/>
    <w:rsid w:val="00AC58F1"/>
    <w:rsid w:val="00AC5A2D"/>
    <w:rsid w:val="00AC60EA"/>
    <w:rsid w:val="00AC745C"/>
    <w:rsid w:val="00AC77B2"/>
    <w:rsid w:val="00AC78D8"/>
    <w:rsid w:val="00AC7D0D"/>
    <w:rsid w:val="00AC7FA5"/>
    <w:rsid w:val="00AD03F0"/>
    <w:rsid w:val="00AD0764"/>
    <w:rsid w:val="00AD07E1"/>
    <w:rsid w:val="00AD0FFF"/>
    <w:rsid w:val="00AD15A8"/>
    <w:rsid w:val="00AD197C"/>
    <w:rsid w:val="00AD1D3D"/>
    <w:rsid w:val="00AD1D59"/>
    <w:rsid w:val="00AD2A98"/>
    <w:rsid w:val="00AD3109"/>
    <w:rsid w:val="00AD3698"/>
    <w:rsid w:val="00AD40CA"/>
    <w:rsid w:val="00AD4683"/>
    <w:rsid w:val="00AD47D7"/>
    <w:rsid w:val="00AD4BA8"/>
    <w:rsid w:val="00AD529C"/>
    <w:rsid w:val="00AD632C"/>
    <w:rsid w:val="00AD6DB3"/>
    <w:rsid w:val="00AD6EF2"/>
    <w:rsid w:val="00AD744C"/>
    <w:rsid w:val="00AD754C"/>
    <w:rsid w:val="00AD7767"/>
    <w:rsid w:val="00AD778A"/>
    <w:rsid w:val="00AD7819"/>
    <w:rsid w:val="00AD7949"/>
    <w:rsid w:val="00AE08C2"/>
    <w:rsid w:val="00AE1C56"/>
    <w:rsid w:val="00AE1D03"/>
    <w:rsid w:val="00AE22F8"/>
    <w:rsid w:val="00AE2987"/>
    <w:rsid w:val="00AE31BC"/>
    <w:rsid w:val="00AE4183"/>
    <w:rsid w:val="00AE44F1"/>
    <w:rsid w:val="00AE49D7"/>
    <w:rsid w:val="00AE4CBD"/>
    <w:rsid w:val="00AE4D60"/>
    <w:rsid w:val="00AE4DF3"/>
    <w:rsid w:val="00AE5158"/>
    <w:rsid w:val="00AE56D4"/>
    <w:rsid w:val="00AE616E"/>
    <w:rsid w:val="00AE6996"/>
    <w:rsid w:val="00AE6A20"/>
    <w:rsid w:val="00AE6CFD"/>
    <w:rsid w:val="00AE6DA4"/>
    <w:rsid w:val="00AE7569"/>
    <w:rsid w:val="00AE7E8E"/>
    <w:rsid w:val="00AE7F52"/>
    <w:rsid w:val="00AF04A5"/>
    <w:rsid w:val="00AF142C"/>
    <w:rsid w:val="00AF161C"/>
    <w:rsid w:val="00AF1939"/>
    <w:rsid w:val="00AF19CE"/>
    <w:rsid w:val="00AF1AFC"/>
    <w:rsid w:val="00AF2B98"/>
    <w:rsid w:val="00AF3176"/>
    <w:rsid w:val="00AF3CE6"/>
    <w:rsid w:val="00AF3D10"/>
    <w:rsid w:val="00AF40ED"/>
    <w:rsid w:val="00AF44B6"/>
    <w:rsid w:val="00AF44EC"/>
    <w:rsid w:val="00AF468B"/>
    <w:rsid w:val="00AF46BF"/>
    <w:rsid w:val="00AF499D"/>
    <w:rsid w:val="00AF5F56"/>
    <w:rsid w:val="00AF6920"/>
    <w:rsid w:val="00AF6F79"/>
    <w:rsid w:val="00AF71C7"/>
    <w:rsid w:val="00AF7324"/>
    <w:rsid w:val="00AF76BA"/>
    <w:rsid w:val="00AF7CF4"/>
    <w:rsid w:val="00AF7FA8"/>
    <w:rsid w:val="00B0026F"/>
    <w:rsid w:val="00B014BC"/>
    <w:rsid w:val="00B01690"/>
    <w:rsid w:val="00B02F6C"/>
    <w:rsid w:val="00B03348"/>
    <w:rsid w:val="00B035DA"/>
    <w:rsid w:val="00B0417A"/>
    <w:rsid w:val="00B042DE"/>
    <w:rsid w:val="00B046D1"/>
    <w:rsid w:val="00B047CE"/>
    <w:rsid w:val="00B05B5B"/>
    <w:rsid w:val="00B05E80"/>
    <w:rsid w:val="00B060A5"/>
    <w:rsid w:val="00B07408"/>
    <w:rsid w:val="00B07581"/>
    <w:rsid w:val="00B0762C"/>
    <w:rsid w:val="00B079E6"/>
    <w:rsid w:val="00B07EEA"/>
    <w:rsid w:val="00B07EFA"/>
    <w:rsid w:val="00B1078E"/>
    <w:rsid w:val="00B109AD"/>
    <w:rsid w:val="00B10AA1"/>
    <w:rsid w:val="00B10C81"/>
    <w:rsid w:val="00B10EF0"/>
    <w:rsid w:val="00B11053"/>
    <w:rsid w:val="00B11921"/>
    <w:rsid w:val="00B11931"/>
    <w:rsid w:val="00B11D6A"/>
    <w:rsid w:val="00B11ED6"/>
    <w:rsid w:val="00B12B94"/>
    <w:rsid w:val="00B12C1B"/>
    <w:rsid w:val="00B12D3A"/>
    <w:rsid w:val="00B1336A"/>
    <w:rsid w:val="00B1397A"/>
    <w:rsid w:val="00B146DA"/>
    <w:rsid w:val="00B14CC9"/>
    <w:rsid w:val="00B15463"/>
    <w:rsid w:val="00B15988"/>
    <w:rsid w:val="00B1609E"/>
    <w:rsid w:val="00B161DF"/>
    <w:rsid w:val="00B162EE"/>
    <w:rsid w:val="00B1634D"/>
    <w:rsid w:val="00B165C4"/>
    <w:rsid w:val="00B16A09"/>
    <w:rsid w:val="00B16EC0"/>
    <w:rsid w:val="00B1704F"/>
    <w:rsid w:val="00B170B5"/>
    <w:rsid w:val="00B17402"/>
    <w:rsid w:val="00B1793B"/>
    <w:rsid w:val="00B17B9E"/>
    <w:rsid w:val="00B20031"/>
    <w:rsid w:val="00B201F7"/>
    <w:rsid w:val="00B206E7"/>
    <w:rsid w:val="00B2144D"/>
    <w:rsid w:val="00B226F5"/>
    <w:rsid w:val="00B22727"/>
    <w:rsid w:val="00B2294E"/>
    <w:rsid w:val="00B2383E"/>
    <w:rsid w:val="00B239F4"/>
    <w:rsid w:val="00B23B9F"/>
    <w:rsid w:val="00B23CF8"/>
    <w:rsid w:val="00B24AF1"/>
    <w:rsid w:val="00B250B7"/>
    <w:rsid w:val="00B252D4"/>
    <w:rsid w:val="00B2588B"/>
    <w:rsid w:val="00B25B1B"/>
    <w:rsid w:val="00B25D21"/>
    <w:rsid w:val="00B277C1"/>
    <w:rsid w:val="00B27D90"/>
    <w:rsid w:val="00B306E6"/>
    <w:rsid w:val="00B311CB"/>
    <w:rsid w:val="00B31D43"/>
    <w:rsid w:val="00B31D78"/>
    <w:rsid w:val="00B31DE9"/>
    <w:rsid w:val="00B32307"/>
    <w:rsid w:val="00B32337"/>
    <w:rsid w:val="00B32532"/>
    <w:rsid w:val="00B32C1A"/>
    <w:rsid w:val="00B32E4D"/>
    <w:rsid w:val="00B3322D"/>
    <w:rsid w:val="00B33461"/>
    <w:rsid w:val="00B33773"/>
    <w:rsid w:val="00B33934"/>
    <w:rsid w:val="00B34812"/>
    <w:rsid w:val="00B348EE"/>
    <w:rsid w:val="00B3631B"/>
    <w:rsid w:val="00B363C8"/>
    <w:rsid w:val="00B36747"/>
    <w:rsid w:val="00B36A04"/>
    <w:rsid w:val="00B36D74"/>
    <w:rsid w:val="00B36F9F"/>
    <w:rsid w:val="00B36FFD"/>
    <w:rsid w:val="00B37020"/>
    <w:rsid w:val="00B3722B"/>
    <w:rsid w:val="00B379ED"/>
    <w:rsid w:val="00B37C09"/>
    <w:rsid w:val="00B40092"/>
    <w:rsid w:val="00B4024B"/>
    <w:rsid w:val="00B404A6"/>
    <w:rsid w:val="00B40534"/>
    <w:rsid w:val="00B405D6"/>
    <w:rsid w:val="00B40C88"/>
    <w:rsid w:val="00B40F35"/>
    <w:rsid w:val="00B41214"/>
    <w:rsid w:val="00B41DCD"/>
    <w:rsid w:val="00B42EDE"/>
    <w:rsid w:val="00B431EF"/>
    <w:rsid w:val="00B435E7"/>
    <w:rsid w:val="00B43A44"/>
    <w:rsid w:val="00B43E1A"/>
    <w:rsid w:val="00B43E70"/>
    <w:rsid w:val="00B440FE"/>
    <w:rsid w:val="00B4423A"/>
    <w:rsid w:val="00B45147"/>
    <w:rsid w:val="00B45259"/>
    <w:rsid w:val="00B45440"/>
    <w:rsid w:val="00B45FE8"/>
    <w:rsid w:val="00B469A5"/>
    <w:rsid w:val="00B47C90"/>
    <w:rsid w:val="00B47F0B"/>
    <w:rsid w:val="00B50086"/>
    <w:rsid w:val="00B5097F"/>
    <w:rsid w:val="00B50C8A"/>
    <w:rsid w:val="00B51B15"/>
    <w:rsid w:val="00B52337"/>
    <w:rsid w:val="00B5268E"/>
    <w:rsid w:val="00B528A3"/>
    <w:rsid w:val="00B529A4"/>
    <w:rsid w:val="00B53518"/>
    <w:rsid w:val="00B538D7"/>
    <w:rsid w:val="00B53B1D"/>
    <w:rsid w:val="00B53E8C"/>
    <w:rsid w:val="00B54D67"/>
    <w:rsid w:val="00B54DFA"/>
    <w:rsid w:val="00B54F51"/>
    <w:rsid w:val="00B55052"/>
    <w:rsid w:val="00B5605C"/>
    <w:rsid w:val="00B5629F"/>
    <w:rsid w:val="00B56554"/>
    <w:rsid w:val="00B56A2C"/>
    <w:rsid w:val="00B57001"/>
    <w:rsid w:val="00B572BD"/>
    <w:rsid w:val="00B57396"/>
    <w:rsid w:val="00B57B5C"/>
    <w:rsid w:val="00B60B4D"/>
    <w:rsid w:val="00B61044"/>
    <w:rsid w:val="00B614D9"/>
    <w:rsid w:val="00B61B45"/>
    <w:rsid w:val="00B61F75"/>
    <w:rsid w:val="00B628F8"/>
    <w:rsid w:val="00B62CC8"/>
    <w:rsid w:val="00B635F5"/>
    <w:rsid w:val="00B65391"/>
    <w:rsid w:val="00B6557A"/>
    <w:rsid w:val="00B65803"/>
    <w:rsid w:val="00B65BC9"/>
    <w:rsid w:val="00B65D71"/>
    <w:rsid w:val="00B65F1E"/>
    <w:rsid w:val="00B676BA"/>
    <w:rsid w:val="00B67A0A"/>
    <w:rsid w:val="00B7065A"/>
    <w:rsid w:val="00B7082A"/>
    <w:rsid w:val="00B70B9E"/>
    <w:rsid w:val="00B71291"/>
    <w:rsid w:val="00B714FF"/>
    <w:rsid w:val="00B7181A"/>
    <w:rsid w:val="00B71A99"/>
    <w:rsid w:val="00B71CCB"/>
    <w:rsid w:val="00B71F4E"/>
    <w:rsid w:val="00B72BCD"/>
    <w:rsid w:val="00B7358A"/>
    <w:rsid w:val="00B73C23"/>
    <w:rsid w:val="00B73C4D"/>
    <w:rsid w:val="00B73DB6"/>
    <w:rsid w:val="00B74B2F"/>
    <w:rsid w:val="00B74E31"/>
    <w:rsid w:val="00B74E35"/>
    <w:rsid w:val="00B7604B"/>
    <w:rsid w:val="00B767C2"/>
    <w:rsid w:val="00B76857"/>
    <w:rsid w:val="00B76A30"/>
    <w:rsid w:val="00B76EA9"/>
    <w:rsid w:val="00B77039"/>
    <w:rsid w:val="00B770D5"/>
    <w:rsid w:val="00B776B8"/>
    <w:rsid w:val="00B77A4E"/>
    <w:rsid w:val="00B77BCE"/>
    <w:rsid w:val="00B77EA5"/>
    <w:rsid w:val="00B80ADF"/>
    <w:rsid w:val="00B81394"/>
    <w:rsid w:val="00B813DA"/>
    <w:rsid w:val="00B815EC"/>
    <w:rsid w:val="00B816E8"/>
    <w:rsid w:val="00B822D4"/>
    <w:rsid w:val="00B825AC"/>
    <w:rsid w:val="00B82797"/>
    <w:rsid w:val="00B82DA5"/>
    <w:rsid w:val="00B830A0"/>
    <w:rsid w:val="00B83372"/>
    <w:rsid w:val="00B8373E"/>
    <w:rsid w:val="00B8387C"/>
    <w:rsid w:val="00B83A2A"/>
    <w:rsid w:val="00B83D15"/>
    <w:rsid w:val="00B8434E"/>
    <w:rsid w:val="00B846E9"/>
    <w:rsid w:val="00B84C76"/>
    <w:rsid w:val="00B84EFE"/>
    <w:rsid w:val="00B8538A"/>
    <w:rsid w:val="00B853D2"/>
    <w:rsid w:val="00B85EE3"/>
    <w:rsid w:val="00B86980"/>
    <w:rsid w:val="00B87CB4"/>
    <w:rsid w:val="00B87CD9"/>
    <w:rsid w:val="00B900AE"/>
    <w:rsid w:val="00B903D9"/>
    <w:rsid w:val="00B904C2"/>
    <w:rsid w:val="00B910FD"/>
    <w:rsid w:val="00B918C8"/>
    <w:rsid w:val="00B91DF7"/>
    <w:rsid w:val="00B924B3"/>
    <w:rsid w:val="00B92B15"/>
    <w:rsid w:val="00B945BF"/>
    <w:rsid w:val="00B9464C"/>
    <w:rsid w:val="00B946C3"/>
    <w:rsid w:val="00B9472C"/>
    <w:rsid w:val="00B95D13"/>
    <w:rsid w:val="00B96C47"/>
    <w:rsid w:val="00B97289"/>
    <w:rsid w:val="00B9766C"/>
    <w:rsid w:val="00B97D97"/>
    <w:rsid w:val="00BA0977"/>
    <w:rsid w:val="00BA0CD3"/>
    <w:rsid w:val="00BA14B8"/>
    <w:rsid w:val="00BA209A"/>
    <w:rsid w:val="00BA2EB9"/>
    <w:rsid w:val="00BA379E"/>
    <w:rsid w:val="00BA3950"/>
    <w:rsid w:val="00BA3B5C"/>
    <w:rsid w:val="00BA4045"/>
    <w:rsid w:val="00BA4D48"/>
    <w:rsid w:val="00BA5B44"/>
    <w:rsid w:val="00BA5C9C"/>
    <w:rsid w:val="00BA5E5A"/>
    <w:rsid w:val="00BA6066"/>
    <w:rsid w:val="00BA643E"/>
    <w:rsid w:val="00BA6FB9"/>
    <w:rsid w:val="00BA7F4F"/>
    <w:rsid w:val="00BB0020"/>
    <w:rsid w:val="00BB0376"/>
    <w:rsid w:val="00BB038A"/>
    <w:rsid w:val="00BB0873"/>
    <w:rsid w:val="00BB0AA8"/>
    <w:rsid w:val="00BB0C61"/>
    <w:rsid w:val="00BB1065"/>
    <w:rsid w:val="00BB157C"/>
    <w:rsid w:val="00BB1A85"/>
    <w:rsid w:val="00BB1AFC"/>
    <w:rsid w:val="00BB2E98"/>
    <w:rsid w:val="00BB2EEF"/>
    <w:rsid w:val="00BB3324"/>
    <w:rsid w:val="00BB3A2C"/>
    <w:rsid w:val="00BB3A59"/>
    <w:rsid w:val="00BB462B"/>
    <w:rsid w:val="00BB4F40"/>
    <w:rsid w:val="00BB5018"/>
    <w:rsid w:val="00BB50C9"/>
    <w:rsid w:val="00BB536E"/>
    <w:rsid w:val="00BB55DE"/>
    <w:rsid w:val="00BB5A54"/>
    <w:rsid w:val="00BB5D67"/>
    <w:rsid w:val="00BB5E1A"/>
    <w:rsid w:val="00BB5F05"/>
    <w:rsid w:val="00BB61E8"/>
    <w:rsid w:val="00BB62D8"/>
    <w:rsid w:val="00BB6AD3"/>
    <w:rsid w:val="00BB741D"/>
    <w:rsid w:val="00BB779A"/>
    <w:rsid w:val="00BC0479"/>
    <w:rsid w:val="00BC09A2"/>
    <w:rsid w:val="00BC0BB4"/>
    <w:rsid w:val="00BC0C26"/>
    <w:rsid w:val="00BC0ED2"/>
    <w:rsid w:val="00BC104B"/>
    <w:rsid w:val="00BC10D4"/>
    <w:rsid w:val="00BC1629"/>
    <w:rsid w:val="00BC1D34"/>
    <w:rsid w:val="00BC1F10"/>
    <w:rsid w:val="00BC2471"/>
    <w:rsid w:val="00BC2B47"/>
    <w:rsid w:val="00BC3263"/>
    <w:rsid w:val="00BC40DB"/>
    <w:rsid w:val="00BC46BB"/>
    <w:rsid w:val="00BC4B8E"/>
    <w:rsid w:val="00BC4C93"/>
    <w:rsid w:val="00BC51F9"/>
    <w:rsid w:val="00BC5DCD"/>
    <w:rsid w:val="00BC6835"/>
    <w:rsid w:val="00BC69D6"/>
    <w:rsid w:val="00BC786A"/>
    <w:rsid w:val="00BD0624"/>
    <w:rsid w:val="00BD0B35"/>
    <w:rsid w:val="00BD0E86"/>
    <w:rsid w:val="00BD176F"/>
    <w:rsid w:val="00BD2CF8"/>
    <w:rsid w:val="00BD2E18"/>
    <w:rsid w:val="00BD2EF4"/>
    <w:rsid w:val="00BD3BD8"/>
    <w:rsid w:val="00BD4124"/>
    <w:rsid w:val="00BD42B6"/>
    <w:rsid w:val="00BD4DD6"/>
    <w:rsid w:val="00BD4E28"/>
    <w:rsid w:val="00BD4FF4"/>
    <w:rsid w:val="00BD52B9"/>
    <w:rsid w:val="00BD59F1"/>
    <w:rsid w:val="00BD5D4B"/>
    <w:rsid w:val="00BD67F8"/>
    <w:rsid w:val="00BD6EC8"/>
    <w:rsid w:val="00BD6FA3"/>
    <w:rsid w:val="00BD72B0"/>
    <w:rsid w:val="00BD745C"/>
    <w:rsid w:val="00BD788B"/>
    <w:rsid w:val="00BD7C8D"/>
    <w:rsid w:val="00BE00CF"/>
    <w:rsid w:val="00BE0A06"/>
    <w:rsid w:val="00BE0D8A"/>
    <w:rsid w:val="00BE0E29"/>
    <w:rsid w:val="00BE0FAC"/>
    <w:rsid w:val="00BE1B83"/>
    <w:rsid w:val="00BE1EDD"/>
    <w:rsid w:val="00BE273E"/>
    <w:rsid w:val="00BE2978"/>
    <w:rsid w:val="00BE2A35"/>
    <w:rsid w:val="00BE3504"/>
    <w:rsid w:val="00BE391D"/>
    <w:rsid w:val="00BE394E"/>
    <w:rsid w:val="00BE39A5"/>
    <w:rsid w:val="00BE40E6"/>
    <w:rsid w:val="00BE417F"/>
    <w:rsid w:val="00BE437C"/>
    <w:rsid w:val="00BE47F9"/>
    <w:rsid w:val="00BE47FB"/>
    <w:rsid w:val="00BE48C2"/>
    <w:rsid w:val="00BE4B39"/>
    <w:rsid w:val="00BE4EF8"/>
    <w:rsid w:val="00BE54C1"/>
    <w:rsid w:val="00BE5769"/>
    <w:rsid w:val="00BE647D"/>
    <w:rsid w:val="00BE64D0"/>
    <w:rsid w:val="00BE67D3"/>
    <w:rsid w:val="00BE6968"/>
    <w:rsid w:val="00BE6B82"/>
    <w:rsid w:val="00BE73E7"/>
    <w:rsid w:val="00BE7604"/>
    <w:rsid w:val="00BE7B21"/>
    <w:rsid w:val="00BE7B49"/>
    <w:rsid w:val="00BF02A1"/>
    <w:rsid w:val="00BF0308"/>
    <w:rsid w:val="00BF1134"/>
    <w:rsid w:val="00BF1147"/>
    <w:rsid w:val="00BF12E0"/>
    <w:rsid w:val="00BF1695"/>
    <w:rsid w:val="00BF16B1"/>
    <w:rsid w:val="00BF184C"/>
    <w:rsid w:val="00BF1D14"/>
    <w:rsid w:val="00BF2054"/>
    <w:rsid w:val="00BF227E"/>
    <w:rsid w:val="00BF2C8D"/>
    <w:rsid w:val="00BF30D3"/>
    <w:rsid w:val="00BF3612"/>
    <w:rsid w:val="00BF3880"/>
    <w:rsid w:val="00BF3E6E"/>
    <w:rsid w:val="00BF4061"/>
    <w:rsid w:val="00BF41B5"/>
    <w:rsid w:val="00BF4211"/>
    <w:rsid w:val="00BF42EC"/>
    <w:rsid w:val="00BF4460"/>
    <w:rsid w:val="00BF478F"/>
    <w:rsid w:val="00BF5069"/>
    <w:rsid w:val="00BF6C18"/>
    <w:rsid w:val="00BF6CDA"/>
    <w:rsid w:val="00BF6F1E"/>
    <w:rsid w:val="00BF764C"/>
    <w:rsid w:val="00BF7CB3"/>
    <w:rsid w:val="00C005D7"/>
    <w:rsid w:val="00C01FE6"/>
    <w:rsid w:val="00C037B3"/>
    <w:rsid w:val="00C0394D"/>
    <w:rsid w:val="00C03A56"/>
    <w:rsid w:val="00C045B6"/>
    <w:rsid w:val="00C04CE5"/>
    <w:rsid w:val="00C04E70"/>
    <w:rsid w:val="00C053B1"/>
    <w:rsid w:val="00C0541B"/>
    <w:rsid w:val="00C060A6"/>
    <w:rsid w:val="00C063CF"/>
    <w:rsid w:val="00C06546"/>
    <w:rsid w:val="00C06810"/>
    <w:rsid w:val="00C069C9"/>
    <w:rsid w:val="00C06AD1"/>
    <w:rsid w:val="00C07381"/>
    <w:rsid w:val="00C073A8"/>
    <w:rsid w:val="00C102A2"/>
    <w:rsid w:val="00C10494"/>
    <w:rsid w:val="00C10959"/>
    <w:rsid w:val="00C10F9A"/>
    <w:rsid w:val="00C11D04"/>
    <w:rsid w:val="00C12FE5"/>
    <w:rsid w:val="00C130F5"/>
    <w:rsid w:val="00C130FF"/>
    <w:rsid w:val="00C13A92"/>
    <w:rsid w:val="00C13F77"/>
    <w:rsid w:val="00C140E1"/>
    <w:rsid w:val="00C14765"/>
    <w:rsid w:val="00C14EB4"/>
    <w:rsid w:val="00C152A0"/>
    <w:rsid w:val="00C15BA1"/>
    <w:rsid w:val="00C162D3"/>
    <w:rsid w:val="00C16811"/>
    <w:rsid w:val="00C16B11"/>
    <w:rsid w:val="00C16B9B"/>
    <w:rsid w:val="00C16F97"/>
    <w:rsid w:val="00C1707C"/>
    <w:rsid w:val="00C177D1"/>
    <w:rsid w:val="00C215B9"/>
    <w:rsid w:val="00C21CF0"/>
    <w:rsid w:val="00C22373"/>
    <w:rsid w:val="00C225C8"/>
    <w:rsid w:val="00C235D1"/>
    <w:rsid w:val="00C23CD3"/>
    <w:rsid w:val="00C23DA1"/>
    <w:rsid w:val="00C24017"/>
    <w:rsid w:val="00C2443D"/>
    <w:rsid w:val="00C244BB"/>
    <w:rsid w:val="00C25009"/>
    <w:rsid w:val="00C25247"/>
    <w:rsid w:val="00C25633"/>
    <w:rsid w:val="00C25AC3"/>
    <w:rsid w:val="00C25C4E"/>
    <w:rsid w:val="00C2605D"/>
    <w:rsid w:val="00C261B2"/>
    <w:rsid w:val="00C261E9"/>
    <w:rsid w:val="00C263FC"/>
    <w:rsid w:val="00C267D8"/>
    <w:rsid w:val="00C26966"/>
    <w:rsid w:val="00C276A4"/>
    <w:rsid w:val="00C27BA6"/>
    <w:rsid w:val="00C30776"/>
    <w:rsid w:val="00C30AD2"/>
    <w:rsid w:val="00C30D4C"/>
    <w:rsid w:val="00C30EE6"/>
    <w:rsid w:val="00C30F31"/>
    <w:rsid w:val="00C33214"/>
    <w:rsid w:val="00C3345B"/>
    <w:rsid w:val="00C35CCB"/>
    <w:rsid w:val="00C36182"/>
    <w:rsid w:val="00C36AEC"/>
    <w:rsid w:val="00C36C6B"/>
    <w:rsid w:val="00C36DD3"/>
    <w:rsid w:val="00C36F2E"/>
    <w:rsid w:val="00C36FF1"/>
    <w:rsid w:val="00C37D3E"/>
    <w:rsid w:val="00C37D98"/>
    <w:rsid w:val="00C4016A"/>
    <w:rsid w:val="00C4030B"/>
    <w:rsid w:val="00C40B1B"/>
    <w:rsid w:val="00C40B3C"/>
    <w:rsid w:val="00C4166C"/>
    <w:rsid w:val="00C41C2E"/>
    <w:rsid w:val="00C41CED"/>
    <w:rsid w:val="00C41E6E"/>
    <w:rsid w:val="00C42049"/>
    <w:rsid w:val="00C42132"/>
    <w:rsid w:val="00C422C9"/>
    <w:rsid w:val="00C42A7F"/>
    <w:rsid w:val="00C42E94"/>
    <w:rsid w:val="00C434D1"/>
    <w:rsid w:val="00C4362A"/>
    <w:rsid w:val="00C43DD2"/>
    <w:rsid w:val="00C44A27"/>
    <w:rsid w:val="00C45AE0"/>
    <w:rsid w:val="00C45B9A"/>
    <w:rsid w:val="00C4602A"/>
    <w:rsid w:val="00C46173"/>
    <w:rsid w:val="00C46177"/>
    <w:rsid w:val="00C472F4"/>
    <w:rsid w:val="00C474A4"/>
    <w:rsid w:val="00C47876"/>
    <w:rsid w:val="00C5073F"/>
    <w:rsid w:val="00C50DAD"/>
    <w:rsid w:val="00C5183E"/>
    <w:rsid w:val="00C518FE"/>
    <w:rsid w:val="00C51E14"/>
    <w:rsid w:val="00C5316C"/>
    <w:rsid w:val="00C53268"/>
    <w:rsid w:val="00C5346C"/>
    <w:rsid w:val="00C53872"/>
    <w:rsid w:val="00C53A07"/>
    <w:rsid w:val="00C53F89"/>
    <w:rsid w:val="00C54754"/>
    <w:rsid w:val="00C5482F"/>
    <w:rsid w:val="00C54841"/>
    <w:rsid w:val="00C54D34"/>
    <w:rsid w:val="00C555BE"/>
    <w:rsid w:val="00C55837"/>
    <w:rsid w:val="00C560A0"/>
    <w:rsid w:val="00C565C6"/>
    <w:rsid w:val="00C571D2"/>
    <w:rsid w:val="00C57AF5"/>
    <w:rsid w:val="00C60073"/>
    <w:rsid w:val="00C60300"/>
    <w:rsid w:val="00C60500"/>
    <w:rsid w:val="00C60D3B"/>
    <w:rsid w:val="00C60F3B"/>
    <w:rsid w:val="00C614C7"/>
    <w:rsid w:val="00C61525"/>
    <w:rsid w:val="00C61547"/>
    <w:rsid w:val="00C61C03"/>
    <w:rsid w:val="00C61FF8"/>
    <w:rsid w:val="00C627BC"/>
    <w:rsid w:val="00C627C4"/>
    <w:rsid w:val="00C628D7"/>
    <w:rsid w:val="00C62963"/>
    <w:rsid w:val="00C62973"/>
    <w:rsid w:val="00C62A2B"/>
    <w:rsid w:val="00C62BF8"/>
    <w:rsid w:val="00C62DE0"/>
    <w:rsid w:val="00C64047"/>
    <w:rsid w:val="00C64145"/>
    <w:rsid w:val="00C6429A"/>
    <w:rsid w:val="00C64A21"/>
    <w:rsid w:val="00C64CED"/>
    <w:rsid w:val="00C64E01"/>
    <w:rsid w:val="00C6537D"/>
    <w:rsid w:val="00C6631B"/>
    <w:rsid w:val="00C663F1"/>
    <w:rsid w:val="00C66688"/>
    <w:rsid w:val="00C66B55"/>
    <w:rsid w:val="00C66BDD"/>
    <w:rsid w:val="00C66CDD"/>
    <w:rsid w:val="00C66EC2"/>
    <w:rsid w:val="00C678EC"/>
    <w:rsid w:val="00C67D54"/>
    <w:rsid w:val="00C70101"/>
    <w:rsid w:val="00C7044C"/>
    <w:rsid w:val="00C7053B"/>
    <w:rsid w:val="00C70BA0"/>
    <w:rsid w:val="00C713FB"/>
    <w:rsid w:val="00C71759"/>
    <w:rsid w:val="00C71A61"/>
    <w:rsid w:val="00C723B1"/>
    <w:rsid w:val="00C72647"/>
    <w:rsid w:val="00C7269A"/>
    <w:rsid w:val="00C72FAF"/>
    <w:rsid w:val="00C731BC"/>
    <w:rsid w:val="00C731D1"/>
    <w:rsid w:val="00C73971"/>
    <w:rsid w:val="00C740E7"/>
    <w:rsid w:val="00C742A1"/>
    <w:rsid w:val="00C743C7"/>
    <w:rsid w:val="00C74427"/>
    <w:rsid w:val="00C74A9E"/>
    <w:rsid w:val="00C74C2D"/>
    <w:rsid w:val="00C74CB6"/>
    <w:rsid w:val="00C754B9"/>
    <w:rsid w:val="00C75702"/>
    <w:rsid w:val="00C760B3"/>
    <w:rsid w:val="00C76144"/>
    <w:rsid w:val="00C77330"/>
    <w:rsid w:val="00C77824"/>
    <w:rsid w:val="00C77ADD"/>
    <w:rsid w:val="00C77BC0"/>
    <w:rsid w:val="00C77D04"/>
    <w:rsid w:val="00C77D65"/>
    <w:rsid w:val="00C77FF3"/>
    <w:rsid w:val="00C80B1D"/>
    <w:rsid w:val="00C80D55"/>
    <w:rsid w:val="00C81A83"/>
    <w:rsid w:val="00C81E84"/>
    <w:rsid w:val="00C82C50"/>
    <w:rsid w:val="00C8376C"/>
    <w:rsid w:val="00C83DE8"/>
    <w:rsid w:val="00C8519E"/>
    <w:rsid w:val="00C85D88"/>
    <w:rsid w:val="00C860C4"/>
    <w:rsid w:val="00C863AD"/>
    <w:rsid w:val="00C8688B"/>
    <w:rsid w:val="00C86B44"/>
    <w:rsid w:val="00C870F2"/>
    <w:rsid w:val="00C878EB"/>
    <w:rsid w:val="00C90734"/>
    <w:rsid w:val="00C90869"/>
    <w:rsid w:val="00C90893"/>
    <w:rsid w:val="00C908C9"/>
    <w:rsid w:val="00C91E50"/>
    <w:rsid w:val="00C925A0"/>
    <w:rsid w:val="00C9266A"/>
    <w:rsid w:val="00C9306F"/>
    <w:rsid w:val="00C932E3"/>
    <w:rsid w:val="00C9367A"/>
    <w:rsid w:val="00C93738"/>
    <w:rsid w:val="00C9446C"/>
    <w:rsid w:val="00C946D1"/>
    <w:rsid w:val="00C94D56"/>
    <w:rsid w:val="00C94DF8"/>
    <w:rsid w:val="00C95A81"/>
    <w:rsid w:val="00C95B7A"/>
    <w:rsid w:val="00C95F65"/>
    <w:rsid w:val="00C95FB2"/>
    <w:rsid w:val="00C9607A"/>
    <w:rsid w:val="00C96313"/>
    <w:rsid w:val="00C96498"/>
    <w:rsid w:val="00C96AB3"/>
    <w:rsid w:val="00C96F88"/>
    <w:rsid w:val="00C979C0"/>
    <w:rsid w:val="00CA0758"/>
    <w:rsid w:val="00CA0F7B"/>
    <w:rsid w:val="00CA16EE"/>
    <w:rsid w:val="00CA1AFD"/>
    <w:rsid w:val="00CA1B78"/>
    <w:rsid w:val="00CA1BC8"/>
    <w:rsid w:val="00CA1D65"/>
    <w:rsid w:val="00CA2049"/>
    <w:rsid w:val="00CA2333"/>
    <w:rsid w:val="00CA30A7"/>
    <w:rsid w:val="00CA37CB"/>
    <w:rsid w:val="00CA3E15"/>
    <w:rsid w:val="00CA42C2"/>
    <w:rsid w:val="00CA442E"/>
    <w:rsid w:val="00CA452F"/>
    <w:rsid w:val="00CA4A30"/>
    <w:rsid w:val="00CA5175"/>
    <w:rsid w:val="00CA5B82"/>
    <w:rsid w:val="00CA62E4"/>
    <w:rsid w:val="00CA6C62"/>
    <w:rsid w:val="00CA786A"/>
    <w:rsid w:val="00CA78E1"/>
    <w:rsid w:val="00CA7CED"/>
    <w:rsid w:val="00CA7EA8"/>
    <w:rsid w:val="00CB04AF"/>
    <w:rsid w:val="00CB0599"/>
    <w:rsid w:val="00CB0E05"/>
    <w:rsid w:val="00CB122C"/>
    <w:rsid w:val="00CB126B"/>
    <w:rsid w:val="00CB1C04"/>
    <w:rsid w:val="00CB1F88"/>
    <w:rsid w:val="00CB22FC"/>
    <w:rsid w:val="00CB2AFA"/>
    <w:rsid w:val="00CB2C36"/>
    <w:rsid w:val="00CB339A"/>
    <w:rsid w:val="00CB3B7B"/>
    <w:rsid w:val="00CB4256"/>
    <w:rsid w:val="00CB5823"/>
    <w:rsid w:val="00CB58B2"/>
    <w:rsid w:val="00CB5A3A"/>
    <w:rsid w:val="00CB6470"/>
    <w:rsid w:val="00CB670E"/>
    <w:rsid w:val="00CB67AB"/>
    <w:rsid w:val="00CB6967"/>
    <w:rsid w:val="00CB729D"/>
    <w:rsid w:val="00CB743B"/>
    <w:rsid w:val="00CB7E02"/>
    <w:rsid w:val="00CC000C"/>
    <w:rsid w:val="00CC0153"/>
    <w:rsid w:val="00CC028D"/>
    <w:rsid w:val="00CC10D8"/>
    <w:rsid w:val="00CC1639"/>
    <w:rsid w:val="00CC1C10"/>
    <w:rsid w:val="00CC2BC9"/>
    <w:rsid w:val="00CC30C9"/>
    <w:rsid w:val="00CC33E9"/>
    <w:rsid w:val="00CC3A3A"/>
    <w:rsid w:val="00CC3D24"/>
    <w:rsid w:val="00CC47AD"/>
    <w:rsid w:val="00CC50B7"/>
    <w:rsid w:val="00CC598D"/>
    <w:rsid w:val="00CC642A"/>
    <w:rsid w:val="00CC6BDD"/>
    <w:rsid w:val="00CC7243"/>
    <w:rsid w:val="00CC72FC"/>
    <w:rsid w:val="00CC7331"/>
    <w:rsid w:val="00CC78FF"/>
    <w:rsid w:val="00CC7C89"/>
    <w:rsid w:val="00CD0368"/>
    <w:rsid w:val="00CD07DD"/>
    <w:rsid w:val="00CD07EF"/>
    <w:rsid w:val="00CD0A2A"/>
    <w:rsid w:val="00CD22D6"/>
    <w:rsid w:val="00CD233F"/>
    <w:rsid w:val="00CD25D4"/>
    <w:rsid w:val="00CD2D9B"/>
    <w:rsid w:val="00CD336D"/>
    <w:rsid w:val="00CD3690"/>
    <w:rsid w:val="00CD3BD8"/>
    <w:rsid w:val="00CD3C91"/>
    <w:rsid w:val="00CD492E"/>
    <w:rsid w:val="00CD49CF"/>
    <w:rsid w:val="00CD49D4"/>
    <w:rsid w:val="00CD4ED9"/>
    <w:rsid w:val="00CD56AF"/>
    <w:rsid w:val="00CD5AF1"/>
    <w:rsid w:val="00CD5C1E"/>
    <w:rsid w:val="00CD60D8"/>
    <w:rsid w:val="00CD6B87"/>
    <w:rsid w:val="00CD6F64"/>
    <w:rsid w:val="00CD7340"/>
    <w:rsid w:val="00CD76C8"/>
    <w:rsid w:val="00CD788A"/>
    <w:rsid w:val="00CE013A"/>
    <w:rsid w:val="00CE0615"/>
    <w:rsid w:val="00CE0E34"/>
    <w:rsid w:val="00CE2381"/>
    <w:rsid w:val="00CE2401"/>
    <w:rsid w:val="00CE2812"/>
    <w:rsid w:val="00CE2B04"/>
    <w:rsid w:val="00CE2EBA"/>
    <w:rsid w:val="00CE2F7D"/>
    <w:rsid w:val="00CE3106"/>
    <w:rsid w:val="00CE3729"/>
    <w:rsid w:val="00CE3B56"/>
    <w:rsid w:val="00CE3C2F"/>
    <w:rsid w:val="00CE4159"/>
    <w:rsid w:val="00CE458A"/>
    <w:rsid w:val="00CE4690"/>
    <w:rsid w:val="00CE4858"/>
    <w:rsid w:val="00CE4914"/>
    <w:rsid w:val="00CE4DD4"/>
    <w:rsid w:val="00CE63A1"/>
    <w:rsid w:val="00CE75FA"/>
    <w:rsid w:val="00CF00E3"/>
    <w:rsid w:val="00CF0620"/>
    <w:rsid w:val="00CF113B"/>
    <w:rsid w:val="00CF1F84"/>
    <w:rsid w:val="00CF2B30"/>
    <w:rsid w:val="00CF2DB6"/>
    <w:rsid w:val="00CF39CB"/>
    <w:rsid w:val="00CF3C73"/>
    <w:rsid w:val="00CF3EFE"/>
    <w:rsid w:val="00CF42A4"/>
    <w:rsid w:val="00CF42E9"/>
    <w:rsid w:val="00CF47B5"/>
    <w:rsid w:val="00CF47FE"/>
    <w:rsid w:val="00CF4D5C"/>
    <w:rsid w:val="00CF4D60"/>
    <w:rsid w:val="00CF602D"/>
    <w:rsid w:val="00CF6294"/>
    <w:rsid w:val="00CF6613"/>
    <w:rsid w:val="00CF66AE"/>
    <w:rsid w:val="00CF6716"/>
    <w:rsid w:val="00CF69DC"/>
    <w:rsid w:val="00CF7358"/>
    <w:rsid w:val="00CF75FB"/>
    <w:rsid w:val="00CF7785"/>
    <w:rsid w:val="00CF7A38"/>
    <w:rsid w:val="00D000C8"/>
    <w:rsid w:val="00D009E6"/>
    <w:rsid w:val="00D00BC4"/>
    <w:rsid w:val="00D00C3B"/>
    <w:rsid w:val="00D0134D"/>
    <w:rsid w:val="00D016AE"/>
    <w:rsid w:val="00D01CF0"/>
    <w:rsid w:val="00D02162"/>
    <w:rsid w:val="00D02177"/>
    <w:rsid w:val="00D028A2"/>
    <w:rsid w:val="00D02C4E"/>
    <w:rsid w:val="00D031D3"/>
    <w:rsid w:val="00D034B3"/>
    <w:rsid w:val="00D037F7"/>
    <w:rsid w:val="00D03C92"/>
    <w:rsid w:val="00D0627B"/>
    <w:rsid w:val="00D06446"/>
    <w:rsid w:val="00D07022"/>
    <w:rsid w:val="00D07A7E"/>
    <w:rsid w:val="00D07DB3"/>
    <w:rsid w:val="00D07E0B"/>
    <w:rsid w:val="00D1052B"/>
    <w:rsid w:val="00D10672"/>
    <w:rsid w:val="00D10763"/>
    <w:rsid w:val="00D10A0C"/>
    <w:rsid w:val="00D1137E"/>
    <w:rsid w:val="00D1352A"/>
    <w:rsid w:val="00D14A9E"/>
    <w:rsid w:val="00D14D5D"/>
    <w:rsid w:val="00D14D7D"/>
    <w:rsid w:val="00D15569"/>
    <w:rsid w:val="00D15EB4"/>
    <w:rsid w:val="00D16282"/>
    <w:rsid w:val="00D175D6"/>
    <w:rsid w:val="00D17AE7"/>
    <w:rsid w:val="00D20658"/>
    <w:rsid w:val="00D20799"/>
    <w:rsid w:val="00D20EFC"/>
    <w:rsid w:val="00D2118F"/>
    <w:rsid w:val="00D2272C"/>
    <w:rsid w:val="00D228E9"/>
    <w:rsid w:val="00D23612"/>
    <w:rsid w:val="00D23777"/>
    <w:rsid w:val="00D23959"/>
    <w:rsid w:val="00D24403"/>
    <w:rsid w:val="00D251E3"/>
    <w:rsid w:val="00D259F0"/>
    <w:rsid w:val="00D263C9"/>
    <w:rsid w:val="00D26692"/>
    <w:rsid w:val="00D26882"/>
    <w:rsid w:val="00D26AC9"/>
    <w:rsid w:val="00D26D8C"/>
    <w:rsid w:val="00D26E51"/>
    <w:rsid w:val="00D26E63"/>
    <w:rsid w:val="00D26F16"/>
    <w:rsid w:val="00D26FD8"/>
    <w:rsid w:val="00D27924"/>
    <w:rsid w:val="00D27B6E"/>
    <w:rsid w:val="00D305C6"/>
    <w:rsid w:val="00D32531"/>
    <w:rsid w:val="00D3311A"/>
    <w:rsid w:val="00D33EE8"/>
    <w:rsid w:val="00D3525F"/>
    <w:rsid w:val="00D352DE"/>
    <w:rsid w:val="00D35798"/>
    <w:rsid w:val="00D3672E"/>
    <w:rsid w:val="00D3674C"/>
    <w:rsid w:val="00D36BE9"/>
    <w:rsid w:val="00D36F69"/>
    <w:rsid w:val="00D37029"/>
    <w:rsid w:val="00D374A1"/>
    <w:rsid w:val="00D375CD"/>
    <w:rsid w:val="00D40672"/>
    <w:rsid w:val="00D406A5"/>
    <w:rsid w:val="00D40D67"/>
    <w:rsid w:val="00D412F7"/>
    <w:rsid w:val="00D41E76"/>
    <w:rsid w:val="00D423D3"/>
    <w:rsid w:val="00D427BD"/>
    <w:rsid w:val="00D42FC9"/>
    <w:rsid w:val="00D433BE"/>
    <w:rsid w:val="00D43A7C"/>
    <w:rsid w:val="00D43B40"/>
    <w:rsid w:val="00D43E96"/>
    <w:rsid w:val="00D44235"/>
    <w:rsid w:val="00D4446E"/>
    <w:rsid w:val="00D447F6"/>
    <w:rsid w:val="00D44A6A"/>
    <w:rsid w:val="00D44F10"/>
    <w:rsid w:val="00D454F4"/>
    <w:rsid w:val="00D45BB2"/>
    <w:rsid w:val="00D45D61"/>
    <w:rsid w:val="00D45E57"/>
    <w:rsid w:val="00D4724F"/>
    <w:rsid w:val="00D50B1D"/>
    <w:rsid w:val="00D510A5"/>
    <w:rsid w:val="00D51B39"/>
    <w:rsid w:val="00D52F6D"/>
    <w:rsid w:val="00D5345B"/>
    <w:rsid w:val="00D53700"/>
    <w:rsid w:val="00D53930"/>
    <w:rsid w:val="00D54372"/>
    <w:rsid w:val="00D54953"/>
    <w:rsid w:val="00D54BDF"/>
    <w:rsid w:val="00D54E49"/>
    <w:rsid w:val="00D54FC4"/>
    <w:rsid w:val="00D55022"/>
    <w:rsid w:val="00D55A92"/>
    <w:rsid w:val="00D55C3C"/>
    <w:rsid w:val="00D55C69"/>
    <w:rsid w:val="00D5638B"/>
    <w:rsid w:val="00D564A9"/>
    <w:rsid w:val="00D56B63"/>
    <w:rsid w:val="00D56C27"/>
    <w:rsid w:val="00D56DF4"/>
    <w:rsid w:val="00D60CBF"/>
    <w:rsid w:val="00D61BB1"/>
    <w:rsid w:val="00D625CF"/>
    <w:rsid w:val="00D625D3"/>
    <w:rsid w:val="00D6274B"/>
    <w:rsid w:val="00D62C5D"/>
    <w:rsid w:val="00D62FED"/>
    <w:rsid w:val="00D630E9"/>
    <w:rsid w:val="00D63478"/>
    <w:rsid w:val="00D63AB0"/>
    <w:rsid w:val="00D640B6"/>
    <w:rsid w:val="00D64265"/>
    <w:rsid w:val="00D645B8"/>
    <w:rsid w:val="00D64A6F"/>
    <w:rsid w:val="00D64DB8"/>
    <w:rsid w:val="00D64FA5"/>
    <w:rsid w:val="00D65FD1"/>
    <w:rsid w:val="00D66B3A"/>
    <w:rsid w:val="00D66DF2"/>
    <w:rsid w:val="00D670EB"/>
    <w:rsid w:val="00D67224"/>
    <w:rsid w:val="00D67225"/>
    <w:rsid w:val="00D67271"/>
    <w:rsid w:val="00D67372"/>
    <w:rsid w:val="00D674BE"/>
    <w:rsid w:val="00D700D4"/>
    <w:rsid w:val="00D70414"/>
    <w:rsid w:val="00D70423"/>
    <w:rsid w:val="00D708C3"/>
    <w:rsid w:val="00D71B78"/>
    <w:rsid w:val="00D71D3A"/>
    <w:rsid w:val="00D71F19"/>
    <w:rsid w:val="00D72429"/>
    <w:rsid w:val="00D72479"/>
    <w:rsid w:val="00D728E8"/>
    <w:rsid w:val="00D72BAF"/>
    <w:rsid w:val="00D7330E"/>
    <w:rsid w:val="00D7330F"/>
    <w:rsid w:val="00D73F4C"/>
    <w:rsid w:val="00D746CF"/>
    <w:rsid w:val="00D7492E"/>
    <w:rsid w:val="00D74C4A"/>
    <w:rsid w:val="00D75862"/>
    <w:rsid w:val="00D75ECF"/>
    <w:rsid w:val="00D767D7"/>
    <w:rsid w:val="00D76910"/>
    <w:rsid w:val="00D7691E"/>
    <w:rsid w:val="00D76ADD"/>
    <w:rsid w:val="00D76E8B"/>
    <w:rsid w:val="00D77413"/>
    <w:rsid w:val="00D77439"/>
    <w:rsid w:val="00D77CBD"/>
    <w:rsid w:val="00D77D43"/>
    <w:rsid w:val="00D77DD4"/>
    <w:rsid w:val="00D77EDE"/>
    <w:rsid w:val="00D81229"/>
    <w:rsid w:val="00D81260"/>
    <w:rsid w:val="00D816E6"/>
    <w:rsid w:val="00D81707"/>
    <w:rsid w:val="00D818A5"/>
    <w:rsid w:val="00D82BE1"/>
    <w:rsid w:val="00D8308F"/>
    <w:rsid w:val="00D849D1"/>
    <w:rsid w:val="00D84B94"/>
    <w:rsid w:val="00D8534A"/>
    <w:rsid w:val="00D85556"/>
    <w:rsid w:val="00D85564"/>
    <w:rsid w:val="00D863D0"/>
    <w:rsid w:val="00D86E42"/>
    <w:rsid w:val="00D871F4"/>
    <w:rsid w:val="00D87209"/>
    <w:rsid w:val="00D87CE9"/>
    <w:rsid w:val="00D90F15"/>
    <w:rsid w:val="00D91149"/>
    <w:rsid w:val="00D92048"/>
    <w:rsid w:val="00D9260C"/>
    <w:rsid w:val="00D929AC"/>
    <w:rsid w:val="00D93045"/>
    <w:rsid w:val="00D9305B"/>
    <w:rsid w:val="00D93C39"/>
    <w:rsid w:val="00D94039"/>
    <w:rsid w:val="00D959A4"/>
    <w:rsid w:val="00D96298"/>
    <w:rsid w:val="00D962E9"/>
    <w:rsid w:val="00D966C3"/>
    <w:rsid w:val="00D969E3"/>
    <w:rsid w:val="00D96DC1"/>
    <w:rsid w:val="00D9742C"/>
    <w:rsid w:val="00D97B35"/>
    <w:rsid w:val="00DA04E5"/>
    <w:rsid w:val="00DA05DD"/>
    <w:rsid w:val="00DA083E"/>
    <w:rsid w:val="00DA08E2"/>
    <w:rsid w:val="00DA10D3"/>
    <w:rsid w:val="00DA18F3"/>
    <w:rsid w:val="00DA1FE4"/>
    <w:rsid w:val="00DA27E7"/>
    <w:rsid w:val="00DA2F86"/>
    <w:rsid w:val="00DA3934"/>
    <w:rsid w:val="00DA3ABF"/>
    <w:rsid w:val="00DA4691"/>
    <w:rsid w:val="00DA46D8"/>
    <w:rsid w:val="00DA49E7"/>
    <w:rsid w:val="00DA59FA"/>
    <w:rsid w:val="00DA64FF"/>
    <w:rsid w:val="00DA6724"/>
    <w:rsid w:val="00DA69B3"/>
    <w:rsid w:val="00DA76D4"/>
    <w:rsid w:val="00DA76F7"/>
    <w:rsid w:val="00DA7BF9"/>
    <w:rsid w:val="00DA7F2E"/>
    <w:rsid w:val="00DB26E6"/>
    <w:rsid w:val="00DB2E63"/>
    <w:rsid w:val="00DB361F"/>
    <w:rsid w:val="00DB39D2"/>
    <w:rsid w:val="00DB3A18"/>
    <w:rsid w:val="00DB3ED3"/>
    <w:rsid w:val="00DB3F18"/>
    <w:rsid w:val="00DB43EF"/>
    <w:rsid w:val="00DB4547"/>
    <w:rsid w:val="00DB45B6"/>
    <w:rsid w:val="00DB4919"/>
    <w:rsid w:val="00DB4A41"/>
    <w:rsid w:val="00DB50DC"/>
    <w:rsid w:val="00DB5720"/>
    <w:rsid w:val="00DB6D2B"/>
    <w:rsid w:val="00DB7513"/>
    <w:rsid w:val="00DB75E9"/>
    <w:rsid w:val="00DB76F6"/>
    <w:rsid w:val="00DB7943"/>
    <w:rsid w:val="00DB7EF1"/>
    <w:rsid w:val="00DC017F"/>
    <w:rsid w:val="00DC0C13"/>
    <w:rsid w:val="00DC0CFF"/>
    <w:rsid w:val="00DC1952"/>
    <w:rsid w:val="00DC1CC3"/>
    <w:rsid w:val="00DC1CD7"/>
    <w:rsid w:val="00DC1D7A"/>
    <w:rsid w:val="00DC29E9"/>
    <w:rsid w:val="00DC35F0"/>
    <w:rsid w:val="00DC38A6"/>
    <w:rsid w:val="00DC3B89"/>
    <w:rsid w:val="00DC3E08"/>
    <w:rsid w:val="00DC433A"/>
    <w:rsid w:val="00DC43E8"/>
    <w:rsid w:val="00DC4459"/>
    <w:rsid w:val="00DC5AEA"/>
    <w:rsid w:val="00DC5D14"/>
    <w:rsid w:val="00DC600E"/>
    <w:rsid w:val="00DC6467"/>
    <w:rsid w:val="00DC6924"/>
    <w:rsid w:val="00DC69EC"/>
    <w:rsid w:val="00DC6B22"/>
    <w:rsid w:val="00DC6FA6"/>
    <w:rsid w:val="00DC7F46"/>
    <w:rsid w:val="00DC7F94"/>
    <w:rsid w:val="00DD0280"/>
    <w:rsid w:val="00DD0376"/>
    <w:rsid w:val="00DD05AD"/>
    <w:rsid w:val="00DD1474"/>
    <w:rsid w:val="00DD1F93"/>
    <w:rsid w:val="00DD2664"/>
    <w:rsid w:val="00DD2919"/>
    <w:rsid w:val="00DD33EF"/>
    <w:rsid w:val="00DD3D4D"/>
    <w:rsid w:val="00DD44AD"/>
    <w:rsid w:val="00DD4FE2"/>
    <w:rsid w:val="00DD6089"/>
    <w:rsid w:val="00DD69C6"/>
    <w:rsid w:val="00DD715E"/>
    <w:rsid w:val="00DD724B"/>
    <w:rsid w:val="00DD73D2"/>
    <w:rsid w:val="00DD7C9E"/>
    <w:rsid w:val="00DE0582"/>
    <w:rsid w:val="00DE0616"/>
    <w:rsid w:val="00DE0B8A"/>
    <w:rsid w:val="00DE11CC"/>
    <w:rsid w:val="00DE131C"/>
    <w:rsid w:val="00DE133A"/>
    <w:rsid w:val="00DE1594"/>
    <w:rsid w:val="00DE1649"/>
    <w:rsid w:val="00DE2526"/>
    <w:rsid w:val="00DE270C"/>
    <w:rsid w:val="00DE3065"/>
    <w:rsid w:val="00DE3ED0"/>
    <w:rsid w:val="00DE3FBB"/>
    <w:rsid w:val="00DE41C0"/>
    <w:rsid w:val="00DE41F9"/>
    <w:rsid w:val="00DE4B7F"/>
    <w:rsid w:val="00DE4B9C"/>
    <w:rsid w:val="00DE55BD"/>
    <w:rsid w:val="00DE5842"/>
    <w:rsid w:val="00DE611B"/>
    <w:rsid w:val="00DE634B"/>
    <w:rsid w:val="00DE661A"/>
    <w:rsid w:val="00DE6631"/>
    <w:rsid w:val="00DE6947"/>
    <w:rsid w:val="00DE6B66"/>
    <w:rsid w:val="00DE78FF"/>
    <w:rsid w:val="00DE7B8F"/>
    <w:rsid w:val="00DE7FA8"/>
    <w:rsid w:val="00DF0470"/>
    <w:rsid w:val="00DF058A"/>
    <w:rsid w:val="00DF0727"/>
    <w:rsid w:val="00DF1322"/>
    <w:rsid w:val="00DF14AF"/>
    <w:rsid w:val="00DF152F"/>
    <w:rsid w:val="00DF1645"/>
    <w:rsid w:val="00DF18F5"/>
    <w:rsid w:val="00DF268A"/>
    <w:rsid w:val="00DF2861"/>
    <w:rsid w:val="00DF29AB"/>
    <w:rsid w:val="00DF2E18"/>
    <w:rsid w:val="00DF35B9"/>
    <w:rsid w:val="00DF38BA"/>
    <w:rsid w:val="00DF3C4F"/>
    <w:rsid w:val="00DF3F1B"/>
    <w:rsid w:val="00DF47A8"/>
    <w:rsid w:val="00DF4AFE"/>
    <w:rsid w:val="00DF506E"/>
    <w:rsid w:val="00DF50A1"/>
    <w:rsid w:val="00DF50FF"/>
    <w:rsid w:val="00DF5168"/>
    <w:rsid w:val="00DF5C59"/>
    <w:rsid w:val="00DF5D4C"/>
    <w:rsid w:val="00DF5D71"/>
    <w:rsid w:val="00DF6381"/>
    <w:rsid w:val="00DF63A5"/>
    <w:rsid w:val="00DF6B5B"/>
    <w:rsid w:val="00DF6EA9"/>
    <w:rsid w:val="00DF71FF"/>
    <w:rsid w:val="00DF725D"/>
    <w:rsid w:val="00DF72D6"/>
    <w:rsid w:val="00DF7515"/>
    <w:rsid w:val="00DF76E0"/>
    <w:rsid w:val="00DF7F48"/>
    <w:rsid w:val="00E00316"/>
    <w:rsid w:val="00E0050A"/>
    <w:rsid w:val="00E00599"/>
    <w:rsid w:val="00E00CD7"/>
    <w:rsid w:val="00E010AF"/>
    <w:rsid w:val="00E02237"/>
    <w:rsid w:val="00E02736"/>
    <w:rsid w:val="00E02E61"/>
    <w:rsid w:val="00E033F2"/>
    <w:rsid w:val="00E0354F"/>
    <w:rsid w:val="00E03D76"/>
    <w:rsid w:val="00E041E4"/>
    <w:rsid w:val="00E042F5"/>
    <w:rsid w:val="00E04B5E"/>
    <w:rsid w:val="00E04B65"/>
    <w:rsid w:val="00E0529A"/>
    <w:rsid w:val="00E0570D"/>
    <w:rsid w:val="00E057D7"/>
    <w:rsid w:val="00E0593F"/>
    <w:rsid w:val="00E059D9"/>
    <w:rsid w:val="00E05B6B"/>
    <w:rsid w:val="00E06B94"/>
    <w:rsid w:val="00E06C2B"/>
    <w:rsid w:val="00E06FA9"/>
    <w:rsid w:val="00E075E4"/>
    <w:rsid w:val="00E07C9B"/>
    <w:rsid w:val="00E07F05"/>
    <w:rsid w:val="00E10362"/>
    <w:rsid w:val="00E10DE6"/>
    <w:rsid w:val="00E10EB0"/>
    <w:rsid w:val="00E11296"/>
    <w:rsid w:val="00E11651"/>
    <w:rsid w:val="00E11931"/>
    <w:rsid w:val="00E120BC"/>
    <w:rsid w:val="00E12F0E"/>
    <w:rsid w:val="00E1323D"/>
    <w:rsid w:val="00E134BE"/>
    <w:rsid w:val="00E1367F"/>
    <w:rsid w:val="00E13772"/>
    <w:rsid w:val="00E137FF"/>
    <w:rsid w:val="00E138F8"/>
    <w:rsid w:val="00E1390E"/>
    <w:rsid w:val="00E14222"/>
    <w:rsid w:val="00E14291"/>
    <w:rsid w:val="00E1438E"/>
    <w:rsid w:val="00E14493"/>
    <w:rsid w:val="00E14A23"/>
    <w:rsid w:val="00E151C7"/>
    <w:rsid w:val="00E15439"/>
    <w:rsid w:val="00E1543B"/>
    <w:rsid w:val="00E159E4"/>
    <w:rsid w:val="00E15AEE"/>
    <w:rsid w:val="00E160CF"/>
    <w:rsid w:val="00E16474"/>
    <w:rsid w:val="00E166E0"/>
    <w:rsid w:val="00E17D64"/>
    <w:rsid w:val="00E20257"/>
    <w:rsid w:val="00E2075D"/>
    <w:rsid w:val="00E20D72"/>
    <w:rsid w:val="00E21892"/>
    <w:rsid w:val="00E21BDF"/>
    <w:rsid w:val="00E21CB2"/>
    <w:rsid w:val="00E22AB0"/>
    <w:rsid w:val="00E235E0"/>
    <w:rsid w:val="00E237F9"/>
    <w:rsid w:val="00E2437B"/>
    <w:rsid w:val="00E24478"/>
    <w:rsid w:val="00E24F81"/>
    <w:rsid w:val="00E25121"/>
    <w:rsid w:val="00E25314"/>
    <w:rsid w:val="00E2569A"/>
    <w:rsid w:val="00E258FB"/>
    <w:rsid w:val="00E264D9"/>
    <w:rsid w:val="00E2728E"/>
    <w:rsid w:val="00E27EA2"/>
    <w:rsid w:val="00E27F7B"/>
    <w:rsid w:val="00E3007B"/>
    <w:rsid w:val="00E30251"/>
    <w:rsid w:val="00E30CE2"/>
    <w:rsid w:val="00E30E93"/>
    <w:rsid w:val="00E3129A"/>
    <w:rsid w:val="00E3149F"/>
    <w:rsid w:val="00E33D44"/>
    <w:rsid w:val="00E347C2"/>
    <w:rsid w:val="00E34971"/>
    <w:rsid w:val="00E352F6"/>
    <w:rsid w:val="00E364D5"/>
    <w:rsid w:val="00E36D5E"/>
    <w:rsid w:val="00E375AA"/>
    <w:rsid w:val="00E3787C"/>
    <w:rsid w:val="00E4003E"/>
    <w:rsid w:val="00E408DF"/>
    <w:rsid w:val="00E408E2"/>
    <w:rsid w:val="00E40D29"/>
    <w:rsid w:val="00E41881"/>
    <w:rsid w:val="00E41D74"/>
    <w:rsid w:val="00E42067"/>
    <w:rsid w:val="00E42239"/>
    <w:rsid w:val="00E42352"/>
    <w:rsid w:val="00E4247D"/>
    <w:rsid w:val="00E4483E"/>
    <w:rsid w:val="00E4533D"/>
    <w:rsid w:val="00E45A99"/>
    <w:rsid w:val="00E45D3C"/>
    <w:rsid w:val="00E46680"/>
    <w:rsid w:val="00E467DC"/>
    <w:rsid w:val="00E477EC"/>
    <w:rsid w:val="00E47C4A"/>
    <w:rsid w:val="00E50032"/>
    <w:rsid w:val="00E504EC"/>
    <w:rsid w:val="00E5074A"/>
    <w:rsid w:val="00E5093A"/>
    <w:rsid w:val="00E50B94"/>
    <w:rsid w:val="00E50DD3"/>
    <w:rsid w:val="00E518B8"/>
    <w:rsid w:val="00E519E2"/>
    <w:rsid w:val="00E5252E"/>
    <w:rsid w:val="00E527D2"/>
    <w:rsid w:val="00E52BFB"/>
    <w:rsid w:val="00E52CC0"/>
    <w:rsid w:val="00E52D96"/>
    <w:rsid w:val="00E533BA"/>
    <w:rsid w:val="00E5394E"/>
    <w:rsid w:val="00E53B5C"/>
    <w:rsid w:val="00E53E77"/>
    <w:rsid w:val="00E55A03"/>
    <w:rsid w:val="00E55A3E"/>
    <w:rsid w:val="00E55B3D"/>
    <w:rsid w:val="00E56337"/>
    <w:rsid w:val="00E568ED"/>
    <w:rsid w:val="00E56F39"/>
    <w:rsid w:val="00E571F9"/>
    <w:rsid w:val="00E5745A"/>
    <w:rsid w:val="00E57DFE"/>
    <w:rsid w:val="00E57E19"/>
    <w:rsid w:val="00E60131"/>
    <w:rsid w:val="00E60205"/>
    <w:rsid w:val="00E60B94"/>
    <w:rsid w:val="00E615A3"/>
    <w:rsid w:val="00E61CE6"/>
    <w:rsid w:val="00E62F8E"/>
    <w:rsid w:val="00E633B0"/>
    <w:rsid w:val="00E63B40"/>
    <w:rsid w:val="00E63F56"/>
    <w:rsid w:val="00E64274"/>
    <w:rsid w:val="00E648D1"/>
    <w:rsid w:val="00E64CAB"/>
    <w:rsid w:val="00E64F21"/>
    <w:rsid w:val="00E64FAB"/>
    <w:rsid w:val="00E65048"/>
    <w:rsid w:val="00E65078"/>
    <w:rsid w:val="00E6507D"/>
    <w:rsid w:val="00E65423"/>
    <w:rsid w:val="00E65A59"/>
    <w:rsid w:val="00E660B2"/>
    <w:rsid w:val="00E660CB"/>
    <w:rsid w:val="00E667D6"/>
    <w:rsid w:val="00E66A92"/>
    <w:rsid w:val="00E66B2F"/>
    <w:rsid w:val="00E6738B"/>
    <w:rsid w:val="00E6743C"/>
    <w:rsid w:val="00E67842"/>
    <w:rsid w:val="00E67940"/>
    <w:rsid w:val="00E709E9"/>
    <w:rsid w:val="00E70B61"/>
    <w:rsid w:val="00E70C70"/>
    <w:rsid w:val="00E70F54"/>
    <w:rsid w:val="00E7109E"/>
    <w:rsid w:val="00E71403"/>
    <w:rsid w:val="00E72CDC"/>
    <w:rsid w:val="00E732DC"/>
    <w:rsid w:val="00E749FE"/>
    <w:rsid w:val="00E74AE0"/>
    <w:rsid w:val="00E74B9B"/>
    <w:rsid w:val="00E74D58"/>
    <w:rsid w:val="00E75073"/>
    <w:rsid w:val="00E762BD"/>
    <w:rsid w:val="00E7657B"/>
    <w:rsid w:val="00E76D8C"/>
    <w:rsid w:val="00E771AE"/>
    <w:rsid w:val="00E7738F"/>
    <w:rsid w:val="00E77634"/>
    <w:rsid w:val="00E778F5"/>
    <w:rsid w:val="00E77E50"/>
    <w:rsid w:val="00E80077"/>
    <w:rsid w:val="00E800A0"/>
    <w:rsid w:val="00E80490"/>
    <w:rsid w:val="00E80768"/>
    <w:rsid w:val="00E80AC6"/>
    <w:rsid w:val="00E80D60"/>
    <w:rsid w:val="00E80EBD"/>
    <w:rsid w:val="00E8102B"/>
    <w:rsid w:val="00E811B6"/>
    <w:rsid w:val="00E818CB"/>
    <w:rsid w:val="00E81A9A"/>
    <w:rsid w:val="00E81AB3"/>
    <w:rsid w:val="00E8233E"/>
    <w:rsid w:val="00E8287A"/>
    <w:rsid w:val="00E830E6"/>
    <w:rsid w:val="00E83809"/>
    <w:rsid w:val="00E84761"/>
    <w:rsid w:val="00E8497A"/>
    <w:rsid w:val="00E84FA0"/>
    <w:rsid w:val="00E85096"/>
    <w:rsid w:val="00E85488"/>
    <w:rsid w:val="00E85638"/>
    <w:rsid w:val="00E8567B"/>
    <w:rsid w:val="00E8575A"/>
    <w:rsid w:val="00E85945"/>
    <w:rsid w:val="00E8677D"/>
    <w:rsid w:val="00E867ED"/>
    <w:rsid w:val="00E87025"/>
    <w:rsid w:val="00E87381"/>
    <w:rsid w:val="00E87917"/>
    <w:rsid w:val="00E87C3B"/>
    <w:rsid w:val="00E92524"/>
    <w:rsid w:val="00E92593"/>
    <w:rsid w:val="00E92832"/>
    <w:rsid w:val="00E92D98"/>
    <w:rsid w:val="00E93300"/>
    <w:rsid w:val="00E93350"/>
    <w:rsid w:val="00E93825"/>
    <w:rsid w:val="00E93B4C"/>
    <w:rsid w:val="00E94816"/>
    <w:rsid w:val="00E94A3B"/>
    <w:rsid w:val="00E9591B"/>
    <w:rsid w:val="00E95ABD"/>
    <w:rsid w:val="00E96114"/>
    <w:rsid w:val="00E97FB5"/>
    <w:rsid w:val="00EA0302"/>
    <w:rsid w:val="00EA033B"/>
    <w:rsid w:val="00EA066C"/>
    <w:rsid w:val="00EA09AF"/>
    <w:rsid w:val="00EA0A04"/>
    <w:rsid w:val="00EA0FF3"/>
    <w:rsid w:val="00EA157C"/>
    <w:rsid w:val="00EA1823"/>
    <w:rsid w:val="00EA1B9E"/>
    <w:rsid w:val="00EA1FEC"/>
    <w:rsid w:val="00EA38F7"/>
    <w:rsid w:val="00EA43F8"/>
    <w:rsid w:val="00EA4617"/>
    <w:rsid w:val="00EA4BA4"/>
    <w:rsid w:val="00EA4D1A"/>
    <w:rsid w:val="00EA5341"/>
    <w:rsid w:val="00EA5399"/>
    <w:rsid w:val="00EA5A59"/>
    <w:rsid w:val="00EA62B6"/>
    <w:rsid w:val="00EA69B3"/>
    <w:rsid w:val="00EA6A4E"/>
    <w:rsid w:val="00EA6AEE"/>
    <w:rsid w:val="00EA72F0"/>
    <w:rsid w:val="00EA768D"/>
    <w:rsid w:val="00EA7DC0"/>
    <w:rsid w:val="00EB0522"/>
    <w:rsid w:val="00EB0DED"/>
    <w:rsid w:val="00EB1170"/>
    <w:rsid w:val="00EB1246"/>
    <w:rsid w:val="00EB1321"/>
    <w:rsid w:val="00EB1CF7"/>
    <w:rsid w:val="00EB2178"/>
    <w:rsid w:val="00EB21EC"/>
    <w:rsid w:val="00EB221C"/>
    <w:rsid w:val="00EB2A41"/>
    <w:rsid w:val="00EB37D5"/>
    <w:rsid w:val="00EB3F57"/>
    <w:rsid w:val="00EB4766"/>
    <w:rsid w:val="00EB4BB9"/>
    <w:rsid w:val="00EB4E60"/>
    <w:rsid w:val="00EB5280"/>
    <w:rsid w:val="00EB5522"/>
    <w:rsid w:val="00EB587C"/>
    <w:rsid w:val="00EB5BFF"/>
    <w:rsid w:val="00EB5F30"/>
    <w:rsid w:val="00EB6A82"/>
    <w:rsid w:val="00EB73F8"/>
    <w:rsid w:val="00EB7CA2"/>
    <w:rsid w:val="00EC028F"/>
    <w:rsid w:val="00EC0299"/>
    <w:rsid w:val="00EC060B"/>
    <w:rsid w:val="00EC0A1A"/>
    <w:rsid w:val="00EC0E8A"/>
    <w:rsid w:val="00EC0F43"/>
    <w:rsid w:val="00EC1233"/>
    <w:rsid w:val="00EC13B8"/>
    <w:rsid w:val="00EC13CF"/>
    <w:rsid w:val="00EC14CC"/>
    <w:rsid w:val="00EC1C9C"/>
    <w:rsid w:val="00EC1DD5"/>
    <w:rsid w:val="00EC235C"/>
    <w:rsid w:val="00EC261C"/>
    <w:rsid w:val="00EC2E4E"/>
    <w:rsid w:val="00EC3751"/>
    <w:rsid w:val="00EC39BA"/>
    <w:rsid w:val="00EC39D4"/>
    <w:rsid w:val="00EC3C33"/>
    <w:rsid w:val="00EC402C"/>
    <w:rsid w:val="00EC45D0"/>
    <w:rsid w:val="00EC4A0A"/>
    <w:rsid w:val="00EC4B4E"/>
    <w:rsid w:val="00EC4D9D"/>
    <w:rsid w:val="00EC4E39"/>
    <w:rsid w:val="00EC563C"/>
    <w:rsid w:val="00EC5948"/>
    <w:rsid w:val="00EC602D"/>
    <w:rsid w:val="00EC6441"/>
    <w:rsid w:val="00EC722B"/>
    <w:rsid w:val="00EC7441"/>
    <w:rsid w:val="00EC78FC"/>
    <w:rsid w:val="00EC7FE5"/>
    <w:rsid w:val="00ED0059"/>
    <w:rsid w:val="00ED016F"/>
    <w:rsid w:val="00ED1800"/>
    <w:rsid w:val="00ED216D"/>
    <w:rsid w:val="00ED255C"/>
    <w:rsid w:val="00ED25D5"/>
    <w:rsid w:val="00ED2AD2"/>
    <w:rsid w:val="00ED2E78"/>
    <w:rsid w:val="00ED30C2"/>
    <w:rsid w:val="00ED31B4"/>
    <w:rsid w:val="00ED355E"/>
    <w:rsid w:val="00ED357A"/>
    <w:rsid w:val="00ED3614"/>
    <w:rsid w:val="00ED3C0F"/>
    <w:rsid w:val="00ED3DBE"/>
    <w:rsid w:val="00ED3EDC"/>
    <w:rsid w:val="00ED3F93"/>
    <w:rsid w:val="00ED3FB6"/>
    <w:rsid w:val="00ED4361"/>
    <w:rsid w:val="00ED4A8B"/>
    <w:rsid w:val="00ED4D04"/>
    <w:rsid w:val="00ED4D87"/>
    <w:rsid w:val="00ED5164"/>
    <w:rsid w:val="00ED56E4"/>
    <w:rsid w:val="00ED5AAB"/>
    <w:rsid w:val="00ED5DD8"/>
    <w:rsid w:val="00ED6909"/>
    <w:rsid w:val="00ED6B72"/>
    <w:rsid w:val="00ED72AC"/>
    <w:rsid w:val="00ED7E05"/>
    <w:rsid w:val="00ED7E52"/>
    <w:rsid w:val="00EE00EA"/>
    <w:rsid w:val="00EE04D0"/>
    <w:rsid w:val="00EE0D9D"/>
    <w:rsid w:val="00EE0E1F"/>
    <w:rsid w:val="00EE1393"/>
    <w:rsid w:val="00EE15C3"/>
    <w:rsid w:val="00EE1D57"/>
    <w:rsid w:val="00EE22C0"/>
    <w:rsid w:val="00EE2D24"/>
    <w:rsid w:val="00EE2F8F"/>
    <w:rsid w:val="00EE30C3"/>
    <w:rsid w:val="00EE3883"/>
    <w:rsid w:val="00EE391C"/>
    <w:rsid w:val="00EE46EF"/>
    <w:rsid w:val="00EE4C3B"/>
    <w:rsid w:val="00EE5464"/>
    <w:rsid w:val="00EE5F91"/>
    <w:rsid w:val="00EE7B4D"/>
    <w:rsid w:val="00EE7C8A"/>
    <w:rsid w:val="00EF0C32"/>
    <w:rsid w:val="00EF0C3E"/>
    <w:rsid w:val="00EF0CDE"/>
    <w:rsid w:val="00EF1A6F"/>
    <w:rsid w:val="00EF43BE"/>
    <w:rsid w:val="00EF4EC5"/>
    <w:rsid w:val="00EF5070"/>
    <w:rsid w:val="00EF5DE9"/>
    <w:rsid w:val="00EF6091"/>
    <w:rsid w:val="00EF62AD"/>
    <w:rsid w:val="00EF647F"/>
    <w:rsid w:val="00EF67FD"/>
    <w:rsid w:val="00EF6B41"/>
    <w:rsid w:val="00EF7243"/>
    <w:rsid w:val="00EF7A00"/>
    <w:rsid w:val="00F0271F"/>
    <w:rsid w:val="00F02A1B"/>
    <w:rsid w:val="00F02E0E"/>
    <w:rsid w:val="00F03780"/>
    <w:rsid w:val="00F038C6"/>
    <w:rsid w:val="00F04120"/>
    <w:rsid w:val="00F041D1"/>
    <w:rsid w:val="00F04BE1"/>
    <w:rsid w:val="00F04F38"/>
    <w:rsid w:val="00F055ED"/>
    <w:rsid w:val="00F0561E"/>
    <w:rsid w:val="00F058F4"/>
    <w:rsid w:val="00F06708"/>
    <w:rsid w:val="00F06893"/>
    <w:rsid w:val="00F06936"/>
    <w:rsid w:val="00F06A0C"/>
    <w:rsid w:val="00F073CE"/>
    <w:rsid w:val="00F073D3"/>
    <w:rsid w:val="00F07952"/>
    <w:rsid w:val="00F07A6B"/>
    <w:rsid w:val="00F07D91"/>
    <w:rsid w:val="00F100D0"/>
    <w:rsid w:val="00F10874"/>
    <w:rsid w:val="00F10B51"/>
    <w:rsid w:val="00F11332"/>
    <w:rsid w:val="00F11B0B"/>
    <w:rsid w:val="00F120A5"/>
    <w:rsid w:val="00F12800"/>
    <w:rsid w:val="00F12F61"/>
    <w:rsid w:val="00F12F6F"/>
    <w:rsid w:val="00F1331D"/>
    <w:rsid w:val="00F139F3"/>
    <w:rsid w:val="00F13E4E"/>
    <w:rsid w:val="00F1470A"/>
    <w:rsid w:val="00F148D5"/>
    <w:rsid w:val="00F14956"/>
    <w:rsid w:val="00F14A32"/>
    <w:rsid w:val="00F1517E"/>
    <w:rsid w:val="00F15C9A"/>
    <w:rsid w:val="00F16593"/>
    <w:rsid w:val="00F16CC9"/>
    <w:rsid w:val="00F17272"/>
    <w:rsid w:val="00F17BE7"/>
    <w:rsid w:val="00F17D33"/>
    <w:rsid w:val="00F17EB0"/>
    <w:rsid w:val="00F21535"/>
    <w:rsid w:val="00F21575"/>
    <w:rsid w:val="00F2184E"/>
    <w:rsid w:val="00F21E73"/>
    <w:rsid w:val="00F22CFE"/>
    <w:rsid w:val="00F22DD2"/>
    <w:rsid w:val="00F23310"/>
    <w:rsid w:val="00F23433"/>
    <w:rsid w:val="00F23603"/>
    <w:rsid w:val="00F237A3"/>
    <w:rsid w:val="00F2392F"/>
    <w:rsid w:val="00F23DE3"/>
    <w:rsid w:val="00F23E25"/>
    <w:rsid w:val="00F23F4B"/>
    <w:rsid w:val="00F247F2"/>
    <w:rsid w:val="00F249A5"/>
    <w:rsid w:val="00F24A98"/>
    <w:rsid w:val="00F2563E"/>
    <w:rsid w:val="00F25684"/>
    <w:rsid w:val="00F2650D"/>
    <w:rsid w:val="00F269F9"/>
    <w:rsid w:val="00F26DE8"/>
    <w:rsid w:val="00F26DFC"/>
    <w:rsid w:val="00F26FF3"/>
    <w:rsid w:val="00F2727E"/>
    <w:rsid w:val="00F27285"/>
    <w:rsid w:val="00F27A3E"/>
    <w:rsid w:val="00F306C4"/>
    <w:rsid w:val="00F30BDF"/>
    <w:rsid w:val="00F31B53"/>
    <w:rsid w:val="00F31BEF"/>
    <w:rsid w:val="00F320CA"/>
    <w:rsid w:val="00F32432"/>
    <w:rsid w:val="00F32663"/>
    <w:rsid w:val="00F3269E"/>
    <w:rsid w:val="00F32A5D"/>
    <w:rsid w:val="00F32CEF"/>
    <w:rsid w:val="00F335A4"/>
    <w:rsid w:val="00F339DC"/>
    <w:rsid w:val="00F34491"/>
    <w:rsid w:val="00F344E7"/>
    <w:rsid w:val="00F34DD2"/>
    <w:rsid w:val="00F34E9C"/>
    <w:rsid w:val="00F35098"/>
    <w:rsid w:val="00F3560B"/>
    <w:rsid w:val="00F3574B"/>
    <w:rsid w:val="00F3575C"/>
    <w:rsid w:val="00F36380"/>
    <w:rsid w:val="00F36452"/>
    <w:rsid w:val="00F36740"/>
    <w:rsid w:val="00F368CD"/>
    <w:rsid w:val="00F37329"/>
    <w:rsid w:val="00F3790C"/>
    <w:rsid w:val="00F401F5"/>
    <w:rsid w:val="00F40A37"/>
    <w:rsid w:val="00F41331"/>
    <w:rsid w:val="00F425B6"/>
    <w:rsid w:val="00F42AC0"/>
    <w:rsid w:val="00F42D10"/>
    <w:rsid w:val="00F42EA2"/>
    <w:rsid w:val="00F431E0"/>
    <w:rsid w:val="00F43343"/>
    <w:rsid w:val="00F433FC"/>
    <w:rsid w:val="00F43B23"/>
    <w:rsid w:val="00F43C97"/>
    <w:rsid w:val="00F43E5A"/>
    <w:rsid w:val="00F447C5"/>
    <w:rsid w:val="00F44F02"/>
    <w:rsid w:val="00F45575"/>
    <w:rsid w:val="00F45752"/>
    <w:rsid w:val="00F46A73"/>
    <w:rsid w:val="00F46C3F"/>
    <w:rsid w:val="00F46FFC"/>
    <w:rsid w:val="00F478CB"/>
    <w:rsid w:val="00F50ADC"/>
    <w:rsid w:val="00F51040"/>
    <w:rsid w:val="00F514B0"/>
    <w:rsid w:val="00F515C5"/>
    <w:rsid w:val="00F5161C"/>
    <w:rsid w:val="00F51ACB"/>
    <w:rsid w:val="00F5223B"/>
    <w:rsid w:val="00F523C4"/>
    <w:rsid w:val="00F52553"/>
    <w:rsid w:val="00F526E7"/>
    <w:rsid w:val="00F52DBC"/>
    <w:rsid w:val="00F53368"/>
    <w:rsid w:val="00F533F8"/>
    <w:rsid w:val="00F5452C"/>
    <w:rsid w:val="00F546F0"/>
    <w:rsid w:val="00F547D3"/>
    <w:rsid w:val="00F54C44"/>
    <w:rsid w:val="00F5574E"/>
    <w:rsid w:val="00F56A6F"/>
    <w:rsid w:val="00F56C37"/>
    <w:rsid w:val="00F56C90"/>
    <w:rsid w:val="00F56CE3"/>
    <w:rsid w:val="00F56DED"/>
    <w:rsid w:val="00F56EB5"/>
    <w:rsid w:val="00F572E2"/>
    <w:rsid w:val="00F577BD"/>
    <w:rsid w:val="00F57A10"/>
    <w:rsid w:val="00F57E83"/>
    <w:rsid w:val="00F60099"/>
    <w:rsid w:val="00F600A7"/>
    <w:rsid w:val="00F60504"/>
    <w:rsid w:val="00F60FF7"/>
    <w:rsid w:val="00F616A5"/>
    <w:rsid w:val="00F61A5F"/>
    <w:rsid w:val="00F62299"/>
    <w:rsid w:val="00F62440"/>
    <w:rsid w:val="00F63126"/>
    <w:rsid w:val="00F63309"/>
    <w:rsid w:val="00F63866"/>
    <w:rsid w:val="00F640AA"/>
    <w:rsid w:val="00F64739"/>
    <w:rsid w:val="00F6487F"/>
    <w:rsid w:val="00F64F53"/>
    <w:rsid w:val="00F65842"/>
    <w:rsid w:val="00F65966"/>
    <w:rsid w:val="00F661F9"/>
    <w:rsid w:val="00F66A5F"/>
    <w:rsid w:val="00F67000"/>
    <w:rsid w:val="00F703F9"/>
    <w:rsid w:val="00F704FB"/>
    <w:rsid w:val="00F70A47"/>
    <w:rsid w:val="00F71C10"/>
    <w:rsid w:val="00F72AD6"/>
    <w:rsid w:val="00F72C2A"/>
    <w:rsid w:val="00F7309C"/>
    <w:rsid w:val="00F737B3"/>
    <w:rsid w:val="00F73DF1"/>
    <w:rsid w:val="00F75284"/>
    <w:rsid w:val="00F7706E"/>
    <w:rsid w:val="00F77112"/>
    <w:rsid w:val="00F7727E"/>
    <w:rsid w:val="00F77A76"/>
    <w:rsid w:val="00F77FC2"/>
    <w:rsid w:val="00F77FC7"/>
    <w:rsid w:val="00F80624"/>
    <w:rsid w:val="00F80DC7"/>
    <w:rsid w:val="00F80DFC"/>
    <w:rsid w:val="00F80F8A"/>
    <w:rsid w:val="00F81A6E"/>
    <w:rsid w:val="00F824B5"/>
    <w:rsid w:val="00F832D0"/>
    <w:rsid w:val="00F83896"/>
    <w:rsid w:val="00F83B67"/>
    <w:rsid w:val="00F84399"/>
    <w:rsid w:val="00F848C8"/>
    <w:rsid w:val="00F84DBA"/>
    <w:rsid w:val="00F85275"/>
    <w:rsid w:val="00F85819"/>
    <w:rsid w:val="00F86478"/>
    <w:rsid w:val="00F86574"/>
    <w:rsid w:val="00F865EB"/>
    <w:rsid w:val="00F86A5C"/>
    <w:rsid w:val="00F870E0"/>
    <w:rsid w:val="00F8713F"/>
    <w:rsid w:val="00F87EC0"/>
    <w:rsid w:val="00F87EDA"/>
    <w:rsid w:val="00F90034"/>
    <w:rsid w:val="00F9009E"/>
    <w:rsid w:val="00F90161"/>
    <w:rsid w:val="00F90ACE"/>
    <w:rsid w:val="00F91718"/>
    <w:rsid w:val="00F91E38"/>
    <w:rsid w:val="00F920BD"/>
    <w:rsid w:val="00F92668"/>
    <w:rsid w:val="00F927A5"/>
    <w:rsid w:val="00F92EA2"/>
    <w:rsid w:val="00F932B0"/>
    <w:rsid w:val="00F937AC"/>
    <w:rsid w:val="00F93801"/>
    <w:rsid w:val="00F93E3C"/>
    <w:rsid w:val="00F9410C"/>
    <w:rsid w:val="00F945E7"/>
    <w:rsid w:val="00F95448"/>
    <w:rsid w:val="00F9573E"/>
    <w:rsid w:val="00F96060"/>
    <w:rsid w:val="00F96090"/>
    <w:rsid w:val="00F96273"/>
    <w:rsid w:val="00F9665C"/>
    <w:rsid w:val="00F9680E"/>
    <w:rsid w:val="00F96DD1"/>
    <w:rsid w:val="00F97161"/>
    <w:rsid w:val="00F97E3F"/>
    <w:rsid w:val="00FA0332"/>
    <w:rsid w:val="00FA0434"/>
    <w:rsid w:val="00FA0969"/>
    <w:rsid w:val="00FA0B00"/>
    <w:rsid w:val="00FA0CF3"/>
    <w:rsid w:val="00FA1418"/>
    <w:rsid w:val="00FA1A23"/>
    <w:rsid w:val="00FA1BBC"/>
    <w:rsid w:val="00FA1E17"/>
    <w:rsid w:val="00FA39BB"/>
    <w:rsid w:val="00FA3AA0"/>
    <w:rsid w:val="00FA3C24"/>
    <w:rsid w:val="00FA3D87"/>
    <w:rsid w:val="00FA43E9"/>
    <w:rsid w:val="00FA4E4D"/>
    <w:rsid w:val="00FA4FAD"/>
    <w:rsid w:val="00FA5FD2"/>
    <w:rsid w:val="00FA6467"/>
    <w:rsid w:val="00FA6C98"/>
    <w:rsid w:val="00FA6FBD"/>
    <w:rsid w:val="00FA6FD1"/>
    <w:rsid w:val="00FA707B"/>
    <w:rsid w:val="00FA70B6"/>
    <w:rsid w:val="00FB0160"/>
    <w:rsid w:val="00FB06C0"/>
    <w:rsid w:val="00FB0873"/>
    <w:rsid w:val="00FB100B"/>
    <w:rsid w:val="00FB15DB"/>
    <w:rsid w:val="00FB1C80"/>
    <w:rsid w:val="00FB23E6"/>
    <w:rsid w:val="00FB2D9C"/>
    <w:rsid w:val="00FB2F85"/>
    <w:rsid w:val="00FB3D2A"/>
    <w:rsid w:val="00FB3EDE"/>
    <w:rsid w:val="00FB4510"/>
    <w:rsid w:val="00FB4715"/>
    <w:rsid w:val="00FB553B"/>
    <w:rsid w:val="00FB5623"/>
    <w:rsid w:val="00FB5755"/>
    <w:rsid w:val="00FB59F8"/>
    <w:rsid w:val="00FB5ACC"/>
    <w:rsid w:val="00FB69CB"/>
    <w:rsid w:val="00FB6A21"/>
    <w:rsid w:val="00FB7CD3"/>
    <w:rsid w:val="00FC0090"/>
    <w:rsid w:val="00FC02BE"/>
    <w:rsid w:val="00FC04B0"/>
    <w:rsid w:val="00FC0C19"/>
    <w:rsid w:val="00FC1881"/>
    <w:rsid w:val="00FC2F4A"/>
    <w:rsid w:val="00FC301C"/>
    <w:rsid w:val="00FC38C1"/>
    <w:rsid w:val="00FC3A4C"/>
    <w:rsid w:val="00FC3A53"/>
    <w:rsid w:val="00FC3CDE"/>
    <w:rsid w:val="00FC450C"/>
    <w:rsid w:val="00FC4C93"/>
    <w:rsid w:val="00FC4D31"/>
    <w:rsid w:val="00FC5176"/>
    <w:rsid w:val="00FC54BE"/>
    <w:rsid w:val="00FC56F5"/>
    <w:rsid w:val="00FC5822"/>
    <w:rsid w:val="00FC58AF"/>
    <w:rsid w:val="00FC6119"/>
    <w:rsid w:val="00FC643E"/>
    <w:rsid w:val="00FC6D89"/>
    <w:rsid w:val="00FC6EDF"/>
    <w:rsid w:val="00FC7A40"/>
    <w:rsid w:val="00FC7B17"/>
    <w:rsid w:val="00FC7B24"/>
    <w:rsid w:val="00FD0829"/>
    <w:rsid w:val="00FD0D6B"/>
    <w:rsid w:val="00FD140C"/>
    <w:rsid w:val="00FD1811"/>
    <w:rsid w:val="00FD1DE7"/>
    <w:rsid w:val="00FD248D"/>
    <w:rsid w:val="00FD2553"/>
    <w:rsid w:val="00FD2652"/>
    <w:rsid w:val="00FD29AE"/>
    <w:rsid w:val="00FD3089"/>
    <w:rsid w:val="00FD3502"/>
    <w:rsid w:val="00FD3980"/>
    <w:rsid w:val="00FD3FB2"/>
    <w:rsid w:val="00FD4CAD"/>
    <w:rsid w:val="00FD5236"/>
    <w:rsid w:val="00FD5C7D"/>
    <w:rsid w:val="00FD6459"/>
    <w:rsid w:val="00FD6B8F"/>
    <w:rsid w:val="00FD6FE8"/>
    <w:rsid w:val="00FD7038"/>
    <w:rsid w:val="00FD7659"/>
    <w:rsid w:val="00FD7A1C"/>
    <w:rsid w:val="00FD7A3F"/>
    <w:rsid w:val="00FD7EF4"/>
    <w:rsid w:val="00FE1108"/>
    <w:rsid w:val="00FE12F3"/>
    <w:rsid w:val="00FE230C"/>
    <w:rsid w:val="00FE2C18"/>
    <w:rsid w:val="00FE2CE9"/>
    <w:rsid w:val="00FE314A"/>
    <w:rsid w:val="00FE3CF4"/>
    <w:rsid w:val="00FE520B"/>
    <w:rsid w:val="00FE5348"/>
    <w:rsid w:val="00FE5424"/>
    <w:rsid w:val="00FE5CEA"/>
    <w:rsid w:val="00FE5EAF"/>
    <w:rsid w:val="00FE61C8"/>
    <w:rsid w:val="00FE737F"/>
    <w:rsid w:val="00FE7DDA"/>
    <w:rsid w:val="00FF0A1A"/>
    <w:rsid w:val="00FF0B07"/>
    <w:rsid w:val="00FF0D75"/>
    <w:rsid w:val="00FF16FF"/>
    <w:rsid w:val="00FF17F4"/>
    <w:rsid w:val="00FF1878"/>
    <w:rsid w:val="00FF1C63"/>
    <w:rsid w:val="00FF1C8D"/>
    <w:rsid w:val="00FF1D81"/>
    <w:rsid w:val="00FF20E0"/>
    <w:rsid w:val="00FF2A33"/>
    <w:rsid w:val="00FF3D01"/>
    <w:rsid w:val="00FF4234"/>
    <w:rsid w:val="00FF466F"/>
    <w:rsid w:val="00FF491A"/>
    <w:rsid w:val="00FF519A"/>
    <w:rsid w:val="00FF55E2"/>
    <w:rsid w:val="00FF596A"/>
    <w:rsid w:val="00FF7C87"/>
    <w:rsid w:val="00FF7E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5B99"/>
  <w15:docId w15:val="{F3950691-4001-4970-947A-443AD5F1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95F65"/>
    <w:pPr>
      <w:keepNext/>
      <w:numPr>
        <w:numId w:val="90"/>
      </w:numPr>
      <w:spacing w:before="240" w:after="240"/>
      <w:ind w:left="1004"/>
      <w:jc w:val="both"/>
      <w:outlineLvl w:val="0"/>
    </w:pPr>
    <w:rPr>
      <w:rFonts w:ascii="Times New Roman Bold" w:eastAsia="Times New Roman" w:hAnsi="Times New Roman Bold" w:cs="Arial"/>
      <w:b/>
      <w:bCs/>
      <w:color w:val="000000"/>
      <w:kern w:val="32"/>
      <w:szCs w:val="32"/>
      <w:lang w:eastAsia="en-US"/>
    </w:rPr>
  </w:style>
  <w:style w:type="paragraph" w:styleId="Titre2">
    <w:name w:val="heading 2"/>
    <w:basedOn w:val="Normal"/>
    <w:next w:val="Normal"/>
    <w:link w:val="Titre2Car"/>
    <w:uiPriority w:val="9"/>
    <w:qFormat/>
    <w:rsid w:val="00095F65"/>
    <w:pPr>
      <w:keepNext/>
      <w:numPr>
        <w:ilvl w:val="1"/>
        <w:numId w:val="90"/>
      </w:numPr>
      <w:spacing w:before="120" w:after="240"/>
      <w:outlineLvl w:val="1"/>
    </w:pPr>
    <w:rPr>
      <w:rFonts w:ascii="Times New Roman Bold" w:eastAsia="Times New Roman" w:hAnsi="Times New Roman Bold" w:cs="Arial"/>
      <w:b/>
      <w:bCs/>
      <w:color w:val="000000"/>
      <w:szCs w:val="28"/>
      <w:lang w:eastAsia="en-US"/>
    </w:rPr>
  </w:style>
  <w:style w:type="paragraph" w:styleId="Titre3">
    <w:name w:val="heading 3"/>
    <w:basedOn w:val="Normal"/>
    <w:next w:val="Normal"/>
    <w:link w:val="Titre3Car"/>
    <w:autoRedefine/>
    <w:uiPriority w:val="9"/>
    <w:unhideWhenUsed/>
    <w:qFormat/>
    <w:rsid w:val="00095F65"/>
    <w:pPr>
      <w:keepNext/>
      <w:keepLines/>
      <w:spacing w:before="40"/>
      <w:jc w:val="center"/>
      <w:outlineLvl w:val="2"/>
    </w:pPr>
    <w:rPr>
      <w:rFonts w:asciiTheme="majorHAnsi" w:eastAsiaTheme="majorEastAsia" w:hAnsiTheme="majorHAnsi" w:cs="Times New Roman (Titres CS)"/>
      <w:b/>
      <w:i/>
      <w:caps/>
      <w:color w:val="000000" w:themeColor="text1"/>
      <w:sz w:val="22"/>
      <w:lang w:eastAsia="fr-FR"/>
    </w:rPr>
  </w:style>
  <w:style w:type="paragraph" w:styleId="Titre5">
    <w:name w:val="heading 5"/>
    <w:basedOn w:val="Normal"/>
    <w:next w:val="Normal"/>
    <w:link w:val="Titre5Car"/>
    <w:autoRedefine/>
    <w:uiPriority w:val="9"/>
    <w:unhideWhenUsed/>
    <w:qFormat/>
    <w:rsid w:val="00095F65"/>
    <w:pPr>
      <w:keepNext/>
      <w:keepLines/>
      <w:spacing w:before="40"/>
      <w:jc w:val="center"/>
      <w:outlineLvl w:val="4"/>
    </w:pPr>
    <w:rPr>
      <w:rFonts w:ascii="Times New Roman" w:eastAsiaTheme="majorEastAsia" w:hAnsi="Times New Roman" w:cstheme="majorBidi"/>
      <w:i/>
      <w:color w:val="000000" w:themeColor="text1"/>
      <w:sz w:val="22"/>
      <w:lang w:eastAsia="fr-FR"/>
    </w:rPr>
  </w:style>
  <w:style w:type="paragraph" w:styleId="Titre6">
    <w:name w:val="heading 6"/>
    <w:basedOn w:val="Normal"/>
    <w:next w:val="Normal"/>
    <w:link w:val="Titre6Car"/>
    <w:autoRedefine/>
    <w:uiPriority w:val="9"/>
    <w:unhideWhenUsed/>
    <w:qFormat/>
    <w:rsid w:val="00095F65"/>
    <w:pPr>
      <w:keepNext/>
      <w:keepLines/>
      <w:numPr>
        <w:ilvl w:val="5"/>
        <w:numId w:val="106"/>
      </w:numPr>
      <w:suppressAutoHyphens/>
      <w:autoSpaceDN w:val="0"/>
      <w:spacing w:before="40" w:after="200" w:line="276" w:lineRule="auto"/>
      <w:jc w:val="center"/>
      <w:textAlignment w:val="baseline"/>
      <w:outlineLvl w:val="5"/>
    </w:pPr>
    <w:rPr>
      <w:rFonts w:ascii="Calibri" w:eastAsiaTheme="majorEastAsia" w:hAnsi="Calibri" w:cstheme="majorBidi"/>
      <w:i/>
      <w:color w:val="000000" w:themeColor="text1"/>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6AD"/>
    <w:pPr>
      <w:suppressAutoHyphens/>
      <w:autoSpaceDN w:val="0"/>
      <w:spacing w:before="100" w:beforeAutospacing="1" w:after="200" w:afterAutospacing="1" w:line="276" w:lineRule="auto"/>
      <w:ind w:left="720"/>
      <w:jc w:val="both"/>
      <w:textAlignment w:val="baseline"/>
    </w:pPr>
    <w:rPr>
      <w:rFonts w:ascii="Arial" w:hAnsi="Arial" w:cs="Arial"/>
    </w:rPr>
  </w:style>
  <w:style w:type="paragraph" w:styleId="Pieddepage">
    <w:name w:val="footer"/>
    <w:basedOn w:val="Normal"/>
    <w:link w:val="PieddepageCar"/>
    <w:uiPriority w:val="99"/>
    <w:unhideWhenUsed/>
    <w:rsid w:val="003C3691"/>
    <w:pPr>
      <w:tabs>
        <w:tab w:val="center" w:pos="4153"/>
        <w:tab w:val="right" w:pos="8306"/>
      </w:tabs>
    </w:pPr>
  </w:style>
  <w:style w:type="character" w:customStyle="1" w:styleId="PieddepageCar">
    <w:name w:val="Pied de page Car"/>
    <w:basedOn w:val="Policepardfaut"/>
    <w:link w:val="Pieddepage"/>
    <w:uiPriority w:val="99"/>
    <w:rsid w:val="003C3691"/>
  </w:style>
  <w:style w:type="character" w:styleId="Numrodepage">
    <w:name w:val="page number"/>
    <w:basedOn w:val="Policepardfaut"/>
    <w:uiPriority w:val="99"/>
    <w:semiHidden/>
    <w:unhideWhenUsed/>
    <w:rsid w:val="003C3691"/>
  </w:style>
  <w:style w:type="paragraph" w:styleId="Textedebulles">
    <w:name w:val="Balloon Text"/>
    <w:basedOn w:val="Normal"/>
    <w:link w:val="TextedebullesCar"/>
    <w:uiPriority w:val="99"/>
    <w:semiHidden/>
    <w:unhideWhenUsed/>
    <w:rsid w:val="000970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7029"/>
    <w:rPr>
      <w:rFonts w:ascii="Lucida Grande" w:hAnsi="Lucida Grande" w:cs="Lucida Grande"/>
      <w:sz w:val="18"/>
      <w:szCs w:val="18"/>
    </w:rPr>
  </w:style>
  <w:style w:type="paragraph" w:styleId="NormalWeb">
    <w:name w:val="Normal (Web)"/>
    <w:basedOn w:val="Normal"/>
    <w:uiPriority w:val="99"/>
    <w:unhideWhenUsed/>
    <w:rsid w:val="009F0D1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754779"/>
  </w:style>
  <w:style w:type="character" w:styleId="Lienhypertexte">
    <w:name w:val="Hyperlink"/>
    <w:basedOn w:val="Policepardfaut"/>
    <w:uiPriority w:val="99"/>
    <w:semiHidden/>
    <w:unhideWhenUsed/>
    <w:rsid w:val="007433C9"/>
    <w:rPr>
      <w:color w:val="0000FF"/>
      <w:u w:val="single"/>
    </w:rPr>
  </w:style>
  <w:style w:type="character" w:styleId="Titredulivre">
    <w:name w:val="Book Title"/>
    <w:basedOn w:val="Policepardfaut"/>
    <w:uiPriority w:val="33"/>
    <w:qFormat/>
    <w:rsid w:val="00BA379E"/>
    <w:rPr>
      <w:b/>
      <w:bCs/>
      <w:smallCaps/>
      <w:spacing w:val="5"/>
    </w:rPr>
  </w:style>
  <w:style w:type="character" w:styleId="Rfrenceintense">
    <w:name w:val="Intense Reference"/>
    <w:basedOn w:val="Policepardfaut"/>
    <w:uiPriority w:val="32"/>
    <w:qFormat/>
    <w:rsid w:val="008506AD"/>
    <w:rPr>
      <w:b/>
      <w:bCs/>
      <w:smallCaps/>
      <w:color w:val="C0504D" w:themeColor="accent2"/>
      <w:spacing w:val="5"/>
      <w:u w:val="single"/>
    </w:rPr>
  </w:style>
  <w:style w:type="character" w:styleId="Emphaseintense">
    <w:name w:val="Intense Emphasis"/>
    <w:basedOn w:val="Policepardfaut"/>
    <w:uiPriority w:val="21"/>
    <w:qFormat/>
    <w:rsid w:val="008506AD"/>
    <w:rPr>
      <w:b/>
      <w:bCs/>
      <w:i/>
      <w:iCs/>
      <w:color w:val="4F81BD" w:themeColor="accent1"/>
    </w:rPr>
  </w:style>
  <w:style w:type="character" w:styleId="Marquedecommentaire">
    <w:name w:val="annotation reference"/>
    <w:basedOn w:val="Policepardfaut"/>
    <w:uiPriority w:val="99"/>
    <w:semiHidden/>
    <w:unhideWhenUsed/>
    <w:rsid w:val="00EB4E60"/>
    <w:rPr>
      <w:sz w:val="16"/>
      <w:szCs w:val="16"/>
    </w:rPr>
  </w:style>
  <w:style w:type="paragraph" w:styleId="Commentaire">
    <w:name w:val="annotation text"/>
    <w:basedOn w:val="Normal"/>
    <w:link w:val="CommentaireCar"/>
    <w:uiPriority w:val="99"/>
    <w:unhideWhenUsed/>
    <w:rsid w:val="00EB4E60"/>
    <w:pPr>
      <w:suppressAutoHyphens/>
      <w:autoSpaceDN w:val="0"/>
      <w:spacing w:after="200"/>
      <w:textAlignment w:val="baseline"/>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EB4E6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83516"/>
    <w:pPr>
      <w:suppressAutoHyphens w:val="0"/>
      <w:autoSpaceDN/>
      <w:spacing w:after="0"/>
      <w:textAlignment w:val="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83516"/>
    <w:rPr>
      <w:rFonts w:ascii="Calibri" w:eastAsia="Calibri" w:hAnsi="Calibri" w:cs="Times New Roman"/>
      <w:b/>
      <w:bCs/>
      <w:sz w:val="20"/>
      <w:szCs w:val="20"/>
    </w:rPr>
  </w:style>
  <w:style w:type="paragraph" w:styleId="Rvision">
    <w:name w:val="Revision"/>
    <w:hidden/>
    <w:uiPriority w:val="99"/>
    <w:semiHidden/>
    <w:rsid w:val="00D67372"/>
  </w:style>
  <w:style w:type="paragraph" w:styleId="En-tte">
    <w:name w:val="header"/>
    <w:basedOn w:val="Normal"/>
    <w:link w:val="En-tteCar"/>
    <w:uiPriority w:val="99"/>
    <w:unhideWhenUsed/>
    <w:rsid w:val="005C6DCD"/>
    <w:pPr>
      <w:tabs>
        <w:tab w:val="center" w:pos="4153"/>
        <w:tab w:val="right" w:pos="8306"/>
      </w:tabs>
    </w:pPr>
  </w:style>
  <w:style w:type="character" w:customStyle="1" w:styleId="En-tteCar">
    <w:name w:val="En-tête Car"/>
    <w:basedOn w:val="Policepardfaut"/>
    <w:link w:val="En-tte"/>
    <w:uiPriority w:val="99"/>
    <w:rsid w:val="005C6DCD"/>
  </w:style>
  <w:style w:type="table" w:styleId="Grilledutableau">
    <w:name w:val="Table Grid"/>
    <w:basedOn w:val="TableauNormal"/>
    <w:uiPriority w:val="39"/>
    <w:rsid w:val="00A7426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4AD"/>
    <w:pPr>
      <w:autoSpaceDE w:val="0"/>
      <w:autoSpaceDN w:val="0"/>
      <w:adjustRightInd w:val="0"/>
    </w:pPr>
    <w:rPr>
      <w:rFonts w:ascii="Calibri" w:hAnsi="Calibri" w:cs="Calibri"/>
      <w:color w:val="000000"/>
    </w:rPr>
  </w:style>
  <w:style w:type="character" w:styleId="lev">
    <w:name w:val="Strong"/>
    <w:basedOn w:val="Policepardfaut"/>
    <w:uiPriority w:val="22"/>
    <w:qFormat/>
    <w:rsid w:val="00765E7A"/>
    <w:rPr>
      <w:b/>
      <w:bCs/>
    </w:rPr>
  </w:style>
  <w:style w:type="character" w:customStyle="1" w:styleId="Titre1Car">
    <w:name w:val="Titre 1 Car"/>
    <w:basedOn w:val="Policepardfaut"/>
    <w:link w:val="Titre1"/>
    <w:uiPriority w:val="9"/>
    <w:rsid w:val="00095F65"/>
    <w:rPr>
      <w:rFonts w:ascii="Times New Roman Bold" w:eastAsia="Times New Roman" w:hAnsi="Times New Roman Bold" w:cs="Arial"/>
      <w:b/>
      <w:bCs/>
      <w:color w:val="000000"/>
      <w:kern w:val="32"/>
      <w:szCs w:val="32"/>
      <w:lang w:eastAsia="en-US"/>
    </w:rPr>
  </w:style>
  <w:style w:type="character" w:customStyle="1" w:styleId="Titre2Car">
    <w:name w:val="Titre 2 Car"/>
    <w:basedOn w:val="Policepardfaut"/>
    <w:link w:val="Titre2"/>
    <w:uiPriority w:val="9"/>
    <w:rsid w:val="00095F65"/>
    <w:rPr>
      <w:rFonts w:ascii="Times New Roman Bold" w:eastAsia="Times New Roman" w:hAnsi="Times New Roman Bold" w:cs="Arial"/>
      <w:b/>
      <w:bCs/>
      <w:color w:val="000000"/>
      <w:szCs w:val="28"/>
      <w:lang w:eastAsia="en-US"/>
    </w:rPr>
  </w:style>
  <w:style w:type="character" w:customStyle="1" w:styleId="Titre3Car">
    <w:name w:val="Titre 3 Car"/>
    <w:basedOn w:val="Policepardfaut"/>
    <w:link w:val="Titre3"/>
    <w:uiPriority w:val="9"/>
    <w:rsid w:val="00095F65"/>
    <w:rPr>
      <w:rFonts w:asciiTheme="majorHAnsi" w:eastAsiaTheme="majorEastAsia" w:hAnsiTheme="majorHAnsi" w:cs="Times New Roman (Titres CS)"/>
      <w:b/>
      <w:i/>
      <w:caps/>
      <w:color w:val="000000" w:themeColor="text1"/>
      <w:sz w:val="22"/>
      <w:lang w:eastAsia="fr-FR"/>
    </w:rPr>
  </w:style>
  <w:style w:type="character" w:customStyle="1" w:styleId="Titre5Car">
    <w:name w:val="Titre 5 Car"/>
    <w:basedOn w:val="Policepardfaut"/>
    <w:link w:val="Titre5"/>
    <w:uiPriority w:val="9"/>
    <w:rsid w:val="00095F65"/>
    <w:rPr>
      <w:rFonts w:ascii="Times New Roman" w:eastAsiaTheme="majorEastAsia" w:hAnsi="Times New Roman" w:cstheme="majorBidi"/>
      <w:i/>
      <w:color w:val="000000" w:themeColor="text1"/>
      <w:sz w:val="22"/>
      <w:lang w:eastAsia="fr-FR"/>
    </w:rPr>
  </w:style>
  <w:style w:type="character" w:customStyle="1" w:styleId="Titre6Car">
    <w:name w:val="Titre 6 Car"/>
    <w:basedOn w:val="Policepardfaut"/>
    <w:link w:val="Titre6"/>
    <w:uiPriority w:val="9"/>
    <w:rsid w:val="00095F65"/>
    <w:rPr>
      <w:rFonts w:ascii="Calibri" w:eastAsiaTheme="majorEastAsia" w:hAnsi="Calibri" w:cstheme="majorBidi"/>
      <w:i/>
      <w:color w:val="000000" w:themeColor="text1"/>
      <w:sz w:val="22"/>
      <w:szCs w:val="22"/>
      <w:lang w:eastAsia="fr-FR"/>
    </w:rPr>
  </w:style>
  <w:style w:type="paragraph" w:styleId="Notedebasdepage">
    <w:name w:val="footnote text"/>
    <w:basedOn w:val="Normal"/>
    <w:link w:val="NotedebasdepageCar"/>
    <w:uiPriority w:val="99"/>
    <w:unhideWhenUsed/>
    <w:rsid w:val="00095F65"/>
    <w:pPr>
      <w:suppressAutoHyphens/>
      <w:autoSpaceDN w:val="0"/>
      <w:textAlignment w:val="baseline"/>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095F65"/>
    <w:rPr>
      <w:rFonts w:ascii="Calibri" w:eastAsia="Calibri" w:hAnsi="Calibri" w:cs="Times New Roman"/>
      <w:lang w:eastAsia="en-US"/>
    </w:rPr>
  </w:style>
  <w:style w:type="character" w:styleId="Appelnotedebasdep">
    <w:name w:val="footnote reference"/>
    <w:basedOn w:val="Policepardfaut"/>
    <w:uiPriority w:val="99"/>
    <w:unhideWhenUsed/>
    <w:rsid w:val="00095F65"/>
    <w:rPr>
      <w:vertAlign w:val="superscript"/>
    </w:rPr>
  </w:style>
  <w:style w:type="paragraph" w:customStyle="1" w:styleId="Normal1">
    <w:name w:val="Normal1"/>
    <w:basedOn w:val="Normal"/>
    <w:rsid w:val="00095F65"/>
    <w:pPr>
      <w:spacing w:before="100" w:beforeAutospacing="1" w:after="100" w:afterAutospacing="1"/>
    </w:pPr>
    <w:rPr>
      <w:rFonts w:ascii="Times New Roman" w:eastAsia="Times New Roman" w:hAnsi="Times New Roman" w:cs="Times New Roman"/>
      <w:lang w:val="en-US" w:eastAsia="en-US"/>
    </w:rPr>
  </w:style>
  <w:style w:type="character" w:styleId="Accentuation">
    <w:name w:val="Emphasis"/>
    <w:basedOn w:val="Policepardfaut"/>
    <w:uiPriority w:val="20"/>
    <w:qFormat/>
    <w:rsid w:val="00095F65"/>
    <w:rPr>
      <w:i/>
      <w:iCs/>
    </w:rPr>
  </w:style>
  <w:style w:type="paragraph" w:customStyle="1" w:styleId="Normal2">
    <w:name w:val="Normal2"/>
    <w:basedOn w:val="Normal"/>
    <w:rsid w:val="00095F65"/>
    <w:pPr>
      <w:spacing w:before="100" w:beforeAutospacing="1" w:after="100" w:afterAutospacing="1"/>
    </w:pPr>
    <w:rPr>
      <w:rFonts w:ascii="Times New Roman" w:eastAsia="Times New Roman" w:hAnsi="Times New Roman" w:cs="Times New Roman"/>
      <w:lang w:val="en-US" w:eastAsia="en-US"/>
    </w:rPr>
  </w:style>
  <w:style w:type="paragraph" w:styleId="Sansinterligne">
    <w:name w:val="No Spacing"/>
    <w:uiPriority w:val="1"/>
    <w:qFormat/>
    <w:rsid w:val="009D70A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908">
      <w:bodyDiv w:val="1"/>
      <w:marLeft w:val="0"/>
      <w:marRight w:val="0"/>
      <w:marTop w:val="0"/>
      <w:marBottom w:val="0"/>
      <w:divBdr>
        <w:top w:val="none" w:sz="0" w:space="0" w:color="auto"/>
        <w:left w:val="none" w:sz="0" w:space="0" w:color="auto"/>
        <w:bottom w:val="none" w:sz="0" w:space="0" w:color="auto"/>
        <w:right w:val="none" w:sz="0" w:space="0" w:color="auto"/>
      </w:divBdr>
    </w:div>
    <w:div w:id="22367534">
      <w:bodyDiv w:val="1"/>
      <w:marLeft w:val="0"/>
      <w:marRight w:val="0"/>
      <w:marTop w:val="0"/>
      <w:marBottom w:val="0"/>
      <w:divBdr>
        <w:top w:val="none" w:sz="0" w:space="0" w:color="auto"/>
        <w:left w:val="none" w:sz="0" w:space="0" w:color="auto"/>
        <w:bottom w:val="none" w:sz="0" w:space="0" w:color="auto"/>
        <w:right w:val="none" w:sz="0" w:space="0" w:color="auto"/>
      </w:divBdr>
      <w:divsChild>
        <w:div w:id="443883005">
          <w:marLeft w:val="0"/>
          <w:marRight w:val="0"/>
          <w:marTop w:val="0"/>
          <w:marBottom w:val="0"/>
          <w:divBdr>
            <w:top w:val="none" w:sz="0" w:space="0" w:color="auto"/>
            <w:left w:val="none" w:sz="0" w:space="0" w:color="auto"/>
            <w:bottom w:val="none" w:sz="0" w:space="0" w:color="auto"/>
            <w:right w:val="none" w:sz="0" w:space="0" w:color="auto"/>
          </w:divBdr>
          <w:divsChild>
            <w:div w:id="43219190">
              <w:marLeft w:val="0"/>
              <w:marRight w:val="0"/>
              <w:marTop w:val="0"/>
              <w:marBottom w:val="0"/>
              <w:divBdr>
                <w:top w:val="none" w:sz="0" w:space="0" w:color="auto"/>
                <w:left w:val="none" w:sz="0" w:space="0" w:color="auto"/>
                <w:bottom w:val="none" w:sz="0" w:space="0" w:color="auto"/>
                <w:right w:val="none" w:sz="0" w:space="0" w:color="auto"/>
              </w:divBdr>
              <w:divsChild>
                <w:div w:id="1092969418">
                  <w:marLeft w:val="0"/>
                  <w:marRight w:val="0"/>
                  <w:marTop w:val="0"/>
                  <w:marBottom w:val="0"/>
                  <w:divBdr>
                    <w:top w:val="none" w:sz="0" w:space="0" w:color="auto"/>
                    <w:left w:val="none" w:sz="0" w:space="0" w:color="auto"/>
                    <w:bottom w:val="none" w:sz="0" w:space="0" w:color="auto"/>
                    <w:right w:val="none" w:sz="0" w:space="0" w:color="auto"/>
                  </w:divBdr>
                </w:div>
                <w:div w:id="1590263026">
                  <w:marLeft w:val="0"/>
                  <w:marRight w:val="0"/>
                  <w:marTop w:val="0"/>
                  <w:marBottom w:val="0"/>
                  <w:divBdr>
                    <w:top w:val="none" w:sz="0" w:space="0" w:color="auto"/>
                    <w:left w:val="none" w:sz="0" w:space="0" w:color="auto"/>
                    <w:bottom w:val="none" w:sz="0" w:space="0" w:color="auto"/>
                    <w:right w:val="none" w:sz="0" w:space="0" w:color="auto"/>
                  </w:divBdr>
                </w:div>
              </w:divsChild>
            </w:div>
            <w:div w:id="49114528">
              <w:marLeft w:val="0"/>
              <w:marRight w:val="0"/>
              <w:marTop w:val="0"/>
              <w:marBottom w:val="0"/>
              <w:divBdr>
                <w:top w:val="none" w:sz="0" w:space="0" w:color="auto"/>
                <w:left w:val="none" w:sz="0" w:space="0" w:color="auto"/>
                <w:bottom w:val="none" w:sz="0" w:space="0" w:color="auto"/>
                <w:right w:val="none" w:sz="0" w:space="0" w:color="auto"/>
              </w:divBdr>
              <w:divsChild>
                <w:div w:id="690690790">
                  <w:marLeft w:val="0"/>
                  <w:marRight w:val="0"/>
                  <w:marTop w:val="0"/>
                  <w:marBottom w:val="0"/>
                  <w:divBdr>
                    <w:top w:val="none" w:sz="0" w:space="0" w:color="auto"/>
                    <w:left w:val="none" w:sz="0" w:space="0" w:color="auto"/>
                    <w:bottom w:val="none" w:sz="0" w:space="0" w:color="auto"/>
                    <w:right w:val="none" w:sz="0" w:space="0" w:color="auto"/>
                  </w:divBdr>
                </w:div>
              </w:divsChild>
            </w:div>
            <w:div w:id="172886304">
              <w:marLeft w:val="0"/>
              <w:marRight w:val="0"/>
              <w:marTop w:val="0"/>
              <w:marBottom w:val="0"/>
              <w:divBdr>
                <w:top w:val="none" w:sz="0" w:space="0" w:color="auto"/>
                <w:left w:val="none" w:sz="0" w:space="0" w:color="auto"/>
                <w:bottom w:val="none" w:sz="0" w:space="0" w:color="auto"/>
                <w:right w:val="none" w:sz="0" w:space="0" w:color="auto"/>
              </w:divBdr>
              <w:divsChild>
                <w:div w:id="1946689261">
                  <w:marLeft w:val="0"/>
                  <w:marRight w:val="0"/>
                  <w:marTop w:val="0"/>
                  <w:marBottom w:val="0"/>
                  <w:divBdr>
                    <w:top w:val="none" w:sz="0" w:space="0" w:color="auto"/>
                    <w:left w:val="none" w:sz="0" w:space="0" w:color="auto"/>
                    <w:bottom w:val="none" w:sz="0" w:space="0" w:color="auto"/>
                    <w:right w:val="none" w:sz="0" w:space="0" w:color="auto"/>
                  </w:divBdr>
                </w:div>
              </w:divsChild>
            </w:div>
            <w:div w:id="1741713857">
              <w:marLeft w:val="0"/>
              <w:marRight w:val="0"/>
              <w:marTop w:val="0"/>
              <w:marBottom w:val="0"/>
              <w:divBdr>
                <w:top w:val="none" w:sz="0" w:space="0" w:color="auto"/>
                <w:left w:val="none" w:sz="0" w:space="0" w:color="auto"/>
                <w:bottom w:val="none" w:sz="0" w:space="0" w:color="auto"/>
                <w:right w:val="none" w:sz="0" w:space="0" w:color="auto"/>
              </w:divBdr>
              <w:divsChild>
                <w:div w:id="36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7161">
          <w:marLeft w:val="0"/>
          <w:marRight w:val="0"/>
          <w:marTop w:val="0"/>
          <w:marBottom w:val="0"/>
          <w:divBdr>
            <w:top w:val="none" w:sz="0" w:space="0" w:color="auto"/>
            <w:left w:val="none" w:sz="0" w:space="0" w:color="auto"/>
            <w:bottom w:val="none" w:sz="0" w:space="0" w:color="auto"/>
            <w:right w:val="none" w:sz="0" w:space="0" w:color="auto"/>
          </w:divBdr>
          <w:divsChild>
            <w:div w:id="554241188">
              <w:marLeft w:val="0"/>
              <w:marRight w:val="0"/>
              <w:marTop w:val="0"/>
              <w:marBottom w:val="0"/>
              <w:divBdr>
                <w:top w:val="none" w:sz="0" w:space="0" w:color="auto"/>
                <w:left w:val="none" w:sz="0" w:space="0" w:color="auto"/>
                <w:bottom w:val="none" w:sz="0" w:space="0" w:color="auto"/>
                <w:right w:val="none" w:sz="0" w:space="0" w:color="auto"/>
              </w:divBdr>
              <w:divsChild>
                <w:div w:id="3804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38">
      <w:bodyDiv w:val="1"/>
      <w:marLeft w:val="0"/>
      <w:marRight w:val="0"/>
      <w:marTop w:val="0"/>
      <w:marBottom w:val="0"/>
      <w:divBdr>
        <w:top w:val="none" w:sz="0" w:space="0" w:color="auto"/>
        <w:left w:val="none" w:sz="0" w:space="0" w:color="auto"/>
        <w:bottom w:val="none" w:sz="0" w:space="0" w:color="auto"/>
        <w:right w:val="none" w:sz="0" w:space="0" w:color="auto"/>
      </w:divBdr>
    </w:div>
    <w:div w:id="125201007">
      <w:bodyDiv w:val="1"/>
      <w:marLeft w:val="0"/>
      <w:marRight w:val="0"/>
      <w:marTop w:val="0"/>
      <w:marBottom w:val="0"/>
      <w:divBdr>
        <w:top w:val="none" w:sz="0" w:space="0" w:color="auto"/>
        <w:left w:val="none" w:sz="0" w:space="0" w:color="auto"/>
        <w:bottom w:val="none" w:sz="0" w:space="0" w:color="auto"/>
        <w:right w:val="none" w:sz="0" w:space="0" w:color="auto"/>
      </w:divBdr>
    </w:div>
    <w:div w:id="145362780">
      <w:bodyDiv w:val="1"/>
      <w:marLeft w:val="0"/>
      <w:marRight w:val="0"/>
      <w:marTop w:val="0"/>
      <w:marBottom w:val="0"/>
      <w:divBdr>
        <w:top w:val="none" w:sz="0" w:space="0" w:color="auto"/>
        <w:left w:val="none" w:sz="0" w:space="0" w:color="auto"/>
        <w:bottom w:val="none" w:sz="0" w:space="0" w:color="auto"/>
        <w:right w:val="none" w:sz="0" w:space="0" w:color="auto"/>
      </w:divBdr>
      <w:divsChild>
        <w:div w:id="637683504">
          <w:marLeft w:val="0"/>
          <w:marRight w:val="0"/>
          <w:marTop w:val="0"/>
          <w:marBottom w:val="0"/>
          <w:divBdr>
            <w:top w:val="none" w:sz="0" w:space="0" w:color="auto"/>
            <w:left w:val="none" w:sz="0" w:space="0" w:color="auto"/>
            <w:bottom w:val="none" w:sz="0" w:space="0" w:color="auto"/>
            <w:right w:val="none" w:sz="0" w:space="0" w:color="auto"/>
          </w:divBdr>
          <w:divsChild>
            <w:div w:id="1252197053">
              <w:marLeft w:val="0"/>
              <w:marRight w:val="0"/>
              <w:marTop w:val="0"/>
              <w:marBottom w:val="0"/>
              <w:divBdr>
                <w:top w:val="none" w:sz="0" w:space="0" w:color="auto"/>
                <w:left w:val="none" w:sz="0" w:space="0" w:color="auto"/>
                <w:bottom w:val="none" w:sz="0" w:space="0" w:color="auto"/>
                <w:right w:val="none" w:sz="0" w:space="0" w:color="auto"/>
              </w:divBdr>
              <w:divsChild>
                <w:div w:id="20803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354">
      <w:bodyDiv w:val="1"/>
      <w:marLeft w:val="0"/>
      <w:marRight w:val="0"/>
      <w:marTop w:val="0"/>
      <w:marBottom w:val="0"/>
      <w:divBdr>
        <w:top w:val="none" w:sz="0" w:space="0" w:color="auto"/>
        <w:left w:val="none" w:sz="0" w:space="0" w:color="auto"/>
        <w:bottom w:val="none" w:sz="0" w:space="0" w:color="auto"/>
        <w:right w:val="none" w:sz="0" w:space="0" w:color="auto"/>
      </w:divBdr>
    </w:div>
    <w:div w:id="184104405">
      <w:bodyDiv w:val="1"/>
      <w:marLeft w:val="0"/>
      <w:marRight w:val="0"/>
      <w:marTop w:val="0"/>
      <w:marBottom w:val="0"/>
      <w:divBdr>
        <w:top w:val="none" w:sz="0" w:space="0" w:color="auto"/>
        <w:left w:val="none" w:sz="0" w:space="0" w:color="auto"/>
        <w:bottom w:val="none" w:sz="0" w:space="0" w:color="auto"/>
        <w:right w:val="none" w:sz="0" w:space="0" w:color="auto"/>
      </w:divBdr>
    </w:div>
    <w:div w:id="262619068">
      <w:bodyDiv w:val="1"/>
      <w:marLeft w:val="0"/>
      <w:marRight w:val="0"/>
      <w:marTop w:val="0"/>
      <w:marBottom w:val="0"/>
      <w:divBdr>
        <w:top w:val="none" w:sz="0" w:space="0" w:color="auto"/>
        <w:left w:val="none" w:sz="0" w:space="0" w:color="auto"/>
        <w:bottom w:val="none" w:sz="0" w:space="0" w:color="auto"/>
        <w:right w:val="none" w:sz="0" w:space="0" w:color="auto"/>
      </w:divBdr>
      <w:divsChild>
        <w:div w:id="36054206">
          <w:marLeft w:val="0"/>
          <w:marRight w:val="0"/>
          <w:marTop w:val="525"/>
          <w:marBottom w:val="525"/>
          <w:divBdr>
            <w:top w:val="none" w:sz="0" w:space="0" w:color="auto"/>
            <w:left w:val="none" w:sz="0" w:space="0" w:color="auto"/>
            <w:bottom w:val="none" w:sz="0" w:space="0" w:color="auto"/>
            <w:right w:val="none" w:sz="0" w:space="0" w:color="auto"/>
          </w:divBdr>
          <w:divsChild>
            <w:div w:id="973021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9359919">
      <w:bodyDiv w:val="1"/>
      <w:marLeft w:val="0"/>
      <w:marRight w:val="0"/>
      <w:marTop w:val="0"/>
      <w:marBottom w:val="0"/>
      <w:divBdr>
        <w:top w:val="none" w:sz="0" w:space="0" w:color="auto"/>
        <w:left w:val="none" w:sz="0" w:space="0" w:color="auto"/>
        <w:bottom w:val="none" w:sz="0" w:space="0" w:color="auto"/>
        <w:right w:val="none" w:sz="0" w:space="0" w:color="auto"/>
      </w:divBdr>
    </w:div>
    <w:div w:id="300966891">
      <w:bodyDiv w:val="1"/>
      <w:marLeft w:val="0"/>
      <w:marRight w:val="0"/>
      <w:marTop w:val="0"/>
      <w:marBottom w:val="0"/>
      <w:divBdr>
        <w:top w:val="none" w:sz="0" w:space="0" w:color="auto"/>
        <w:left w:val="none" w:sz="0" w:space="0" w:color="auto"/>
        <w:bottom w:val="none" w:sz="0" w:space="0" w:color="auto"/>
        <w:right w:val="none" w:sz="0" w:space="0" w:color="auto"/>
      </w:divBdr>
      <w:divsChild>
        <w:div w:id="2083402783">
          <w:marLeft w:val="0"/>
          <w:marRight w:val="0"/>
          <w:marTop w:val="525"/>
          <w:marBottom w:val="525"/>
          <w:divBdr>
            <w:top w:val="none" w:sz="0" w:space="0" w:color="auto"/>
            <w:left w:val="none" w:sz="0" w:space="0" w:color="auto"/>
            <w:bottom w:val="none" w:sz="0" w:space="0" w:color="auto"/>
            <w:right w:val="none" w:sz="0" w:space="0" w:color="auto"/>
          </w:divBdr>
          <w:divsChild>
            <w:div w:id="409154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4283541">
      <w:bodyDiv w:val="1"/>
      <w:marLeft w:val="0"/>
      <w:marRight w:val="0"/>
      <w:marTop w:val="0"/>
      <w:marBottom w:val="0"/>
      <w:divBdr>
        <w:top w:val="none" w:sz="0" w:space="0" w:color="auto"/>
        <w:left w:val="none" w:sz="0" w:space="0" w:color="auto"/>
        <w:bottom w:val="none" w:sz="0" w:space="0" w:color="auto"/>
        <w:right w:val="none" w:sz="0" w:space="0" w:color="auto"/>
      </w:divBdr>
      <w:divsChild>
        <w:div w:id="2135903088">
          <w:marLeft w:val="0"/>
          <w:marRight w:val="0"/>
          <w:marTop w:val="525"/>
          <w:marBottom w:val="525"/>
          <w:divBdr>
            <w:top w:val="none" w:sz="0" w:space="0" w:color="auto"/>
            <w:left w:val="none" w:sz="0" w:space="0" w:color="auto"/>
            <w:bottom w:val="none" w:sz="0" w:space="0" w:color="auto"/>
            <w:right w:val="none" w:sz="0" w:space="0" w:color="auto"/>
          </w:divBdr>
          <w:divsChild>
            <w:div w:id="8869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78893319">
      <w:bodyDiv w:val="1"/>
      <w:marLeft w:val="0"/>
      <w:marRight w:val="0"/>
      <w:marTop w:val="0"/>
      <w:marBottom w:val="0"/>
      <w:divBdr>
        <w:top w:val="none" w:sz="0" w:space="0" w:color="auto"/>
        <w:left w:val="none" w:sz="0" w:space="0" w:color="auto"/>
        <w:bottom w:val="none" w:sz="0" w:space="0" w:color="auto"/>
        <w:right w:val="none" w:sz="0" w:space="0" w:color="auto"/>
      </w:divBdr>
    </w:div>
    <w:div w:id="462886178">
      <w:bodyDiv w:val="1"/>
      <w:marLeft w:val="0"/>
      <w:marRight w:val="0"/>
      <w:marTop w:val="0"/>
      <w:marBottom w:val="0"/>
      <w:divBdr>
        <w:top w:val="none" w:sz="0" w:space="0" w:color="auto"/>
        <w:left w:val="none" w:sz="0" w:space="0" w:color="auto"/>
        <w:bottom w:val="none" w:sz="0" w:space="0" w:color="auto"/>
        <w:right w:val="none" w:sz="0" w:space="0" w:color="auto"/>
      </w:divBdr>
      <w:divsChild>
        <w:div w:id="1173842168">
          <w:marLeft w:val="0"/>
          <w:marRight w:val="0"/>
          <w:marTop w:val="525"/>
          <w:marBottom w:val="525"/>
          <w:divBdr>
            <w:top w:val="none" w:sz="0" w:space="0" w:color="auto"/>
            <w:left w:val="none" w:sz="0" w:space="0" w:color="auto"/>
            <w:bottom w:val="none" w:sz="0" w:space="0" w:color="auto"/>
            <w:right w:val="none" w:sz="0" w:space="0" w:color="auto"/>
          </w:divBdr>
          <w:divsChild>
            <w:div w:id="7153950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6895740">
      <w:bodyDiv w:val="1"/>
      <w:marLeft w:val="0"/>
      <w:marRight w:val="0"/>
      <w:marTop w:val="0"/>
      <w:marBottom w:val="0"/>
      <w:divBdr>
        <w:top w:val="none" w:sz="0" w:space="0" w:color="auto"/>
        <w:left w:val="none" w:sz="0" w:space="0" w:color="auto"/>
        <w:bottom w:val="none" w:sz="0" w:space="0" w:color="auto"/>
        <w:right w:val="none" w:sz="0" w:space="0" w:color="auto"/>
      </w:divBdr>
      <w:divsChild>
        <w:div w:id="1959020813">
          <w:marLeft w:val="0"/>
          <w:marRight w:val="0"/>
          <w:marTop w:val="0"/>
          <w:marBottom w:val="0"/>
          <w:divBdr>
            <w:top w:val="none" w:sz="0" w:space="0" w:color="auto"/>
            <w:left w:val="none" w:sz="0" w:space="0" w:color="auto"/>
            <w:bottom w:val="none" w:sz="0" w:space="0" w:color="auto"/>
            <w:right w:val="none" w:sz="0" w:space="0" w:color="auto"/>
          </w:divBdr>
          <w:divsChild>
            <w:div w:id="315308299">
              <w:marLeft w:val="0"/>
              <w:marRight w:val="0"/>
              <w:marTop w:val="0"/>
              <w:marBottom w:val="0"/>
              <w:divBdr>
                <w:top w:val="none" w:sz="0" w:space="0" w:color="auto"/>
                <w:left w:val="none" w:sz="0" w:space="0" w:color="auto"/>
                <w:bottom w:val="none" w:sz="0" w:space="0" w:color="auto"/>
                <w:right w:val="none" w:sz="0" w:space="0" w:color="auto"/>
              </w:divBdr>
              <w:divsChild>
                <w:div w:id="706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6272">
      <w:bodyDiv w:val="1"/>
      <w:marLeft w:val="0"/>
      <w:marRight w:val="0"/>
      <w:marTop w:val="0"/>
      <w:marBottom w:val="0"/>
      <w:divBdr>
        <w:top w:val="none" w:sz="0" w:space="0" w:color="auto"/>
        <w:left w:val="none" w:sz="0" w:space="0" w:color="auto"/>
        <w:bottom w:val="none" w:sz="0" w:space="0" w:color="auto"/>
        <w:right w:val="none" w:sz="0" w:space="0" w:color="auto"/>
      </w:divBdr>
      <w:divsChild>
        <w:div w:id="1926107478">
          <w:marLeft w:val="0"/>
          <w:marRight w:val="0"/>
          <w:marTop w:val="0"/>
          <w:marBottom w:val="0"/>
          <w:divBdr>
            <w:top w:val="none" w:sz="0" w:space="0" w:color="auto"/>
            <w:left w:val="none" w:sz="0" w:space="0" w:color="auto"/>
            <w:bottom w:val="none" w:sz="0" w:space="0" w:color="auto"/>
            <w:right w:val="none" w:sz="0" w:space="0" w:color="auto"/>
          </w:divBdr>
          <w:divsChild>
            <w:div w:id="1961377292">
              <w:marLeft w:val="0"/>
              <w:marRight w:val="0"/>
              <w:marTop w:val="0"/>
              <w:marBottom w:val="0"/>
              <w:divBdr>
                <w:top w:val="none" w:sz="0" w:space="0" w:color="auto"/>
                <w:left w:val="none" w:sz="0" w:space="0" w:color="auto"/>
                <w:bottom w:val="none" w:sz="0" w:space="0" w:color="auto"/>
                <w:right w:val="none" w:sz="0" w:space="0" w:color="auto"/>
              </w:divBdr>
              <w:divsChild>
                <w:div w:id="13217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5057">
      <w:bodyDiv w:val="1"/>
      <w:marLeft w:val="0"/>
      <w:marRight w:val="0"/>
      <w:marTop w:val="0"/>
      <w:marBottom w:val="0"/>
      <w:divBdr>
        <w:top w:val="none" w:sz="0" w:space="0" w:color="auto"/>
        <w:left w:val="none" w:sz="0" w:space="0" w:color="auto"/>
        <w:bottom w:val="none" w:sz="0" w:space="0" w:color="auto"/>
        <w:right w:val="none" w:sz="0" w:space="0" w:color="auto"/>
      </w:divBdr>
    </w:div>
    <w:div w:id="567545079">
      <w:bodyDiv w:val="1"/>
      <w:marLeft w:val="0"/>
      <w:marRight w:val="0"/>
      <w:marTop w:val="0"/>
      <w:marBottom w:val="0"/>
      <w:divBdr>
        <w:top w:val="none" w:sz="0" w:space="0" w:color="auto"/>
        <w:left w:val="none" w:sz="0" w:space="0" w:color="auto"/>
        <w:bottom w:val="none" w:sz="0" w:space="0" w:color="auto"/>
        <w:right w:val="none" w:sz="0" w:space="0" w:color="auto"/>
      </w:divBdr>
      <w:divsChild>
        <w:div w:id="1839926657">
          <w:marLeft w:val="0"/>
          <w:marRight w:val="0"/>
          <w:marTop w:val="0"/>
          <w:marBottom w:val="0"/>
          <w:divBdr>
            <w:top w:val="none" w:sz="0" w:space="0" w:color="auto"/>
            <w:left w:val="none" w:sz="0" w:space="0" w:color="auto"/>
            <w:bottom w:val="none" w:sz="0" w:space="0" w:color="auto"/>
            <w:right w:val="none" w:sz="0" w:space="0" w:color="auto"/>
          </w:divBdr>
          <w:divsChild>
            <w:div w:id="348533466">
              <w:marLeft w:val="0"/>
              <w:marRight w:val="0"/>
              <w:marTop w:val="0"/>
              <w:marBottom w:val="0"/>
              <w:divBdr>
                <w:top w:val="none" w:sz="0" w:space="0" w:color="auto"/>
                <w:left w:val="none" w:sz="0" w:space="0" w:color="auto"/>
                <w:bottom w:val="none" w:sz="0" w:space="0" w:color="auto"/>
                <w:right w:val="none" w:sz="0" w:space="0" w:color="auto"/>
              </w:divBdr>
              <w:divsChild>
                <w:div w:id="15369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5023">
      <w:bodyDiv w:val="1"/>
      <w:marLeft w:val="0"/>
      <w:marRight w:val="0"/>
      <w:marTop w:val="0"/>
      <w:marBottom w:val="0"/>
      <w:divBdr>
        <w:top w:val="none" w:sz="0" w:space="0" w:color="auto"/>
        <w:left w:val="none" w:sz="0" w:space="0" w:color="auto"/>
        <w:bottom w:val="none" w:sz="0" w:space="0" w:color="auto"/>
        <w:right w:val="none" w:sz="0" w:space="0" w:color="auto"/>
      </w:divBdr>
      <w:divsChild>
        <w:div w:id="2044672659">
          <w:marLeft w:val="0"/>
          <w:marRight w:val="0"/>
          <w:marTop w:val="0"/>
          <w:marBottom w:val="0"/>
          <w:divBdr>
            <w:top w:val="none" w:sz="0" w:space="0" w:color="auto"/>
            <w:left w:val="none" w:sz="0" w:space="0" w:color="auto"/>
            <w:bottom w:val="none" w:sz="0" w:space="0" w:color="auto"/>
            <w:right w:val="none" w:sz="0" w:space="0" w:color="auto"/>
          </w:divBdr>
          <w:divsChild>
            <w:div w:id="1260869778">
              <w:marLeft w:val="0"/>
              <w:marRight w:val="0"/>
              <w:marTop w:val="0"/>
              <w:marBottom w:val="0"/>
              <w:divBdr>
                <w:top w:val="none" w:sz="0" w:space="0" w:color="auto"/>
                <w:left w:val="none" w:sz="0" w:space="0" w:color="auto"/>
                <w:bottom w:val="none" w:sz="0" w:space="0" w:color="auto"/>
                <w:right w:val="none" w:sz="0" w:space="0" w:color="auto"/>
              </w:divBdr>
              <w:divsChild>
                <w:div w:id="15553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9547">
      <w:bodyDiv w:val="1"/>
      <w:marLeft w:val="0"/>
      <w:marRight w:val="0"/>
      <w:marTop w:val="0"/>
      <w:marBottom w:val="0"/>
      <w:divBdr>
        <w:top w:val="none" w:sz="0" w:space="0" w:color="auto"/>
        <w:left w:val="none" w:sz="0" w:space="0" w:color="auto"/>
        <w:bottom w:val="none" w:sz="0" w:space="0" w:color="auto"/>
        <w:right w:val="none" w:sz="0" w:space="0" w:color="auto"/>
      </w:divBdr>
    </w:div>
    <w:div w:id="685400787">
      <w:bodyDiv w:val="1"/>
      <w:marLeft w:val="0"/>
      <w:marRight w:val="0"/>
      <w:marTop w:val="0"/>
      <w:marBottom w:val="0"/>
      <w:divBdr>
        <w:top w:val="none" w:sz="0" w:space="0" w:color="auto"/>
        <w:left w:val="none" w:sz="0" w:space="0" w:color="auto"/>
        <w:bottom w:val="none" w:sz="0" w:space="0" w:color="auto"/>
        <w:right w:val="none" w:sz="0" w:space="0" w:color="auto"/>
      </w:divBdr>
    </w:div>
    <w:div w:id="708381323">
      <w:bodyDiv w:val="1"/>
      <w:marLeft w:val="0"/>
      <w:marRight w:val="0"/>
      <w:marTop w:val="0"/>
      <w:marBottom w:val="0"/>
      <w:divBdr>
        <w:top w:val="none" w:sz="0" w:space="0" w:color="auto"/>
        <w:left w:val="none" w:sz="0" w:space="0" w:color="auto"/>
        <w:bottom w:val="none" w:sz="0" w:space="0" w:color="auto"/>
        <w:right w:val="none" w:sz="0" w:space="0" w:color="auto"/>
      </w:divBdr>
    </w:div>
    <w:div w:id="775028878">
      <w:bodyDiv w:val="1"/>
      <w:marLeft w:val="0"/>
      <w:marRight w:val="0"/>
      <w:marTop w:val="0"/>
      <w:marBottom w:val="0"/>
      <w:divBdr>
        <w:top w:val="none" w:sz="0" w:space="0" w:color="auto"/>
        <w:left w:val="none" w:sz="0" w:space="0" w:color="auto"/>
        <w:bottom w:val="none" w:sz="0" w:space="0" w:color="auto"/>
        <w:right w:val="none" w:sz="0" w:space="0" w:color="auto"/>
      </w:divBdr>
      <w:divsChild>
        <w:div w:id="513881667">
          <w:marLeft w:val="0"/>
          <w:marRight w:val="0"/>
          <w:marTop w:val="0"/>
          <w:marBottom w:val="0"/>
          <w:divBdr>
            <w:top w:val="none" w:sz="0" w:space="0" w:color="auto"/>
            <w:left w:val="none" w:sz="0" w:space="0" w:color="auto"/>
            <w:bottom w:val="none" w:sz="0" w:space="0" w:color="auto"/>
            <w:right w:val="none" w:sz="0" w:space="0" w:color="auto"/>
          </w:divBdr>
          <w:divsChild>
            <w:div w:id="1815025523">
              <w:marLeft w:val="0"/>
              <w:marRight w:val="0"/>
              <w:marTop w:val="0"/>
              <w:marBottom w:val="0"/>
              <w:divBdr>
                <w:top w:val="none" w:sz="0" w:space="0" w:color="auto"/>
                <w:left w:val="none" w:sz="0" w:space="0" w:color="auto"/>
                <w:bottom w:val="none" w:sz="0" w:space="0" w:color="auto"/>
                <w:right w:val="none" w:sz="0" w:space="0" w:color="auto"/>
              </w:divBdr>
              <w:divsChild>
                <w:div w:id="1938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250">
      <w:bodyDiv w:val="1"/>
      <w:marLeft w:val="0"/>
      <w:marRight w:val="0"/>
      <w:marTop w:val="0"/>
      <w:marBottom w:val="0"/>
      <w:divBdr>
        <w:top w:val="none" w:sz="0" w:space="0" w:color="auto"/>
        <w:left w:val="none" w:sz="0" w:space="0" w:color="auto"/>
        <w:bottom w:val="none" w:sz="0" w:space="0" w:color="auto"/>
        <w:right w:val="none" w:sz="0" w:space="0" w:color="auto"/>
      </w:divBdr>
    </w:div>
    <w:div w:id="798650680">
      <w:bodyDiv w:val="1"/>
      <w:marLeft w:val="0"/>
      <w:marRight w:val="0"/>
      <w:marTop w:val="0"/>
      <w:marBottom w:val="0"/>
      <w:divBdr>
        <w:top w:val="none" w:sz="0" w:space="0" w:color="auto"/>
        <w:left w:val="none" w:sz="0" w:space="0" w:color="auto"/>
        <w:bottom w:val="none" w:sz="0" w:space="0" w:color="auto"/>
        <w:right w:val="none" w:sz="0" w:space="0" w:color="auto"/>
      </w:divBdr>
      <w:divsChild>
        <w:div w:id="2067604207">
          <w:marLeft w:val="0"/>
          <w:marRight w:val="0"/>
          <w:marTop w:val="0"/>
          <w:marBottom w:val="0"/>
          <w:divBdr>
            <w:top w:val="none" w:sz="0" w:space="0" w:color="auto"/>
            <w:left w:val="none" w:sz="0" w:space="0" w:color="auto"/>
            <w:bottom w:val="none" w:sz="0" w:space="0" w:color="auto"/>
            <w:right w:val="none" w:sz="0" w:space="0" w:color="auto"/>
          </w:divBdr>
          <w:divsChild>
            <w:div w:id="530651995">
              <w:marLeft w:val="0"/>
              <w:marRight w:val="0"/>
              <w:marTop w:val="0"/>
              <w:marBottom w:val="0"/>
              <w:divBdr>
                <w:top w:val="none" w:sz="0" w:space="0" w:color="auto"/>
                <w:left w:val="none" w:sz="0" w:space="0" w:color="auto"/>
                <w:bottom w:val="none" w:sz="0" w:space="0" w:color="auto"/>
                <w:right w:val="none" w:sz="0" w:space="0" w:color="auto"/>
              </w:divBdr>
              <w:divsChild>
                <w:div w:id="2111505422">
                  <w:marLeft w:val="0"/>
                  <w:marRight w:val="0"/>
                  <w:marTop w:val="0"/>
                  <w:marBottom w:val="0"/>
                  <w:divBdr>
                    <w:top w:val="none" w:sz="0" w:space="0" w:color="auto"/>
                    <w:left w:val="none" w:sz="0" w:space="0" w:color="auto"/>
                    <w:bottom w:val="none" w:sz="0" w:space="0" w:color="auto"/>
                    <w:right w:val="none" w:sz="0" w:space="0" w:color="auto"/>
                  </w:divBdr>
                </w:div>
              </w:divsChild>
            </w:div>
            <w:div w:id="1034035384">
              <w:marLeft w:val="0"/>
              <w:marRight w:val="0"/>
              <w:marTop w:val="0"/>
              <w:marBottom w:val="0"/>
              <w:divBdr>
                <w:top w:val="none" w:sz="0" w:space="0" w:color="auto"/>
                <w:left w:val="none" w:sz="0" w:space="0" w:color="auto"/>
                <w:bottom w:val="none" w:sz="0" w:space="0" w:color="auto"/>
                <w:right w:val="none" w:sz="0" w:space="0" w:color="auto"/>
              </w:divBdr>
              <w:divsChild>
                <w:div w:id="901060711">
                  <w:marLeft w:val="0"/>
                  <w:marRight w:val="0"/>
                  <w:marTop w:val="0"/>
                  <w:marBottom w:val="0"/>
                  <w:divBdr>
                    <w:top w:val="none" w:sz="0" w:space="0" w:color="auto"/>
                    <w:left w:val="none" w:sz="0" w:space="0" w:color="auto"/>
                    <w:bottom w:val="none" w:sz="0" w:space="0" w:color="auto"/>
                    <w:right w:val="none" w:sz="0" w:space="0" w:color="auto"/>
                  </w:divBdr>
                </w:div>
              </w:divsChild>
            </w:div>
            <w:div w:id="1195770697">
              <w:marLeft w:val="0"/>
              <w:marRight w:val="0"/>
              <w:marTop w:val="0"/>
              <w:marBottom w:val="0"/>
              <w:divBdr>
                <w:top w:val="none" w:sz="0" w:space="0" w:color="auto"/>
                <w:left w:val="none" w:sz="0" w:space="0" w:color="auto"/>
                <w:bottom w:val="none" w:sz="0" w:space="0" w:color="auto"/>
                <w:right w:val="none" w:sz="0" w:space="0" w:color="auto"/>
              </w:divBdr>
              <w:divsChild>
                <w:div w:id="1170752298">
                  <w:marLeft w:val="0"/>
                  <w:marRight w:val="0"/>
                  <w:marTop w:val="0"/>
                  <w:marBottom w:val="0"/>
                  <w:divBdr>
                    <w:top w:val="none" w:sz="0" w:space="0" w:color="auto"/>
                    <w:left w:val="none" w:sz="0" w:space="0" w:color="auto"/>
                    <w:bottom w:val="none" w:sz="0" w:space="0" w:color="auto"/>
                    <w:right w:val="none" w:sz="0" w:space="0" w:color="auto"/>
                  </w:divBdr>
                </w:div>
              </w:divsChild>
            </w:div>
            <w:div w:id="1345522256">
              <w:marLeft w:val="0"/>
              <w:marRight w:val="0"/>
              <w:marTop w:val="0"/>
              <w:marBottom w:val="0"/>
              <w:divBdr>
                <w:top w:val="none" w:sz="0" w:space="0" w:color="auto"/>
                <w:left w:val="none" w:sz="0" w:space="0" w:color="auto"/>
                <w:bottom w:val="none" w:sz="0" w:space="0" w:color="auto"/>
                <w:right w:val="none" w:sz="0" w:space="0" w:color="auto"/>
              </w:divBdr>
              <w:divsChild>
                <w:div w:id="969432283">
                  <w:marLeft w:val="0"/>
                  <w:marRight w:val="0"/>
                  <w:marTop w:val="0"/>
                  <w:marBottom w:val="0"/>
                  <w:divBdr>
                    <w:top w:val="none" w:sz="0" w:space="0" w:color="auto"/>
                    <w:left w:val="none" w:sz="0" w:space="0" w:color="auto"/>
                    <w:bottom w:val="none" w:sz="0" w:space="0" w:color="auto"/>
                    <w:right w:val="none" w:sz="0" w:space="0" w:color="auto"/>
                  </w:divBdr>
                </w:div>
                <w:div w:id="1760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7696">
      <w:bodyDiv w:val="1"/>
      <w:marLeft w:val="0"/>
      <w:marRight w:val="0"/>
      <w:marTop w:val="0"/>
      <w:marBottom w:val="0"/>
      <w:divBdr>
        <w:top w:val="none" w:sz="0" w:space="0" w:color="auto"/>
        <w:left w:val="none" w:sz="0" w:space="0" w:color="auto"/>
        <w:bottom w:val="none" w:sz="0" w:space="0" w:color="auto"/>
        <w:right w:val="none" w:sz="0" w:space="0" w:color="auto"/>
      </w:divBdr>
    </w:div>
    <w:div w:id="858156350">
      <w:bodyDiv w:val="1"/>
      <w:marLeft w:val="0"/>
      <w:marRight w:val="0"/>
      <w:marTop w:val="0"/>
      <w:marBottom w:val="0"/>
      <w:divBdr>
        <w:top w:val="none" w:sz="0" w:space="0" w:color="auto"/>
        <w:left w:val="none" w:sz="0" w:space="0" w:color="auto"/>
        <w:bottom w:val="none" w:sz="0" w:space="0" w:color="auto"/>
        <w:right w:val="none" w:sz="0" w:space="0" w:color="auto"/>
      </w:divBdr>
      <w:divsChild>
        <w:div w:id="534120183">
          <w:marLeft w:val="0"/>
          <w:marRight w:val="0"/>
          <w:marTop w:val="0"/>
          <w:marBottom w:val="0"/>
          <w:divBdr>
            <w:top w:val="none" w:sz="0" w:space="0" w:color="auto"/>
            <w:left w:val="none" w:sz="0" w:space="0" w:color="auto"/>
            <w:bottom w:val="none" w:sz="0" w:space="0" w:color="auto"/>
            <w:right w:val="none" w:sz="0" w:space="0" w:color="auto"/>
          </w:divBdr>
          <w:divsChild>
            <w:div w:id="519975416">
              <w:marLeft w:val="0"/>
              <w:marRight w:val="0"/>
              <w:marTop w:val="0"/>
              <w:marBottom w:val="0"/>
              <w:divBdr>
                <w:top w:val="none" w:sz="0" w:space="0" w:color="auto"/>
                <w:left w:val="none" w:sz="0" w:space="0" w:color="auto"/>
                <w:bottom w:val="none" w:sz="0" w:space="0" w:color="auto"/>
                <w:right w:val="none" w:sz="0" w:space="0" w:color="auto"/>
              </w:divBdr>
              <w:divsChild>
                <w:div w:id="916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6112">
      <w:bodyDiv w:val="1"/>
      <w:marLeft w:val="0"/>
      <w:marRight w:val="0"/>
      <w:marTop w:val="0"/>
      <w:marBottom w:val="0"/>
      <w:divBdr>
        <w:top w:val="none" w:sz="0" w:space="0" w:color="auto"/>
        <w:left w:val="none" w:sz="0" w:space="0" w:color="auto"/>
        <w:bottom w:val="none" w:sz="0" w:space="0" w:color="auto"/>
        <w:right w:val="none" w:sz="0" w:space="0" w:color="auto"/>
      </w:divBdr>
      <w:divsChild>
        <w:div w:id="1911577234">
          <w:marLeft w:val="0"/>
          <w:marRight w:val="0"/>
          <w:marTop w:val="0"/>
          <w:marBottom w:val="0"/>
          <w:divBdr>
            <w:top w:val="none" w:sz="0" w:space="0" w:color="auto"/>
            <w:left w:val="none" w:sz="0" w:space="0" w:color="auto"/>
            <w:bottom w:val="none" w:sz="0" w:space="0" w:color="auto"/>
            <w:right w:val="none" w:sz="0" w:space="0" w:color="auto"/>
          </w:divBdr>
          <w:divsChild>
            <w:div w:id="42995742">
              <w:marLeft w:val="0"/>
              <w:marRight w:val="0"/>
              <w:marTop w:val="0"/>
              <w:marBottom w:val="0"/>
              <w:divBdr>
                <w:top w:val="none" w:sz="0" w:space="0" w:color="auto"/>
                <w:left w:val="none" w:sz="0" w:space="0" w:color="auto"/>
                <w:bottom w:val="none" w:sz="0" w:space="0" w:color="auto"/>
                <w:right w:val="none" w:sz="0" w:space="0" w:color="auto"/>
              </w:divBdr>
              <w:divsChild>
                <w:div w:id="215972819">
                  <w:marLeft w:val="0"/>
                  <w:marRight w:val="0"/>
                  <w:marTop w:val="0"/>
                  <w:marBottom w:val="0"/>
                  <w:divBdr>
                    <w:top w:val="none" w:sz="0" w:space="0" w:color="auto"/>
                    <w:left w:val="none" w:sz="0" w:space="0" w:color="auto"/>
                    <w:bottom w:val="none" w:sz="0" w:space="0" w:color="auto"/>
                    <w:right w:val="none" w:sz="0" w:space="0" w:color="auto"/>
                  </w:divBdr>
                </w:div>
              </w:divsChild>
            </w:div>
            <w:div w:id="773402302">
              <w:marLeft w:val="0"/>
              <w:marRight w:val="0"/>
              <w:marTop w:val="0"/>
              <w:marBottom w:val="0"/>
              <w:divBdr>
                <w:top w:val="none" w:sz="0" w:space="0" w:color="auto"/>
                <w:left w:val="none" w:sz="0" w:space="0" w:color="auto"/>
                <w:bottom w:val="none" w:sz="0" w:space="0" w:color="auto"/>
                <w:right w:val="none" w:sz="0" w:space="0" w:color="auto"/>
              </w:divBdr>
              <w:divsChild>
                <w:div w:id="320885997">
                  <w:marLeft w:val="0"/>
                  <w:marRight w:val="0"/>
                  <w:marTop w:val="0"/>
                  <w:marBottom w:val="0"/>
                  <w:divBdr>
                    <w:top w:val="none" w:sz="0" w:space="0" w:color="auto"/>
                    <w:left w:val="none" w:sz="0" w:space="0" w:color="auto"/>
                    <w:bottom w:val="none" w:sz="0" w:space="0" w:color="auto"/>
                    <w:right w:val="none" w:sz="0" w:space="0" w:color="auto"/>
                  </w:divBdr>
                </w:div>
                <w:div w:id="1716926822">
                  <w:marLeft w:val="0"/>
                  <w:marRight w:val="0"/>
                  <w:marTop w:val="0"/>
                  <w:marBottom w:val="0"/>
                  <w:divBdr>
                    <w:top w:val="none" w:sz="0" w:space="0" w:color="auto"/>
                    <w:left w:val="none" w:sz="0" w:space="0" w:color="auto"/>
                    <w:bottom w:val="none" w:sz="0" w:space="0" w:color="auto"/>
                    <w:right w:val="none" w:sz="0" w:space="0" w:color="auto"/>
                  </w:divBdr>
                </w:div>
              </w:divsChild>
            </w:div>
            <w:div w:id="1616525442">
              <w:marLeft w:val="0"/>
              <w:marRight w:val="0"/>
              <w:marTop w:val="0"/>
              <w:marBottom w:val="0"/>
              <w:divBdr>
                <w:top w:val="none" w:sz="0" w:space="0" w:color="auto"/>
                <w:left w:val="none" w:sz="0" w:space="0" w:color="auto"/>
                <w:bottom w:val="none" w:sz="0" w:space="0" w:color="auto"/>
                <w:right w:val="none" w:sz="0" w:space="0" w:color="auto"/>
              </w:divBdr>
              <w:divsChild>
                <w:div w:id="934367911">
                  <w:marLeft w:val="0"/>
                  <w:marRight w:val="0"/>
                  <w:marTop w:val="0"/>
                  <w:marBottom w:val="0"/>
                  <w:divBdr>
                    <w:top w:val="none" w:sz="0" w:space="0" w:color="auto"/>
                    <w:left w:val="none" w:sz="0" w:space="0" w:color="auto"/>
                    <w:bottom w:val="none" w:sz="0" w:space="0" w:color="auto"/>
                    <w:right w:val="none" w:sz="0" w:space="0" w:color="auto"/>
                  </w:divBdr>
                </w:div>
              </w:divsChild>
            </w:div>
            <w:div w:id="1657539205">
              <w:marLeft w:val="0"/>
              <w:marRight w:val="0"/>
              <w:marTop w:val="0"/>
              <w:marBottom w:val="0"/>
              <w:divBdr>
                <w:top w:val="none" w:sz="0" w:space="0" w:color="auto"/>
                <w:left w:val="none" w:sz="0" w:space="0" w:color="auto"/>
                <w:bottom w:val="none" w:sz="0" w:space="0" w:color="auto"/>
                <w:right w:val="none" w:sz="0" w:space="0" w:color="auto"/>
              </w:divBdr>
              <w:divsChild>
                <w:div w:id="353045347">
                  <w:marLeft w:val="0"/>
                  <w:marRight w:val="0"/>
                  <w:marTop w:val="0"/>
                  <w:marBottom w:val="0"/>
                  <w:divBdr>
                    <w:top w:val="none" w:sz="0" w:space="0" w:color="auto"/>
                    <w:left w:val="none" w:sz="0" w:space="0" w:color="auto"/>
                    <w:bottom w:val="none" w:sz="0" w:space="0" w:color="auto"/>
                    <w:right w:val="none" w:sz="0" w:space="0" w:color="auto"/>
                  </w:divBdr>
                </w:div>
                <w:div w:id="18357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503">
      <w:bodyDiv w:val="1"/>
      <w:marLeft w:val="0"/>
      <w:marRight w:val="0"/>
      <w:marTop w:val="0"/>
      <w:marBottom w:val="0"/>
      <w:divBdr>
        <w:top w:val="none" w:sz="0" w:space="0" w:color="auto"/>
        <w:left w:val="none" w:sz="0" w:space="0" w:color="auto"/>
        <w:bottom w:val="none" w:sz="0" w:space="0" w:color="auto"/>
        <w:right w:val="none" w:sz="0" w:space="0" w:color="auto"/>
      </w:divBdr>
      <w:divsChild>
        <w:div w:id="1863739060">
          <w:marLeft w:val="0"/>
          <w:marRight w:val="0"/>
          <w:marTop w:val="0"/>
          <w:marBottom w:val="0"/>
          <w:divBdr>
            <w:top w:val="none" w:sz="0" w:space="0" w:color="auto"/>
            <w:left w:val="none" w:sz="0" w:space="0" w:color="auto"/>
            <w:bottom w:val="none" w:sz="0" w:space="0" w:color="auto"/>
            <w:right w:val="none" w:sz="0" w:space="0" w:color="auto"/>
          </w:divBdr>
          <w:divsChild>
            <w:div w:id="418913238">
              <w:marLeft w:val="0"/>
              <w:marRight w:val="0"/>
              <w:marTop w:val="0"/>
              <w:marBottom w:val="0"/>
              <w:divBdr>
                <w:top w:val="none" w:sz="0" w:space="0" w:color="auto"/>
                <w:left w:val="none" w:sz="0" w:space="0" w:color="auto"/>
                <w:bottom w:val="none" w:sz="0" w:space="0" w:color="auto"/>
                <w:right w:val="none" w:sz="0" w:space="0" w:color="auto"/>
              </w:divBdr>
              <w:divsChild>
                <w:div w:id="1981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6875">
      <w:bodyDiv w:val="1"/>
      <w:marLeft w:val="0"/>
      <w:marRight w:val="0"/>
      <w:marTop w:val="0"/>
      <w:marBottom w:val="0"/>
      <w:divBdr>
        <w:top w:val="none" w:sz="0" w:space="0" w:color="auto"/>
        <w:left w:val="none" w:sz="0" w:space="0" w:color="auto"/>
        <w:bottom w:val="none" w:sz="0" w:space="0" w:color="auto"/>
        <w:right w:val="none" w:sz="0" w:space="0" w:color="auto"/>
      </w:divBdr>
      <w:divsChild>
        <w:div w:id="1082995784">
          <w:marLeft w:val="0"/>
          <w:marRight w:val="0"/>
          <w:marTop w:val="0"/>
          <w:marBottom w:val="0"/>
          <w:divBdr>
            <w:top w:val="none" w:sz="0" w:space="0" w:color="auto"/>
            <w:left w:val="none" w:sz="0" w:space="0" w:color="auto"/>
            <w:bottom w:val="none" w:sz="0" w:space="0" w:color="auto"/>
            <w:right w:val="none" w:sz="0" w:space="0" w:color="auto"/>
          </w:divBdr>
          <w:divsChild>
            <w:div w:id="1882668305">
              <w:marLeft w:val="0"/>
              <w:marRight w:val="0"/>
              <w:marTop w:val="0"/>
              <w:marBottom w:val="0"/>
              <w:divBdr>
                <w:top w:val="none" w:sz="0" w:space="0" w:color="auto"/>
                <w:left w:val="none" w:sz="0" w:space="0" w:color="auto"/>
                <w:bottom w:val="none" w:sz="0" w:space="0" w:color="auto"/>
                <w:right w:val="none" w:sz="0" w:space="0" w:color="auto"/>
              </w:divBdr>
              <w:divsChild>
                <w:div w:id="100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4493">
      <w:bodyDiv w:val="1"/>
      <w:marLeft w:val="0"/>
      <w:marRight w:val="0"/>
      <w:marTop w:val="0"/>
      <w:marBottom w:val="0"/>
      <w:divBdr>
        <w:top w:val="none" w:sz="0" w:space="0" w:color="auto"/>
        <w:left w:val="none" w:sz="0" w:space="0" w:color="auto"/>
        <w:bottom w:val="none" w:sz="0" w:space="0" w:color="auto"/>
        <w:right w:val="none" w:sz="0" w:space="0" w:color="auto"/>
      </w:divBdr>
      <w:divsChild>
        <w:div w:id="1910729070">
          <w:marLeft w:val="0"/>
          <w:marRight w:val="0"/>
          <w:marTop w:val="525"/>
          <w:marBottom w:val="525"/>
          <w:divBdr>
            <w:top w:val="none" w:sz="0" w:space="0" w:color="auto"/>
            <w:left w:val="none" w:sz="0" w:space="0" w:color="auto"/>
            <w:bottom w:val="none" w:sz="0" w:space="0" w:color="auto"/>
            <w:right w:val="none" w:sz="0" w:space="0" w:color="auto"/>
          </w:divBdr>
          <w:divsChild>
            <w:div w:id="10653716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395664">
      <w:bodyDiv w:val="1"/>
      <w:marLeft w:val="0"/>
      <w:marRight w:val="0"/>
      <w:marTop w:val="0"/>
      <w:marBottom w:val="0"/>
      <w:divBdr>
        <w:top w:val="none" w:sz="0" w:space="0" w:color="auto"/>
        <w:left w:val="none" w:sz="0" w:space="0" w:color="auto"/>
        <w:bottom w:val="none" w:sz="0" w:space="0" w:color="auto"/>
        <w:right w:val="none" w:sz="0" w:space="0" w:color="auto"/>
      </w:divBdr>
      <w:divsChild>
        <w:div w:id="1774788398">
          <w:marLeft w:val="0"/>
          <w:marRight w:val="0"/>
          <w:marTop w:val="0"/>
          <w:marBottom w:val="0"/>
          <w:divBdr>
            <w:top w:val="none" w:sz="0" w:space="0" w:color="auto"/>
            <w:left w:val="none" w:sz="0" w:space="0" w:color="auto"/>
            <w:bottom w:val="none" w:sz="0" w:space="0" w:color="auto"/>
            <w:right w:val="none" w:sz="0" w:space="0" w:color="auto"/>
          </w:divBdr>
          <w:divsChild>
            <w:div w:id="1417901390">
              <w:marLeft w:val="0"/>
              <w:marRight w:val="0"/>
              <w:marTop w:val="0"/>
              <w:marBottom w:val="0"/>
              <w:divBdr>
                <w:top w:val="none" w:sz="0" w:space="0" w:color="auto"/>
                <w:left w:val="none" w:sz="0" w:space="0" w:color="auto"/>
                <w:bottom w:val="none" w:sz="0" w:space="0" w:color="auto"/>
                <w:right w:val="none" w:sz="0" w:space="0" w:color="auto"/>
              </w:divBdr>
              <w:divsChild>
                <w:div w:id="1438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3895">
      <w:bodyDiv w:val="1"/>
      <w:marLeft w:val="0"/>
      <w:marRight w:val="0"/>
      <w:marTop w:val="0"/>
      <w:marBottom w:val="0"/>
      <w:divBdr>
        <w:top w:val="none" w:sz="0" w:space="0" w:color="auto"/>
        <w:left w:val="none" w:sz="0" w:space="0" w:color="auto"/>
        <w:bottom w:val="none" w:sz="0" w:space="0" w:color="auto"/>
        <w:right w:val="none" w:sz="0" w:space="0" w:color="auto"/>
      </w:divBdr>
      <w:divsChild>
        <w:div w:id="1720393865">
          <w:marLeft w:val="0"/>
          <w:marRight w:val="0"/>
          <w:marTop w:val="525"/>
          <w:marBottom w:val="525"/>
          <w:divBdr>
            <w:top w:val="none" w:sz="0" w:space="0" w:color="auto"/>
            <w:left w:val="none" w:sz="0" w:space="0" w:color="auto"/>
            <w:bottom w:val="none" w:sz="0" w:space="0" w:color="auto"/>
            <w:right w:val="none" w:sz="0" w:space="0" w:color="auto"/>
          </w:divBdr>
          <w:divsChild>
            <w:div w:id="180827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0423955">
      <w:bodyDiv w:val="1"/>
      <w:marLeft w:val="0"/>
      <w:marRight w:val="0"/>
      <w:marTop w:val="0"/>
      <w:marBottom w:val="0"/>
      <w:divBdr>
        <w:top w:val="none" w:sz="0" w:space="0" w:color="auto"/>
        <w:left w:val="none" w:sz="0" w:space="0" w:color="auto"/>
        <w:bottom w:val="none" w:sz="0" w:space="0" w:color="auto"/>
        <w:right w:val="none" w:sz="0" w:space="0" w:color="auto"/>
      </w:divBdr>
    </w:div>
    <w:div w:id="1059128679">
      <w:bodyDiv w:val="1"/>
      <w:marLeft w:val="0"/>
      <w:marRight w:val="0"/>
      <w:marTop w:val="0"/>
      <w:marBottom w:val="0"/>
      <w:divBdr>
        <w:top w:val="none" w:sz="0" w:space="0" w:color="auto"/>
        <w:left w:val="none" w:sz="0" w:space="0" w:color="auto"/>
        <w:bottom w:val="none" w:sz="0" w:space="0" w:color="auto"/>
        <w:right w:val="none" w:sz="0" w:space="0" w:color="auto"/>
      </w:divBdr>
    </w:div>
    <w:div w:id="1065645413">
      <w:bodyDiv w:val="1"/>
      <w:marLeft w:val="0"/>
      <w:marRight w:val="0"/>
      <w:marTop w:val="0"/>
      <w:marBottom w:val="0"/>
      <w:divBdr>
        <w:top w:val="none" w:sz="0" w:space="0" w:color="auto"/>
        <w:left w:val="none" w:sz="0" w:space="0" w:color="auto"/>
        <w:bottom w:val="none" w:sz="0" w:space="0" w:color="auto"/>
        <w:right w:val="none" w:sz="0" w:space="0" w:color="auto"/>
      </w:divBdr>
    </w:div>
    <w:div w:id="1101875767">
      <w:bodyDiv w:val="1"/>
      <w:marLeft w:val="0"/>
      <w:marRight w:val="0"/>
      <w:marTop w:val="0"/>
      <w:marBottom w:val="0"/>
      <w:divBdr>
        <w:top w:val="none" w:sz="0" w:space="0" w:color="auto"/>
        <w:left w:val="none" w:sz="0" w:space="0" w:color="auto"/>
        <w:bottom w:val="none" w:sz="0" w:space="0" w:color="auto"/>
        <w:right w:val="none" w:sz="0" w:space="0" w:color="auto"/>
      </w:divBdr>
      <w:divsChild>
        <w:div w:id="1225217872">
          <w:marLeft w:val="0"/>
          <w:marRight w:val="0"/>
          <w:marTop w:val="525"/>
          <w:marBottom w:val="525"/>
          <w:divBdr>
            <w:top w:val="none" w:sz="0" w:space="0" w:color="auto"/>
            <w:left w:val="none" w:sz="0" w:space="0" w:color="auto"/>
            <w:bottom w:val="none" w:sz="0" w:space="0" w:color="auto"/>
            <w:right w:val="none" w:sz="0" w:space="0" w:color="auto"/>
          </w:divBdr>
          <w:divsChild>
            <w:div w:id="758258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2848820">
      <w:bodyDiv w:val="1"/>
      <w:marLeft w:val="0"/>
      <w:marRight w:val="0"/>
      <w:marTop w:val="0"/>
      <w:marBottom w:val="0"/>
      <w:divBdr>
        <w:top w:val="none" w:sz="0" w:space="0" w:color="auto"/>
        <w:left w:val="none" w:sz="0" w:space="0" w:color="auto"/>
        <w:bottom w:val="none" w:sz="0" w:space="0" w:color="auto"/>
        <w:right w:val="none" w:sz="0" w:space="0" w:color="auto"/>
      </w:divBdr>
      <w:divsChild>
        <w:div w:id="470827428">
          <w:marLeft w:val="0"/>
          <w:marRight w:val="0"/>
          <w:marTop w:val="0"/>
          <w:marBottom w:val="0"/>
          <w:divBdr>
            <w:top w:val="none" w:sz="0" w:space="0" w:color="auto"/>
            <w:left w:val="none" w:sz="0" w:space="0" w:color="auto"/>
            <w:bottom w:val="none" w:sz="0" w:space="0" w:color="auto"/>
            <w:right w:val="none" w:sz="0" w:space="0" w:color="auto"/>
          </w:divBdr>
          <w:divsChild>
            <w:div w:id="352922299">
              <w:marLeft w:val="0"/>
              <w:marRight w:val="0"/>
              <w:marTop w:val="0"/>
              <w:marBottom w:val="0"/>
              <w:divBdr>
                <w:top w:val="none" w:sz="0" w:space="0" w:color="auto"/>
                <w:left w:val="none" w:sz="0" w:space="0" w:color="auto"/>
                <w:bottom w:val="none" w:sz="0" w:space="0" w:color="auto"/>
                <w:right w:val="none" w:sz="0" w:space="0" w:color="auto"/>
              </w:divBdr>
              <w:divsChild>
                <w:div w:id="2112435137">
                  <w:marLeft w:val="0"/>
                  <w:marRight w:val="0"/>
                  <w:marTop w:val="0"/>
                  <w:marBottom w:val="0"/>
                  <w:divBdr>
                    <w:top w:val="none" w:sz="0" w:space="0" w:color="auto"/>
                    <w:left w:val="none" w:sz="0" w:space="0" w:color="auto"/>
                    <w:bottom w:val="none" w:sz="0" w:space="0" w:color="auto"/>
                    <w:right w:val="none" w:sz="0" w:space="0" w:color="auto"/>
                  </w:divBdr>
                </w:div>
              </w:divsChild>
            </w:div>
            <w:div w:id="373848950">
              <w:marLeft w:val="0"/>
              <w:marRight w:val="0"/>
              <w:marTop w:val="0"/>
              <w:marBottom w:val="0"/>
              <w:divBdr>
                <w:top w:val="none" w:sz="0" w:space="0" w:color="auto"/>
                <w:left w:val="none" w:sz="0" w:space="0" w:color="auto"/>
                <w:bottom w:val="none" w:sz="0" w:space="0" w:color="auto"/>
                <w:right w:val="none" w:sz="0" w:space="0" w:color="auto"/>
              </w:divBdr>
              <w:divsChild>
                <w:div w:id="1418592703">
                  <w:marLeft w:val="0"/>
                  <w:marRight w:val="0"/>
                  <w:marTop w:val="0"/>
                  <w:marBottom w:val="0"/>
                  <w:divBdr>
                    <w:top w:val="none" w:sz="0" w:space="0" w:color="auto"/>
                    <w:left w:val="none" w:sz="0" w:space="0" w:color="auto"/>
                    <w:bottom w:val="none" w:sz="0" w:space="0" w:color="auto"/>
                    <w:right w:val="none" w:sz="0" w:space="0" w:color="auto"/>
                  </w:divBdr>
                </w:div>
              </w:divsChild>
            </w:div>
            <w:div w:id="561258978">
              <w:marLeft w:val="0"/>
              <w:marRight w:val="0"/>
              <w:marTop w:val="0"/>
              <w:marBottom w:val="0"/>
              <w:divBdr>
                <w:top w:val="none" w:sz="0" w:space="0" w:color="auto"/>
                <w:left w:val="none" w:sz="0" w:space="0" w:color="auto"/>
                <w:bottom w:val="none" w:sz="0" w:space="0" w:color="auto"/>
                <w:right w:val="none" w:sz="0" w:space="0" w:color="auto"/>
              </w:divBdr>
              <w:divsChild>
                <w:div w:id="578830191">
                  <w:marLeft w:val="0"/>
                  <w:marRight w:val="0"/>
                  <w:marTop w:val="0"/>
                  <w:marBottom w:val="0"/>
                  <w:divBdr>
                    <w:top w:val="none" w:sz="0" w:space="0" w:color="auto"/>
                    <w:left w:val="none" w:sz="0" w:space="0" w:color="auto"/>
                    <w:bottom w:val="none" w:sz="0" w:space="0" w:color="auto"/>
                    <w:right w:val="none" w:sz="0" w:space="0" w:color="auto"/>
                  </w:divBdr>
                </w:div>
              </w:divsChild>
            </w:div>
            <w:div w:id="2045208207">
              <w:marLeft w:val="0"/>
              <w:marRight w:val="0"/>
              <w:marTop w:val="0"/>
              <w:marBottom w:val="0"/>
              <w:divBdr>
                <w:top w:val="none" w:sz="0" w:space="0" w:color="auto"/>
                <w:left w:val="none" w:sz="0" w:space="0" w:color="auto"/>
                <w:bottom w:val="none" w:sz="0" w:space="0" w:color="auto"/>
                <w:right w:val="none" w:sz="0" w:space="0" w:color="auto"/>
              </w:divBdr>
              <w:divsChild>
                <w:div w:id="1817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6154">
      <w:bodyDiv w:val="1"/>
      <w:marLeft w:val="0"/>
      <w:marRight w:val="0"/>
      <w:marTop w:val="0"/>
      <w:marBottom w:val="0"/>
      <w:divBdr>
        <w:top w:val="none" w:sz="0" w:space="0" w:color="auto"/>
        <w:left w:val="none" w:sz="0" w:space="0" w:color="auto"/>
        <w:bottom w:val="none" w:sz="0" w:space="0" w:color="auto"/>
        <w:right w:val="none" w:sz="0" w:space="0" w:color="auto"/>
      </w:divBdr>
    </w:div>
    <w:div w:id="1152140155">
      <w:bodyDiv w:val="1"/>
      <w:marLeft w:val="0"/>
      <w:marRight w:val="0"/>
      <w:marTop w:val="0"/>
      <w:marBottom w:val="0"/>
      <w:divBdr>
        <w:top w:val="none" w:sz="0" w:space="0" w:color="auto"/>
        <w:left w:val="none" w:sz="0" w:space="0" w:color="auto"/>
        <w:bottom w:val="none" w:sz="0" w:space="0" w:color="auto"/>
        <w:right w:val="none" w:sz="0" w:space="0" w:color="auto"/>
      </w:divBdr>
    </w:div>
    <w:div w:id="1152865519">
      <w:bodyDiv w:val="1"/>
      <w:marLeft w:val="0"/>
      <w:marRight w:val="0"/>
      <w:marTop w:val="0"/>
      <w:marBottom w:val="0"/>
      <w:divBdr>
        <w:top w:val="none" w:sz="0" w:space="0" w:color="auto"/>
        <w:left w:val="none" w:sz="0" w:space="0" w:color="auto"/>
        <w:bottom w:val="none" w:sz="0" w:space="0" w:color="auto"/>
        <w:right w:val="none" w:sz="0" w:space="0" w:color="auto"/>
      </w:divBdr>
      <w:divsChild>
        <w:div w:id="1016612727">
          <w:marLeft w:val="0"/>
          <w:marRight w:val="0"/>
          <w:marTop w:val="0"/>
          <w:marBottom w:val="0"/>
          <w:divBdr>
            <w:top w:val="none" w:sz="0" w:space="0" w:color="auto"/>
            <w:left w:val="none" w:sz="0" w:space="0" w:color="auto"/>
            <w:bottom w:val="none" w:sz="0" w:space="0" w:color="auto"/>
            <w:right w:val="none" w:sz="0" w:space="0" w:color="auto"/>
          </w:divBdr>
          <w:divsChild>
            <w:div w:id="1520392703">
              <w:marLeft w:val="0"/>
              <w:marRight w:val="0"/>
              <w:marTop w:val="0"/>
              <w:marBottom w:val="0"/>
              <w:divBdr>
                <w:top w:val="none" w:sz="0" w:space="0" w:color="auto"/>
                <w:left w:val="none" w:sz="0" w:space="0" w:color="auto"/>
                <w:bottom w:val="none" w:sz="0" w:space="0" w:color="auto"/>
                <w:right w:val="none" w:sz="0" w:space="0" w:color="auto"/>
              </w:divBdr>
              <w:divsChild>
                <w:div w:id="5344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9477">
          <w:marLeft w:val="0"/>
          <w:marRight w:val="0"/>
          <w:marTop w:val="0"/>
          <w:marBottom w:val="0"/>
          <w:divBdr>
            <w:top w:val="none" w:sz="0" w:space="0" w:color="auto"/>
            <w:left w:val="none" w:sz="0" w:space="0" w:color="auto"/>
            <w:bottom w:val="none" w:sz="0" w:space="0" w:color="auto"/>
            <w:right w:val="none" w:sz="0" w:space="0" w:color="auto"/>
          </w:divBdr>
          <w:divsChild>
            <w:div w:id="1775397264">
              <w:marLeft w:val="0"/>
              <w:marRight w:val="0"/>
              <w:marTop w:val="0"/>
              <w:marBottom w:val="0"/>
              <w:divBdr>
                <w:top w:val="none" w:sz="0" w:space="0" w:color="auto"/>
                <w:left w:val="none" w:sz="0" w:space="0" w:color="auto"/>
                <w:bottom w:val="none" w:sz="0" w:space="0" w:color="auto"/>
                <w:right w:val="none" w:sz="0" w:space="0" w:color="auto"/>
              </w:divBdr>
              <w:divsChild>
                <w:div w:id="1057321872">
                  <w:marLeft w:val="0"/>
                  <w:marRight w:val="0"/>
                  <w:marTop w:val="0"/>
                  <w:marBottom w:val="0"/>
                  <w:divBdr>
                    <w:top w:val="none" w:sz="0" w:space="0" w:color="auto"/>
                    <w:left w:val="none" w:sz="0" w:space="0" w:color="auto"/>
                    <w:bottom w:val="none" w:sz="0" w:space="0" w:color="auto"/>
                    <w:right w:val="none" w:sz="0" w:space="0" w:color="auto"/>
                  </w:divBdr>
                </w:div>
                <w:div w:id="1395081817">
                  <w:marLeft w:val="0"/>
                  <w:marRight w:val="0"/>
                  <w:marTop w:val="0"/>
                  <w:marBottom w:val="0"/>
                  <w:divBdr>
                    <w:top w:val="none" w:sz="0" w:space="0" w:color="auto"/>
                    <w:left w:val="none" w:sz="0" w:space="0" w:color="auto"/>
                    <w:bottom w:val="none" w:sz="0" w:space="0" w:color="auto"/>
                    <w:right w:val="none" w:sz="0" w:space="0" w:color="auto"/>
                  </w:divBdr>
                </w:div>
              </w:divsChild>
            </w:div>
            <w:div w:id="1155490284">
              <w:marLeft w:val="0"/>
              <w:marRight w:val="0"/>
              <w:marTop w:val="0"/>
              <w:marBottom w:val="0"/>
              <w:divBdr>
                <w:top w:val="none" w:sz="0" w:space="0" w:color="auto"/>
                <w:left w:val="none" w:sz="0" w:space="0" w:color="auto"/>
                <w:bottom w:val="none" w:sz="0" w:space="0" w:color="auto"/>
                <w:right w:val="none" w:sz="0" w:space="0" w:color="auto"/>
              </w:divBdr>
              <w:divsChild>
                <w:div w:id="1525635415">
                  <w:marLeft w:val="0"/>
                  <w:marRight w:val="0"/>
                  <w:marTop w:val="0"/>
                  <w:marBottom w:val="0"/>
                  <w:divBdr>
                    <w:top w:val="none" w:sz="0" w:space="0" w:color="auto"/>
                    <w:left w:val="none" w:sz="0" w:space="0" w:color="auto"/>
                    <w:bottom w:val="none" w:sz="0" w:space="0" w:color="auto"/>
                    <w:right w:val="none" w:sz="0" w:space="0" w:color="auto"/>
                  </w:divBdr>
                </w:div>
                <w:div w:id="682778702">
                  <w:marLeft w:val="0"/>
                  <w:marRight w:val="0"/>
                  <w:marTop w:val="0"/>
                  <w:marBottom w:val="0"/>
                  <w:divBdr>
                    <w:top w:val="none" w:sz="0" w:space="0" w:color="auto"/>
                    <w:left w:val="none" w:sz="0" w:space="0" w:color="auto"/>
                    <w:bottom w:val="none" w:sz="0" w:space="0" w:color="auto"/>
                    <w:right w:val="none" w:sz="0" w:space="0" w:color="auto"/>
                  </w:divBdr>
                </w:div>
              </w:divsChild>
            </w:div>
            <w:div w:id="1017926725">
              <w:marLeft w:val="0"/>
              <w:marRight w:val="0"/>
              <w:marTop w:val="0"/>
              <w:marBottom w:val="0"/>
              <w:divBdr>
                <w:top w:val="none" w:sz="0" w:space="0" w:color="auto"/>
                <w:left w:val="none" w:sz="0" w:space="0" w:color="auto"/>
                <w:bottom w:val="none" w:sz="0" w:space="0" w:color="auto"/>
                <w:right w:val="none" w:sz="0" w:space="0" w:color="auto"/>
              </w:divBdr>
              <w:divsChild>
                <w:div w:id="1176505385">
                  <w:marLeft w:val="0"/>
                  <w:marRight w:val="0"/>
                  <w:marTop w:val="0"/>
                  <w:marBottom w:val="0"/>
                  <w:divBdr>
                    <w:top w:val="none" w:sz="0" w:space="0" w:color="auto"/>
                    <w:left w:val="none" w:sz="0" w:space="0" w:color="auto"/>
                    <w:bottom w:val="none" w:sz="0" w:space="0" w:color="auto"/>
                    <w:right w:val="none" w:sz="0" w:space="0" w:color="auto"/>
                  </w:divBdr>
                </w:div>
                <w:div w:id="486943955">
                  <w:marLeft w:val="0"/>
                  <w:marRight w:val="0"/>
                  <w:marTop w:val="0"/>
                  <w:marBottom w:val="0"/>
                  <w:divBdr>
                    <w:top w:val="none" w:sz="0" w:space="0" w:color="auto"/>
                    <w:left w:val="none" w:sz="0" w:space="0" w:color="auto"/>
                    <w:bottom w:val="none" w:sz="0" w:space="0" w:color="auto"/>
                    <w:right w:val="none" w:sz="0" w:space="0" w:color="auto"/>
                  </w:divBdr>
                </w:div>
              </w:divsChild>
            </w:div>
            <w:div w:id="396779456">
              <w:marLeft w:val="0"/>
              <w:marRight w:val="0"/>
              <w:marTop w:val="0"/>
              <w:marBottom w:val="0"/>
              <w:divBdr>
                <w:top w:val="none" w:sz="0" w:space="0" w:color="auto"/>
                <w:left w:val="none" w:sz="0" w:space="0" w:color="auto"/>
                <w:bottom w:val="none" w:sz="0" w:space="0" w:color="auto"/>
                <w:right w:val="none" w:sz="0" w:space="0" w:color="auto"/>
              </w:divBdr>
              <w:divsChild>
                <w:div w:id="1945920388">
                  <w:marLeft w:val="0"/>
                  <w:marRight w:val="0"/>
                  <w:marTop w:val="0"/>
                  <w:marBottom w:val="0"/>
                  <w:divBdr>
                    <w:top w:val="none" w:sz="0" w:space="0" w:color="auto"/>
                    <w:left w:val="none" w:sz="0" w:space="0" w:color="auto"/>
                    <w:bottom w:val="none" w:sz="0" w:space="0" w:color="auto"/>
                    <w:right w:val="none" w:sz="0" w:space="0" w:color="auto"/>
                  </w:divBdr>
                </w:div>
                <w:div w:id="1651904090">
                  <w:marLeft w:val="0"/>
                  <w:marRight w:val="0"/>
                  <w:marTop w:val="0"/>
                  <w:marBottom w:val="0"/>
                  <w:divBdr>
                    <w:top w:val="none" w:sz="0" w:space="0" w:color="auto"/>
                    <w:left w:val="none" w:sz="0" w:space="0" w:color="auto"/>
                    <w:bottom w:val="none" w:sz="0" w:space="0" w:color="auto"/>
                    <w:right w:val="none" w:sz="0" w:space="0" w:color="auto"/>
                  </w:divBdr>
                </w:div>
              </w:divsChild>
            </w:div>
            <w:div w:id="1240210536">
              <w:marLeft w:val="0"/>
              <w:marRight w:val="0"/>
              <w:marTop w:val="0"/>
              <w:marBottom w:val="0"/>
              <w:divBdr>
                <w:top w:val="none" w:sz="0" w:space="0" w:color="auto"/>
                <w:left w:val="none" w:sz="0" w:space="0" w:color="auto"/>
                <w:bottom w:val="none" w:sz="0" w:space="0" w:color="auto"/>
                <w:right w:val="none" w:sz="0" w:space="0" w:color="auto"/>
              </w:divBdr>
              <w:divsChild>
                <w:div w:id="1928927753">
                  <w:marLeft w:val="0"/>
                  <w:marRight w:val="0"/>
                  <w:marTop w:val="0"/>
                  <w:marBottom w:val="0"/>
                  <w:divBdr>
                    <w:top w:val="none" w:sz="0" w:space="0" w:color="auto"/>
                    <w:left w:val="none" w:sz="0" w:space="0" w:color="auto"/>
                    <w:bottom w:val="none" w:sz="0" w:space="0" w:color="auto"/>
                    <w:right w:val="none" w:sz="0" w:space="0" w:color="auto"/>
                  </w:divBdr>
                </w:div>
                <w:div w:id="1564682321">
                  <w:marLeft w:val="0"/>
                  <w:marRight w:val="0"/>
                  <w:marTop w:val="0"/>
                  <w:marBottom w:val="0"/>
                  <w:divBdr>
                    <w:top w:val="none" w:sz="0" w:space="0" w:color="auto"/>
                    <w:left w:val="none" w:sz="0" w:space="0" w:color="auto"/>
                    <w:bottom w:val="none" w:sz="0" w:space="0" w:color="auto"/>
                    <w:right w:val="none" w:sz="0" w:space="0" w:color="auto"/>
                  </w:divBdr>
                </w:div>
              </w:divsChild>
            </w:div>
            <w:div w:id="1013871925">
              <w:marLeft w:val="0"/>
              <w:marRight w:val="0"/>
              <w:marTop w:val="0"/>
              <w:marBottom w:val="0"/>
              <w:divBdr>
                <w:top w:val="none" w:sz="0" w:space="0" w:color="auto"/>
                <w:left w:val="none" w:sz="0" w:space="0" w:color="auto"/>
                <w:bottom w:val="none" w:sz="0" w:space="0" w:color="auto"/>
                <w:right w:val="none" w:sz="0" w:space="0" w:color="auto"/>
              </w:divBdr>
              <w:divsChild>
                <w:div w:id="1658683144">
                  <w:marLeft w:val="0"/>
                  <w:marRight w:val="0"/>
                  <w:marTop w:val="0"/>
                  <w:marBottom w:val="0"/>
                  <w:divBdr>
                    <w:top w:val="none" w:sz="0" w:space="0" w:color="auto"/>
                    <w:left w:val="none" w:sz="0" w:space="0" w:color="auto"/>
                    <w:bottom w:val="none" w:sz="0" w:space="0" w:color="auto"/>
                    <w:right w:val="none" w:sz="0" w:space="0" w:color="auto"/>
                  </w:divBdr>
                </w:div>
                <w:div w:id="204610733">
                  <w:marLeft w:val="0"/>
                  <w:marRight w:val="0"/>
                  <w:marTop w:val="0"/>
                  <w:marBottom w:val="0"/>
                  <w:divBdr>
                    <w:top w:val="none" w:sz="0" w:space="0" w:color="auto"/>
                    <w:left w:val="none" w:sz="0" w:space="0" w:color="auto"/>
                    <w:bottom w:val="none" w:sz="0" w:space="0" w:color="auto"/>
                    <w:right w:val="none" w:sz="0" w:space="0" w:color="auto"/>
                  </w:divBdr>
                </w:div>
              </w:divsChild>
            </w:div>
            <w:div w:id="1629362712">
              <w:marLeft w:val="0"/>
              <w:marRight w:val="0"/>
              <w:marTop w:val="0"/>
              <w:marBottom w:val="0"/>
              <w:divBdr>
                <w:top w:val="none" w:sz="0" w:space="0" w:color="auto"/>
                <w:left w:val="none" w:sz="0" w:space="0" w:color="auto"/>
                <w:bottom w:val="none" w:sz="0" w:space="0" w:color="auto"/>
                <w:right w:val="none" w:sz="0" w:space="0" w:color="auto"/>
              </w:divBdr>
              <w:divsChild>
                <w:div w:id="284625923">
                  <w:marLeft w:val="0"/>
                  <w:marRight w:val="0"/>
                  <w:marTop w:val="0"/>
                  <w:marBottom w:val="0"/>
                  <w:divBdr>
                    <w:top w:val="none" w:sz="0" w:space="0" w:color="auto"/>
                    <w:left w:val="none" w:sz="0" w:space="0" w:color="auto"/>
                    <w:bottom w:val="none" w:sz="0" w:space="0" w:color="auto"/>
                    <w:right w:val="none" w:sz="0" w:space="0" w:color="auto"/>
                  </w:divBdr>
                </w:div>
                <w:div w:id="1565601894">
                  <w:marLeft w:val="0"/>
                  <w:marRight w:val="0"/>
                  <w:marTop w:val="0"/>
                  <w:marBottom w:val="0"/>
                  <w:divBdr>
                    <w:top w:val="none" w:sz="0" w:space="0" w:color="auto"/>
                    <w:left w:val="none" w:sz="0" w:space="0" w:color="auto"/>
                    <w:bottom w:val="none" w:sz="0" w:space="0" w:color="auto"/>
                    <w:right w:val="none" w:sz="0" w:space="0" w:color="auto"/>
                  </w:divBdr>
                </w:div>
              </w:divsChild>
            </w:div>
            <w:div w:id="1118990065">
              <w:marLeft w:val="0"/>
              <w:marRight w:val="0"/>
              <w:marTop w:val="0"/>
              <w:marBottom w:val="0"/>
              <w:divBdr>
                <w:top w:val="none" w:sz="0" w:space="0" w:color="auto"/>
                <w:left w:val="none" w:sz="0" w:space="0" w:color="auto"/>
                <w:bottom w:val="none" w:sz="0" w:space="0" w:color="auto"/>
                <w:right w:val="none" w:sz="0" w:space="0" w:color="auto"/>
              </w:divBdr>
              <w:divsChild>
                <w:div w:id="747270719">
                  <w:marLeft w:val="0"/>
                  <w:marRight w:val="0"/>
                  <w:marTop w:val="0"/>
                  <w:marBottom w:val="0"/>
                  <w:divBdr>
                    <w:top w:val="none" w:sz="0" w:space="0" w:color="auto"/>
                    <w:left w:val="none" w:sz="0" w:space="0" w:color="auto"/>
                    <w:bottom w:val="none" w:sz="0" w:space="0" w:color="auto"/>
                    <w:right w:val="none" w:sz="0" w:space="0" w:color="auto"/>
                  </w:divBdr>
                </w:div>
                <w:div w:id="2017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2967">
      <w:bodyDiv w:val="1"/>
      <w:marLeft w:val="0"/>
      <w:marRight w:val="0"/>
      <w:marTop w:val="0"/>
      <w:marBottom w:val="0"/>
      <w:divBdr>
        <w:top w:val="none" w:sz="0" w:space="0" w:color="auto"/>
        <w:left w:val="none" w:sz="0" w:space="0" w:color="auto"/>
        <w:bottom w:val="none" w:sz="0" w:space="0" w:color="auto"/>
        <w:right w:val="none" w:sz="0" w:space="0" w:color="auto"/>
      </w:divBdr>
      <w:divsChild>
        <w:div w:id="1421098257">
          <w:marLeft w:val="0"/>
          <w:marRight w:val="0"/>
          <w:marTop w:val="0"/>
          <w:marBottom w:val="0"/>
          <w:divBdr>
            <w:top w:val="none" w:sz="0" w:space="0" w:color="auto"/>
            <w:left w:val="none" w:sz="0" w:space="0" w:color="auto"/>
            <w:bottom w:val="none" w:sz="0" w:space="0" w:color="auto"/>
            <w:right w:val="none" w:sz="0" w:space="0" w:color="auto"/>
          </w:divBdr>
          <w:divsChild>
            <w:div w:id="322465178">
              <w:marLeft w:val="0"/>
              <w:marRight w:val="0"/>
              <w:marTop w:val="0"/>
              <w:marBottom w:val="0"/>
              <w:divBdr>
                <w:top w:val="none" w:sz="0" w:space="0" w:color="auto"/>
                <w:left w:val="none" w:sz="0" w:space="0" w:color="auto"/>
                <w:bottom w:val="none" w:sz="0" w:space="0" w:color="auto"/>
                <w:right w:val="none" w:sz="0" w:space="0" w:color="auto"/>
              </w:divBdr>
              <w:divsChild>
                <w:div w:id="126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1919">
      <w:bodyDiv w:val="1"/>
      <w:marLeft w:val="0"/>
      <w:marRight w:val="0"/>
      <w:marTop w:val="0"/>
      <w:marBottom w:val="0"/>
      <w:divBdr>
        <w:top w:val="none" w:sz="0" w:space="0" w:color="auto"/>
        <w:left w:val="none" w:sz="0" w:space="0" w:color="auto"/>
        <w:bottom w:val="none" w:sz="0" w:space="0" w:color="auto"/>
        <w:right w:val="none" w:sz="0" w:space="0" w:color="auto"/>
      </w:divBdr>
    </w:div>
    <w:div w:id="1266377721">
      <w:bodyDiv w:val="1"/>
      <w:marLeft w:val="0"/>
      <w:marRight w:val="0"/>
      <w:marTop w:val="0"/>
      <w:marBottom w:val="0"/>
      <w:divBdr>
        <w:top w:val="none" w:sz="0" w:space="0" w:color="auto"/>
        <w:left w:val="none" w:sz="0" w:space="0" w:color="auto"/>
        <w:bottom w:val="none" w:sz="0" w:space="0" w:color="auto"/>
        <w:right w:val="none" w:sz="0" w:space="0" w:color="auto"/>
      </w:divBdr>
    </w:div>
    <w:div w:id="1295411336">
      <w:bodyDiv w:val="1"/>
      <w:marLeft w:val="0"/>
      <w:marRight w:val="0"/>
      <w:marTop w:val="0"/>
      <w:marBottom w:val="0"/>
      <w:divBdr>
        <w:top w:val="none" w:sz="0" w:space="0" w:color="auto"/>
        <w:left w:val="none" w:sz="0" w:space="0" w:color="auto"/>
        <w:bottom w:val="none" w:sz="0" w:space="0" w:color="auto"/>
        <w:right w:val="none" w:sz="0" w:space="0" w:color="auto"/>
      </w:divBdr>
    </w:div>
    <w:div w:id="1296181062">
      <w:bodyDiv w:val="1"/>
      <w:marLeft w:val="0"/>
      <w:marRight w:val="0"/>
      <w:marTop w:val="0"/>
      <w:marBottom w:val="0"/>
      <w:divBdr>
        <w:top w:val="none" w:sz="0" w:space="0" w:color="auto"/>
        <w:left w:val="none" w:sz="0" w:space="0" w:color="auto"/>
        <w:bottom w:val="none" w:sz="0" w:space="0" w:color="auto"/>
        <w:right w:val="none" w:sz="0" w:space="0" w:color="auto"/>
      </w:divBdr>
    </w:div>
    <w:div w:id="1313019635">
      <w:bodyDiv w:val="1"/>
      <w:marLeft w:val="0"/>
      <w:marRight w:val="0"/>
      <w:marTop w:val="0"/>
      <w:marBottom w:val="0"/>
      <w:divBdr>
        <w:top w:val="none" w:sz="0" w:space="0" w:color="auto"/>
        <w:left w:val="none" w:sz="0" w:space="0" w:color="auto"/>
        <w:bottom w:val="none" w:sz="0" w:space="0" w:color="auto"/>
        <w:right w:val="none" w:sz="0" w:space="0" w:color="auto"/>
      </w:divBdr>
    </w:div>
    <w:div w:id="1328897666">
      <w:bodyDiv w:val="1"/>
      <w:marLeft w:val="0"/>
      <w:marRight w:val="0"/>
      <w:marTop w:val="0"/>
      <w:marBottom w:val="0"/>
      <w:divBdr>
        <w:top w:val="none" w:sz="0" w:space="0" w:color="auto"/>
        <w:left w:val="none" w:sz="0" w:space="0" w:color="auto"/>
        <w:bottom w:val="none" w:sz="0" w:space="0" w:color="auto"/>
        <w:right w:val="none" w:sz="0" w:space="0" w:color="auto"/>
      </w:divBdr>
    </w:div>
    <w:div w:id="1349406460">
      <w:bodyDiv w:val="1"/>
      <w:marLeft w:val="0"/>
      <w:marRight w:val="0"/>
      <w:marTop w:val="0"/>
      <w:marBottom w:val="0"/>
      <w:divBdr>
        <w:top w:val="none" w:sz="0" w:space="0" w:color="auto"/>
        <w:left w:val="none" w:sz="0" w:space="0" w:color="auto"/>
        <w:bottom w:val="none" w:sz="0" w:space="0" w:color="auto"/>
        <w:right w:val="none" w:sz="0" w:space="0" w:color="auto"/>
      </w:divBdr>
    </w:div>
    <w:div w:id="1350063668">
      <w:bodyDiv w:val="1"/>
      <w:marLeft w:val="0"/>
      <w:marRight w:val="0"/>
      <w:marTop w:val="0"/>
      <w:marBottom w:val="0"/>
      <w:divBdr>
        <w:top w:val="none" w:sz="0" w:space="0" w:color="auto"/>
        <w:left w:val="none" w:sz="0" w:space="0" w:color="auto"/>
        <w:bottom w:val="none" w:sz="0" w:space="0" w:color="auto"/>
        <w:right w:val="none" w:sz="0" w:space="0" w:color="auto"/>
      </w:divBdr>
    </w:div>
    <w:div w:id="1374041954">
      <w:bodyDiv w:val="1"/>
      <w:marLeft w:val="0"/>
      <w:marRight w:val="0"/>
      <w:marTop w:val="0"/>
      <w:marBottom w:val="0"/>
      <w:divBdr>
        <w:top w:val="none" w:sz="0" w:space="0" w:color="auto"/>
        <w:left w:val="none" w:sz="0" w:space="0" w:color="auto"/>
        <w:bottom w:val="none" w:sz="0" w:space="0" w:color="auto"/>
        <w:right w:val="none" w:sz="0" w:space="0" w:color="auto"/>
      </w:divBdr>
      <w:divsChild>
        <w:div w:id="965352822">
          <w:marLeft w:val="0"/>
          <w:marRight w:val="0"/>
          <w:marTop w:val="0"/>
          <w:marBottom w:val="0"/>
          <w:divBdr>
            <w:top w:val="none" w:sz="0" w:space="0" w:color="auto"/>
            <w:left w:val="none" w:sz="0" w:space="0" w:color="auto"/>
            <w:bottom w:val="none" w:sz="0" w:space="0" w:color="auto"/>
            <w:right w:val="none" w:sz="0" w:space="0" w:color="auto"/>
          </w:divBdr>
          <w:divsChild>
            <w:div w:id="1443037889">
              <w:marLeft w:val="0"/>
              <w:marRight w:val="0"/>
              <w:marTop w:val="0"/>
              <w:marBottom w:val="0"/>
              <w:divBdr>
                <w:top w:val="none" w:sz="0" w:space="0" w:color="auto"/>
                <w:left w:val="none" w:sz="0" w:space="0" w:color="auto"/>
                <w:bottom w:val="none" w:sz="0" w:space="0" w:color="auto"/>
                <w:right w:val="none" w:sz="0" w:space="0" w:color="auto"/>
              </w:divBdr>
              <w:divsChild>
                <w:div w:id="14533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617">
      <w:bodyDiv w:val="1"/>
      <w:marLeft w:val="0"/>
      <w:marRight w:val="0"/>
      <w:marTop w:val="0"/>
      <w:marBottom w:val="0"/>
      <w:divBdr>
        <w:top w:val="none" w:sz="0" w:space="0" w:color="auto"/>
        <w:left w:val="none" w:sz="0" w:space="0" w:color="auto"/>
        <w:bottom w:val="none" w:sz="0" w:space="0" w:color="auto"/>
        <w:right w:val="none" w:sz="0" w:space="0" w:color="auto"/>
      </w:divBdr>
    </w:div>
    <w:div w:id="1417554631">
      <w:bodyDiv w:val="1"/>
      <w:marLeft w:val="0"/>
      <w:marRight w:val="0"/>
      <w:marTop w:val="0"/>
      <w:marBottom w:val="0"/>
      <w:divBdr>
        <w:top w:val="none" w:sz="0" w:space="0" w:color="auto"/>
        <w:left w:val="none" w:sz="0" w:space="0" w:color="auto"/>
        <w:bottom w:val="none" w:sz="0" w:space="0" w:color="auto"/>
        <w:right w:val="none" w:sz="0" w:space="0" w:color="auto"/>
      </w:divBdr>
      <w:divsChild>
        <w:div w:id="451174893">
          <w:marLeft w:val="0"/>
          <w:marRight w:val="0"/>
          <w:marTop w:val="0"/>
          <w:marBottom w:val="0"/>
          <w:divBdr>
            <w:top w:val="none" w:sz="0" w:space="0" w:color="auto"/>
            <w:left w:val="none" w:sz="0" w:space="0" w:color="auto"/>
            <w:bottom w:val="none" w:sz="0" w:space="0" w:color="auto"/>
            <w:right w:val="none" w:sz="0" w:space="0" w:color="auto"/>
          </w:divBdr>
          <w:divsChild>
            <w:div w:id="996302655">
              <w:marLeft w:val="0"/>
              <w:marRight w:val="0"/>
              <w:marTop w:val="0"/>
              <w:marBottom w:val="0"/>
              <w:divBdr>
                <w:top w:val="none" w:sz="0" w:space="0" w:color="auto"/>
                <w:left w:val="none" w:sz="0" w:space="0" w:color="auto"/>
                <w:bottom w:val="none" w:sz="0" w:space="0" w:color="auto"/>
                <w:right w:val="none" w:sz="0" w:space="0" w:color="auto"/>
              </w:divBdr>
              <w:divsChild>
                <w:div w:id="1584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0955">
      <w:bodyDiv w:val="1"/>
      <w:marLeft w:val="0"/>
      <w:marRight w:val="0"/>
      <w:marTop w:val="0"/>
      <w:marBottom w:val="0"/>
      <w:divBdr>
        <w:top w:val="none" w:sz="0" w:space="0" w:color="auto"/>
        <w:left w:val="none" w:sz="0" w:space="0" w:color="auto"/>
        <w:bottom w:val="none" w:sz="0" w:space="0" w:color="auto"/>
        <w:right w:val="none" w:sz="0" w:space="0" w:color="auto"/>
      </w:divBdr>
    </w:div>
    <w:div w:id="1473476718">
      <w:bodyDiv w:val="1"/>
      <w:marLeft w:val="0"/>
      <w:marRight w:val="0"/>
      <w:marTop w:val="0"/>
      <w:marBottom w:val="0"/>
      <w:divBdr>
        <w:top w:val="none" w:sz="0" w:space="0" w:color="auto"/>
        <w:left w:val="none" w:sz="0" w:space="0" w:color="auto"/>
        <w:bottom w:val="none" w:sz="0" w:space="0" w:color="auto"/>
        <w:right w:val="none" w:sz="0" w:space="0" w:color="auto"/>
      </w:divBdr>
    </w:div>
    <w:div w:id="1474251001">
      <w:bodyDiv w:val="1"/>
      <w:marLeft w:val="0"/>
      <w:marRight w:val="0"/>
      <w:marTop w:val="0"/>
      <w:marBottom w:val="0"/>
      <w:divBdr>
        <w:top w:val="none" w:sz="0" w:space="0" w:color="auto"/>
        <w:left w:val="none" w:sz="0" w:space="0" w:color="auto"/>
        <w:bottom w:val="none" w:sz="0" w:space="0" w:color="auto"/>
        <w:right w:val="none" w:sz="0" w:space="0" w:color="auto"/>
      </w:divBdr>
      <w:divsChild>
        <w:div w:id="1418750722">
          <w:marLeft w:val="0"/>
          <w:marRight w:val="0"/>
          <w:marTop w:val="0"/>
          <w:marBottom w:val="0"/>
          <w:divBdr>
            <w:top w:val="none" w:sz="0" w:space="0" w:color="auto"/>
            <w:left w:val="none" w:sz="0" w:space="0" w:color="auto"/>
            <w:bottom w:val="none" w:sz="0" w:space="0" w:color="auto"/>
            <w:right w:val="none" w:sz="0" w:space="0" w:color="auto"/>
          </w:divBdr>
          <w:divsChild>
            <w:div w:id="346758035">
              <w:marLeft w:val="0"/>
              <w:marRight w:val="0"/>
              <w:marTop w:val="0"/>
              <w:marBottom w:val="0"/>
              <w:divBdr>
                <w:top w:val="none" w:sz="0" w:space="0" w:color="auto"/>
                <w:left w:val="none" w:sz="0" w:space="0" w:color="auto"/>
                <w:bottom w:val="none" w:sz="0" w:space="0" w:color="auto"/>
                <w:right w:val="none" w:sz="0" w:space="0" w:color="auto"/>
              </w:divBdr>
              <w:divsChild>
                <w:div w:id="4293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075">
      <w:bodyDiv w:val="1"/>
      <w:marLeft w:val="0"/>
      <w:marRight w:val="0"/>
      <w:marTop w:val="0"/>
      <w:marBottom w:val="0"/>
      <w:divBdr>
        <w:top w:val="none" w:sz="0" w:space="0" w:color="auto"/>
        <w:left w:val="none" w:sz="0" w:space="0" w:color="auto"/>
        <w:bottom w:val="none" w:sz="0" w:space="0" w:color="auto"/>
        <w:right w:val="none" w:sz="0" w:space="0" w:color="auto"/>
      </w:divBdr>
    </w:div>
    <w:div w:id="1551845788">
      <w:bodyDiv w:val="1"/>
      <w:marLeft w:val="0"/>
      <w:marRight w:val="0"/>
      <w:marTop w:val="0"/>
      <w:marBottom w:val="0"/>
      <w:divBdr>
        <w:top w:val="none" w:sz="0" w:space="0" w:color="auto"/>
        <w:left w:val="none" w:sz="0" w:space="0" w:color="auto"/>
        <w:bottom w:val="none" w:sz="0" w:space="0" w:color="auto"/>
        <w:right w:val="none" w:sz="0" w:space="0" w:color="auto"/>
      </w:divBdr>
      <w:divsChild>
        <w:div w:id="66652046">
          <w:marLeft w:val="0"/>
          <w:marRight w:val="0"/>
          <w:marTop w:val="0"/>
          <w:marBottom w:val="0"/>
          <w:divBdr>
            <w:top w:val="none" w:sz="0" w:space="0" w:color="auto"/>
            <w:left w:val="none" w:sz="0" w:space="0" w:color="auto"/>
            <w:bottom w:val="none" w:sz="0" w:space="0" w:color="auto"/>
            <w:right w:val="none" w:sz="0" w:space="0" w:color="auto"/>
          </w:divBdr>
          <w:divsChild>
            <w:div w:id="11490533">
              <w:marLeft w:val="0"/>
              <w:marRight w:val="0"/>
              <w:marTop w:val="0"/>
              <w:marBottom w:val="0"/>
              <w:divBdr>
                <w:top w:val="none" w:sz="0" w:space="0" w:color="auto"/>
                <w:left w:val="none" w:sz="0" w:space="0" w:color="auto"/>
                <w:bottom w:val="none" w:sz="0" w:space="0" w:color="auto"/>
                <w:right w:val="none" w:sz="0" w:space="0" w:color="auto"/>
              </w:divBdr>
              <w:divsChild>
                <w:div w:id="1792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9690">
      <w:bodyDiv w:val="1"/>
      <w:marLeft w:val="0"/>
      <w:marRight w:val="0"/>
      <w:marTop w:val="0"/>
      <w:marBottom w:val="0"/>
      <w:divBdr>
        <w:top w:val="none" w:sz="0" w:space="0" w:color="auto"/>
        <w:left w:val="none" w:sz="0" w:space="0" w:color="auto"/>
        <w:bottom w:val="none" w:sz="0" w:space="0" w:color="auto"/>
        <w:right w:val="none" w:sz="0" w:space="0" w:color="auto"/>
      </w:divBdr>
    </w:div>
    <w:div w:id="1649900516">
      <w:bodyDiv w:val="1"/>
      <w:marLeft w:val="0"/>
      <w:marRight w:val="0"/>
      <w:marTop w:val="0"/>
      <w:marBottom w:val="0"/>
      <w:divBdr>
        <w:top w:val="none" w:sz="0" w:space="0" w:color="auto"/>
        <w:left w:val="none" w:sz="0" w:space="0" w:color="auto"/>
        <w:bottom w:val="none" w:sz="0" w:space="0" w:color="auto"/>
        <w:right w:val="none" w:sz="0" w:space="0" w:color="auto"/>
      </w:divBdr>
    </w:div>
    <w:div w:id="1685786909">
      <w:bodyDiv w:val="1"/>
      <w:marLeft w:val="0"/>
      <w:marRight w:val="0"/>
      <w:marTop w:val="0"/>
      <w:marBottom w:val="0"/>
      <w:divBdr>
        <w:top w:val="none" w:sz="0" w:space="0" w:color="auto"/>
        <w:left w:val="none" w:sz="0" w:space="0" w:color="auto"/>
        <w:bottom w:val="none" w:sz="0" w:space="0" w:color="auto"/>
        <w:right w:val="none" w:sz="0" w:space="0" w:color="auto"/>
      </w:divBdr>
    </w:div>
    <w:div w:id="1686901714">
      <w:bodyDiv w:val="1"/>
      <w:marLeft w:val="0"/>
      <w:marRight w:val="0"/>
      <w:marTop w:val="0"/>
      <w:marBottom w:val="0"/>
      <w:divBdr>
        <w:top w:val="none" w:sz="0" w:space="0" w:color="auto"/>
        <w:left w:val="none" w:sz="0" w:space="0" w:color="auto"/>
        <w:bottom w:val="none" w:sz="0" w:space="0" w:color="auto"/>
        <w:right w:val="none" w:sz="0" w:space="0" w:color="auto"/>
      </w:divBdr>
      <w:divsChild>
        <w:div w:id="1889338241">
          <w:marLeft w:val="0"/>
          <w:marRight w:val="0"/>
          <w:marTop w:val="0"/>
          <w:marBottom w:val="0"/>
          <w:divBdr>
            <w:top w:val="none" w:sz="0" w:space="0" w:color="auto"/>
            <w:left w:val="none" w:sz="0" w:space="0" w:color="auto"/>
            <w:bottom w:val="none" w:sz="0" w:space="0" w:color="auto"/>
            <w:right w:val="none" w:sz="0" w:space="0" w:color="auto"/>
          </w:divBdr>
          <w:divsChild>
            <w:div w:id="589967313">
              <w:marLeft w:val="0"/>
              <w:marRight w:val="0"/>
              <w:marTop w:val="0"/>
              <w:marBottom w:val="0"/>
              <w:divBdr>
                <w:top w:val="none" w:sz="0" w:space="0" w:color="auto"/>
                <w:left w:val="none" w:sz="0" w:space="0" w:color="auto"/>
                <w:bottom w:val="none" w:sz="0" w:space="0" w:color="auto"/>
                <w:right w:val="none" w:sz="0" w:space="0" w:color="auto"/>
              </w:divBdr>
              <w:divsChild>
                <w:div w:id="9956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2517">
      <w:bodyDiv w:val="1"/>
      <w:marLeft w:val="0"/>
      <w:marRight w:val="0"/>
      <w:marTop w:val="0"/>
      <w:marBottom w:val="0"/>
      <w:divBdr>
        <w:top w:val="none" w:sz="0" w:space="0" w:color="auto"/>
        <w:left w:val="none" w:sz="0" w:space="0" w:color="auto"/>
        <w:bottom w:val="none" w:sz="0" w:space="0" w:color="auto"/>
        <w:right w:val="none" w:sz="0" w:space="0" w:color="auto"/>
      </w:divBdr>
      <w:divsChild>
        <w:div w:id="238827890">
          <w:marLeft w:val="0"/>
          <w:marRight w:val="0"/>
          <w:marTop w:val="0"/>
          <w:marBottom w:val="0"/>
          <w:divBdr>
            <w:top w:val="none" w:sz="0" w:space="0" w:color="auto"/>
            <w:left w:val="none" w:sz="0" w:space="0" w:color="auto"/>
            <w:bottom w:val="none" w:sz="0" w:space="0" w:color="auto"/>
            <w:right w:val="none" w:sz="0" w:space="0" w:color="auto"/>
          </w:divBdr>
          <w:divsChild>
            <w:div w:id="472598066">
              <w:marLeft w:val="0"/>
              <w:marRight w:val="0"/>
              <w:marTop w:val="0"/>
              <w:marBottom w:val="0"/>
              <w:divBdr>
                <w:top w:val="none" w:sz="0" w:space="0" w:color="auto"/>
                <w:left w:val="none" w:sz="0" w:space="0" w:color="auto"/>
                <w:bottom w:val="none" w:sz="0" w:space="0" w:color="auto"/>
                <w:right w:val="none" w:sz="0" w:space="0" w:color="auto"/>
              </w:divBdr>
              <w:divsChild>
                <w:div w:id="13109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768">
      <w:bodyDiv w:val="1"/>
      <w:marLeft w:val="0"/>
      <w:marRight w:val="0"/>
      <w:marTop w:val="0"/>
      <w:marBottom w:val="0"/>
      <w:divBdr>
        <w:top w:val="none" w:sz="0" w:space="0" w:color="auto"/>
        <w:left w:val="none" w:sz="0" w:space="0" w:color="auto"/>
        <w:bottom w:val="none" w:sz="0" w:space="0" w:color="auto"/>
        <w:right w:val="none" w:sz="0" w:space="0" w:color="auto"/>
      </w:divBdr>
    </w:div>
    <w:div w:id="1776167039">
      <w:bodyDiv w:val="1"/>
      <w:marLeft w:val="0"/>
      <w:marRight w:val="0"/>
      <w:marTop w:val="0"/>
      <w:marBottom w:val="0"/>
      <w:divBdr>
        <w:top w:val="none" w:sz="0" w:space="0" w:color="auto"/>
        <w:left w:val="none" w:sz="0" w:space="0" w:color="auto"/>
        <w:bottom w:val="none" w:sz="0" w:space="0" w:color="auto"/>
        <w:right w:val="none" w:sz="0" w:space="0" w:color="auto"/>
      </w:divBdr>
      <w:divsChild>
        <w:div w:id="142351299">
          <w:marLeft w:val="0"/>
          <w:marRight w:val="0"/>
          <w:marTop w:val="0"/>
          <w:marBottom w:val="0"/>
          <w:divBdr>
            <w:top w:val="none" w:sz="0" w:space="0" w:color="auto"/>
            <w:left w:val="none" w:sz="0" w:space="0" w:color="auto"/>
            <w:bottom w:val="none" w:sz="0" w:space="0" w:color="auto"/>
            <w:right w:val="none" w:sz="0" w:space="0" w:color="auto"/>
          </w:divBdr>
          <w:divsChild>
            <w:div w:id="1190876610">
              <w:marLeft w:val="0"/>
              <w:marRight w:val="0"/>
              <w:marTop w:val="0"/>
              <w:marBottom w:val="0"/>
              <w:divBdr>
                <w:top w:val="none" w:sz="0" w:space="0" w:color="auto"/>
                <w:left w:val="none" w:sz="0" w:space="0" w:color="auto"/>
                <w:bottom w:val="none" w:sz="0" w:space="0" w:color="auto"/>
                <w:right w:val="none" w:sz="0" w:space="0" w:color="auto"/>
              </w:divBdr>
              <w:divsChild>
                <w:div w:id="8865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5566">
          <w:marLeft w:val="0"/>
          <w:marRight w:val="0"/>
          <w:marTop w:val="0"/>
          <w:marBottom w:val="0"/>
          <w:divBdr>
            <w:top w:val="none" w:sz="0" w:space="0" w:color="auto"/>
            <w:left w:val="none" w:sz="0" w:space="0" w:color="auto"/>
            <w:bottom w:val="none" w:sz="0" w:space="0" w:color="auto"/>
            <w:right w:val="none" w:sz="0" w:space="0" w:color="auto"/>
          </w:divBdr>
          <w:divsChild>
            <w:div w:id="469827855">
              <w:marLeft w:val="0"/>
              <w:marRight w:val="0"/>
              <w:marTop w:val="0"/>
              <w:marBottom w:val="0"/>
              <w:divBdr>
                <w:top w:val="none" w:sz="0" w:space="0" w:color="auto"/>
                <w:left w:val="none" w:sz="0" w:space="0" w:color="auto"/>
                <w:bottom w:val="none" w:sz="0" w:space="0" w:color="auto"/>
                <w:right w:val="none" w:sz="0" w:space="0" w:color="auto"/>
              </w:divBdr>
              <w:divsChild>
                <w:div w:id="706181091">
                  <w:marLeft w:val="0"/>
                  <w:marRight w:val="0"/>
                  <w:marTop w:val="0"/>
                  <w:marBottom w:val="0"/>
                  <w:divBdr>
                    <w:top w:val="none" w:sz="0" w:space="0" w:color="auto"/>
                    <w:left w:val="none" w:sz="0" w:space="0" w:color="auto"/>
                    <w:bottom w:val="none" w:sz="0" w:space="0" w:color="auto"/>
                    <w:right w:val="none" w:sz="0" w:space="0" w:color="auto"/>
                  </w:divBdr>
                </w:div>
                <w:div w:id="1619723115">
                  <w:marLeft w:val="0"/>
                  <w:marRight w:val="0"/>
                  <w:marTop w:val="0"/>
                  <w:marBottom w:val="0"/>
                  <w:divBdr>
                    <w:top w:val="none" w:sz="0" w:space="0" w:color="auto"/>
                    <w:left w:val="none" w:sz="0" w:space="0" w:color="auto"/>
                    <w:bottom w:val="none" w:sz="0" w:space="0" w:color="auto"/>
                    <w:right w:val="none" w:sz="0" w:space="0" w:color="auto"/>
                  </w:divBdr>
                </w:div>
              </w:divsChild>
            </w:div>
            <w:div w:id="344677987">
              <w:marLeft w:val="0"/>
              <w:marRight w:val="0"/>
              <w:marTop w:val="0"/>
              <w:marBottom w:val="0"/>
              <w:divBdr>
                <w:top w:val="none" w:sz="0" w:space="0" w:color="auto"/>
                <w:left w:val="none" w:sz="0" w:space="0" w:color="auto"/>
                <w:bottom w:val="none" w:sz="0" w:space="0" w:color="auto"/>
                <w:right w:val="none" w:sz="0" w:space="0" w:color="auto"/>
              </w:divBdr>
              <w:divsChild>
                <w:div w:id="678197518">
                  <w:marLeft w:val="0"/>
                  <w:marRight w:val="0"/>
                  <w:marTop w:val="0"/>
                  <w:marBottom w:val="0"/>
                  <w:divBdr>
                    <w:top w:val="none" w:sz="0" w:space="0" w:color="auto"/>
                    <w:left w:val="none" w:sz="0" w:space="0" w:color="auto"/>
                    <w:bottom w:val="none" w:sz="0" w:space="0" w:color="auto"/>
                    <w:right w:val="none" w:sz="0" w:space="0" w:color="auto"/>
                  </w:divBdr>
                </w:div>
                <w:div w:id="2041738105">
                  <w:marLeft w:val="0"/>
                  <w:marRight w:val="0"/>
                  <w:marTop w:val="0"/>
                  <w:marBottom w:val="0"/>
                  <w:divBdr>
                    <w:top w:val="none" w:sz="0" w:space="0" w:color="auto"/>
                    <w:left w:val="none" w:sz="0" w:space="0" w:color="auto"/>
                    <w:bottom w:val="none" w:sz="0" w:space="0" w:color="auto"/>
                    <w:right w:val="none" w:sz="0" w:space="0" w:color="auto"/>
                  </w:divBdr>
                </w:div>
              </w:divsChild>
            </w:div>
            <w:div w:id="1672367157">
              <w:marLeft w:val="0"/>
              <w:marRight w:val="0"/>
              <w:marTop w:val="0"/>
              <w:marBottom w:val="0"/>
              <w:divBdr>
                <w:top w:val="none" w:sz="0" w:space="0" w:color="auto"/>
                <w:left w:val="none" w:sz="0" w:space="0" w:color="auto"/>
                <w:bottom w:val="none" w:sz="0" w:space="0" w:color="auto"/>
                <w:right w:val="none" w:sz="0" w:space="0" w:color="auto"/>
              </w:divBdr>
              <w:divsChild>
                <w:div w:id="577666757">
                  <w:marLeft w:val="0"/>
                  <w:marRight w:val="0"/>
                  <w:marTop w:val="0"/>
                  <w:marBottom w:val="0"/>
                  <w:divBdr>
                    <w:top w:val="none" w:sz="0" w:space="0" w:color="auto"/>
                    <w:left w:val="none" w:sz="0" w:space="0" w:color="auto"/>
                    <w:bottom w:val="none" w:sz="0" w:space="0" w:color="auto"/>
                    <w:right w:val="none" w:sz="0" w:space="0" w:color="auto"/>
                  </w:divBdr>
                </w:div>
                <w:div w:id="2050109276">
                  <w:marLeft w:val="0"/>
                  <w:marRight w:val="0"/>
                  <w:marTop w:val="0"/>
                  <w:marBottom w:val="0"/>
                  <w:divBdr>
                    <w:top w:val="none" w:sz="0" w:space="0" w:color="auto"/>
                    <w:left w:val="none" w:sz="0" w:space="0" w:color="auto"/>
                    <w:bottom w:val="none" w:sz="0" w:space="0" w:color="auto"/>
                    <w:right w:val="none" w:sz="0" w:space="0" w:color="auto"/>
                  </w:divBdr>
                </w:div>
              </w:divsChild>
            </w:div>
            <w:div w:id="1982729998">
              <w:marLeft w:val="0"/>
              <w:marRight w:val="0"/>
              <w:marTop w:val="0"/>
              <w:marBottom w:val="0"/>
              <w:divBdr>
                <w:top w:val="none" w:sz="0" w:space="0" w:color="auto"/>
                <w:left w:val="none" w:sz="0" w:space="0" w:color="auto"/>
                <w:bottom w:val="none" w:sz="0" w:space="0" w:color="auto"/>
                <w:right w:val="none" w:sz="0" w:space="0" w:color="auto"/>
              </w:divBdr>
              <w:divsChild>
                <w:div w:id="984359688">
                  <w:marLeft w:val="0"/>
                  <w:marRight w:val="0"/>
                  <w:marTop w:val="0"/>
                  <w:marBottom w:val="0"/>
                  <w:divBdr>
                    <w:top w:val="none" w:sz="0" w:space="0" w:color="auto"/>
                    <w:left w:val="none" w:sz="0" w:space="0" w:color="auto"/>
                    <w:bottom w:val="none" w:sz="0" w:space="0" w:color="auto"/>
                    <w:right w:val="none" w:sz="0" w:space="0" w:color="auto"/>
                  </w:divBdr>
                </w:div>
                <w:div w:id="1970624187">
                  <w:marLeft w:val="0"/>
                  <w:marRight w:val="0"/>
                  <w:marTop w:val="0"/>
                  <w:marBottom w:val="0"/>
                  <w:divBdr>
                    <w:top w:val="none" w:sz="0" w:space="0" w:color="auto"/>
                    <w:left w:val="none" w:sz="0" w:space="0" w:color="auto"/>
                    <w:bottom w:val="none" w:sz="0" w:space="0" w:color="auto"/>
                    <w:right w:val="none" w:sz="0" w:space="0" w:color="auto"/>
                  </w:divBdr>
                </w:div>
              </w:divsChild>
            </w:div>
            <w:div w:id="560025615">
              <w:marLeft w:val="0"/>
              <w:marRight w:val="0"/>
              <w:marTop w:val="0"/>
              <w:marBottom w:val="0"/>
              <w:divBdr>
                <w:top w:val="none" w:sz="0" w:space="0" w:color="auto"/>
                <w:left w:val="none" w:sz="0" w:space="0" w:color="auto"/>
                <w:bottom w:val="none" w:sz="0" w:space="0" w:color="auto"/>
                <w:right w:val="none" w:sz="0" w:space="0" w:color="auto"/>
              </w:divBdr>
              <w:divsChild>
                <w:div w:id="292952224">
                  <w:marLeft w:val="0"/>
                  <w:marRight w:val="0"/>
                  <w:marTop w:val="0"/>
                  <w:marBottom w:val="0"/>
                  <w:divBdr>
                    <w:top w:val="none" w:sz="0" w:space="0" w:color="auto"/>
                    <w:left w:val="none" w:sz="0" w:space="0" w:color="auto"/>
                    <w:bottom w:val="none" w:sz="0" w:space="0" w:color="auto"/>
                    <w:right w:val="none" w:sz="0" w:space="0" w:color="auto"/>
                  </w:divBdr>
                </w:div>
                <w:div w:id="1387678910">
                  <w:marLeft w:val="0"/>
                  <w:marRight w:val="0"/>
                  <w:marTop w:val="0"/>
                  <w:marBottom w:val="0"/>
                  <w:divBdr>
                    <w:top w:val="none" w:sz="0" w:space="0" w:color="auto"/>
                    <w:left w:val="none" w:sz="0" w:space="0" w:color="auto"/>
                    <w:bottom w:val="none" w:sz="0" w:space="0" w:color="auto"/>
                    <w:right w:val="none" w:sz="0" w:space="0" w:color="auto"/>
                  </w:divBdr>
                </w:div>
              </w:divsChild>
            </w:div>
            <w:div w:id="868448958">
              <w:marLeft w:val="0"/>
              <w:marRight w:val="0"/>
              <w:marTop w:val="0"/>
              <w:marBottom w:val="0"/>
              <w:divBdr>
                <w:top w:val="none" w:sz="0" w:space="0" w:color="auto"/>
                <w:left w:val="none" w:sz="0" w:space="0" w:color="auto"/>
                <w:bottom w:val="none" w:sz="0" w:space="0" w:color="auto"/>
                <w:right w:val="none" w:sz="0" w:space="0" w:color="auto"/>
              </w:divBdr>
              <w:divsChild>
                <w:div w:id="1595629539">
                  <w:marLeft w:val="0"/>
                  <w:marRight w:val="0"/>
                  <w:marTop w:val="0"/>
                  <w:marBottom w:val="0"/>
                  <w:divBdr>
                    <w:top w:val="none" w:sz="0" w:space="0" w:color="auto"/>
                    <w:left w:val="none" w:sz="0" w:space="0" w:color="auto"/>
                    <w:bottom w:val="none" w:sz="0" w:space="0" w:color="auto"/>
                    <w:right w:val="none" w:sz="0" w:space="0" w:color="auto"/>
                  </w:divBdr>
                </w:div>
                <w:div w:id="1004086826">
                  <w:marLeft w:val="0"/>
                  <w:marRight w:val="0"/>
                  <w:marTop w:val="0"/>
                  <w:marBottom w:val="0"/>
                  <w:divBdr>
                    <w:top w:val="none" w:sz="0" w:space="0" w:color="auto"/>
                    <w:left w:val="none" w:sz="0" w:space="0" w:color="auto"/>
                    <w:bottom w:val="none" w:sz="0" w:space="0" w:color="auto"/>
                    <w:right w:val="none" w:sz="0" w:space="0" w:color="auto"/>
                  </w:divBdr>
                </w:div>
              </w:divsChild>
            </w:div>
            <w:div w:id="1647511742">
              <w:marLeft w:val="0"/>
              <w:marRight w:val="0"/>
              <w:marTop w:val="0"/>
              <w:marBottom w:val="0"/>
              <w:divBdr>
                <w:top w:val="none" w:sz="0" w:space="0" w:color="auto"/>
                <w:left w:val="none" w:sz="0" w:space="0" w:color="auto"/>
                <w:bottom w:val="none" w:sz="0" w:space="0" w:color="auto"/>
                <w:right w:val="none" w:sz="0" w:space="0" w:color="auto"/>
              </w:divBdr>
              <w:divsChild>
                <w:div w:id="1756977597">
                  <w:marLeft w:val="0"/>
                  <w:marRight w:val="0"/>
                  <w:marTop w:val="0"/>
                  <w:marBottom w:val="0"/>
                  <w:divBdr>
                    <w:top w:val="none" w:sz="0" w:space="0" w:color="auto"/>
                    <w:left w:val="none" w:sz="0" w:space="0" w:color="auto"/>
                    <w:bottom w:val="none" w:sz="0" w:space="0" w:color="auto"/>
                    <w:right w:val="none" w:sz="0" w:space="0" w:color="auto"/>
                  </w:divBdr>
                </w:div>
                <w:div w:id="15195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994290227">
          <w:marLeft w:val="0"/>
          <w:marRight w:val="0"/>
          <w:marTop w:val="0"/>
          <w:marBottom w:val="0"/>
          <w:divBdr>
            <w:top w:val="none" w:sz="0" w:space="0" w:color="auto"/>
            <w:left w:val="none" w:sz="0" w:space="0" w:color="auto"/>
            <w:bottom w:val="none" w:sz="0" w:space="0" w:color="auto"/>
            <w:right w:val="none" w:sz="0" w:space="0" w:color="auto"/>
          </w:divBdr>
          <w:divsChild>
            <w:div w:id="55664302">
              <w:marLeft w:val="0"/>
              <w:marRight w:val="0"/>
              <w:marTop w:val="0"/>
              <w:marBottom w:val="0"/>
              <w:divBdr>
                <w:top w:val="none" w:sz="0" w:space="0" w:color="auto"/>
                <w:left w:val="none" w:sz="0" w:space="0" w:color="auto"/>
                <w:bottom w:val="none" w:sz="0" w:space="0" w:color="auto"/>
                <w:right w:val="none" w:sz="0" w:space="0" w:color="auto"/>
              </w:divBdr>
              <w:divsChild>
                <w:div w:id="1874614251">
                  <w:marLeft w:val="0"/>
                  <w:marRight w:val="0"/>
                  <w:marTop w:val="0"/>
                  <w:marBottom w:val="0"/>
                  <w:divBdr>
                    <w:top w:val="none" w:sz="0" w:space="0" w:color="auto"/>
                    <w:left w:val="none" w:sz="0" w:space="0" w:color="auto"/>
                    <w:bottom w:val="none" w:sz="0" w:space="0" w:color="auto"/>
                    <w:right w:val="none" w:sz="0" w:space="0" w:color="auto"/>
                  </w:divBdr>
                </w:div>
              </w:divsChild>
            </w:div>
            <w:div w:id="556741936">
              <w:marLeft w:val="0"/>
              <w:marRight w:val="0"/>
              <w:marTop w:val="0"/>
              <w:marBottom w:val="0"/>
              <w:divBdr>
                <w:top w:val="none" w:sz="0" w:space="0" w:color="auto"/>
                <w:left w:val="none" w:sz="0" w:space="0" w:color="auto"/>
                <w:bottom w:val="none" w:sz="0" w:space="0" w:color="auto"/>
                <w:right w:val="none" w:sz="0" w:space="0" w:color="auto"/>
              </w:divBdr>
              <w:divsChild>
                <w:div w:id="1571311419">
                  <w:marLeft w:val="0"/>
                  <w:marRight w:val="0"/>
                  <w:marTop w:val="0"/>
                  <w:marBottom w:val="0"/>
                  <w:divBdr>
                    <w:top w:val="none" w:sz="0" w:space="0" w:color="auto"/>
                    <w:left w:val="none" w:sz="0" w:space="0" w:color="auto"/>
                    <w:bottom w:val="none" w:sz="0" w:space="0" w:color="auto"/>
                    <w:right w:val="none" w:sz="0" w:space="0" w:color="auto"/>
                  </w:divBdr>
                </w:div>
              </w:divsChild>
            </w:div>
            <w:div w:id="1411930281">
              <w:marLeft w:val="0"/>
              <w:marRight w:val="0"/>
              <w:marTop w:val="0"/>
              <w:marBottom w:val="0"/>
              <w:divBdr>
                <w:top w:val="none" w:sz="0" w:space="0" w:color="auto"/>
                <w:left w:val="none" w:sz="0" w:space="0" w:color="auto"/>
                <w:bottom w:val="none" w:sz="0" w:space="0" w:color="auto"/>
                <w:right w:val="none" w:sz="0" w:space="0" w:color="auto"/>
              </w:divBdr>
              <w:divsChild>
                <w:div w:id="223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4067">
      <w:bodyDiv w:val="1"/>
      <w:marLeft w:val="0"/>
      <w:marRight w:val="0"/>
      <w:marTop w:val="0"/>
      <w:marBottom w:val="0"/>
      <w:divBdr>
        <w:top w:val="none" w:sz="0" w:space="0" w:color="auto"/>
        <w:left w:val="none" w:sz="0" w:space="0" w:color="auto"/>
        <w:bottom w:val="none" w:sz="0" w:space="0" w:color="auto"/>
        <w:right w:val="none" w:sz="0" w:space="0" w:color="auto"/>
      </w:divBdr>
    </w:div>
    <w:div w:id="1913466798">
      <w:bodyDiv w:val="1"/>
      <w:marLeft w:val="0"/>
      <w:marRight w:val="0"/>
      <w:marTop w:val="0"/>
      <w:marBottom w:val="0"/>
      <w:divBdr>
        <w:top w:val="none" w:sz="0" w:space="0" w:color="auto"/>
        <w:left w:val="none" w:sz="0" w:space="0" w:color="auto"/>
        <w:bottom w:val="none" w:sz="0" w:space="0" w:color="auto"/>
        <w:right w:val="none" w:sz="0" w:space="0" w:color="auto"/>
      </w:divBdr>
    </w:div>
    <w:div w:id="1988046107">
      <w:bodyDiv w:val="1"/>
      <w:marLeft w:val="0"/>
      <w:marRight w:val="0"/>
      <w:marTop w:val="0"/>
      <w:marBottom w:val="0"/>
      <w:divBdr>
        <w:top w:val="none" w:sz="0" w:space="0" w:color="auto"/>
        <w:left w:val="none" w:sz="0" w:space="0" w:color="auto"/>
        <w:bottom w:val="none" w:sz="0" w:space="0" w:color="auto"/>
        <w:right w:val="none" w:sz="0" w:space="0" w:color="auto"/>
      </w:divBdr>
    </w:div>
    <w:div w:id="1994984611">
      <w:bodyDiv w:val="1"/>
      <w:marLeft w:val="0"/>
      <w:marRight w:val="0"/>
      <w:marTop w:val="0"/>
      <w:marBottom w:val="0"/>
      <w:divBdr>
        <w:top w:val="none" w:sz="0" w:space="0" w:color="auto"/>
        <w:left w:val="none" w:sz="0" w:space="0" w:color="auto"/>
        <w:bottom w:val="none" w:sz="0" w:space="0" w:color="auto"/>
        <w:right w:val="none" w:sz="0" w:space="0" w:color="auto"/>
      </w:divBdr>
    </w:div>
    <w:div w:id="2005820497">
      <w:bodyDiv w:val="1"/>
      <w:marLeft w:val="0"/>
      <w:marRight w:val="0"/>
      <w:marTop w:val="0"/>
      <w:marBottom w:val="0"/>
      <w:divBdr>
        <w:top w:val="none" w:sz="0" w:space="0" w:color="auto"/>
        <w:left w:val="none" w:sz="0" w:space="0" w:color="auto"/>
        <w:bottom w:val="none" w:sz="0" w:space="0" w:color="auto"/>
        <w:right w:val="none" w:sz="0" w:space="0" w:color="auto"/>
      </w:divBdr>
    </w:div>
    <w:div w:id="2040348234">
      <w:bodyDiv w:val="1"/>
      <w:marLeft w:val="0"/>
      <w:marRight w:val="0"/>
      <w:marTop w:val="0"/>
      <w:marBottom w:val="0"/>
      <w:divBdr>
        <w:top w:val="none" w:sz="0" w:space="0" w:color="auto"/>
        <w:left w:val="none" w:sz="0" w:space="0" w:color="auto"/>
        <w:bottom w:val="none" w:sz="0" w:space="0" w:color="auto"/>
        <w:right w:val="none" w:sz="0" w:space="0" w:color="auto"/>
      </w:divBdr>
    </w:div>
    <w:div w:id="2055693416">
      <w:bodyDiv w:val="1"/>
      <w:marLeft w:val="0"/>
      <w:marRight w:val="0"/>
      <w:marTop w:val="0"/>
      <w:marBottom w:val="0"/>
      <w:divBdr>
        <w:top w:val="none" w:sz="0" w:space="0" w:color="auto"/>
        <w:left w:val="none" w:sz="0" w:space="0" w:color="auto"/>
        <w:bottom w:val="none" w:sz="0" w:space="0" w:color="auto"/>
        <w:right w:val="none" w:sz="0" w:space="0" w:color="auto"/>
      </w:divBdr>
    </w:div>
    <w:div w:id="2061396257">
      <w:bodyDiv w:val="1"/>
      <w:marLeft w:val="0"/>
      <w:marRight w:val="0"/>
      <w:marTop w:val="0"/>
      <w:marBottom w:val="0"/>
      <w:divBdr>
        <w:top w:val="none" w:sz="0" w:space="0" w:color="auto"/>
        <w:left w:val="none" w:sz="0" w:space="0" w:color="auto"/>
        <w:bottom w:val="none" w:sz="0" w:space="0" w:color="auto"/>
        <w:right w:val="none" w:sz="0" w:space="0" w:color="auto"/>
      </w:divBdr>
    </w:div>
    <w:div w:id="2073460660">
      <w:bodyDiv w:val="1"/>
      <w:marLeft w:val="0"/>
      <w:marRight w:val="0"/>
      <w:marTop w:val="0"/>
      <w:marBottom w:val="0"/>
      <w:divBdr>
        <w:top w:val="none" w:sz="0" w:space="0" w:color="auto"/>
        <w:left w:val="none" w:sz="0" w:space="0" w:color="auto"/>
        <w:bottom w:val="none" w:sz="0" w:space="0" w:color="auto"/>
        <w:right w:val="none" w:sz="0" w:space="0" w:color="auto"/>
      </w:divBdr>
    </w:div>
    <w:div w:id="2089813323">
      <w:bodyDiv w:val="1"/>
      <w:marLeft w:val="0"/>
      <w:marRight w:val="0"/>
      <w:marTop w:val="0"/>
      <w:marBottom w:val="0"/>
      <w:divBdr>
        <w:top w:val="none" w:sz="0" w:space="0" w:color="auto"/>
        <w:left w:val="none" w:sz="0" w:space="0" w:color="auto"/>
        <w:bottom w:val="none" w:sz="0" w:space="0" w:color="auto"/>
        <w:right w:val="none" w:sz="0" w:space="0" w:color="auto"/>
      </w:divBdr>
    </w:div>
    <w:div w:id="210183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893A-5A94-448C-BCE4-6C1569AE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62572</Words>
  <Characters>344146</Characters>
  <Application>Microsoft Office Word</Application>
  <DocSecurity>0</DocSecurity>
  <Lines>2867</Lines>
  <Paragraphs>811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405907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LOUKAKOU</dc:creator>
  <cp:keywords/>
  <dc:description/>
  <cp:lastModifiedBy>Didier LOUKAKOU</cp:lastModifiedBy>
  <cp:revision>2</cp:revision>
  <cp:lastPrinted>2023-01-04T10:04:00Z</cp:lastPrinted>
  <dcterms:created xsi:type="dcterms:W3CDTF">2023-02-01T12:57:00Z</dcterms:created>
  <dcterms:modified xsi:type="dcterms:W3CDTF">2023-02-01T12:57:00Z</dcterms:modified>
  <cp:category/>
</cp:coreProperties>
</file>