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068F20" w14:textId="616F4812" w:rsidR="00C9723A" w:rsidRPr="00C9723A" w:rsidRDefault="00C9723A" w:rsidP="00C9723A"/>
    <w:p w14:paraId="202D521C" w14:textId="5EF10529" w:rsidR="00C9723A" w:rsidRDefault="00C9723A" w:rsidP="00C9723A">
      <w:pPr>
        <w:spacing w:before="100" w:beforeAutospacing="1" w:after="100" w:afterAutospacing="1"/>
        <w:rPr>
          <w:rFonts w:ascii="Helvetica" w:hAnsi="Helvetica"/>
          <w:sz w:val="22"/>
          <w:szCs w:val="22"/>
        </w:rPr>
      </w:pPr>
      <w:r w:rsidRPr="00C9723A">
        <w:rPr>
          <w:rFonts w:ascii="Helvetica" w:hAnsi="Helvetica"/>
          <w:sz w:val="22"/>
          <w:szCs w:val="22"/>
        </w:rPr>
        <w:t xml:space="preserve">Union </w:t>
      </w:r>
      <w:r w:rsidR="00BE24F2" w:rsidRPr="00C9723A">
        <w:rPr>
          <w:rFonts w:ascii="Helvetica" w:hAnsi="Helvetica"/>
          <w:sz w:val="22"/>
          <w:szCs w:val="22"/>
        </w:rPr>
        <w:t>Monétaire</w:t>
      </w:r>
      <w:r w:rsidRPr="00C9723A">
        <w:rPr>
          <w:rFonts w:ascii="Helvetica" w:hAnsi="Helvetica"/>
          <w:sz w:val="22"/>
          <w:szCs w:val="22"/>
        </w:rPr>
        <w:t xml:space="preserve">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47ADA14E" w14:textId="052CBBCD" w:rsidR="00C9723A" w:rsidRPr="00C9723A" w:rsidRDefault="00C9723A" w:rsidP="00C9723A">
      <w:pPr>
        <w:spacing w:before="100" w:beforeAutospacing="1" w:after="100" w:afterAutospacing="1"/>
      </w:pPr>
      <w:r w:rsidRPr="00C9723A">
        <w:rPr>
          <w:rFonts w:ascii="Helvetica" w:hAnsi="Helvetica"/>
          <w:sz w:val="22"/>
          <w:szCs w:val="22"/>
        </w:rPr>
        <w:t xml:space="preserve">Commission </w:t>
      </w:r>
      <w:r w:rsidRPr="00C9723A">
        <w:rPr>
          <w:rFonts w:ascii="Helvetica" w:hAnsi="Helvetica"/>
          <w:sz w:val="20"/>
          <w:szCs w:val="20"/>
        </w:rPr>
        <w:t xml:space="preserve">de </w:t>
      </w:r>
      <w:r w:rsidRPr="00C9723A">
        <w:rPr>
          <w:rFonts w:ascii="Helvetica" w:hAnsi="Helvetica"/>
          <w:sz w:val="22"/>
          <w:szCs w:val="22"/>
        </w:rPr>
        <w:t xml:space="preserve">Surveillance </w:t>
      </w:r>
      <w:r w:rsidRPr="00C9723A">
        <w:rPr>
          <w:rFonts w:ascii="Helvetica" w:hAnsi="Helvetica"/>
          <w:sz w:val="20"/>
          <w:szCs w:val="20"/>
        </w:rPr>
        <w:t xml:space="preserve">du </w:t>
      </w:r>
      <w:r w:rsidRPr="00C9723A">
        <w:rPr>
          <w:rFonts w:ascii="Helvetica" w:hAnsi="Helvetica"/>
          <w:sz w:val="22"/>
          <w:szCs w:val="22"/>
        </w:rPr>
        <w:t xml:space="preserve">Marché </w:t>
      </w:r>
    </w:p>
    <w:p w14:paraId="1B2AC503" w14:textId="77777777" w:rsidR="00C9723A" w:rsidRDefault="00C9723A" w:rsidP="00C9723A">
      <w:pPr>
        <w:spacing w:before="100" w:beforeAutospacing="1" w:after="100" w:afterAutospacing="1"/>
        <w:ind w:left="284"/>
        <w:rPr>
          <w:rFonts w:ascii="Helvetica" w:hAnsi="Helvetica"/>
          <w:sz w:val="22"/>
          <w:szCs w:val="22"/>
        </w:rPr>
      </w:pPr>
      <w:r w:rsidRPr="00C9723A">
        <w:rPr>
          <w:rFonts w:ascii="Helvetica" w:hAnsi="Helvetica"/>
          <w:sz w:val="22"/>
          <w:szCs w:val="22"/>
        </w:rPr>
        <w:t xml:space="preserve">Financier </w:t>
      </w:r>
      <w:r w:rsidRPr="00C9723A">
        <w:rPr>
          <w:rFonts w:ascii="Helvetica" w:hAnsi="Helvetica"/>
          <w:sz w:val="20"/>
          <w:szCs w:val="20"/>
        </w:rPr>
        <w:t xml:space="preserve">de </w:t>
      </w:r>
      <w:r w:rsidRPr="00C9723A">
        <w:rPr>
          <w:rFonts w:ascii="Helvetica" w:hAnsi="Helvetica"/>
        </w:rPr>
        <w:t xml:space="preserve">l'Afrique </w:t>
      </w:r>
      <w:r w:rsidRPr="00C9723A">
        <w:rPr>
          <w:rFonts w:ascii="Helvetica" w:hAnsi="Helvetica"/>
          <w:sz w:val="22"/>
          <w:szCs w:val="22"/>
        </w:rPr>
        <w:t xml:space="preserve">centrale </w:t>
      </w:r>
    </w:p>
    <w:p w14:paraId="2E8AB505" w14:textId="52D4C7C0" w:rsidR="00C9723A" w:rsidRPr="00C9723A" w:rsidRDefault="00C9723A" w:rsidP="00C9723A">
      <w:pPr>
        <w:spacing w:before="100" w:beforeAutospacing="1" w:after="100" w:afterAutospacing="1"/>
        <w:ind w:left="709"/>
      </w:pPr>
      <w:r w:rsidRPr="00C9723A">
        <w:rPr>
          <w:rFonts w:ascii="Helvetica" w:hAnsi="Helvetica"/>
        </w:rPr>
        <w:t>COS</w:t>
      </w:r>
      <w:r>
        <w:rPr>
          <w:rFonts w:ascii="Helvetica" w:hAnsi="Helvetica"/>
        </w:rPr>
        <w:t>U</w:t>
      </w:r>
      <w:r w:rsidRPr="00C9723A">
        <w:rPr>
          <w:rFonts w:ascii="Helvetica" w:hAnsi="Helvetica"/>
        </w:rPr>
        <w:t xml:space="preserve">MAF </w:t>
      </w:r>
    </w:p>
    <w:p w14:paraId="7210884B" w14:textId="77777777" w:rsidR="00C9723A" w:rsidRDefault="00C9723A" w:rsidP="00EF5E4D">
      <w:pPr>
        <w:pStyle w:val="NormalWeb"/>
        <w:jc w:val="center"/>
        <w:rPr>
          <w:rFonts w:ascii="Helvetica" w:hAnsi="Helvetica"/>
          <w:sz w:val="28"/>
          <w:szCs w:val="28"/>
        </w:rPr>
      </w:pPr>
    </w:p>
    <w:p w14:paraId="68410114" w14:textId="30C52E12" w:rsidR="00EF5E4D" w:rsidRPr="00C9723A" w:rsidRDefault="00EF5E4D" w:rsidP="00EF5E4D">
      <w:pPr>
        <w:pStyle w:val="NormalWeb"/>
        <w:jc w:val="center"/>
        <w:rPr>
          <w:sz w:val="28"/>
          <w:szCs w:val="28"/>
        </w:rPr>
      </w:pPr>
      <w:r w:rsidRPr="00C9723A">
        <w:rPr>
          <w:rFonts w:ascii="Helvetica" w:hAnsi="Helvetica"/>
          <w:sz w:val="28"/>
          <w:szCs w:val="28"/>
        </w:rPr>
        <w:t>INSTRUCTION COSUMAF n</w:t>
      </w:r>
      <w:r w:rsidR="00564435">
        <w:rPr>
          <w:rFonts w:ascii="Helvetica" w:hAnsi="Helvetica"/>
          <w:sz w:val="28"/>
          <w:szCs w:val="28"/>
        </w:rPr>
        <w:t>°</w:t>
      </w:r>
      <w:r w:rsidRPr="00C9723A">
        <w:rPr>
          <w:rFonts w:ascii="Helvetica" w:hAnsi="Helvetica"/>
          <w:sz w:val="28"/>
          <w:szCs w:val="28"/>
        </w:rPr>
        <w:t xml:space="preserve"> du </w:t>
      </w:r>
      <w:r w:rsidR="0031620A">
        <w:rPr>
          <w:rFonts w:ascii="Helvetica" w:hAnsi="Helvetica"/>
          <w:sz w:val="28"/>
          <w:szCs w:val="28"/>
        </w:rPr>
        <w:t>XX/XX</w:t>
      </w:r>
      <w:r w:rsidRPr="00C9723A">
        <w:rPr>
          <w:rFonts w:ascii="Helvetica" w:hAnsi="Helvetica"/>
          <w:sz w:val="28"/>
          <w:szCs w:val="28"/>
        </w:rPr>
        <w:t xml:space="preserve"> 20</w:t>
      </w:r>
      <w:r w:rsidR="0031620A">
        <w:rPr>
          <w:rFonts w:ascii="Helvetica" w:hAnsi="Helvetica"/>
          <w:sz w:val="28"/>
          <w:szCs w:val="28"/>
        </w:rPr>
        <w:t>2</w:t>
      </w:r>
      <w:r w:rsidR="007079B2">
        <w:rPr>
          <w:rFonts w:ascii="Helvetica" w:hAnsi="Helvetica"/>
          <w:sz w:val="28"/>
          <w:szCs w:val="28"/>
        </w:rPr>
        <w:t>3</w:t>
      </w:r>
    </w:p>
    <w:p w14:paraId="20D34039" w14:textId="40863F58" w:rsidR="00EF5E4D" w:rsidRPr="00C9723A" w:rsidRDefault="00EF5E4D" w:rsidP="00EF5E4D">
      <w:pPr>
        <w:pStyle w:val="NormalWeb"/>
        <w:jc w:val="center"/>
        <w:rPr>
          <w:sz w:val="28"/>
          <w:szCs w:val="28"/>
        </w:rPr>
      </w:pPr>
      <w:r w:rsidRPr="00C9723A">
        <w:rPr>
          <w:rFonts w:ascii="Helvetica" w:hAnsi="Helvetica"/>
          <w:sz w:val="28"/>
          <w:szCs w:val="28"/>
        </w:rPr>
        <w:t xml:space="preserve">RELATIVE </w:t>
      </w:r>
      <w:r w:rsidR="007079B2">
        <w:rPr>
          <w:rFonts w:ascii="Helvetica" w:hAnsi="Helvetica"/>
          <w:sz w:val="28"/>
          <w:szCs w:val="28"/>
        </w:rPr>
        <w:t xml:space="preserve">AUX CONDITIONS D’EMISSION DES NOTATIONS </w:t>
      </w:r>
    </w:p>
    <w:p w14:paraId="64401E0F" w14:textId="655543E7" w:rsidR="00EF5E4D" w:rsidRPr="004765F7" w:rsidRDefault="00564435" w:rsidP="00564435">
      <w:pPr>
        <w:pStyle w:val="NormalWeb"/>
        <w:jc w:val="center"/>
        <w:rPr>
          <w:rFonts w:ascii="Helvetica" w:hAnsi="Helvetica"/>
        </w:rPr>
      </w:pPr>
      <w:r>
        <w:rPr>
          <w:rFonts w:ascii="Helvetica" w:hAnsi="Helvetica"/>
        </w:rPr>
        <w:t>***</w:t>
      </w:r>
    </w:p>
    <w:p w14:paraId="63538A05" w14:textId="31B2142C" w:rsidR="00EF5E4D" w:rsidRPr="004765F7" w:rsidRDefault="007079B2" w:rsidP="004765F7">
      <w:pPr>
        <w:pStyle w:val="NormalWeb"/>
        <w:jc w:val="both"/>
        <w:rPr>
          <w:sz w:val="20"/>
          <w:szCs w:val="20"/>
        </w:rPr>
      </w:pPr>
      <w:r>
        <w:rPr>
          <w:rFonts w:ascii="Helvetica" w:hAnsi="Helvetica"/>
          <w:sz w:val="20"/>
          <w:szCs w:val="20"/>
        </w:rPr>
        <w:t xml:space="preserve">LE COLLEGE DE </w:t>
      </w:r>
      <w:r w:rsidR="00EF5E4D" w:rsidRPr="004765F7">
        <w:rPr>
          <w:rFonts w:ascii="Helvetica" w:hAnsi="Helvetica"/>
          <w:sz w:val="20"/>
          <w:szCs w:val="20"/>
        </w:rPr>
        <w:t>LA COMMISSION DE SURVEILLANCE DU MARCHE FINANCIER DE L'AFRIQ</w:t>
      </w:r>
      <w:r w:rsidR="00DC1AAD">
        <w:rPr>
          <w:rFonts w:ascii="Helvetica" w:hAnsi="Helvetica"/>
          <w:sz w:val="20"/>
          <w:szCs w:val="20"/>
        </w:rPr>
        <w:t>U</w:t>
      </w:r>
      <w:r w:rsidR="00EF5E4D" w:rsidRPr="004765F7">
        <w:rPr>
          <w:rFonts w:ascii="Helvetica" w:hAnsi="Helvetica"/>
          <w:sz w:val="20"/>
          <w:szCs w:val="20"/>
        </w:rPr>
        <w:t xml:space="preserve">E CENTRALE </w:t>
      </w:r>
    </w:p>
    <w:p w14:paraId="16E2CE51" w14:textId="7938E636" w:rsidR="00EF5E4D" w:rsidRPr="004765F7" w:rsidRDefault="00EF5E4D" w:rsidP="004765F7">
      <w:pPr>
        <w:pStyle w:val="NormalWeb"/>
        <w:jc w:val="both"/>
        <w:rPr>
          <w:sz w:val="20"/>
          <w:szCs w:val="20"/>
        </w:rPr>
      </w:pPr>
      <w:r w:rsidRPr="004765F7">
        <w:rPr>
          <w:rFonts w:ascii="Helvetica" w:hAnsi="Helvetica"/>
          <w:sz w:val="20"/>
          <w:szCs w:val="20"/>
        </w:rPr>
        <w:t>Vu l'Acte Additionnel n</w:t>
      </w:r>
      <w:r w:rsidR="00FF5E3B">
        <w:rPr>
          <w:rFonts w:ascii="Helvetica" w:hAnsi="Helvetica"/>
          <w:sz w:val="20"/>
          <w:szCs w:val="20"/>
        </w:rPr>
        <w:t>°</w:t>
      </w:r>
      <w:r w:rsidRPr="004765F7">
        <w:rPr>
          <w:rFonts w:ascii="Helvetica" w:hAnsi="Helvetica"/>
          <w:sz w:val="20"/>
          <w:szCs w:val="20"/>
        </w:rPr>
        <w:t xml:space="preserve"> 03/01-CEMAC-CE 03 en date du 8 </w:t>
      </w:r>
      <w:r w:rsidR="00C9723A" w:rsidRPr="004765F7">
        <w:rPr>
          <w:rFonts w:ascii="Helvetica" w:hAnsi="Helvetica"/>
          <w:sz w:val="20"/>
          <w:szCs w:val="20"/>
        </w:rPr>
        <w:t>décembre</w:t>
      </w:r>
      <w:r w:rsidRPr="004765F7">
        <w:rPr>
          <w:rFonts w:ascii="Helvetica" w:hAnsi="Helvetica"/>
          <w:sz w:val="20"/>
          <w:szCs w:val="20"/>
        </w:rPr>
        <w:t xml:space="preserve"> 2001 portant </w:t>
      </w:r>
      <w:r w:rsidR="00C9723A" w:rsidRPr="004765F7">
        <w:rPr>
          <w:rFonts w:ascii="Helvetica" w:hAnsi="Helvetica"/>
          <w:sz w:val="20"/>
          <w:szCs w:val="20"/>
        </w:rPr>
        <w:t>création</w:t>
      </w:r>
      <w:r w:rsidRPr="004765F7">
        <w:rPr>
          <w:rFonts w:ascii="Helvetica" w:hAnsi="Helvetica"/>
          <w:sz w:val="20"/>
          <w:szCs w:val="20"/>
        </w:rPr>
        <w:t xml:space="preserve"> de la Commission de Surveillance du Marché Financier de l'Afrique Centrale (COS</w:t>
      </w:r>
      <w:r w:rsidR="00C9723A">
        <w:rPr>
          <w:rFonts w:ascii="Helvetica" w:hAnsi="Helvetica"/>
          <w:sz w:val="20"/>
          <w:szCs w:val="20"/>
        </w:rPr>
        <w:t>U</w:t>
      </w:r>
      <w:r w:rsidRPr="004765F7">
        <w:rPr>
          <w:rFonts w:ascii="Helvetica" w:hAnsi="Helvetica"/>
          <w:sz w:val="20"/>
          <w:szCs w:val="20"/>
        </w:rPr>
        <w:t xml:space="preserve">MAF) </w:t>
      </w:r>
      <w:r w:rsidRPr="004765F7">
        <w:rPr>
          <w:rFonts w:ascii="Helvetica" w:hAnsi="Helvetica"/>
          <w:position w:val="-4"/>
          <w:sz w:val="20"/>
          <w:szCs w:val="20"/>
        </w:rPr>
        <w:t xml:space="preserve">; </w:t>
      </w:r>
    </w:p>
    <w:p w14:paraId="1611AD81" w14:textId="5F5FCCF6" w:rsidR="00EF5E4D" w:rsidRPr="004765F7" w:rsidRDefault="00EF5E4D" w:rsidP="004765F7">
      <w:pPr>
        <w:pStyle w:val="NormalWeb"/>
        <w:jc w:val="both"/>
        <w:rPr>
          <w:sz w:val="20"/>
          <w:szCs w:val="20"/>
        </w:rPr>
      </w:pPr>
      <w:r w:rsidRPr="004765F7">
        <w:rPr>
          <w:rFonts w:ascii="Helvetica" w:hAnsi="Helvetica"/>
          <w:sz w:val="20"/>
          <w:szCs w:val="20"/>
        </w:rPr>
        <w:t xml:space="preserve">Vu le </w:t>
      </w:r>
      <w:r w:rsidR="007E23DC" w:rsidRPr="007E23DC">
        <w:rPr>
          <w:rFonts w:ascii="Helvetica" w:hAnsi="Helvetica"/>
          <w:sz w:val="20"/>
          <w:szCs w:val="20"/>
        </w:rPr>
        <w:t>Règlement N°01/22/CEMAC/UMAC/CM/COSUMAF</w:t>
      </w:r>
      <w:r w:rsidR="007079B2">
        <w:rPr>
          <w:rFonts w:ascii="Helvetica" w:hAnsi="Helvetica"/>
          <w:sz w:val="20"/>
          <w:szCs w:val="20"/>
        </w:rPr>
        <w:t xml:space="preserve"> du 21 juillet 2022</w:t>
      </w:r>
      <w:r w:rsidR="007E23DC" w:rsidRPr="007E23DC">
        <w:rPr>
          <w:rFonts w:ascii="Helvetica" w:hAnsi="Helvetica"/>
          <w:sz w:val="20"/>
          <w:szCs w:val="20"/>
        </w:rPr>
        <w:t xml:space="preserve"> portant organisation et fonctionnement du marché financier de l’Afrique Centrale</w:t>
      </w:r>
      <w:r w:rsidR="00E86B39">
        <w:rPr>
          <w:rFonts w:ascii="Helvetica" w:hAnsi="Helvetica"/>
          <w:sz w:val="20"/>
          <w:szCs w:val="20"/>
        </w:rPr>
        <w:t> ;</w:t>
      </w:r>
    </w:p>
    <w:p w14:paraId="3F39EA8E" w14:textId="7DA8C604" w:rsidR="00EF5E4D" w:rsidRPr="004765F7" w:rsidRDefault="00EF5E4D" w:rsidP="004765F7">
      <w:pPr>
        <w:pStyle w:val="NormalWeb"/>
        <w:jc w:val="both"/>
        <w:rPr>
          <w:sz w:val="20"/>
          <w:szCs w:val="20"/>
        </w:rPr>
      </w:pPr>
      <w:r w:rsidRPr="004765F7">
        <w:rPr>
          <w:rFonts w:ascii="Helvetica" w:hAnsi="Helvetica"/>
          <w:sz w:val="20"/>
          <w:szCs w:val="20"/>
        </w:rPr>
        <w:t xml:space="preserve">Vu </w:t>
      </w:r>
      <w:r w:rsidR="00C9723A">
        <w:rPr>
          <w:rFonts w:ascii="Helvetica" w:hAnsi="Helvetica"/>
          <w:sz w:val="20"/>
          <w:szCs w:val="20"/>
        </w:rPr>
        <w:t>l</w:t>
      </w:r>
      <w:r w:rsidRPr="004765F7">
        <w:rPr>
          <w:rFonts w:ascii="Helvetica" w:hAnsi="Helvetica"/>
          <w:sz w:val="20"/>
          <w:szCs w:val="20"/>
        </w:rPr>
        <w:t xml:space="preserve">e </w:t>
      </w:r>
      <w:r w:rsidR="007E23DC" w:rsidRPr="004765F7">
        <w:rPr>
          <w:rFonts w:ascii="Helvetica" w:hAnsi="Helvetica"/>
          <w:sz w:val="20"/>
          <w:szCs w:val="20"/>
        </w:rPr>
        <w:t>Règlement</w:t>
      </w:r>
      <w:r w:rsidRPr="004765F7">
        <w:rPr>
          <w:rFonts w:ascii="Helvetica" w:hAnsi="Helvetica"/>
          <w:sz w:val="20"/>
          <w:szCs w:val="20"/>
        </w:rPr>
        <w:t xml:space="preserve"> </w:t>
      </w:r>
      <w:r w:rsidR="00CA108A" w:rsidRPr="004765F7">
        <w:rPr>
          <w:rFonts w:ascii="Helvetica" w:hAnsi="Helvetica"/>
          <w:sz w:val="20"/>
          <w:szCs w:val="20"/>
        </w:rPr>
        <w:t>Général</w:t>
      </w:r>
      <w:r w:rsidR="00CA108A">
        <w:rPr>
          <w:rFonts w:ascii="Helvetica" w:hAnsi="Helvetica"/>
          <w:sz w:val="20"/>
          <w:szCs w:val="20"/>
        </w:rPr>
        <w:t xml:space="preserve"> </w:t>
      </w:r>
      <w:r w:rsidRPr="004765F7">
        <w:rPr>
          <w:rFonts w:ascii="Helvetica" w:hAnsi="Helvetica"/>
          <w:sz w:val="20"/>
          <w:szCs w:val="20"/>
        </w:rPr>
        <w:t xml:space="preserve"> de la Commission de Surveillance du Marché Financier de l'Afrique Centrale, </w:t>
      </w:r>
    </w:p>
    <w:p w14:paraId="2BE8285F" w14:textId="01E93B09" w:rsidR="00EF5E4D" w:rsidRPr="004765F7" w:rsidRDefault="00EF5E4D" w:rsidP="004765F7">
      <w:pPr>
        <w:pStyle w:val="NormalWeb"/>
        <w:jc w:val="both"/>
        <w:rPr>
          <w:rFonts w:ascii="Helvetica" w:hAnsi="Helvetica"/>
          <w:sz w:val="20"/>
          <w:szCs w:val="20"/>
        </w:rPr>
      </w:pPr>
      <w:r w:rsidRPr="004765F7">
        <w:rPr>
          <w:rFonts w:ascii="Helvetica" w:hAnsi="Helvetica"/>
          <w:sz w:val="20"/>
          <w:szCs w:val="20"/>
        </w:rPr>
        <w:t xml:space="preserve">En sa séance du </w:t>
      </w:r>
      <w:r w:rsidR="00DC1AAD">
        <w:rPr>
          <w:rFonts w:ascii="Helvetica" w:hAnsi="Helvetica"/>
          <w:sz w:val="20"/>
          <w:szCs w:val="20"/>
        </w:rPr>
        <w:t>X</w:t>
      </w:r>
      <w:r w:rsidRPr="004765F7">
        <w:rPr>
          <w:rFonts w:ascii="Helvetica" w:hAnsi="Helvetica"/>
          <w:sz w:val="20"/>
          <w:szCs w:val="20"/>
        </w:rPr>
        <w:t> ;</w:t>
      </w:r>
    </w:p>
    <w:p w14:paraId="76DCAC7C" w14:textId="3F8A65F0" w:rsidR="00EF5E4D" w:rsidRPr="004765F7" w:rsidRDefault="00EF5E4D" w:rsidP="004765F7">
      <w:pPr>
        <w:pStyle w:val="NormalWeb"/>
        <w:jc w:val="center"/>
        <w:rPr>
          <w:rFonts w:ascii="Helvetica" w:hAnsi="Helvetica"/>
          <w:sz w:val="20"/>
          <w:szCs w:val="20"/>
        </w:rPr>
      </w:pPr>
      <w:r w:rsidRPr="004765F7">
        <w:rPr>
          <w:rFonts w:ascii="Helvetica" w:hAnsi="Helvetica"/>
          <w:sz w:val="20"/>
          <w:szCs w:val="20"/>
        </w:rPr>
        <w:t>ADOPTE L'INSTRUCTION DONT LA TENEUR SUIT</w:t>
      </w:r>
      <w:r w:rsidR="004765F7" w:rsidRPr="004765F7">
        <w:rPr>
          <w:rFonts w:ascii="Helvetica" w:hAnsi="Helvetica"/>
          <w:sz w:val="20"/>
          <w:szCs w:val="20"/>
        </w:rPr>
        <w:t xml:space="preserve"> </w:t>
      </w:r>
      <w:r w:rsidRPr="004765F7">
        <w:rPr>
          <w:rFonts w:ascii="Helvetica" w:hAnsi="Helvetica"/>
          <w:sz w:val="20"/>
          <w:szCs w:val="20"/>
        </w:rPr>
        <w:t>:</w:t>
      </w:r>
    </w:p>
    <w:p w14:paraId="3D3A53DD" w14:textId="77777777" w:rsidR="00EE0C7A" w:rsidRDefault="004765F7" w:rsidP="00C9723A">
      <w:pPr>
        <w:rPr>
          <w:rFonts w:ascii="Helvetica" w:hAnsi="Helvetica"/>
          <w:sz w:val="20"/>
          <w:szCs w:val="20"/>
        </w:rPr>
      </w:pPr>
      <w:r w:rsidRPr="004765F7">
        <w:rPr>
          <w:rFonts w:ascii="Helvetica" w:hAnsi="Helvetica"/>
          <w:sz w:val="20"/>
          <w:szCs w:val="20"/>
        </w:rPr>
        <w:br w:type="page"/>
      </w:r>
    </w:p>
    <w:p w14:paraId="00789D04" w14:textId="70F91D7A" w:rsidR="00EF5E4D" w:rsidRPr="00ED6269" w:rsidRDefault="00EF5E4D" w:rsidP="00ED6269">
      <w:pPr>
        <w:pStyle w:val="NormalWeb"/>
        <w:shd w:val="clear" w:color="auto" w:fill="FFFFFF" w:themeFill="background1"/>
        <w:rPr>
          <w:rFonts w:ascii="Trebuchet MS" w:hAnsi="Trebuchet MS"/>
          <w:b/>
          <w:bCs/>
        </w:rPr>
      </w:pPr>
      <w:r w:rsidRPr="00ED6269">
        <w:rPr>
          <w:rFonts w:ascii="Trebuchet MS" w:hAnsi="Trebuchet MS"/>
          <w:b/>
          <w:bCs/>
        </w:rPr>
        <w:lastRenderedPageBreak/>
        <w:t xml:space="preserve">ARTICLE PREMIER </w:t>
      </w:r>
    </w:p>
    <w:p w14:paraId="28DA36A1" w14:textId="6A59D10C" w:rsidR="00FD1893" w:rsidRDefault="00CA108A" w:rsidP="00FD1893">
      <w:pPr>
        <w:pStyle w:val="NormalWeb"/>
        <w:contextualSpacing/>
        <w:rPr>
          <w:rFonts w:ascii="Calibri" w:hAnsi="Calibri" w:cs="Calibri"/>
          <w:sz w:val="20"/>
          <w:szCs w:val="20"/>
        </w:rPr>
      </w:pPr>
      <w:r>
        <w:rPr>
          <w:rFonts w:ascii="Calibri" w:hAnsi="Calibri" w:cs="Calibri"/>
          <w:sz w:val="20"/>
          <w:szCs w:val="20"/>
        </w:rPr>
        <w:t xml:space="preserve">La présente instruction s’applique aux </w:t>
      </w:r>
      <w:r w:rsidR="007079B2">
        <w:rPr>
          <w:rFonts w:ascii="Calibri" w:hAnsi="Calibri" w:cs="Calibri"/>
          <w:sz w:val="20"/>
          <w:szCs w:val="20"/>
        </w:rPr>
        <w:t>notations</w:t>
      </w:r>
      <w:r>
        <w:rPr>
          <w:rFonts w:ascii="Calibri" w:hAnsi="Calibri" w:cs="Calibri"/>
          <w:sz w:val="20"/>
          <w:szCs w:val="20"/>
        </w:rPr>
        <w:t xml:space="preserve"> qui sont émises par des </w:t>
      </w:r>
      <w:r w:rsidR="0091651D">
        <w:rPr>
          <w:rFonts w:ascii="Calibri" w:hAnsi="Calibri" w:cs="Calibri"/>
          <w:sz w:val="20"/>
          <w:szCs w:val="20"/>
        </w:rPr>
        <w:t xml:space="preserve">agences de notation </w:t>
      </w:r>
      <w:r>
        <w:rPr>
          <w:rFonts w:ascii="Calibri" w:hAnsi="Calibri" w:cs="Calibri"/>
          <w:sz w:val="20"/>
          <w:szCs w:val="20"/>
        </w:rPr>
        <w:t>agréé</w:t>
      </w:r>
      <w:r w:rsidR="00D41DB2">
        <w:rPr>
          <w:rFonts w:ascii="Calibri" w:hAnsi="Calibri" w:cs="Calibri"/>
          <w:sz w:val="20"/>
          <w:szCs w:val="20"/>
        </w:rPr>
        <w:t>e</w:t>
      </w:r>
      <w:r>
        <w:rPr>
          <w:rFonts w:ascii="Calibri" w:hAnsi="Calibri" w:cs="Calibri"/>
          <w:sz w:val="20"/>
          <w:szCs w:val="20"/>
        </w:rPr>
        <w:t>s par la COSUMAF et qui sont communiquées au public</w:t>
      </w:r>
      <w:r w:rsidR="006E4A41">
        <w:rPr>
          <w:rFonts w:ascii="Calibri" w:hAnsi="Calibri" w:cs="Calibri"/>
          <w:sz w:val="20"/>
          <w:szCs w:val="20"/>
        </w:rPr>
        <w:t>.</w:t>
      </w:r>
    </w:p>
    <w:p w14:paraId="27FD77E1" w14:textId="77777777" w:rsidR="00CA108A" w:rsidRDefault="00CA108A" w:rsidP="00FD1893">
      <w:pPr>
        <w:pStyle w:val="NormalWeb"/>
        <w:contextualSpacing/>
        <w:rPr>
          <w:rFonts w:ascii="Calibri" w:hAnsi="Calibri" w:cs="Calibri"/>
          <w:sz w:val="20"/>
          <w:szCs w:val="20"/>
        </w:rPr>
      </w:pPr>
    </w:p>
    <w:p w14:paraId="76D51287" w14:textId="00C4F170" w:rsidR="00EF5E4D" w:rsidRDefault="00EF5E4D" w:rsidP="00FD1893">
      <w:pPr>
        <w:pStyle w:val="NormalWeb"/>
        <w:rPr>
          <w:rFonts w:ascii="Trebuchet MS" w:hAnsi="Trebuchet MS"/>
          <w:b/>
          <w:bCs/>
        </w:rPr>
      </w:pPr>
      <w:r w:rsidRPr="00ED6269">
        <w:rPr>
          <w:rFonts w:ascii="Trebuchet MS" w:hAnsi="Trebuchet MS"/>
          <w:b/>
          <w:bCs/>
        </w:rPr>
        <w:t xml:space="preserve">ARTICLE 2 </w:t>
      </w:r>
    </w:p>
    <w:p w14:paraId="76B8C878" w14:textId="40689CEB" w:rsidR="00D762D7" w:rsidRPr="00D01BB8" w:rsidRDefault="00D762D7">
      <w:pPr>
        <w:pStyle w:val="NormalWeb"/>
        <w:numPr>
          <w:ilvl w:val="0"/>
          <w:numId w:val="8"/>
        </w:numPr>
        <w:contextualSpacing/>
        <w:jc w:val="both"/>
        <w:rPr>
          <w:rFonts w:ascii="Calibri" w:hAnsi="Calibri" w:cs="Calibri"/>
          <w:sz w:val="20"/>
          <w:szCs w:val="20"/>
        </w:rPr>
      </w:pPr>
      <w:r w:rsidRPr="00D01BB8">
        <w:rPr>
          <w:rFonts w:ascii="Calibri" w:hAnsi="Calibri" w:cs="Calibri"/>
          <w:sz w:val="20"/>
          <w:szCs w:val="20"/>
        </w:rPr>
        <w:t>Afin de se conformer au</w:t>
      </w:r>
      <w:r w:rsidR="009C6FE0" w:rsidRPr="00D01BB8">
        <w:rPr>
          <w:rFonts w:ascii="Calibri" w:hAnsi="Calibri" w:cs="Calibri"/>
          <w:sz w:val="20"/>
          <w:szCs w:val="20"/>
        </w:rPr>
        <w:t>x exigences de l’article 663 du Règlement Général,</w:t>
      </w:r>
      <w:r w:rsidRPr="00D01BB8">
        <w:rPr>
          <w:rFonts w:ascii="Calibri" w:hAnsi="Calibri" w:cs="Calibri"/>
          <w:sz w:val="20"/>
          <w:szCs w:val="20"/>
        </w:rPr>
        <w:t xml:space="preserve"> les </w:t>
      </w:r>
      <w:r w:rsidR="0091651D" w:rsidRPr="00D01BB8">
        <w:rPr>
          <w:rFonts w:ascii="Calibri" w:hAnsi="Calibri" w:cs="Calibri"/>
          <w:sz w:val="20"/>
          <w:szCs w:val="20"/>
        </w:rPr>
        <w:t xml:space="preserve">agences de notation </w:t>
      </w:r>
      <w:r w:rsidRPr="00D01BB8">
        <w:rPr>
          <w:rFonts w:ascii="Calibri" w:hAnsi="Calibri" w:cs="Calibri"/>
          <w:sz w:val="20"/>
          <w:szCs w:val="20"/>
        </w:rPr>
        <w:t>satisfont aux exigences énoncées à l’annexe I, sections A et B.</w:t>
      </w:r>
    </w:p>
    <w:p w14:paraId="7FCBD13A" w14:textId="77777777" w:rsidR="00272FCA" w:rsidRPr="00D01BB8" w:rsidRDefault="00272FCA" w:rsidP="00E55A30">
      <w:pPr>
        <w:pStyle w:val="NormalWeb"/>
        <w:shd w:val="clear" w:color="auto" w:fill="FFFFFF" w:themeFill="background1"/>
        <w:rPr>
          <w:rFonts w:ascii="Trebuchet MS" w:hAnsi="Trebuchet MS"/>
          <w:b/>
          <w:bCs/>
        </w:rPr>
      </w:pPr>
    </w:p>
    <w:p w14:paraId="297B8CE0" w14:textId="4F9770B6" w:rsidR="00E55A30" w:rsidRPr="00D01BB8" w:rsidRDefault="00E55A30" w:rsidP="00E55A30">
      <w:pPr>
        <w:pStyle w:val="NormalWeb"/>
        <w:shd w:val="clear" w:color="auto" w:fill="FFFFFF" w:themeFill="background1"/>
        <w:rPr>
          <w:rFonts w:ascii="Trebuchet MS" w:hAnsi="Trebuchet MS"/>
          <w:b/>
          <w:bCs/>
        </w:rPr>
      </w:pPr>
      <w:r w:rsidRPr="00D01BB8">
        <w:rPr>
          <w:rFonts w:ascii="Trebuchet MS" w:hAnsi="Trebuchet MS"/>
          <w:b/>
          <w:bCs/>
        </w:rPr>
        <w:t xml:space="preserve">ARTICLE 3 </w:t>
      </w:r>
    </w:p>
    <w:p w14:paraId="292952A7" w14:textId="77777777" w:rsidR="00581DB9" w:rsidRPr="00D01BB8" w:rsidRDefault="00581DB9" w:rsidP="00581DB9">
      <w:pPr>
        <w:pStyle w:val="NormalWeb"/>
        <w:shd w:val="clear" w:color="auto" w:fill="FFFFFF" w:themeFill="background1"/>
        <w:ind w:left="720"/>
        <w:contextualSpacing/>
        <w:jc w:val="both"/>
        <w:rPr>
          <w:rFonts w:ascii="Calibri" w:hAnsi="Calibri" w:cs="Calibri"/>
          <w:sz w:val="20"/>
          <w:szCs w:val="20"/>
        </w:rPr>
      </w:pPr>
    </w:p>
    <w:p w14:paraId="1397A305" w14:textId="3530E1DE" w:rsidR="00581DB9" w:rsidRPr="00D01BB8" w:rsidRDefault="00581DB9">
      <w:pPr>
        <w:pStyle w:val="NormalWeb"/>
        <w:numPr>
          <w:ilvl w:val="0"/>
          <w:numId w:val="9"/>
        </w:numPr>
        <w:shd w:val="clear" w:color="auto" w:fill="FFFFFF" w:themeFill="background1"/>
        <w:contextualSpacing/>
        <w:jc w:val="both"/>
        <w:rPr>
          <w:rFonts w:ascii="Calibri" w:hAnsi="Calibri" w:cs="Calibri"/>
          <w:sz w:val="20"/>
          <w:szCs w:val="20"/>
        </w:rPr>
      </w:pPr>
      <w:r w:rsidRPr="00D01BB8">
        <w:rPr>
          <w:rFonts w:ascii="Calibri" w:hAnsi="Calibri" w:cs="Calibri"/>
          <w:sz w:val="20"/>
          <w:szCs w:val="20"/>
        </w:rPr>
        <w:t xml:space="preserve">Les </w:t>
      </w:r>
      <w:r w:rsidR="0091651D" w:rsidRPr="00D01BB8">
        <w:rPr>
          <w:rFonts w:ascii="Calibri" w:hAnsi="Calibri" w:cs="Calibri"/>
          <w:sz w:val="20"/>
          <w:szCs w:val="20"/>
        </w:rPr>
        <w:t xml:space="preserve">agences de notation </w:t>
      </w:r>
      <w:r w:rsidRPr="00D01BB8">
        <w:rPr>
          <w:rFonts w:ascii="Calibri" w:hAnsi="Calibri" w:cs="Calibri"/>
          <w:sz w:val="20"/>
          <w:szCs w:val="20"/>
        </w:rPr>
        <w:t xml:space="preserve">veillent à ce que les personnes visées </w:t>
      </w:r>
      <w:r w:rsidR="003D3479" w:rsidRPr="00D01BB8">
        <w:rPr>
          <w:rFonts w:ascii="Calibri" w:hAnsi="Calibri" w:cs="Calibri"/>
          <w:sz w:val="20"/>
          <w:szCs w:val="20"/>
        </w:rPr>
        <w:t>à l’article 665 alinéa 1</w:t>
      </w:r>
      <w:r w:rsidR="003D3479" w:rsidRPr="00D01BB8">
        <w:rPr>
          <w:rFonts w:ascii="Calibri" w:hAnsi="Calibri" w:cs="Calibri"/>
          <w:sz w:val="20"/>
          <w:szCs w:val="20"/>
          <w:vertAlign w:val="superscript"/>
        </w:rPr>
        <w:t>er</w:t>
      </w:r>
      <w:r w:rsidR="003D3479" w:rsidRPr="00D01BB8">
        <w:rPr>
          <w:rFonts w:ascii="Calibri" w:hAnsi="Calibri" w:cs="Calibri"/>
          <w:sz w:val="20"/>
          <w:szCs w:val="20"/>
        </w:rPr>
        <w:t xml:space="preserve"> du Règlement Général </w:t>
      </w:r>
      <w:r w:rsidRPr="00D01BB8">
        <w:rPr>
          <w:rFonts w:ascii="Calibri" w:hAnsi="Calibri" w:cs="Calibri"/>
          <w:sz w:val="20"/>
          <w:szCs w:val="20"/>
        </w:rPr>
        <w:t xml:space="preserve">satisfassent aux exigences énoncées à l’annexe I, section C. </w:t>
      </w:r>
    </w:p>
    <w:p w14:paraId="3B55B502" w14:textId="77777777" w:rsidR="00581DB9" w:rsidRPr="00D01BB8" w:rsidRDefault="00581DB9" w:rsidP="00581DB9">
      <w:pPr>
        <w:pStyle w:val="NormalWeb"/>
        <w:shd w:val="clear" w:color="auto" w:fill="FFFFFF" w:themeFill="background1"/>
        <w:ind w:left="720"/>
        <w:contextualSpacing/>
        <w:jc w:val="both"/>
        <w:rPr>
          <w:rFonts w:ascii="Calibri" w:hAnsi="Calibri" w:cs="Calibri"/>
          <w:sz w:val="20"/>
          <w:szCs w:val="20"/>
        </w:rPr>
      </w:pPr>
    </w:p>
    <w:p w14:paraId="491AC720" w14:textId="0CB531DE" w:rsidR="00581DB9" w:rsidRPr="00D01BB8" w:rsidRDefault="00581DB9">
      <w:pPr>
        <w:pStyle w:val="NormalWeb"/>
        <w:numPr>
          <w:ilvl w:val="0"/>
          <w:numId w:val="9"/>
        </w:numPr>
        <w:shd w:val="clear" w:color="auto" w:fill="FFFFFF" w:themeFill="background1"/>
        <w:contextualSpacing/>
        <w:jc w:val="both"/>
        <w:rPr>
          <w:rFonts w:ascii="Calibri" w:hAnsi="Calibri" w:cs="Calibri"/>
          <w:sz w:val="20"/>
          <w:szCs w:val="20"/>
        </w:rPr>
      </w:pPr>
      <w:r w:rsidRPr="00D01BB8">
        <w:rPr>
          <w:rFonts w:ascii="Calibri" w:hAnsi="Calibri" w:cs="Calibri"/>
          <w:sz w:val="20"/>
          <w:szCs w:val="20"/>
        </w:rPr>
        <w:t xml:space="preserve">Les </w:t>
      </w:r>
      <w:r w:rsidR="0091651D" w:rsidRPr="00D01BB8">
        <w:rPr>
          <w:rFonts w:ascii="Calibri" w:hAnsi="Calibri" w:cs="Calibri"/>
          <w:sz w:val="20"/>
          <w:szCs w:val="20"/>
        </w:rPr>
        <w:t xml:space="preserve">agences de notation </w:t>
      </w:r>
      <w:r w:rsidRPr="00D01BB8">
        <w:rPr>
          <w:rFonts w:ascii="Calibri" w:hAnsi="Calibri" w:cs="Calibri"/>
          <w:sz w:val="20"/>
          <w:szCs w:val="20"/>
        </w:rPr>
        <w:t>instaurent un mécanisme approprié de rotation progressive pour les analystes de notation et les personnes chargées d’approuver les notations au sens de l’annexe I, section</w:t>
      </w:r>
      <w:r w:rsidR="00272FCA" w:rsidRPr="00D01BB8">
        <w:rPr>
          <w:rFonts w:ascii="Calibri" w:hAnsi="Calibri" w:cs="Calibri"/>
          <w:sz w:val="20"/>
          <w:szCs w:val="20"/>
        </w:rPr>
        <w:t xml:space="preserve"> </w:t>
      </w:r>
      <w:r w:rsidRPr="00D01BB8">
        <w:rPr>
          <w:rFonts w:ascii="Calibri" w:hAnsi="Calibri" w:cs="Calibri"/>
          <w:sz w:val="20"/>
          <w:szCs w:val="20"/>
        </w:rPr>
        <w:t xml:space="preserve">C. </w:t>
      </w:r>
    </w:p>
    <w:p w14:paraId="2355F410" w14:textId="77777777" w:rsidR="00581DB9" w:rsidRPr="00581DB9" w:rsidRDefault="00581DB9" w:rsidP="00581DB9">
      <w:pPr>
        <w:pStyle w:val="NormalWeb"/>
        <w:shd w:val="clear" w:color="auto" w:fill="FFFFFF" w:themeFill="background1"/>
        <w:ind w:left="720"/>
        <w:contextualSpacing/>
        <w:jc w:val="both"/>
        <w:rPr>
          <w:rFonts w:ascii="Calibri" w:hAnsi="Calibri" w:cs="Calibri"/>
          <w:sz w:val="20"/>
          <w:szCs w:val="20"/>
        </w:rPr>
      </w:pPr>
    </w:p>
    <w:p w14:paraId="2FE2EF3D" w14:textId="30B81613" w:rsidR="00EF5E4D" w:rsidRPr="00ED6269" w:rsidRDefault="00EF5E4D" w:rsidP="00ED6269">
      <w:pPr>
        <w:pStyle w:val="NormalWeb"/>
        <w:shd w:val="clear" w:color="auto" w:fill="FFFFFF" w:themeFill="background1"/>
        <w:rPr>
          <w:rFonts w:ascii="Trebuchet MS" w:hAnsi="Trebuchet MS"/>
          <w:b/>
          <w:bCs/>
        </w:rPr>
      </w:pPr>
      <w:r w:rsidRPr="00ED6269">
        <w:rPr>
          <w:rFonts w:ascii="Trebuchet MS" w:hAnsi="Trebuchet MS"/>
          <w:b/>
          <w:bCs/>
        </w:rPr>
        <w:t xml:space="preserve">ARTICLE </w:t>
      </w:r>
      <w:r w:rsidR="00E55A30">
        <w:rPr>
          <w:rFonts w:ascii="Trebuchet MS" w:hAnsi="Trebuchet MS"/>
          <w:b/>
          <w:bCs/>
        </w:rPr>
        <w:t>4</w:t>
      </w:r>
      <w:r w:rsidRPr="00ED6269">
        <w:rPr>
          <w:rFonts w:ascii="Trebuchet MS" w:hAnsi="Trebuchet MS"/>
          <w:b/>
          <w:bCs/>
        </w:rPr>
        <w:t xml:space="preserve"> </w:t>
      </w:r>
    </w:p>
    <w:p w14:paraId="37D6663B" w14:textId="051E6B01" w:rsidR="00581DB9" w:rsidRPr="00586657" w:rsidRDefault="00581DB9">
      <w:pPr>
        <w:pStyle w:val="NormalWeb"/>
        <w:numPr>
          <w:ilvl w:val="0"/>
          <w:numId w:val="10"/>
        </w:numPr>
        <w:shd w:val="clear" w:color="auto" w:fill="FFFFFF" w:themeFill="background1"/>
        <w:contextualSpacing/>
        <w:jc w:val="both"/>
        <w:rPr>
          <w:rFonts w:ascii="Calibri" w:hAnsi="Calibri" w:cs="Calibri"/>
          <w:sz w:val="20"/>
          <w:szCs w:val="20"/>
        </w:rPr>
      </w:pPr>
      <w:r w:rsidRPr="00586657">
        <w:rPr>
          <w:rFonts w:ascii="Calibri" w:hAnsi="Calibri" w:cs="Calibri"/>
          <w:sz w:val="20"/>
          <w:szCs w:val="20"/>
        </w:rPr>
        <w:t xml:space="preserve">Les </w:t>
      </w:r>
      <w:r w:rsidR="0091651D" w:rsidRPr="00586657">
        <w:rPr>
          <w:rFonts w:ascii="Calibri" w:hAnsi="Calibri" w:cs="Calibri"/>
          <w:sz w:val="20"/>
          <w:szCs w:val="20"/>
        </w:rPr>
        <w:t xml:space="preserve">agences de notation </w:t>
      </w:r>
      <w:r w:rsidR="000B50D2" w:rsidRPr="00586657">
        <w:rPr>
          <w:rFonts w:ascii="Calibri" w:hAnsi="Calibri" w:cs="Calibri"/>
          <w:sz w:val="20"/>
          <w:szCs w:val="20"/>
        </w:rPr>
        <w:t xml:space="preserve">veillent </w:t>
      </w:r>
      <w:r w:rsidR="00C35631" w:rsidRPr="00586657">
        <w:rPr>
          <w:rFonts w:ascii="Calibri" w:hAnsi="Calibri" w:cs="Calibri"/>
          <w:sz w:val="20"/>
          <w:szCs w:val="20"/>
        </w:rPr>
        <w:t xml:space="preserve">à mettre </w:t>
      </w:r>
      <w:r w:rsidR="000B50D2" w:rsidRPr="00586657">
        <w:rPr>
          <w:rFonts w:ascii="Calibri" w:hAnsi="Calibri" w:cs="Calibri"/>
          <w:sz w:val="20"/>
          <w:szCs w:val="20"/>
        </w:rPr>
        <w:t>leurs obligations</w:t>
      </w:r>
      <w:r w:rsidR="00C35631" w:rsidRPr="00586657">
        <w:rPr>
          <w:rFonts w:ascii="Calibri" w:hAnsi="Calibri" w:cs="Calibri"/>
          <w:sz w:val="20"/>
          <w:szCs w:val="20"/>
        </w:rPr>
        <w:t xml:space="preserve"> de publication</w:t>
      </w:r>
      <w:r w:rsidR="000B50D2" w:rsidRPr="00586657">
        <w:rPr>
          <w:rFonts w:ascii="Calibri" w:hAnsi="Calibri" w:cs="Calibri"/>
          <w:sz w:val="20"/>
          <w:szCs w:val="20"/>
        </w:rPr>
        <w:t xml:space="preserve"> visées à l’article 668 du Règlement Général en conformité avec </w:t>
      </w:r>
      <w:r w:rsidRPr="00586657">
        <w:rPr>
          <w:rFonts w:ascii="Calibri" w:hAnsi="Calibri" w:cs="Calibri"/>
          <w:sz w:val="20"/>
          <w:szCs w:val="20"/>
        </w:rPr>
        <w:t xml:space="preserve"> l’annexe I, section E, partie I, point 5.</w:t>
      </w:r>
    </w:p>
    <w:p w14:paraId="5C874678" w14:textId="77777777" w:rsidR="00581DB9" w:rsidRPr="00581DB9" w:rsidRDefault="00581DB9" w:rsidP="00581DB9">
      <w:pPr>
        <w:pStyle w:val="NormalWeb"/>
        <w:shd w:val="clear" w:color="auto" w:fill="FFFFFF" w:themeFill="background1"/>
        <w:contextualSpacing/>
        <w:jc w:val="both"/>
        <w:rPr>
          <w:rFonts w:ascii="Calibri" w:hAnsi="Calibri" w:cs="Calibri"/>
          <w:sz w:val="20"/>
          <w:szCs w:val="20"/>
        </w:rPr>
      </w:pPr>
    </w:p>
    <w:p w14:paraId="607275ED" w14:textId="77777777" w:rsidR="00272FCA" w:rsidRPr="00272FCA" w:rsidRDefault="00272FCA" w:rsidP="00272FCA">
      <w:pPr>
        <w:pStyle w:val="NormalWeb"/>
        <w:shd w:val="clear" w:color="auto" w:fill="FFFFFF" w:themeFill="background1"/>
        <w:contextualSpacing/>
        <w:jc w:val="both"/>
        <w:rPr>
          <w:rFonts w:ascii="Calibri" w:hAnsi="Calibri" w:cs="Calibri"/>
          <w:sz w:val="20"/>
          <w:szCs w:val="20"/>
        </w:rPr>
      </w:pPr>
    </w:p>
    <w:p w14:paraId="0AF70EF9" w14:textId="1C74F4EB" w:rsidR="00581DB9" w:rsidRDefault="00581DB9">
      <w:pPr>
        <w:pStyle w:val="NormalWeb"/>
        <w:numPr>
          <w:ilvl w:val="0"/>
          <w:numId w:val="10"/>
        </w:numPr>
        <w:shd w:val="clear" w:color="auto" w:fill="FFFFFF" w:themeFill="background1"/>
        <w:contextualSpacing/>
        <w:jc w:val="both"/>
        <w:rPr>
          <w:rFonts w:ascii="Calibri" w:hAnsi="Calibri" w:cs="Calibri"/>
          <w:sz w:val="20"/>
          <w:szCs w:val="20"/>
        </w:rPr>
      </w:pPr>
      <w:r w:rsidRPr="00581DB9">
        <w:rPr>
          <w:rFonts w:ascii="Calibri" w:hAnsi="Calibri" w:cs="Calibri"/>
          <w:sz w:val="20"/>
          <w:szCs w:val="20"/>
        </w:rPr>
        <w:t xml:space="preserve">Lorsqu’une </w:t>
      </w:r>
      <w:r w:rsidR="0040270B">
        <w:rPr>
          <w:rFonts w:ascii="Calibri" w:hAnsi="Calibri" w:cs="Calibri"/>
          <w:sz w:val="20"/>
          <w:szCs w:val="20"/>
        </w:rPr>
        <w:t xml:space="preserve">agence de notation </w:t>
      </w:r>
      <w:r w:rsidRPr="00581DB9">
        <w:rPr>
          <w:rFonts w:ascii="Calibri" w:hAnsi="Calibri" w:cs="Calibri"/>
          <w:sz w:val="20"/>
          <w:szCs w:val="20"/>
        </w:rPr>
        <w:t xml:space="preserve">utilise une notation existante, établie par une autre agence de notation, concernant des actifs sous-jacents ou des instruments financiers structurés, elle ne refuse pas de noter une entité ou un instrument financier au motif qu’une portion de cette entité ou de cet instrument financier a déjà été notée par une autre agence de notation. Les </w:t>
      </w:r>
      <w:r w:rsidR="0091651D">
        <w:rPr>
          <w:rFonts w:ascii="Calibri" w:hAnsi="Calibri" w:cs="Calibri"/>
          <w:sz w:val="20"/>
          <w:szCs w:val="20"/>
        </w:rPr>
        <w:t xml:space="preserve">agences de notation </w:t>
      </w:r>
      <w:r w:rsidRPr="00581DB9">
        <w:rPr>
          <w:rFonts w:ascii="Calibri" w:hAnsi="Calibri" w:cs="Calibri"/>
          <w:sz w:val="20"/>
          <w:szCs w:val="20"/>
        </w:rPr>
        <w:t xml:space="preserve">consignent tous les cas dans lesquels, dans le cadre de leur processus de notation de crédit, elles s’écartent des </w:t>
      </w:r>
      <w:r w:rsidR="007079B2">
        <w:rPr>
          <w:rFonts w:ascii="Calibri" w:hAnsi="Calibri" w:cs="Calibri"/>
          <w:sz w:val="20"/>
          <w:szCs w:val="20"/>
        </w:rPr>
        <w:t>notations</w:t>
      </w:r>
      <w:r w:rsidRPr="00581DB9">
        <w:rPr>
          <w:rFonts w:ascii="Calibri" w:hAnsi="Calibri" w:cs="Calibri"/>
          <w:sz w:val="20"/>
          <w:szCs w:val="20"/>
        </w:rPr>
        <w:t xml:space="preserve"> existantes, établies par une autre agence de notation, concernant des actifs sous-jacents ou des instruments financiers structurés, et elles fournissent une justification de cette différence d’évaluation.</w:t>
      </w:r>
    </w:p>
    <w:p w14:paraId="5395F201" w14:textId="77777777" w:rsidR="00581DB9" w:rsidRPr="00581DB9" w:rsidRDefault="00581DB9" w:rsidP="00581DB9">
      <w:pPr>
        <w:pStyle w:val="NormalWeb"/>
        <w:shd w:val="clear" w:color="auto" w:fill="FFFFFF" w:themeFill="background1"/>
        <w:contextualSpacing/>
        <w:jc w:val="both"/>
        <w:rPr>
          <w:rFonts w:ascii="Calibri" w:hAnsi="Calibri" w:cs="Calibri"/>
          <w:sz w:val="20"/>
          <w:szCs w:val="20"/>
        </w:rPr>
      </w:pPr>
    </w:p>
    <w:p w14:paraId="3991290D" w14:textId="7946D5C0" w:rsidR="00581DB9" w:rsidRPr="00581DB9" w:rsidRDefault="0040270B" w:rsidP="00581DB9">
      <w:pPr>
        <w:pStyle w:val="NormalWeb"/>
        <w:shd w:val="clear" w:color="auto" w:fill="FFFFFF" w:themeFill="background1"/>
        <w:contextualSpacing/>
        <w:jc w:val="both"/>
        <w:rPr>
          <w:rFonts w:ascii="Calibri" w:hAnsi="Calibri" w:cs="Calibri"/>
          <w:sz w:val="20"/>
          <w:szCs w:val="20"/>
        </w:rPr>
      </w:pPr>
      <w:r>
        <w:rPr>
          <w:rFonts w:ascii="Calibri" w:hAnsi="Calibri" w:cs="Calibri"/>
          <w:sz w:val="20"/>
          <w:szCs w:val="20"/>
        </w:rPr>
        <w:t xml:space="preserve"> </w:t>
      </w:r>
    </w:p>
    <w:p w14:paraId="11B36EC8" w14:textId="0960AF3A" w:rsidR="00EF5E4D" w:rsidRDefault="00EF5E4D" w:rsidP="00ED6269">
      <w:pPr>
        <w:pStyle w:val="NormalWeb"/>
        <w:shd w:val="clear" w:color="auto" w:fill="FFFFFF" w:themeFill="background1"/>
        <w:rPr>
          <w:rFonts w:ascii="Trebuchet MS" w:hAnsi="Trebuchet MS"/>
          <w:b/>
          <w:bCs/>
        </w:rPr>
      </w:pPr>
      <w:r w:rsidRPr="00ED6269">
        <w:rPr>
          <w:rFonts w:ascii="Trebuchet MS" w:hAnsi="Trebuchet MS"/>
          <w:b/>
          <w:bCs/>
        </w:rPr>
        <w:t xml:space="preserve">ARTICLE </w:t>
      </w:r>
      <w:r w:rsidR="00E55A30">
        <w:rPr>
          <w:rFonts w:ascii="Trebuchet MS" w:hAnsi="Trebuchet MS"/>
          <w:b/>
          <w:bCs/>
        </w:rPr>
        <w:t>5</w:t>
      </w:r>
      <w:r w:rsidRPr="00ED6269">
        <w:rPr>
          <w:rFonts w:ascii="Trebuchet MS" w:hAnsi="Trebuchet MS"/>
          <w:b/>
          <w:bCs/>
        </w:rPr>
        <w:t xml:space="preserve"> </w:t>
      </w:r>
    </w:p>
    <w:p w14:paraId="5D2F040F" w14:textId="6A782AFA" w:rsidR="00272FCA" w:rsidRPr="00272FCA" w:rsidRDefault="00272FCA" w:rsidP="00272FCA">
      <w:pPr>
        <w:pStyle w:val="NormalWeb"/>
        <w:shd w:val="clear" w:color="auto" w:fill="FFFFFF" w:themeFill="background1"/>
        <w:jc w:val="both"/>
        <w:rPr>
          <w:rFonts w:ascii="Calibri" w:hAnsi="Calibri" w:cs="Calibri"/>
          <w:sz w:val="20"/>
          <w:szCs w:val="20"/>
        </w:rPr>
      </w:pPr>
      <w:r w:rsidRPr="00272FCA">
        <w:rPr>
          <w:rFonts w:ascii="Calibri" w:hAnsi="Calibri" w:cs="Calibri"/>
          <w:sz w:val="20"/>
          <w:szCs w:val="20"/>
        </w:rPr>
        <w:t>L’externalisation de fonctions opérationnelles importantes ne peut pas porter matériellement atteinte à la qualité du contrôle interne de l’</w:t>
      </w:r>
      <w:r w:rsidR="0040270B">
        <w:rPr>
          <w:rFonts w:ascii="Calibri" w:hAnsi="Calibri" w:cs="Calibri"/>
          <w:sz w:val="20"/>
          <w:szCs w:val="20"/>
        </w:rPr>
        <w:t xml:space="preserve">agence de notation </w:t>
      </w:r>
      <w:r w:rsidRPr="00272FCA">
        <w:rPr>
          <w:rFonts w:ascii="Calibri" w:hAnsi="Calibri" w:cs="Calibri"/>
          <w:sz w:val="20"/>
          <w:szCs w:val="20"/>
        </w:rPr>
        <w:t xml:space="preserve">ni à la possibilité pour </w:t>
      </w:r>
      <w:r w:rsidR="00FE0895">
        <w:rPr>
          <w:rFonts w:ascii="Calibri" w:hAnsi="Calibri" w:cs="Calibri"/>
          <w:sz w:val="20"/>
          <w:szCs w:val="20"/>
        </w:rPr>
        <w:t>la COSUMAF</w:t>
      </w:r>
      <w:r w:rsidRPr="00272FCA">
        <w:rPr>
          <w:rFonts w:ascii="Calibri" w:hAnsi="Calibri" w:cs="Calibri"/>
          <w:sz w:val="20"/>
          <w:szCs w:val="20"/>
        </w:rPr>
        <w:t xml:space="preserve"> de contrôler le respect, par l’agence de notation, des obligations qui lui incombent en vertu </w:t>
      </w:r>
      <w:r w:rsidR="00FE0895">
        <w:rPr>
          <w:rFonts w:ascii="Calibri" w:hAnsi="Calibri" w:cs="Calibri"/>
          <w:sz w:val="20"/>
          <w:szCs w:val="20"/>
        </w:rPr>
        <w:t>de la présente instruction.</w:t>
      </w:r>
    </w:p>
    <w:p w14:paraId="7BDEA07D" w14:textId="309B5A2B" w:rsidR="00EF5E4D" w:rsidRDefault="00EF5E4D" w:rsidP="00ED6269">
      <w:pPr>
        <w:pStyle w:val="NormalWeb"/>
        <w:shd w:val="clear" w:color="auto" w:fill="FFFFFF" w:themeFill="background1"/>
        <w:rPr>
          <w:rFonts w:ascii="Trebuchet MS" w:hAnsi="Trebuchet MS"/>
          <w:b/>
          <w:bCs/>
        </w:rPr>
      </w:pPr>
      <w:r w:rsidRPr="00ED6269">
        <w:rPr>
          <w:rFonts w:ascii="Trebuchet MS" w:hAnsi="Trebuchet MS"/>
          <w:b/>
          <w:bCs/>
        </w:rPr>
        <w:t>ARTIC</w:t>
      </w:r>
      <w:r w:rsidR="00432B44" w:rsidRPr="00ED6269">
        <w:rPr>
          <w:rFonts w:ascii="Trebuchet MS" w:hAnsi="Trebuchet MS"/>
          <w:b/>
          <w:bCs/>
        </w:rPr>
        <w:t xml:space="preserve">LE </w:t>
      </w:r>
      <w:r w:rsidR="00E55A30">
        <w:rPr>
          <w:rFonts w:ascii="Trebuchet MS" w:hAnsi="Trebuchet MS"/>
          <w:b/>
          <w:bCs/>
        </w:rPr>
        <w:t>6</w:t>
      </w:r>
      <w:r w:rsidRPr="00ED6269">
        <w:rPr>
          <w:rFonts w:ascii="Trebuchet MS" w:hAnsi="Trebuchet MS"/>
          <w:b/>
          <w:bCs/>
        </w:rPr>
        <w:t xml:space="preserve"> </w:t>
      </w:r>
    </w:p>
    <w:p w14:paraId="000C5F64" w14:textId="77777777" w:rsidR="00272FCA" w:rsidRDefault="00272FCA" w:rsidP="00272FCA">
      <w:pPr>
        <w:pStyle w:val="NormalWeb"/>
        <w:shd w:val="clear" w:color="auto" w:fill="FFFFFF" w:themeFill="background1"/>
        <w:ind w:left="720"/>
        <w:contextualSpacing/>
        <w:jc w:val="both"/>
        <w:rPr>
          <w:rFonts w:ascii="Calibri" w:hAnsi="Calibri" w:cs="Calibri"/>
          <w:sz w:val="20"/>
          <w:szCs w:val="20"/>
        </w:rPr>
      </w:pPr>
    </w:p>
    <w:p w14:paraId="5BC98BB8" w14:textId="446DBBD9" w:rsidR="00272FCA" w:rsidRPr="003A2390" w:rsidRDefault="00272FCA">
      <w:pPr>
        <w:pStyle w:val="NormalWeb"/>
        <w:numPr>
          <w:ilvl w:val="0"/>
          <w:numId w:val="12"/>
        </w:numPr>
        <w:shd w:val="clear" w:color="auto" w:fill="FFFFFF" w:themeFill="background1"/>
        <w:contextualSpacing/>
        <w:jc w:val="both"/>
        <w:rPr>
          <w:rFonts w:ascii="Calibri" w:hAnsi="Calibri" w:cs="Calibri"/>
          <w:sz w:val="20"/>
          <w:szCs w:val="20"/>
        </w:rPr>
      </w:pPr>
      <w:r w:rsidRPr="003A2390">
        <w:rPr>
          <w:rFonts w:ascii="Calibri" w:hAnsi="Calibri" w:cs="Calibri"/>
          <w:sz w:val="20"/>
          <w:szCs w:val="20"/>
        </w:rPr>
        <w:t xml:space="preserve">Les </w:t>
      </w:r>
      <w:r w:rsidR="0091651D" w:rsidRPr="003A2390">
        <w:rPr>
          <w:rFonts w:ascii="Calibri" w:hAnsi="Calibri" w:cs="Calibri"/>
          <w:sz w:val="20"/>
          <w:szCs w:val="20"/>
        </w:rPr>
        <w:t xml:space="preserve">agences de notation </w:t>
      </w:r>
      <w:r w:rsidRPr="003A2390">
        <w:rPr>
          <w:rFonts w:ascii="Calibri" w:hAnsi="Calibri" w:cs="Calibri"/>
          <w:sz w:val="20"/>
          <w:szCs w:val="20"/>
        </w:rPr>
        <w:t xml:space="preserve">veillent à ce que les </w:t>
      </w:r>
      <w:r w:rsidR="007079B2" w:rsidRPr="003A2390">
        <w:rPr>
          <w:rFonts w:ascii="Calibri" w:hAnsi="Calibri" w:cs="Calibri"/>
          <w:sz w:val="20"/>
          <w:szCs w:val="20"/>
        </w:rPr>
        <w:t>notations</w:t>
      </w:r>
      <w:r w:rsidRPr="003A2390">
        <w:rPr>
          <w:rFonts w:ascii="Calibri" w:hAnsi="Calibri" w:cs="Calibri"/>
          <w:sz w:val="20"/>
          <w:szCs w:val="20"/>
        </w:rPr>
        <w:t xml:space="preserve"> soient présentées et traitées conformément aux exigences énoncées à l’annexe I, section D. </w:t>
      </w:r>
    </w:p>
    <w:p w14:paraId="7A1C5781" w14:textId="77777777" w:rsidR="00272FCA" w:rsidRPr="00272FCA" w:rsidRDefault="00272FCA" w:rsidP="00272FCA">
      <w:pPr>
        <w:pStyle w:val="NormalWeb"/>
        <w:shd w:val="clear" w:color="auto" w:fill="FFFFFF" w:themeFill="background1"/>
        <w:contextualSpacing/>
        <w:jc w:val="both"/>
        <w:rPr>
          <w:rFonts w:ascii="Calibri" w:hAnsi="Calibri" w:cs="Calibri"/>
          <w:sz w:val="20"/>
          <w:szCs w:val="20"/>
        </w:rPr>
      </w:pPr>
    </w:p>
    <w:p w14:paraId="153F4927" w14:textId="793CAC1C" w:rsidR="00272FCA" w:rsidRPr="00272FCA" w:rsidRDefault="00272FCA">
      <w:pPr>
        <w:pStyle w:val="NormalWeb"/>
        <w:numPr>
          <w:ilvl w:val="0"/>
          <w:numId w:val="12"/>
        </w:numPr>
        <w:shd w:val="clear" w:color="auto" w:fill="FFFFFF" w:themeFill="background1"/>
        <w:contextualSpacing/>
        <w:jc w:val="both"/>
        <w:rPr>
          <w:rFonts w:ascii="Calibri" w:hAnsi="Calibri" w:cs="Calibri"/>
          <w:sz w:val="20"/>
          <w:szCs w:val="20"/>
        </w:rPr>
      </w:pPr>
      <w:r w:rsidRPr="00272FCA">
        <w:rPr>
          <w:rFonts w:ascii="Calibri" w:hAnsi="Calibri" w:cs="Calibri"/>
          <w:sz w:val="20"/>
          <w:szCs w:val="20"/>
        </w:rPr>
        <w:t xml:space="preserve">Lorsqu’une </w:t>
      </w:r>
      <w:r w:rsidR="0040270B">
        <w:rPr>
          <w:rFonts w:ascii="Calibri" w:hAnsi="Calibri" w:cs="Calibri"/>
          <w:sz w:val="20"/>
          <w:szCs w:val="20"/>
        </w:rPr>
        <w:t xml:space="preserve">agence de notation </w:t>
      </w:r>
      <w:r w:rsidRPr="00272FCA">
        <w:rPr>
          <w:rFonts w:ascii="Calibri" w:hAnsi="Calibri" w:cs="Calibri"/>
          <w:sz w:val="20"/>
          <w:szCs w:val="20"/>
        </w:rPr>
        <w:t xml:space="preserve">émet des </w:t>
      </w:r>
      <w:r w:rsidR="007079B2">
        <w:rPr>
          <w:rFonts w:ascii="Calibri" w:hAnsi="Calibri" w:cs="Calibri"/>
          <w:sz w:val="20"/>
          <w:szCs w:val="20"/>
        </w:rPr>
        <w:t>notations</w:t>
      </w:r>
      <w:r w:rsidRPr="00272FCA">
        <w:rPr>
          <w:rFonts w:ascii="Calibri" w:hAnsi="Calibri" w:cs="Calibri"/>
          <w:sz w:val="20"/>
          <w:szCs w:val="20"/>
        </w:rPr>
        <w:t xml:space="preserve"> concernant des instruments financiers structurés, elle veille à ce que les catégories de notation qui sont attribuées aux instruments financiers structurés soient clairement différenciées en utilisant un symbole supplémentaire qui les distingue de celles utilisées pour d’autres entités, instruments financiers ou obligations financières. </w:t>
      </w:r>
    </w:p>
    <w:p w14:paraId="37E62699" w14:textId="77777777" w:rsidR="00272FCA" w:rsidRPr="00272FCA" w:rsidRDefault="00272FCA" w:rsidP="00272FCA">
      <w:pPr>
        <w:pStyle w:val="NormalWeb"/>
        <w:shd w:val="clear" w:color="auto" w:fill="FFFFFF" w:themeFill="background1"/>
        <w:ind w:left="720"/>
        <w:contextualSpacing/>
        <w:jc w:val="both"/>
        <w:rPr>
          <w:rFonts w:ascii="Calibri" w:hAnsi="Calibri" w:cs="Calibri"/>
          <w:sz w:val="20"/>
          <w:szCs w:val="20"/>
        </w:rPr>
      </w:pPr>
    </w:p>
    <w:p w14:paraId="7D900F81" w14:textId="77777777" w:rsidR="00272FCA" w:rsidRPr="00272FCA" w:rsidRDefault="00272FCA" w:rsidP="00272FCA">
      <w:pPr>
        <w:pStyle w:val="NormalWeb"/>
        <w:shd w:val="clear" w:color="auto" w:fill="FFFFFF" w:themeFill="background1"/>
        <w:ind w:left="720"/>
        <w:contextualSpacing/>
        <w:jc w:val="both"/>
        <w:rPr>
          <w:rFonts w:ascii="Calibri" w:hAnsi="Calibri" w:cs="Calibri"/>
          <w:sz w:val="20"/>
          <w:szCs w:val="20"/>
        </w:rPr>
      </w:pPr>
    </w:p>
    <w:p w14:paraId="70DF11FB" w14:textId="77777777" w:rsidR="00272FCA" w:rsidRPr="00272FCA" w:rsidRDefault="00272FCA" w:rsidP="00272FCA">
      <w:pPr>
        <w:pStyle w:val="NormalWeb"/>
        <w:shd w:val="clear" w:color="auto" w:fill="FFFFFF" w:themeFill="background1"/>
        <w:ind w:left="720"/>
        <w:contextualSpacing/>
        <w:jc w:val="both"/>
        <w:rPr>
          <w:rFonts w:ascii="Calibri" w:hAnsi="Calibri" w:cs="Calibri"/>
          <w:sz w:val="20"/>
          <w:szCs w:val="20"/>
        </w:rPr>
      </w:pPr>
    </w:p>
    <w:p w14:paraId="79D102E0" w14:textId="77777777" w:rsidR="00272FCA" w:rsidRPr="00272FCA" w:rsidRDefault="00272FCA" w:rsidP="00272FCA">
      <w:pPr>
        <w:pStyle w:val="NormalWeb"/>
        <w:shd w:val="clear" w:color="auto" w:fill="FFFFFF" w:themeFill="background1"/>
        <w:ind w:left="720"/>
        <w:contextualSpacing/>
        <w:jc w:val="both"/>
        <w:rPr>
          <w:rFonts w:ascii="Calibri" w:hAnsi="Calibri" w:cs="Calibri"/>
          <w:sz w:val="20"/>
          <w:szCs w:val="20"/>
        </w:rPr>
      </w:pPr>
    </w:p>
    <w:p w14:paraId="008DFD2F" w14:textId="5FC0748D" w:rsidR="00C95BAD" w:rsidRPr="00581DB9" w:rsidRDefault="00C95BAD" w:rsidP="00581DB9">
      <w:pPr>
        <w:pStyle w:val="NormalWeb"/>
        <w:shd w:val="clear" w:color="auto" w:fill="FFFFFF" w:themeFill="background1"/>
        <w:rPr>
          <w:rFonts w:ascii="Trebuchet MS" w:hAnsi="Trebuchet MS"/>
          <w:b/>
          <w:bCs/>
        </w:rPr>
      </w:pPr>
      <w:r w:rsidRPr="00ED6269">
        <w:rPr>
          <w:rFonts w:ascii="Trebuchet MS" w:hAnsi="Trebuchet MS"/>
          <w:b/>
          <w:bCs/>
        </w:rPr>
        <w:lastRenderedPageBreak/>
        <w:t xml:space="preserve">ARTICLE </w:t>
      </w:r>
      <w:r w:rsidR="00E55A30">
        <w:rPr>
          <w:rFonts w:ascii="Trebuchet MS" w:hAnsi="Trebuchet MS"/>
          <w:b/>
          <w:bCs/>
        </w:rPr>
        <w:t>7</w:t>
      </w:r>
      <w:r w:rsidRPr="00ED6269">
        <w:rPr>
          <w:rFonts w:ascii="Trebuchet MS" w:hAnsi="Trebuchet MS"/>
          <w:b/>
          <w:bCs/>
        </w:rPr>
        <w:t xml:space="preserve"> </w:t>
      </w:r>
    </w:p>
    <w:p w14:paraId="7029F18A" w14:textId="0F385C68" w:rsidR="00272FCA" w:rsidRPr="003A2390" w:rsidRDefault="00272FCA">
      <w:pPr>
        <w:pStyle w:val="NormalWeb"/>
        <w:numPr>
          <w:ilvl w:val="0"/>
          <w:numId w:val="13"/>
        </w:numPr>
        <w:shd w:val="clear" w:color="auto" w:fill="FFFFFF" w:themeFill="background1"/>
        <w:contextualSpacing/>
        <w:jc w:val="both"/>
        <w:rPr>
          <w:rFonts w:ascii="Calibri" w:hAnsi="Calibri" w:cs="Calibri"/>
          <w:sz w:val="20"/>
          <w:szCs w:val="20"/>
        </w:rPr>
      </w:pPr>
      <w:r w:rsidRPr="00272FCA">
        <w:rPr>
          <w:rFonts w:ascii="Calibri" w:hAnsi="Calibri" w:cs="Calibri"/>
          <w:sz w:val="20"/>
          <w:szCs w:val="20"/>
        </w:rPr>
        <w:t xml:space="preserve"> </w:t>
      </w:r>
      <w:r w:rsidR="002A532F">
        <w:rPr>
          <w:rFonts w:ascii="Calibri" w:hAnsi="Calibri" w:cs="Calibri"/>
          <w:sz w:val="20"/>
          <w:szCs w:val="20"/>
        </w:rPr>
        <w:t>L’</w:t>
      </w:r>
      <w:r w:rsidR="0040270B">
        <w:rPr>
          <w:rFonts w:ascii="Calibri" w:hAnsi="Calibri" w:cs="Calibri"/>
          <w:sz w:val="20"/>
          <w:szCs w:val="20"/>
        </w:rPr>
        <w:t xml:space="preserve">agence de notation </w:t>
      </w:r>
      <w:r w:rsidRPr="00272FCA">
        <w:rPr>
          <w:rFonts w:ascii="Calibri" w:hAnsi="Calibri" w:cs="Calibri"/>
          <w:sz w:val="20"/>
          <w:szCs w:val="20"/>
        </w:rPr>
        <w:t xml:space="preserve">communique au public l’intégralité des informations visées à </w:t>
      </w:r>
      <w:r w:rsidRPr="003A2390">
        <w:rPr>
          <w:rFonts w:ascii="Calibri" w:hAnsi="Calibri" w:cs="Calibri"/>
          <w:sz w:val="20"/>
          <w:szCs w:val="20"/>
        </w:rPr>
        <w:t xml:space="preserve">l’annexe I, section E, partie I, et  les actualise immédiatement. </w:t>
      </w:r>
    </w:p>
    <w:p w14:paraId="142434AC" w14:textId="77777777" w:rsidR="00272FCA" w:rsidRPr="00272FCA" w:rsidRDefault="00272FCA" w:rsidP="00272FCA">
      <w:pPr>
        <w:pStyle w:val="NormalWeb"/>
        <w:shd w:val="clear" w:color="auto" w:fill="FFFFFF" w:themeFill="background1"/>
        <w:ind w:left="720"/>
        <w:contextualSpacing/>
        <w:jc w:val="both"/>
        <w:rPr>
          <w:rFonts w:ascii="Calibri" w:hAnsi="Calibri" w:cs="Calibri"/>
          <w:sz w:val="20"/>
          <w:szCs w:val="20"/>
        </w:rPr>
      </w:pPr>
    </w:p>
    <w:p w14:paraId="3ED01A7F" w14:textId="1D72AF34" w:rsidR="00272FCA" w:rsidRDefault="00272FCA">
      <w:pPr>
        <w:pStyle w:val="NormalWeb"/>
        <w:numPr>
          <w:ilvl w:val="0"/>
          <w:numId w:val="13"/>
        </w:numPr>
        <w:shd w:val="clear" w:color="auto" w:fill="FFFFFF" w:themeFill="background1"/>
        <w:contextualSpacing/>
        <w:jc w:val="both"/>
        <w:rPr>
          <w:rFonts w:ascii="Calibri" w:hAnsi="Calibri" w:cs="Calibri"/>
          <w:sz w:val="20"/>
          <w:szCs w:val="20"/>
        </w:rPr>
      </w:pPr>
      <w:r w:rsidRPr="00272FCA">
        <w:rPr>
          <w:rFonts w:ascii="Calibri" w:hAnsi="Calibri" w:cs="Calibri"/>
          <w:sz w:val="20"/>
          <w:szCs w:val="20"/>
        </w:rPr>
        <w:t xml:space="preserve"> </w:t>
      </w:r>
      <w:r w:rsidR="002A532F">
        <w:rPr>
          <w:rFonts w:ascii="Calibri" w:hAnsi="Calibri" w:cs="Calibri"/>
          <w:sz w:val="20"/>
          <w:szCs w:val="20"/>
        </w:rPr>
        <w:t>L’</w:t>
      </w:r>
      <w:r w:rsidR="0040270B">
        <w:rPr>
          <w:rFonts w:ascii="Calibri" w:hAnsi="Calibri" w:cs="Calibri"/>
          <w:sz w:val="20"/>
          <w:szCs w:val="20"/>
        </w:rPr>
        <w:t xml:space="preserve">agence de notation </w:t>
      </w:r>
      <w:r w:rsidRPr="00272FCA">
        <w:rPr>
          <w:rFonts w:ascii="Calibri" w:hAnsi="Calibri" w:cs="Calibri"/>
          <w:sz w:val="20"/>
          <w:szCs w:val="20"/>
        </w:rPr>
        <w:t xml:space="preserve">communique à un registre central, établi par la COSUMAF, des données relatives à sa performance passée, y compris la fréquence de transition des notations, ainsi que des informations relatives aux </w:t>
      </w:r>
      <w:r w:rsidR="007079B2">
        <w:rPr>
          <w:rFonts w:ascii="Calibri" w:hAnsi="Calibri" w:cs="Calibri"/>
          <w:sz w:val="20"/>
          <w:szCs w:val="20"/>
        </w:rPr>
        <w:t>notations</w:t>
      </w:r>
      <w:r w:rsidRPr="00272FCA">
        <w:rPr>
          <w:rFonts w:ascii="Calibri" w:hAnsi="Calibri" w:cs="Calibri"/>
          <w:sz w:val="20"/>
          <w:szCs w:val="20"/>
        </w:rPr>
        <w:t xml:space="preserve"> émises dans le passé et à leurs modifications.  </w:t>
      </w:r>
      <w:r w:rsidR="008F2D44">
        <w:rPr>
          <w:rFonts w:ascii="Calibri" w:hAnsi="Calibri" w:cs="Calibri"/>
          <w:sz w:val="20"/>
          <w:szCs w:val="20"/>
        </w:rPr>
        <w:t>L’</w:t>
      </w:r>
      <w:r w:rsidR="0040270B">
        <w:rPr>
          <w:rFonts w:ascii="Calibri" w:hAnsi="Calibri" w:cs="Calibri"/>
          <w:sz w:val="20"/>
          <w:szCs w:val="20"/>
        </w:rPr>
        <w:t xml:space="preserve">agence de notation </w:t>
      </w:r>
      <w:r w:rsidRPr="00272FCA">
        <w:rPr>
          <w:rFonts w:ascii="Calibri" w:hAnsi="Calibri" w:cs="Calibri"/>
          <w:sz w:val="20"/>
          <w:szCs w:val="20"/>
        </w:rPr>
        <w:t>transmet les informations au registre</w:t>
      </w:r>
      <w:r w:rsidR="0016446B">
        <w:rPr>
          <w:rFonts w:ascii="Calibri" w:hAnsi="Calibri" w:cs="Calibri"/>
          <w:sz w:val="20"/>
          <w:szCs w:val="20"/>
        </w:rPr>
        <w:t xml:space="preserve"> précité sous une forme à définir</w:t>
      </w:r>
      <w:r>
        <w:rPr>
          <w:rFonts w:ascii="Calibri" w:hAnsi="Calibri" w:cs="Calibri"/>
          <w:sz w:val="20"/>
          <w:szCs w:val="20"/>
        </w:rPr>
        <w:t>. La COSUMAF rend ces informations accessibles au public et publie chaque année un résumé des principales évolutions constatées.</w:t>
      </w:r>
    </w:p>
    <w:p w14:paraId="1E67585A" w14:textId="77777777" w:rsidR="00272FCA" w:rsidRPr="00272FCA" w:rsidRDefault="00272FCA" w:rsidP="00272FCA">
      <w:pPr>
        <w:pStyle w:val="NormalWeb"/>
        <w:shd w:val="clear" w:color="auto" w:fill="FFFFFF" w:themeFill="background1"/>
        <w:contextualSpacing/>
        <w:jc w:val="both"/>
        <w:rPr>
          <w:rFonts w:ascii="Calibri" w:hAnsi="Calibri" w:cs="Calibri"/>
          <w:sz w:val="20"/>
          <w:szCs w:val="20"/>
        </w:rPr>
      </w:pPr>
    </w:p>
    <w:p w14:paraId="3EA443F6" w14:textId="78F1BF60" w:rsidR="00272FCA" w:rsidRPr="00096355" w:rsidRDefault="00272FCA">
      <w:pPr>
        <w:pStyle w:val="NormalWeb"/>
        <w:numPr>
          <w:ilvl w:val="0"/>
          <w:numId w:val="13"/>
        </w:numPr>
        <w:shd w:val="clear" w:color="auto" w:fill="FFFFFF" w:themeFill="background1"/>
        <w:contextualSpacing/>
        <w:jc w:val="both"/>
        <w:rPr>
          <w:rFonts w:ascii="Calibri" w:hAnsi="Calibri" w:cs="Calibri"/>
          <w:sz w:val="20"/>
          <w:szCs w:val="20"/>
        </w:rPr>
      </w:pPr>
      <w:r>
        <w:rPr>
          <w:rFonts w:ascii="Calibri" w:hAnsi="Calibri" w:cs="Calibri"/>
          <w:sz w:val="20"/>
          <w:szCs w:val="20"/>
        </w:rPr>
        <w:t xml:space="preserve"> </w:t>
      </w:r>
      <w:r w:rsidR="008F2D44" w:rsidRPr="00096355">
        <w:rPr>
          <w:rFonts w:ascii="Calibri" w:hAnsi="Calibri" w:cs="Calibri"/>
          <w:sz w:val="20"/>
          <w:szCs w:val="20"/>
        </w:rPr>
        <w:t>L’</w:t>
      </w:r>
      <w:r w:rsidR="0040270B" w:rsidRPr="00096355">
        <w:rPr>
          <w:rFonts w:ascii="Calibri" w:hAnsi="Calibri" w:cs="Calibri"/>
          <w:sz w:val="20"/>
          <w:szCs w:val="20"/>
        </w:rPr>
        <w:t xml:space="preserve">agence de notation </w:t>
      </w:r>
      <w:r w:rsidRPr="00096355">
        <w:rPr>
          <w:rFonts w:ascii="Calibri" w:hAnsi="Calibri" w:cs="Calibri"/>
          <w:sz w:val="20"/>
          <w:szCs w:val="20"/>
        </w:rPr>
        <w:t>fournit annuellement à la COSUMAF les informations visées à l’annexe I, section E, partie II, point 2.</w:t>
      </w:r>
    </w:p>
    <w:p w14:paraId="5039FE88" w14:textId="77777777" w:rsidR="00272FCA" w:rsidRDefault="00272FCA" w:rsidP="00581DB9">
      <w:pPr>
        <w:pStyle w:val="NormalWeb"/>
        <w:shd w:val="clear" w:color="auto" w:fill="FFFFFF" w:themeFill="background1"/>
        <w:rPr>
          <w:rFonts w:ascii="Trebuchet MS" w:hAnsi="Trebuchet MS"/>
          <w:b/>
          <w:bCs/>
        </w:rPr>
      </w:pPr>
    </w:p>
    <w:p w14:paraId="56766E73" w14:textId="186405AA" w:rsidR="00C95BAD" w:rsidRPr="00581DB9" w:rsidRDefault="00C95BAD" w:rsidP="00581DB9">
      <w:pPr>
        <w:pStyle w:val="NormalWeb"/>
        <w:shd w:val="clear" w:color="auto" w:fill="FFFFFF" w:themeFill="background1"/>
        <w:rPr>
          <w:rFonts w:ascii="Trebuchet MS" w:hAnsi="Trebuchet MS"/>
          <w:b/>
          <w:bCs/>
        </w:rPr>
      </w:pPr>
      <w:r w:rsidRPr="00ED6269">
        <w:rPr>
          <w:rFonts w:ascii="Trebuchet MS" w:hAnsi="Trebuchet MS"/>
          <w:b/>
          <w:bCs/>
        </w:rPr>
        <w:t xml:space="preserve">ARTICLE </w:t>
      </w:r>
      <w:r w:rsidR="00E55A30">
        <w:rPr>
          <w:rFonts w:ascii="Trebuchet MS" w:hAnsi="Trebuchet MS"/>
          <w:b/>
          <w:bCs/>
        </w:rPr>
        <w:t>8</w:t>
      </w:r>
      <w:r w:rsidRPr="00ED6269">
        <w:rPr>
          <w:rFonts w:ascii="Trebuchet MS" w:hAnsi="Trebuchet MS"/>
          <w:b/>
          <w:bCs/>
        </w:rPr>
        <w:t xml:space="preserve"> </w:t>
      </w:r>
    </w:p>
    <w:p w14:paraId="31151EEA" w14:textId="3BC03D85" w:rsidR="00303001" w:rsidRPr="00413703" w:rsidRDefault="00413703">
      <w:pPr>
        <w:pStyle w:val="Paragraphedeliste"/>
        <w:numPr>
          <w:ilvl w:val="0"/>
          <w:numId w:val="14"/>
        </w:numPr>
        <w:spacing w:before="100" w:beforeAutospacing="1" w:after="100" w:afterAutospacing="1"/>
        <w:jc w:val="both"/>
        <w:rPr>
          <w:rFonts w:ascii="Calibri" w:hAnsi="Calibri" w:cs="Calibri"/>
          <w:sz w:val="20"/>
          <w:szCs w:val="20"/>
        </w:rPr>
      </w:pPr>
      <w:r w:rsidRPr="00413703">
        <w:rPr>
          <w:rFonts w:ascii="Calibri" w:hAnsi="Calibri" w:cs="Calibri"/>
          <w:sz w:val="20"/>
          <w:szCs w:val="20"/>
        </w:rPr>
        <w:t xml:space="preserve"> </w:t>
      </w:r>
      <w:r w:rsidR="008F2D44">
        <w:rPr>
          <w:rFonts w:ascii="Calibri" w:hAnsi="Calibri" w:cs="Calibri"/>
          <w:sz w:val="20"/>
          <w:szCs w:val="20"/>
        </w:rPr>
        <w:t>L’</w:t>
      </w:r>
      <w:r w:rsidR="0040270B">
        <w:rPr>
          <w:rFonts w:ascii="Calibri" w:hAnsi="Calibri" w:cs="Calibri"/>
          <w:sz w:val="20"/>
          <w:szCs w:val="20"/>
        </w:rPr>
        <w:t xml:space="preserve">agence de notation </w:t>
      </w:r>
      <w:r w:rsidRPr="00413703">
        <w:rPr>
          <w:rFonts w:ascii="Calibri" w:hAnsi="Calibri" w:cs="Calibri"/>
          <w:sz w:val="20"/>
          <w:szCs w:val="20"/>
        </w:rPr>
        <w:t>publie annuellement un rapport de transparence contenant des informations relatives aux éléments figurant à l’annexe I, section E, partie III. L’</w:t>
      </w:r>
      <w:r w:rsidR="0040270B">
        <w:rPr>
          <w:rFonts w:ascii="Calibri" w:hAnsi="Calibri" w:cs="Calibri"/>
          <w:sz w:val="20"/>
          <w:szCs w:val="20"/>
        </w:rPr>
        <w:t xml:space="preserve">agence de notation </w:t>
      </w:r>
      <w:r w:rsidRPr="00413703">
        <w:rPr>
          <w:rFonts w:ascii="Calibri" w:hAnsi="Calibri" w:cs="Calibri"/>
          <w:sz w:val="20"/>
          <w:szCs w:val="20"/>
        </w:rPr>
        <w:t>publie son rapport de transparence au plus tard trois</w:t>
      </w:r>
      <w:r>
        <w:rPr>
          <w:rFonts w:ascii="Calibri" w:hAnsi="Calibri" w:cs="Calibri"/>
          <w:sz w:val="20"/>
          <w:szCs w:val="20"/>
        </w:rPr>
        <w:t xml:space="preserve"> (3) </w:t>
      </w:r>
      <w:r w:rsidRPr="00413703">
        <w:rPr>
          <w:rFonts w:ascii="Calibri" w:hAnsi="Calibri" w:cs="Calibri"/>
          <w:sz w:val="20"/>
          <w:szCs w:val="20"/>
        </w:rPr>
        <w:t>mois après la date de clôture de chaque exercice et elle veille à ce qu’il reste disponible sur son site internet pendant cinq</w:t>
      </w:r>
      <w:r>
        <w:rPr>
          <w:rFonts w:ascii="Calibri" w:hAnsi="Calibri" w:cs="Calibri"/>
          <w:sz w:val="20"/>
          <w:szCs w:val="20"/>
        </w:rPr>
        <w:t xml:space="preserve"> (5)</w:t>
      </w:r>
      <w:r w:rsidRPr="00413703">
        <w:rPr>
          <w:rFonts w:ascii="Calibri" w:hAnsi="Calibri" w:cs="Calibri"/>
          <w:sz w:val="20"/>
          <w:szCs w:val="20"/>
        </w:rPr>
        <w:t xml:space="preserve"> ans au moins.</w:t>
      </w:r>
    </w:p>
    <w:p w14:paraId="19991731" w14:textId="211B605C" w:rsidR="00303001" w:rsidRDefault="00303001">
      <w:pPr>
        <w:rPr>
          <w:sz w:val="20"/>
          <w:szCs w:val="20"/>
        </w:rPr>
      </w:pPr>
      <w:r>
        <w:rPr>
          <w:sz w:val="20"/>
          <w:szCs w:val="20"/>
        </w:rPr>
        <w:br w:type="page"/>
      </w:r>
    </w:p>
    <w:p w14:paraId="324C6DAF" w14:textId="59A1A416" w:rsidR="00303001" w:rsidRPr="00E86B39" w:rsidRDefault="00303001" w:rsidP="005760C0">
      <w:pPr>
        <w:spacing w:before="100" w:beforeAutospacing="1" w:after="100" w:afterAutospacing="1"/>
        <w:ind w:left="360"/>
        <w:jc w:val="center"/>
        <w:rPr>
          <w:rFonts w:asciiTheme="minorHAnsi" w:hAnsiTheme="minorHAnsi" w:cstheme="minorHAnsi"/>
          <w:b/>
          <w:bCs/>
          <w:sz w:val="20"/>
          <w:szCs w:val="20"/>
        </w:rPr>
      </w:pPr>
      <w:r w:rsidRPr="00E86B39">
        <w:rPr>
          <w:rFonts w:asciiTheme="minorHAnsi" w:hAnsiTheme="minorHAnsi" w:cstheme="minorHAnsi"/>
          <w:b/>
          <w:bCs/>
          <w:sz w:val="20"/>
          <w:szCs w:val="20"/>
        </w:rPr>
        <w:lastRenderedPageBreak/>
        <w:t>ANNEXE I</w:t>
      </w:r>
    </w:p>
    <w:p w14:paraId="24868FEC" w14:textId="79B014CF" w:rsidR="00413703" w:rsidRPr="00E36CFF" w:rsidRDefault="00413703" w:rsidP="005760C0">
      <w:pPr>
        <w:pStyle w:val="Paragraphedeliste"/>
        <w:jc w:val="center"/>
        <w:rPr>
          <w:rFonts w:asciiTheme="minorHAnsi" w:hAnsiTheme="minorHAnsi" w:cstheme="minorHAnsi"/>
          <w:b/>
          <w:bCs/>
          <w:sz w:val="20"/>
          <w:szCs w:val="20"/>
        </w:rPr>
      </w:pPr>
      <w:r w:rsidRPr="00E36CFF">
        <w:rPr>
          <w:rFonts w:asciiTheme="minorHAnsi" w:hAnsiTheme="minorHAnsi" w:cstheme="minorHAnsi"/>
          <w:b/>
          <w:bCs/>
          <w:sz w:val="20"/>
          <w:szCs w:val="20"/>
        </w:rPr>
        <w:t>INDÉPENDANCE ET PRÉVENTION DES CONFLITS D’INTÉRÊTS</w:t>
      </w:r>
    </w:p>
    <w:p w14:paraId="35D665F9" w14:textId="77777777" w:rsidR="00413703" w:rsidRPr="00E36CFF" w:rsidRDefault="00413703" w:rsidP="005760C0">
      <w:pPr>
        <w:pStyle w:val="Paragraphedeliste"/>
        <w:jc w:val="center"/>
        <w:rPr>
          <w:rFonts w:asciiTheme="minorHAnsi" w:hAnsiTheme="minorHAnsi" w:cstheme="minorHAnsi"/>
          <w:b/>
          <w:bCs/>
          <w:sz w:val="20"/>
          <w:szCs w:val="20"/>
        </w:rPr>
      </w:pPr>
    </w:p>
    <w:p w14:paraId="58EAA801" w14:textId="1444FE24" w:rsidR="00413703" w:rsidRPr="00E36CFF" w:rsidRDefault="00413703" w:rsidP="005760C0">
      <w:pPr>
        <w:pStyle w:val="Paragraphedeliste"/>
        <w:jc w:val="center"/>
        <w:rPr>
          <w:rFonts w:asciiTheme="minorHAnsi" w:hAnsiTheme="minorHAnsi" w:cstheme="minorHAnsi"/>
          <w:b/>
          <w:bCs/>
          <w:sz w:val="20"/>
          <w:szCs w:val="20"/>
        </w:rPr>
      </w:pPr>
      <w:r w:rsidRPr="00E36CFF">
        <w:rPr>
          <w:rFonts w:asciiTheme="minorHAnsi" w:hAnsiTheme="minorHAnsi" w:cstheme="minorHAnsi"/>
          <w:b/>
          <w:bCs/>
          <w:sz w:val="20"/>
          <w:szCs w:val="20"/>
        </w:rPr>
        <w:t>Section A</w:t>
      </w:r>
    </w:p>
    <w:p w14:paraId="16F01AE8" w14:textId="77777777" w:rsidR="00413703" w:rsidRPr="00E36CFF" w:rsidRDefault="00413703" w:rsidP="005760C0">
      <w:pPr>
        <w:pStyle w:val="Paragraphedeliste"/>
        <w:jc w:val="center"/>
        <w:rPr>
          <w:rFonts w:asciiTheme="minorHAnsi" w:hAnsiTheme="minorHAnsi" w:cstheme="minorHAnsi"/>
          <w:b/>
          <w:bCs/>
          <w:sz w:val="20"/>
          <w:szCs w:val="20"/>
        </w:rPr>
      </w:pPr>
    </w:p>
    <w:p w14:paraId="47469432" w14:textId="3573DB79" w:rsidR="00413703" w:rsidRPr="00E36CFF" w:rsidRDefault="00413703" w:rsidP="005760C0">
      <w:pPr>
        <w:pStyle w:val="Paragraphedeliste"/>
        <w:jc w:val="center"/>
        <w:rPr>
          <w:rFonts w:asciiTheme="minorHAnsi" w:hAnsiTheme="minorHAnsi" w:cstheme="minorHAnsi"/>
          <w:b/>
          <w:bCs/>
          <w:sz w:val="20"/>
          <w:szCs w:val="20"/>
        </w:rPr>
      </w:pPr>
      <w:r w:rsidRPr="00E36CFF">
        <w:rPr>
          <w:rFonts w:asciiTheme="minorHAnsi" w:hAnsiTheme="minorHAnsi" w:cstheme="minorHAnsi"/>
          <w:b/>
          <w:bCs/>
          <w:sz w:val="20"/>
          <w:szCs w:val="20"/>
        </w:rPr>
        <w:t>Exigences organisationnelles</w:t>
      </w:r>
    </w:p>
    <w:p w14:paraId="38B78986" w14:textId="77777777" w:rsidR="00413703" w:rsidRPr="00E36CFF" w:rsidRDefault="00413703" w:rsidP="00E36CFF">
      <w:pPr>
        <w:pStyle w:val="Paragraphedeliste"/>
        <w:jc w:val="both"/>
        <w:rPr>
          <w:rFonts w:asciiTheme="minorHAnsi" w:hAnsiTheme="minorHAnsi" w:cstheme="minorHAnsi"/>
          <w:sz w:val="20"/>
          <w:szCs w:val="20"/>
        </w:rPr>
      </w:pPr>
    </w:p>
    <w:p w14:paraId="5620938A" w14:textId="172C0C7A" w:rsidR="00413703" w:rsidRDefault="00413703">
      <w:pPr>
        <w:pStyle w:val="Paragraphedeliste"/>
        <w:numPr>
          <w:ilvl w:val="0"/>
          <w:numId w:val="15"/>
        </w:numPr>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dispose d’un conseil d’administration ou de surveillance. Ses instances dirigeantes veillent : </w:t>
      </w:r>
    </w:p>
    <w:p w14:paraId="4FF401CB" w14:textId="77777777" w:rsidR="005760C0" w:rsidRPr="00E36CFF" w:rsidRDefault="005760C0" w:rsidP="005760C0">
      <w:pPr>
        <w:pStyle w:val="Paragraphedeliste"/>
        <w:jc w:val="both"/>
        <w:rPr>
          <w:rFonts w:asciiTheme="minorHAnsi" w:hAnsiTheme="minorHAnsi" w:cstheme="minorHAnsi"/>
          <w:sz w:val="20"/>
          <w:szCs w:val="20"/>
        </w:rPr>
      </w:pPr>
    </w:p>
    <w:p w14:paraId="4D55EC28" w14:textId="0FE76549" w:rsidR="00413703" w:rsidRPr="00E36CFF" w:rsidRDefault="00413703">
      <w:pPr>
        <w:pStyle w:val="Paragraphedeliste"/>
        <w:numPr>
          <w:ilvl w:val="1"/>
          <w:numId w:val="16"/>
        </w:numPr>
        <w:jc w:val="both"/>
        <w:rPr>
          <w:rFonts w:asciiTheme="minorHAnsi" w:hAnsiTheme="minorHAnsi" w:cstheme="minorHAnsi"/>
          <w:sz w:val="20"/>
          <w:szCs w:val="20"/>
        </w:rPr>
      </w:pPr>
      <w:r w:rsidRPr="00E36CFF">
        <w:rPr>
          <w:rFonts w:asciiTheme="minorHAnsi" w:hAnsiTheme="minorHAnsi" w:cstheme="minorHAnsi"/>
          <w:sz w:val="20"/>
          <w:szCs w:val="20"/>
        </w:rPr>
        <w:t xml:space="preserve">à ce que les activités de notation soient indépendantes, notamment de toutes les influences ou contraintes politiques et économiques; </w:t>
      </w:r>
    </w:p>
    <w:p w14:paraId="7B61F367" w14:textId="4ED8A834" w:rsidR="00413703" w:rsidRPr="00E36CFF" w:rsidRDefault="00413703">
      <w:pPr>
        <w:pStyle w:val="Paragraphedeliste"/>
        <w:numPr>
          <w:ilvl w:val="1"/>
          <w:numId w:val="16"/>
        </w:numPr>
        <w:jc w:val="both"/>
        <w:rPr>
          <w:rFonts w:asciiTheme="minorHAnsi" w:hAnsiTheme="minorHAnsi" w:cstheme="minorHAnsi"/>
          <w:sz w:val="20"/>
          <w:szCs w:val="20"/>
        </w:rPr>
      </w:pPr>
      <w:r w:rsidRPr="00E36CFF">
        <w:rPr>
          <w:rFonts w:asciiTheme="minorHAnsi" w:hAnsiTheme="minorHAnsi" w:cstheme="minorHAnsi"/>
          <w:sz w:val="20"/>
          <w:szCs w:val="20"/>
        </w:rPr>
        <w:t xml:space="preserve">à ce que les conflits d’intérêts soient adéquatement identifiés, gérés et divulgués; </w:t>
      </w:r>
    </w:p>
    <w:p w14:paraId="26EEE9CA" w14:textId="291B6225" w:rsidR="00413703" w:rsidRPr="00E36CFF" w:rsidRDefault="00413703">
      <w:pPr>
        <w:pStyle w:val="Paragraphedeliste"/>
        <w:numPr>
          <w:ilvl w:val="1"/>
          <w:numId w:val="16"/>
        </w:numPr>
        <w:jc w:val="both"/>
        <w:rPr>
          <w:rFonts w:asciiTheme="minorHAnsi" w:hAnsiTheme="minorHAnsi" w:cstheme="minorHAnsi"/>
          <w:sz w:val="20"/>
          <w:szCs w:val="20"/>
        </w:rPr>
      </w:pPr>
      <w:r w:rsidRPr="00E36CFF">
        <w:rPr>
          <w:rFonts w:asciiTheme="minorHAnsi" w:hAnsiTheme="minorHAnsi" w:cstheme="minorHAnsi"/>
          <w:sz w:val="20"/>
          <w:szCs w:val="20"/>
        </w:rPr>
        <w:t>à ce que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se conforme aux autres exigences</w:t>
      </w:r>
      <w:r w:rsidR="00D01BB8">
        <w:rPr>
          <w:rFonts w:asciiTheme="minorHAnsi" w:hAnsiTheme="minorHAnsi" w:cstheme="minorHAnsi"/>
          <w:sz w:val="20"/>
          <w:szCs w:val="20"/>
        </w:rPr>
        <w:t xml:space="preserve"> </w:t>
      </w:r>
      <w:r w:rsidR="00BC2772">
        <w:rPr>
          <w:rFonts w:asciiTheme="minorHAnsi" w:hAnsiTheme="minorHAnsi" w:cstheme="minorHAnsi"/>
          <w:sz w:val="20"/>
          <w:szCs w:val="20"/>
        </w:rPr>
        <w:t>réglementaires</w:t>
      </w:r>
      <w:r w:rsidRPr="00E36CFF">
        <w:rPr>
          <w:rFonts w:asciiTheme="minorHAnsi" w:hAnsiTheme="minorHAnsi" w:cstheme="minorHAnsi"/>
          <w:sz w:val="20"/>
          <w:szCs w:val="20"/>
        </w:rPr>
        <w:t xml:space="preserve">. </w:t>
      </w:r>
    </w:p>
    <w:p w14:paraId="42FA6182" w14:textId="77777777" w:rsidR="00413703" w:rsidRPr="00E36CFF" w:rsidRDefault="00413703" w:rsidP="00E36CFF">
      <w:pPr>
        <w:pStyle w:val="Paragraphedeliste"/>
        <w:jc w:val="both"/>
        <w:rPr>
          <w:rFonts w:asciiTheme="minorHAnsi" w:hAnsiTheme="minorHAnsi" w:cstheme="minorHAnsi"/>
          <w:sz w:val="20"/>
          <w:szCs w:val="20"/>
        </w:rPr>
      </w:pPr>
    </w:p>
    <w:p w14:paraId="3266EC1E" w14:textId="7BDAAF54" w:rsidR="00413703" w:rsidRPr="00E36CFF" w:rsidRDefault="00413703">
      <w:pPr>
        <w:pStyle w:val="Paragraphedeliste"/>
        <w:numPr>
          <w:ilvl w:val="0"/>
          <w:numId w:val="15"/>
        </w:numPr>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est organisée selon des modalités garantissant que ses intérêts commerciaux ne font pas obstacle à l’indépendance ou à l’exactitude des activités de notation. </w:t>
      </w:r>
    </w:p>
    <w:p w14:paraId="27ADFB88" w14:textId="77777777" w:rsidR="00413703" w:rsidRPr="00E36CFF" w:rsidRDefault="00413703" w:rsidP="00E36CFF">
      <w:pPr>
        <w:pStyle w:val="Paragraphedeliste"/>
        <w:jc w:val="both"/>
        <w:rPr>
          <w:rFonts w:asciiTheme="minorHAnsi" w:hAnsiTheme="minorHAnsi" w:cstheme="minorHAnsi"/>
          <w:sz w:val="20"/>
          <w:szCs w:val="20"/>
        </w:rPr>
      </w:pPr>
    </w:p>
    <w:p w14:paraId="401C4F5E" w14:textId="001786C5" w:rsidR="00413703" w:rsidRPr="00E36CFF" w:rsidRDefault="00413703" w:rsidP="00E36CFF">
      <w:pPr>
        <w:pStyle w:val="Paragraphedeliste"/>
        <w:jc w:val="both"/>
        <w:rPr>
          <w:rFonts w:asciiTheme="minorHAnsi" w:hAnsiTheme="minorHAnsi" w:cstheme="minorHAnsi"/>
          <w:sz w:val="20"/>
          <w:szCs w:val="20"/>
        </w:rPr>
      </w:pPr>
      <w:r w:rsidRPr="00E36CFF">
        <w:rPr>
          <w:rFonts w:asciiTheme="minorHAnsi" w:hAnsiTheme="minorHAnsi" w:cstheme="minorHAnsi"/>
          <w:sz w:val="20"/>
          <w:szCs w:val="20"/>
        </w:rPr>
        <w:t>Les instances dirigeantes de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satisfont à des conditions d’honorabilité, ainsi que de qualification et d’expérience professionnelles suffisantes, et elles assurent la gestion saine et prudente de l’agence de notation. </w:t>
      </w:r>
    </w:p>
    <w:p w14:paraId="1E64D3B8" w14:textId="77777777" w:rsidR="00413703" w:rsidRPr="00E36CFF" w:rsidRDefault="00413703" w:rsidP="00E36CFF">
      <w:pPr>
        <w:pStyle w:val="Paragraphedeliste"/>
        <w:jc w:val="both"/>
        <w:rPr>
          <w:rFonts w:asciiTheme="minorHAnsi" w:hAnsiTheme="minorHAnsi" w:cstheme="minorHAnsi"/>
          <w:sz w:val="20"/>
          <w:szCs w:val="20"/>
        </w:rPr>
      </w:pPr>
    </w:p>
    <w:p w14:paraId="2D29134C" w14:textId="4565186F" w:rsidR="00413703" w:rsidRPr="00E36CFF" w:rsidRDefault="00413703" w:rsidP="00E36CFF">
      <w:pPr>
        <w:pStyle w:val="Paragraphedeliste"/>
        <w:jc w:val="both"/>
        <w:rPr>
          <w:rFonts w:asciiTheme="minorHAnsi" w:hAnsiTheme="minorHAnsi" w:cstheme="minorHAnsi"/>
          <w:sz w:val="20"/>
          <w:szCs w:val="20"/>
        </w:rPr>
      </w:pPr>
      <w:r w:rsidRPr="00E36CFF">
        <w:rPr>
          <w:rFonts w:asciiTheme="minorHAnsi" w:hAnsiTheme="minorHAnsi" w:cstheme="minorHAnsi"/>
          <w:sz w:val="20"/>
          <w:szCs w:val="20"/>
        </w:rPr>
        <w:t>Un tiers au moins, sans que leur nombre puisse être inférieur à deux, des membres du conseil d’administration ou de surveillance de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sont des membres indépendants qui ne sont pas ass</w:t>
      </w:r>
      <w:r w:rsidR="00D01BB8">
        <w:rPr>
          <w:rFonts w:asciiTheme="minorHAnsi" w:hAnsiTheme="minorHAnsi" w:cstheme="minorHAnsi"/>
          <w:sz w:val="20"/>
          <w:szCs w:val="20"/>
        </w:rPr>
        <w:t>ociés aux activités de notation</w:t>
      </w:r>
      <w:r w:rsidRPr="00E36CFF">
        <w:rPr>
          <w:rFonts w:asciiTheme="minorHAnsi" w:hAnsiTheme="minorHAnsi" w:cstheme="minorHAnsi"/>
          <w:sz w:val="20"/>
          <w:szCs w:val="20"/>
        </w:rPr>
        <w:t xml:space="preserve">. </w:t>
      </w:r>
    </w:p>
    <w:p w14:paraId="0160C008" w14:textId="77777777" w:rsidR="00413703" w:rsidRPr="00E36CFF" w:rsidRDefault="00413703" w:rsidP="00E36CFF">
      <w:pPr>
        <w:pStyle w:val="Paragraphedeliste"/>
        <w:jc w:val="both"/>
        <w:rPr>
          <w:rFonts w:asciiTheme="minorHAnsi" w:hAnsiTheme="minorHAnsi" w:cstheme="minorHAnsi"/>
          <w:sz w:val="20"/>
          <w:szCs w:val="20"/>
        </w:rPr>
      </w:pPr>
    </w:p>
    <w:p w14:paraId="40E63C14" w14:textId="06C2BD9B" w:rsidR="00413703" w:rsidRPr="00E36CFF" w:rsidRDefault="00413703" w:rsidP="00E36CFF">
      <w:pPr>
        <w:pStyle w:val="Paragraphedeliste"/>
        <w:jc w:val="both"/>
        <w:rPr>
          <w:rFonts w:asciiTheme="minorHAnsi" w:hAnsiTheme="minorHAnsi" w:cstheme="minorHAnsi"/>
          <w:sz w:val="20"/>
          <w:szCs w:val="20"/>
        </w:rPr>
      </w:pPr>
      <w:r w:rsidRPr="00E36CFF">
        <w:rPr>
          <w:rFonts w:asciiTheme="minorHAnsi" w:hAnsiTheme="minorHAnsi" w:cstheme="minorHAnsi"/>
          <w:sz w:val="20"/>
          <w:szCs w:val="20"/>
        </w:rPr>
        <w:t>La rémunération des membres indépendants du conseil d’administration ou de surveillance n’est pas liée à la performance commerciale de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et elle est établie de manière à garantir leur indépendance de jugement. Le mandat des membres indépendants du conseil d’administration ou de surveillance a une durée fixe préétablie ne pouvant excéder cinq ans et il n’est pas renouvelable. Les membres indépendants du conseil d’administration ou de surveillance ne peuvent être révoqués qu’en cas de faute ou d’insuffisance professionnelle. </w:t>
      </w:r>
    </w:p>
    <w:p w14:paraId="7CAC9364" w14:textId="77777777" w:rsidR="00413703" w:rsidRPr="00E36CFF" w:rsidRDefault="00413703" w:rsidP="00E36CFF">
      <w:pPr>
        <w:pStyle w:val="Paragraphedeliste"/>
        <w:jc w:val="both"/>
        <w:rPr>
          <w:rFonts w:asciiTheme="minorHAnsi" w:hAnsiTheme="minorHAnsi" w:cstheme="minorHAnsi"/>
          <w:sz w:val="20"/>
          <w:szCs w:val="20"/>
        </w:rPr>
      </w:pPr>
    </w:p>
    <w:p w14:paraId="1521A580" w14:textId="615FEB03" w:rsidR="00413703" w:rsidRPr="00E36CFF" w:rsidRDefault="00413703" w:rsidP="00E36CFF">
      <w:pPr>
        <w:pStyle w:val="Paragraphedeliste"/>
        <w:jc w:val="both"/>
        <w:rPr>
          <w:rFonts w:asciiTheme="minorHAnsi" w:hAnsiTheme="minorHAnsi" w:cstheme="minorHAnsi"/>
          <w:sz w:val="20"/>
          <w:szCs w:val="20"/>
        </w:rPr>
      </w:pPr>
      <w:r w:rsidRPr="00E36CFF">
        <w:rPr>
          <w:rFonts w:asciiTheme="minorHAnsi" w:hAnsiTheme="minorHAnsi" w:cstheme="minorHAnsi"/>
          <w:sz w:val="20"/>
          <w:szCs w:val="20"/>
        </w:rPr>
        <w:t>La majorité des membres du conseil d’administration ou de surveillance, y compris ses membres indépendants, jouissent d’une expertise suffisante dans le domaine des services financiers. Lorsque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émet des </w:t>
      </w:r>
      <w:r w:rsidR="007079B2">
        <w:rPr>
          <w:rFonts w:asciiTheme="minorHAnsi" w:hAnsiTheme="minorHAnsi" w:cstheme="minorHAnsi"/>
          <w:sz w:val="20"/>
          <w:szCs w:val="20"/>
        </w:rPr>
        <w:t>notations</w:t>
      </w:r>
      <w:r w:rsidRPr="00E36CFF">
        <w:rPr>
          <w:rFonts w:asciiTheme="minorHAnsi" w:hAnsiTheme="minorHAnsi" w:cstheme="minorHAnsi"/>
          <w:sz w:val="20"/>
          <w:szCs w:val="20"/>
        </w:rPr>
        <w:t xml:space="preserve"> relatives à des instruments financiers structurés, au moins un membre indépendant et un autre membre du conseil d’administration ou de surveillance disposent d’une connaissance approfondie et d’une expérience de haut niveau des marchés d’instruments financiers structurés. </w:t>
      </w:r>
    </w:p>
    <w:p w14:paraId="3C261E72" w14:textId="77777777" w:rsidR="00413703" w:rsidRPr="00E36CFF" w:rsidRDefault="00413703" w:rsidP="00E36CFF">
      <w:pPr>
        <w:pStyle w:val="Paragraphedeliste"/>
        <w:jc w:val="both"/>
        <w:rPr>
          <w:rFonts w:asciiTheme="minorHAnsi" w:hAnsiTheme="minorHAnsi" w:cstheme="minorHAnsi"/>
          <w:sz w:val="20"/>
          <w:szCs w:val="20"/>
        </w:rPr>
      </w:pPr>
    </w:p>
    <w:p w14:paraId="287539EA" w14:textId="343B88FF" w:rsidR="00413703" w:rsidRPr="00E36CFF" w:rsidRDefault="00413703" w:rsidP="00E36CFF">
      <w:pPr>
        <w:pStyle w:val="Paragraphedeliste"/>
        <w:jc w:val="both"/>
        <w:rPr>
          <w:rFonts w:asciiTheme="minorHAnsi" w:hAnsiTheme="minorHAnsi" w:cstheme="minorHAnsi"/>
          <w:sz w:val="20"/>
          <w:szCs w:val="20"/>
        </w:rPr>
      </w:pPr>
      <w:r w:rsidRPr="00E36CFF">
        <w:rPr>
          <w:rFonts w:asciiTheme="minorHAnsi" w:hAnsiTheme="minorHAnsi" w:cstheme="minorHAnsi"/>
          <w:sz w:val="20"/>
          <w:szCs w:val="20"/>
        </w:rPr>
        <w:t xml:space="preserve">Outre la responsabilité globale du conseil d’administration ou de surveillance, les membres indépendants de ce dernier assument la mission spécifique de contrôler : </w:t>
      </w:r>
    </w:p>
    <w:p w14:paraId="50F0A9FC" w14:textId="77777777" w:rsidR="00413703" w:rsidRPr="00E36CFF" w:rsidRDefault="00413703" w:rsidP="00E36CFF">
      <w:pPr>
        <w:pStyle w:val="Paragraphedeliste"/>
        <w:jc w:val="both"/>
        <w:rPr>
          <w:rFonts w:asciiTheme="minorHAnsi" w:hAnsiTheme="minorHAnsi" w:cstheme="minorHAnsi"/>
          <w:sz w:val="20"/>
          <w:szCs w:val="20"/>
        </w:rPr>
      </w:pPr>
    </w:p>
    <w:p w14:paraId="7BAB1A99" w14:textId="1B22876C" w:rsidR="00413703" w:rsidRPr="00E36CFF" w:rsidRDefault="00413703">
      <w:pPr>
        <w:pStyle w:val="Paragraphedeliste"/>
        <w:numPr>
          <w:ilvl w:val="1"/>
          <w:numId w:val="17"/>
        </w:numPr>
        <w:jc w:val="both"/>
        <w:rPr>
          <w:rFonts w:asciiTheme="minorHAnsi" w:hAnsiTheme="minorHAnsi" w:cstheme="minorHAnsi"/>
          <w:sz w:val="20"/>
          <w:szCs w:val="20"/>
        </w:rPr>
      </w:pPr>
      <w:r w:rsidRPr="00E36CFF">
        <w:rPr>
          <w:rFonts w:asciiTheme="minorHAnsi" w:hAnsiTheme="minorHAnsi" w:cstheme="minorHAnsi"/>
          <w:sz w:val="20"/>
          <w:szCs w:val="20"/>
        </w:rPr>
        <w:t>l’élaboration de la politique de notation et des méthodes utilisées par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dans le cadre de ses activités</w:t>
      </w:r>
      <w:r w:rsidR="00B2216A">
        <w:rPr>
          <w:rFonts w:asciiTheme="minorHAnsi" w:hAnsiTheme="minorHAnsi" w:cstheme="minorHAnsi"/>
          <w:sz w:val="20"/>
          <w:szCs w:val="20"/>
        </w:rPr>
        <w:t> ;</w:t>
      </w:r>
    </w:p>
    <w:p w14:paraId="1C518664" w14:textId="42105B44" w:rsidR="00413703" w:rsidRPr="00E36CFF" w:rsidRDefault="00413703">
      <w:pPr>
        <w:pStyle w:val="Paragraphedeliste"/>
        <w:numPr>
          <w:ilvl w:val="1"/>
          <w:numId w:val="17"/>
        </w:numPr>
        <w:jc w:val="both"/>
        <w:rPr>
          <w:rFonts w:asciiTheme="minorHAnsi" w:hAnsiTheme="minorHAnsi" w:cstheme="minorHAnsi"/>
          <w:sz w:val="20"/>
          <w:szCs w:val="20"/>
        </w:rPr>
      </w:pPr>
      <w:r w:rsidRPr="00E36CFF">
        <w:rPr>
          <w:rFonts w:asciiTheme="minorHAnsi" w:hAnsiTheme="minorHAnsi" w:cstheme="minorHAnsi"/>
          <w:sz w:val="20"/>
          <w:szCs w:val="20"/>
        </w:rPr>
        <w:t>l’efficacité du système interne de contrôle de la qualité de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par rapport à ses activités de notation; </w:t>
      </w:r>
    </w:p>
    <w:p w14:paraId="79D34F16" w14:textId="4E20392B" w:rsidR="00413703" w:rsidRPr="00E36CFF" w:rsidRDefault="00413703">
      <w:pPr>
        <w:pStyle w:val="Paragraphedeliste"/>
        <w:numPr>
          <w:ilvl w:val="1"/>
          <w:numId w:val="17"/>
        </w:numPr>
        <w:jc w:val="both"/>
        <w:rPr>
          <w:rFonts w:asciiTheme="minorHAnsi" w:hAnsiTheme="minorHAnsi" w:cstheme="minorHAnsi"/>
          <w:sz w:val="20"/>
          <w:szCs w:val="20"/>
        </w:rPr>
      </w:pPr>
      <w:r w:rsidRPr="00E36CFF">
        <w:rPr>
          <w:rFonts w:asciiTheme="minorHAnsi" w:hAnsiTheme="minorHAnsi" w:cstheme="minorHAnsi"/>
          <w:sz w:val="20"/>
          <w:szCs w:val="20"/>
        </w:rPr>
        <w:t xml:space="preserve">l’efficacité des mesures et des procédures instituées afin de garantir que tous les conflits d’intérêt sont détectés, éliminés ou gérés et divulgués; et </w:t>
      </w:r>
    </w:p>
    <w:p w14:paraId="731F82F2" w14:textId="0FA66C5D" w:rsidR="00413703" w:rsidRPr="00903EB5" w:rsidRDefault="00413703">
      <w:pPr>
        <w:pStyle w:val="Paragraphedeliste"/>
        <w:numPr>
          <w:ilvl w:val="1"/>
          <w:numId w:val="17"/>
        </w:numPr>
        <w:jc w:val="both"/>
        <w:rPr>
          <w:rFonts w:asciiTheme="minorHAnsi" w:hAnsiTheme="minorHAnsi" w:cstheme="minorHAnsi"/>
          <w:sz w:val="20"/>
          <w:szCs w:val="20"/>
        </w:rPr>
      </w:pPr>
      <w:r w:rsidRPr="00E36CFF">
        <w:rPr>
          <w:rFonts w:asciiTheme="minorHAnsi" w:hAnsiTheme="minorHAnsi" w:cstheme="minorHAnsi"/>
          <w:sz w:val="20"/>
          <w:szCs w:val="20"/>
        </w:rPr>
        <w:t xml:space="preserve">les procédures de conformité et de gouvernance, y compris l’efficacité de la fonction de réexamen visée au </w:t>
      </w:r>
      <w:r w:rsidR="00075E77">
        <w:rPr>
          <w:rFonts w:asciiTheme="minorHAnsi" w:hAnsiTheme="minorHAnsi" w:cstheme="minorHAnsi"/>
          <w:sz w:val="20"/>
          <w:szCs w:val="20"/>
        </w:rPr>
        <w:t>point 9</w:t>
      </w:r>
      <w:r w:rsidRPr="00903EB5">
        <w:rPr>
          <w:rFonts w:asciiTheme="minorHAnsi" w:hAnsiTheme="minorHAnsi" w:cstheme="minorHAnsi"/>
          <w:sz w:val="20"/>
          <w:szCs w:val="20"/>
        </w:rPr>
        <w:t xml:space="preserve"> de la présente </w:t>
      </w:r>
      <w:r w:rsidR="00903EB5" w:rsidRPr="00903EB5">
        <w:rPr>
          <w:rFonts w:asciiTheme="minorHAnsi" w:hAnsiTheme="minorHAnsi" w:cstheme="minorHAnsi"/>
          <w:sz w:val="20"/>
          <w:szCs w:val="20"/>
        </w:rPr>
        <w:t>section</w:t>
      </w:r>
      <w:r w:rsidRPr="00903EB5">
        <w:rPr>
          <w:rFonts w:asciiTheme="minorHAnsi" w:hAnsiTheme="minorHAnsi" w:cstheme="minorHAnsi"/>
          <w:sz w:val="20"/>
          <w:szCs w:val="20"/>
        </w:rPr>
        <w:t xml:space="preserve">. </w:t>
      </w:r>
    </w:p>
    <w:p w14:paraId="6DD7D879" w14:textId="77777777" w:rsidR="00413703" w:rsidRPr="00E36CFF" w:rsidRDefault="00413703" w:rsidP="00E36CFF">
      <w:pPr>
        <w:pStyle w:val="Paragraphedeliste"/>
        <w:jc w:val="both"/>
        <w:rPr>
          <w:rFonts w:asciiTheme="minorHAnsi" w:hAnsiTheme="minorHAnsi" w:cstheme="minorHAnsi"/>
          <w:sz w:val="20"/>
          <w:szCs w:val="20"/>
        </w:rPr>
      </w:pPr>
    </w:p>
    <w:p w14:paraId="51DB3132" w14:textId="2279061A" w:rsidR="00413703" w:rsidRPr="00E36CFF" w:rsidRDefault="00413703" w:rsidP="00E36CFF">
      <w:pPr>
        <w:pStyle w:val="Paragraphedeliste"/>
        <w:jc w:val="both"/>
        <w:rPr>
          <w:rFonts w:asciiTheme="minorHAnsi" w:hAnsiTheme="minorHAnsi" w:cstheme="minorHAnsi"/>
          <w:sz w:val="20"/>
          <w:szCs w:val="20"/>
        </w:rPr>
      </w:pPr>
      <w:r w:rsidRPr="00E36CFF">
        <w:rPr>
          <w:rFonts w:asciiTheme="minorHAnsi" w:hAnsiTheme="minorHAnsi" w:cstheme="minorHAnsi"/>
          <w:sz w:val="20"/>
          <w:szCs w:val="20"/>
        </w:rPr>
        <w:t xml:space="preserve">Les avis des membres indépendants du conseil d’administration ou de surveillance sur les questions visées aux </w:t>
      </w:r>
      <w:r w:rsidRPr="00112750">
        <w:rPr>
          <w:rFonts w:asciiTheme="minorHAnsi" w:hAnsiTheme="minorHAnsi" w:cstheme="minorHAnsi"/>
          <w:sz w:val="20"/>
          <w:szCs w:val="20"/>
        </w:rPr>
        <w:t>points a) à d)</w:t>
      </w:r>
      <w:r w:rsidRPr="00E36CFF">
        <w:rPr>
          <w:rFonts w:asciiTheme="minorHAnsi" w:hAnsiTheme="minorHAnsi" w:cstheme="minorHAnsi"/>
          <w:sz w:val="20"/>
          <w:szCs w:val="20"/>
        </w:rPr>
        <w:t xml:space="preserve"> sont présentés périodiquement à ce dernier et communiqués à </w:t>
      </w:r>
      <w:r w:rsidR="005760C0">
        <w:rPr>
          <w:rFonts w:asciiTheme="minorHAnsi" w:hAnsiTheme="minorHAnsi" w:cstheme="minorHAnsi"/>
          <w:sz w:val="20"/>
          <w:szCs w:val="20"/>
        </w:rPr>
        <w:t xml:space="preserve">la COSUMAF </w:t>
      </w:r>
      <w:r w:rsidRPr="00E36CFF">
        <w:rPr>
          <w:rFonts w:asciiTheme="minorHAnsi" w:hAnsiTheme="minorHAnsi" w:cstheme="minorHAnsi"/>
          <w:sz w:val="20"/>
          <w:szCs w:val="20"/>
        </w:rPr>
        <w:t xml:space="preserve">sur demande. </w:t>
      </w:r>
    </w:p>
    <w:p w14:paraId="1DA20AB8" w14:textId="77777777" w:rsidR="00413703" w:rsidRPr="00E36CFF" w:rsidRDefault="00413703" w:rsidP="00E36CFF">
      <w:pPr>
        <w:pStyle w:val="Paragraphedeliste"/>
        <w:jc w:val="both"/>
        <w:rPr>
          <w:rFonts w:asciiTheme="minorHAnsi" w:hAnsiTheme="minorHAnsi" w:cstheme="minorHAnsi"/>
          <w:sz w:val="20"/>
          <w:szCs w:val="20"/>
        </w:rPr>
      </w:pPr>
    </w:p>
    <w:p w14:paraId="5FE8B018" w14:textId="3339AFBB" w:rsidR="00413703" w:rsidRPr="005760C0" w:rsidRDefault="00413703">
      <w:pPr>
        <w:pStyle w:val="Paragraphedeliste"/>
        <w:numPr>
          <w:ilvl w:val="0"/>
          <w:numId w:val="15"/>
        </w:numPr>
        <w:jc w:val="both"/>
        <w:rPr>
          <w:rFonts w:asciiTheme="minorHAnsi" w:hAnsiTheme="minorHAnsi" w:cstheme="minorHAnsi"/>
          <w:sz w:val="20"/>
          <w:szCs w:val="20"/>
        </w:rPr>
      </w:pPr>
      <w:r w:rsidRPr="005760C0">
        <w:rPr>
          <w:rFonts w:asciiTheme="minorHAnsi" w:hAnsiTheme="minorHAnsi" w:cstheme="minorHAnsi"/>
          <w:sz w:val="20"/>
          <w:szCs w:val="20"/>
        </w:rPr>
        <w:lastRenderedPageBreak/>
        <w:t xml:space="preserve">Toute </w:t>
      </w:r>
      <w:r w:rsidR="0040270B">
        <w:rPr>
          <w:rFonts w:asciiTheme="minorHAnsi" w:hAnsiTheme="minorHAnsi" w:cstheme="minorHAnsi"/>
          <w:sz w:val="20"/>
          <w:szCs w:val="20"/>
        </w:rPr>
        <w:t xml:space="preserve">agence de notation </w:t>
      </w:r>
      <w:r w:rsidRPr="005760C0">
        <w:rPr>
          <w:rFonts w:asciiTheme="minorHAnsi" w:hAnsiTheme="minorHAnsi" w:cstheme="minorHAnsi"/>
          <w:sz w:val="20"/>
          <w:szCs w:val="20"/>
        </w:rPr>
        <w:t xml:space="preserve">met en place des politiques et des procédures adéquates afin de garantir le respect des obligations qui lui incombent en vertu </w:t>
      </w:r>
      <w:r w:rsidR="005760C0">
        <w:rPr>
          <w:rFonts w:asciiTheme="minorHAnsi" w:hAnsiTheme="minorHAnsi" w:cstheme="minorHAnsi"/>
          <w:sz w:val="20"/>
          <w:szCs w:val="20"/>
        </w:rPr>
        <w:t>de la présente instruction</w:t>
      </w:r>
      <w:r w:rsidRPr="005760C0">
        <w:rPr>
          <w:rFonts w:asciiTheme="minorHAnsi" w:hAnsiTheme="minorHAnsi" w:cstheme="minorHAnsi"/>
          <w:sz w:val="20"/>
          <w:szCs w:val="20"/>
        </w:rPr>
        <w:t xml:space="preserve">. </w:t>
      </w:r>
    </w:p>
    <w:p w14:paraId="4BF133DC" w14:textId="77777777" w:rsidR="00413703" w:rsidRPr="00E36CFF" w:rsidRDefault="00413703" w:rsidP="00E36CFF">
      <w:pPr>
        <w:pStyle w:val="Paragraphedeliste"/>
        <w:jc w:val="both"/>
        <w:rPr>
          <w:rFonts w:asciiTheme="minorHAnsi" w:hAnsiTheme="minorHAnsi" w:cstheme="minorHAnsi"/>
          <w:sz w:val="20"/>
          <w:szCs w:val="20"/>
        </w:rPr>
      </w:pPr>
    </w:p>
    <w:p w14:paraId="29CD5AA9" w14:textId="47177565" w:rsidR="00413703" w:rsidRPr="00E36CFF" w:rsidRDefault="00413703">
      <w:pPr>
        <w:pStyle w:val="Paragraphedeliste"/>
        <w:numPr>
          <w:ilvl w:val="0"/>
          <w:numId w:val="15"/>
        </w:numPr>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dispose de procédures comptables et administratives saines, de mécanismes de contrôle interne, de procédures efficaces d’évaluation des risques et de dispositifs efficaces de contrôle et de sauvegarde de ses systèmes informatiques. </w:t>
      </w:r>
    </w:p>
    <w:p w14:paraId="2D633AEC" w14:textId="77777777" w:rsidR="00413703" w:rsidRPr="00E36CFF" w:rsidRDefault="00413703" w:rsidP="00E36CFF">
      <w:pPr>
        <w:pStyle w:val="Paragraphedeliste"/>
        <w:jc w:val="both"/>
        <w:rPr>
          <w:rFonts w:asciiTheme="minorHAnsi" w:hAnsiTheme="minorHAnsi" w:cstheme="minorHAnsi"/>
          <w:sz w:val="20"/>
          <w:szCs w:val="20"/>
        </w:rPr>
      </w:pPr>
    </w:p>
    <w:p w14:paraId="05B51B59" w14:textId="69FF8313" w:rsidR="00413703" w:rsidRPr="00E36CFF" w:rsidRDefault="00413703" w:rsidP="00E36CFF">
      <w:pPr>
        <w:pStyle w:val="Paragraphedeliste"/>
        <w:jc w:val="both"/>
        <w:rPr>
          <w:rFonts w:asciiTheme="minorHAnsi" w:hAnsiTheme="minorHAnsi" w:cstheme="minorHAnsi"/>
          <w:sz w:val="20"/>
          <w:szCs w:val="20"/>
        </w:rPr>
      </w:pPr>
      <w:r w:rsidRPr="00E36CFF">
        <w:rPr>
          <w:rFonts w:asciiTheme="minorHAnsi" w:hAnsiTheme="minorHAnsi" w:cstheme="minorHAnsi"/>
          <w:sz w:val="20"/>
          <w:szCs w:val="20"/>
        </w:rPr>
        <w:t xml:space="preserve">Ces mécanismes de contrôle interne sont conçus pour garantir le respect des décisions et des procédures à tous les niveaux de l’agence de notation. </w:t>
      </w:r>
    </w:p>
    <w:p w14:paraId="23E4E839" w14:textId="77777777" w:rsidR="00413703" w:rsidRPr="00E36CFF" w:rsidRDefault="00413703" w:rsidP="00E36CFF">
      <w:pPr>
        <w:pStyle w:val="Paragraphedeliste"/>
        <w:jc w:val="both"/>
        <w:rPr>
          <w:rFonts w:asciiTheme="minorHAnsi" w:hAnsiTheme="minorHAnsi" w:cstheme="minorHAnsi"/>
          <w:sz w:val="20"/>
          <w:szCs w:val="20"/>
        </w:rPr>
      </w:pPr>
    </w:p>
    <w:p w14:paraId="7B477274" w14:textId="0A545283" w:rsidR="00413703" w:rsidRPr="00E36CFF" w:rsidRDefault="00413703" w:rsidP="00E36CFF">
      <w:pPr>
        <w:pStyle w:val="Paragraphedeliste"/>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met en œuvre et maintien des procédures de prise de décision et des structures organisationnelles précisant sous une forme claire et documentée les lignes hiérarchiques et la répartition des fonctions et des responsabilités.</w:t>
      </w:r>
    </w:p>
    <w:p w14:paraId="4369230E" w14:textId="77777777" w:rsidR="00413703" w:rsidRPr="00E36CFF" w:rsidRDefault="00413703" w:rsidP="00E36CFF">
      <w:pPr>
        <w:pStyle w:val="Paragraphedeliste"/>
        <w:jc w:val="both"/>
        <w:rPr>
          <w:rFonts w:asciiTheme="minorHAnsi" w:hAnsiTheme="minorHAnsi" w:cstheme="minorHAnsi"/>
          <w:sz w:val="20"/>
          <w:szCs w:val="20"/>
        </w:rPr>
      </w:pPr>
    </w:p>
    <w:p w14:paraId="028D9B5A" w14:textId="222A6DE0" w:rsidR="00413703" w:rsidRPr="00E36CFF" w:rsidRDefault="00413703">
      <w:pPr>
        <w:pStyle w:val="Paragraphedeliste"/>
        <w:numPr>
          <w:ilvl w:val="0"/>
          <w:numId w:val="15"/>
        </w:numPr>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crée et maintient un service permanent et efficace chargé de la vérification de la conformité </w:t>
      </w:r>
      <w:r w:rsidR="007277F3" w:rsidRPr="00E36CFF">
        <w:rPr>
          <w:rFonts w:asciiTheme="minorHAnsi" w:hAnsiTheme="minorHAnsi" w:cstheme="minorHAnsi"/>
          <w:sz w:val="20"/>
          <w:szCs w:val="20"/>
        </w:rPr>
        <w:t>(« fonction</w:t>
      </w:r>
      <w:r w:rsidRPr="00E36CFF">
        <w:rPr>
          <w:rFonts w:asciiTheme="minorHAnsi" w:hAnsiTheme="minorHAnsi" w:cstheme="minorHAnsi"/>
          <w:sz w:val="20"/>
          <w:szCs w:val="20"/>
        </w:rPr>
        <w:t xml:space="preserve"> de vérification de la </w:t>
      </w:r>
      <w:r w:rsidR="007277F3" w:rsidRPr="00E36CFF">
        <w:rPr>
          <w:rFonts w:asciiTheme="minorHAnsi" w:hAnsiTheme="minorHAnsi" w:cstheme="minorHAnsi"/>
          <w:sz w:val="20"/>
          <w:szCs w:val="20"/>
        </w:rPr>
        <w:t>conformité »</w:t>
      </w:r>
      <w:r w:rsidRPr="00E36CFF">
        <w:rPr>
          <w:rFonts w:asciiTheme="minorHAnsi" w:hAnsiTheme="minorHAnsi" w:cstheme="minorHAnsi"/>
          <w:sz w:val="20"/>
          <w:szCs w:val="20"/>
        </w:rPr>
        <w:t>), opérant en toute indépendance. La fonction de vérification de la conformité contrôle le respect des obligations qui incombent à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en vertu </w:t>
      </w:r>
      <w:r w:rsidR="00FE0895">
        <w:rPr>
          <w:rFonts w:asciiTheme="minorHAnsi" w:hAnsiTheme="minorHAnsi" w:cstheme="minorHAnsi"/>
          <w:sz w:val="20"/>
          <w:szCs w:val="20"/>
        </w:rPr>
        <w:t>de la présente instruction</w:t>
      </w:r>
      <w:r w:rsidRPr="00E36CFF">
        <w:rPr>
          <w:rFonts w:asciiTheme="minorHAnsi" w:hAnsiTheme="minorHAnsi" w:cstheme="minorHAnsi"/>
          <w:sz w:val="20"/>
          <w:szCs w:val="20"/>
        </w:rPr>
        <w:t xml:space="preserve"> par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elle-même et par ses salariés, et rend compte de ce respect. La fonction de vérification de la </w:t>
      </w:r>
      <w:r w:rsidR="007277F3" w:rsidRPr="00E36CFF">
        <w:rPr>
          <w:rFonts w:asciiTheme="minorHAnsi" w:hAnsiTheme="minorHAnsi" w:cstheme="minorHAnsi"/>
          <w:sz w:val="20"/>
          <w:szCs w:val="20"/>
        </w:rPr>
        <w:t>conformité :</w:t>
      </w:r>
      <w:r w:rsidRPr="00E36CFF">
        <w:rPr>
          <w:rFonts w:asciiTheme="minorHAnsi" w:hAnsiTheme="minorHAnsi" w:cstheme="minorHAnsi"/>
          <w:sz w:val="20"/>
          <w:szCs w:val="20"/>
        </w:rPr>
        <w:t xml:space="preserve"> </w:t>
      </w:r>
    </w:p>
    <w:p w14:paraId="1182272D" w14:textId="77777777" w:rsidR="00A056C9" w:rsidRPr="00E36CFF" w:rsidRDefault="00A056C9" w:rsidP="00E36CFF">
      <w:pPr>
        <w:pStyle w:val="Paragraphedeliste"/>
        <w:jc w:val="both"/>
        <w:rPr>
          <w:rFonts w:asciiTheme="minorHAnsi" w:hAnsiTheme="minorHAnsi" w:cstheme="minorHAnsi"/>
          <w:sz w:val="20"/>
          <w:szCs w:val="20"/>
        </w:rPr>
      </w:pPr>
    </w:p>
    <w:p w14:paraId="3F727463" w14:textId="702D9A12" w:rsidR="00A056C9" w:rsidRPr="00E36CFF" w:rsidRDefault="00DC4C88">
      <w:pPr>
        <w:pStyle w:val="Paragraphedeliste"/>
        <w:numPr>
          <w:ilvl w:val="1"/>
          <w:numId w:val="18"/>
        </w:numPr>
        <w:ind w:left="1985"/>
        <w:jc w:val="both"/>
        <w:rPr>
          <w:rFonts w:asciiTheme="minorHAnsi" w:hAnsiTheme="minorHAnsi" w:cstheme="minorHAnsi"/>
          <w:sz w:val="20"/>
          <w:szCs w:val="20"/>
        </w:rPr>
      </w:pPr>
      <w:r w:rsidRPr="00E36CFF">
        <w:rPr>
          <w:rFonts w:asciiTheme="minorHAnsi" w:hAnsiTheme="minorHAnsi" w:cstheme="minorHAnsi"/>
          <w:sz w:val="20"/>
          <w:szCs w:val="20"/>
        </w:rPr>
        <w:t>Contrôle</w:t>
      </w:r>
      <w:r w:rsidR="00413703" w:rsidRPr="00E36CFF">
        <w:rPr>
          <w:rFonts w:asciiTheme="minorHAnsi" w:hAnsiTheme="minorHAnsi" w:cstheme="minorHAnsi"/>
          <w:sz w:val="20"/>
          <w:szCs w:val="20"/>
        </w:rPr>
        <w:t xml:space="preserve"> et, de manière régulière, évalue l’adéquation et l’efficacité des mesures et des procédures mises en place en application du </w:t>
      </w:r>
      <w:r w:rsidR="00413703" w:rsidRPr="009E1AF7">
        <w:rPr>
          <w:rFonts w:asciiTheme="minorHAnsi" w:hAnsiTheme="minorHAnsi" w:cstheme="minorHAnsi"/>
          <w:sz w:val="20"/>
          <w:szCs w:val="20"/>
        </w:rPr>
        <w:t>point 3,</w:t>
      </w:r>
      <w:r w:rsidR="00413703" w:rsidRPr="00E36CFF">
        <w:rPr>
          <w:rFonts w:asciiTheme="minorHAnsi" w:hAnsiTheme="minorHAnsi" w:cstheme="minorHAnsi"/>
          <w:sz w:val="20"/>
          <w:szCs w:val="20"/>
        </w:rPr>
        <w:t xml:space="preserve"> ainsi que des actions entreprises pour remédier à tout manquement de l’</w:t>
      </w:r>
      <w:r w:rsidR="0040270B">
        <w:rPr>
          <w:rFonts w:asciiTheme="minorHAnsi" w:hAnsiTheme="minorHAnsi" w:cstheme="minorHAnsi"/>
          <w:sz w:val="20"/>
          <w:szCs w:val="20"/>
        </w:rPr>
        <w:t xml:space="preserve">agence de notation </w:t>
      </w:r>
      <w:r w:rsidR="00413703" w:rsidRPr="00E36CFF">
        <w:rPr>
          <w:rFonts w:asciiTheme="minorHAnsi" w:hAnsiTheme="minorHAnsi" w:cstheme="minorHAnsi"/>
          <w:sz w:val="20"/>
          <w:szCs w:val="20"/>
        </w:rPr>
        <w:t xml:space="preserve">à ses </w:t>
      </w:r>
      <w:r w:rsidRPr="00E36CFF">
        <w:rPr>
          <w:rFonts w:asciiTheme="minorHAnsi" w:hAnsiTheme="minorHAnsi" w:cstheme="minorHAnsi"/>
          <w:sz w:val="20"/>
          <w:szCs w:val="20"/>
        </w:rPr>
        <w:t>obligations ;</w:t>
      </w:r>
      <w:r w:rsidR="00413703" w:rsidRPr="00E36CFF">
        <w:rPr>
          <w:rFonts w:asciiTheme="minorHAnsi" w:hAnsiTheme="minorHAnsi" w:cstheme="minorHAnsi"/>
          <w:sz w:val="20"/>
          <w:szCs w:val="20"/>
        </w:rPr>
        <w:t xml:space="preserve"> </w:t>
      </w:r>
    </w:p>
    <w:p w14:paraId="699BFB33" w14:textId="77777777" w:rsidR="00A056C9" w:rsidRPr="00E36CFF" w:rsidRDefault="00A056C9" w:rsidP="00E36CFF">
      <w:pPr>
        <w:pStyle w:val="Paragraphedeliste"/>
        <w:ind w:left="1985"/>
        <w:jc w:val="both"/>
        <w:rPr>
          <w:rFonts w:asciiTheme="minorHAnsi" w:hAnsiTheme="minorHAnsi" w:cstheme="minorHAnsi"/>
          <w:sz w:val="20"/>
          <w:szCs w:val="20"/>
        </w:rPr>
      </w:pPr>
    </w:p>
    <w:p w14:paraId="033DB6B1" w14:textId="48699DE5" w:rsidR="00413703" w:rsidRPr="00E36CFF" w:rsidRDefault="00413703">
      <w:pPr>
        <w:pStyle w:val="Paragraphedeliste"/>
        <w:numPr>
          <w:ilvl w:val="1"/>
          <w:numId w:val="18"/>
        </w:numPr>
        <w:ind w:left="1985"/>
        <w:jc w:val="both"/>
        <w:rPr>
          <w:rFonts w:asciiTheme="minorHAnsi" w:hAnsiTheme="minorHAnsi" w:cstheme="minorHAnsi"/>
          <w:sz w:val="20"/>
          <w:szCs w:val="20"/>
        </w:rPr>
      </w:pPr>
      <w:r w:rsidRPr="00E36CFF">
        <w:rPr>
          <w:rFonts w:asciiTheme="minorHAnsi" w:hAnsiTheme="minorHAnsi" w:cstheme="minorHAnsi"/>
          <w:sz w:val="20"/>
          <w:szCs w:val="20"/>
        </w:rPr>
        <w:t>conseille et assiste les dirigeants, les analystes de notation, les salariés, ainsi que toute autre personne physique dont les services sont mis à la disposition ou placés sous le contrôle de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ou toute personne directement ou indirectement liée à cette agence par une relation de contrôle qui est chargée de réaliser des activités de notation, afin qu’ils se conforment aux obligations qui incombent à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en vertu </w:t>
      </w:r>
      <w:r w:rsidR="00FE0895">
        <w:rPr>
          <w:rFonts w:asciiTheme="minorHAnsi" w:hAnsiTheme="minorHAnsi" w:cstheme="minorHAnsi"/>
          <w:sz w:val="20"/>
          <w:szCs w:val="20"/>
        </w:rPr>
        <w:t>de la présente instruction.</w:t>
      </w:r>
    </w:p>
    <w:p w14:paraId="2FDD5D07" w14:textId="77777777" w:rsidR="00413703" w:rsidRPr="00E36CFF" w:rsidRDefault="00413703" w:rsidP="00E36CFF">
      <w:pPr>
        <w:pStyle w:val="Paragraphedeliste"/>
        <w:jc w:val="both"/>
        <w:rPr>
          <w:rFonts w:asciiTheme="minorHAnsi" w:hAnsiTheme="minorHAnsi" w:cstheme="minorHAnsi"/>
          <w:sz w:val="20"/>
          <w:szCs w:val="20"/>
        </w:rPr>
      </w:pPr>
    </w:p>
    <w:p w14:paraId="58B0D6A9" w14:textId="16DB32FC" w:rsidR="00A056C9" w:rsidRDefault="00413703">
      <w:pPr>
        <w:pStyle w:val="Paragraphedeliste"/>
        <w:numPr>
          <w:ilvl w:val="0"/>
          <w:numId w:val="15"/>
        </w:numPr>
        <w:jc w:val="both"/>
        <w:rPr>
          <w:rFonts w:asciiTheme="minorHAnsi" w:hAnsiTheme="minorHAnsi" w:cstheme="minorHAnsi"/>
          <w:sz w:val="20"/>
          <w:szCs w:val="20"/>
        </w:rPr>
      </w:pPr>
      <w:r w:rsidRPr="00E36CFF">
        <w:rPr>
          <w:rFonts w:asciiTheme="minorHAnsi" w:hAnsiTheme="minorHAnsi" w:cstheme="minorHAnsi"/>
          <w:sz w:val="20"/>
          <w:szCs w:val="20"/>
        </w:rPr>
        <w:t xml:space="preserve">Afin de permettre à la fonction de vérification de la conformité d’assumer ses responsabilités de manière appropriée et indépendante, 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veille à ce que les conditions suivantes soient remplies</w:t>
      </w:r>
      <w:r w:rsidR="005760C0">
        <w:rPr>
          <w:rFonts w:asciiTheme="minorHAnsi" w:hAnsiTheme="minorHAnsi" w:cstheme="minorHAnsi"/>
          <w:sz w:val="20"/>
          <w:szCs w:val="20"/>
        </w:rPr>
        <w:t xml:space="preserve"> </w:t>
      </w:r>
      <w:r w:rsidRPr="00E36CFF">
        <w:rPr>
          <w:rFonts w:asciiTheme="minorHAnsi" w:hAnsiTheme="minorHAnsi" w:cstheme="minorHAnsi"/>
          <w:sz w:val="20"/>
          <w:szCs w:val="20"/>
        </w:rPr>
        <w:t xml:space="preserve">: </w:t>
      </w:r>
    </w:p>
    <w:p w14:paraId="0B81E65B" w14:textId="77777777" w:rsidR="00A056C9" w:rsidRPr="005760C0" w:rsidRDefault="00A056C9" w:rsidP="005760C0">
      <w:pPr>
        <w:jc w:val="both"/>
        <w:rPr>
          <w:rFonts w:asciiTheme="minorHAnsi" w:hAnsiTheme="minorHAnsi" w:cstheme="minorHAnsi"/>
          <w:sz w:val="20"/>
          <w:szCs w:val="20"/>
        </w:rPr>
      </w:pPr>
    </w:p>
    <w:p w14:paraId="7D4A3089" w14:textId="723FAA63" w:rsidR="00A056C9" w:rsidRDefault="00813623">
      <w:pPr>
        <w:pStyle w:val="Paragraphedeliste"/>
        <w:numPr>
          <w:ilvl w:val="1"/>
          <w:numId w:val="19"/>
        </w:numPr>
        <w:ind w:left="1985"/>
        <w:jc w:val="both"/>
        <w:rPr>
          <w:rFonts w:asciiTheme="minorHAnsi" w:hAnsiTheme="minorHAnsi" w:cstheme="minorHAnsi"/>
          <w:sz w:val="20"/>
          <w:szCs w:val="20"/>
        </w:rPr>
      </w:pPr>
      <w:r w:rsidRPr="00E36CFF">
        <w:rPr>
          <w:rFonts w:asciiTheme="minorHAnsi" w:hAnsiTheme="minorHAnsi" w:cstheme="minorHAnsi"/>
          <w:sz w:val="20"/>
          <w:szCs w:val="20"/>
        </w:rPr>
        <w:t>La</w:t>
      </w:r>
      <w:r w:rsidR="00413703" w:rsidRPr="00E36CFF">
        <w:rPr>
          <w:rFonts w:asciiTheme="minorHAnsi" w:hAnsiTheme="minorHAnsi" w:cstheme="minorHAnsi"/>
          <w:sz w:val="20"/>
          <w:szCs w:val="20"/>
        </w:rPr>
        <w:t xml:space="preserve"> fonction de vérification de la conformité dispose de l’autorité, des ressources et de l’expertise nécessaires et a accès à toutes les informations pertinentes; </w:t>
      </w:r>
    </w:p>
    <w:p w14:paraId="4B53BC8A" w14:textId="77777777" w:rsidR="005760C0" w:rsidRPr="00E36CFF" w:rsidRDefault="005760C0" w:rsidP="005760C0">
      <w:pPr>
        <w:pStyle w:val="Paragraphedeliste"/>
        <w:ind w:left="1985"/>
        <w:jc w:val="both"/>
        <w:rPr>
          <w:rFonts w:asciiTheme="minorHAnsi" w:hAnsiTheme="minorHAnsi" w:cstheme="minorHAnsi"/>
          <w:sz w:val="20"/>
          <w:szCs w:val="20"/>
        </w:rPr>
      </w:pPr>
    </w:p>
    <w:p w14:paraId="636AB09A" w14:textId="637019EF" w:rsidR="00A056C9" w:rsidRPr="009E1AF7" w:rsidRDefault="00813623">
      <w:pPr>
        <w:pStyle w:val="Paragraphedeliste"/>
        <w:numPr>
          <w:ilvl w:val="1"/>
          <w:numId w:val="19"/>
        </w:numPr>
        <w:ind w:left="1985"/>
        <w:jc w:val="both"/>
        <w:rPr>
          <w:rFonts w:asciiTheme="minorHAnsi" w:hAnsiTheme="minorHAnsi" w:cstheme="minorHAnsi"/>
          <w:sz w:val="20"/>
          <w:szCs w:val="20"/>
        </w:rPr>
      </w:pPr>
      <w:r w:rsidRPr="00E36CFF">
        <w:rPr>
          <w:rFonts w:asciiTheme="minorHAnsi" w:hAnsiTheme="minorHAnsi" w:cstheme="minorHAnsi"/>
          <w:sz w:val="20"/>
          <w:szCs w:val="20"/>
        </w:rPr>
        <w:t>Un</w:t>
      </w:r>
      <w:r w:rsidR="00413703" w:rsidRPr="00E36CFF">
        <w:rPr>
          <w:rFonts w:asciiTheme="minorHAnsi" w:hAnsiTheme="minorHAnsi" w:cstheme="minorHAnsi"/>
          <w:sz w:val="20"/>
          <w:szCs w:val="20"/>
        </w:rPr>
        <w:t xml:space="preserve"> responsable de la vérification de la conformité est désigné et chargé de la fonction de vérification de la conformité et de l’établissement de tout rapport </w:t>
      </w:r>
      <w:r>
        <w:rPr>
          <w:rFonts w:asciiTheme="minorHAnsi" w:hAnsiTheme="minorHAnsi" w:cstheme="minorHAnsi"/>
          <w:sz w:val="20"/>
          <w:szCs w:val="20"/>
        </w:rPr>
        <w:t xml:space="preserve">faisant état de l’exécution de ses </w:t>
      </w:r>
      <w:r w:rsidRPr="009E1AF7">
        <w:rPr>
          <w:rFonts w:asciiTheme="minorHAnsi" w:hAnsiTheme="minorHAnsi" w:cstheme="minorHAnsi"/>
          <w:sz w:val="20"/>
          <w:szCs w:val="20"/>
        </w:rPr>
        <w:t>diligences</w:t>
      </w:r>
      <w:r w:rsidR="00413703" w:rsidRPr="009E1AF7">
        <w:rPr>
          <w:rFonts w:asciiTheme="minorHAnsi" w:hAnsiTheme="minorHAnsi" w:cstheme="minorHAnsi"/>
          <w:sz w:val="20"/>
          <w:szCs w:val="20"/>
        </w:rPr>
        <w:t xml:space="preserve">; </w:t>
      </w:r>
    </w:p>
    <w:p w14:paraId="29A75822" w14:textId="77777777" w:rsidR="005760C0" w:rsidRPr="005760C0" w:rsidRDefault="005760C0" w:rsidP="005760C0">
      <w:pPr>
        <w:jc w:val="both"/>
        <w:rPr>
          <w:rFonts w:asciiTheme="minorHAnsi" w:hAnsiTheme="minorHAnsi" w:cstheme="minorHAnsi"/>
          <w:sz w:val="20"/>
          <w:szCs w:val="20"/>
        </w:rPr>
      </w:pPr>
    </w:p>
    <w:p w14:paraId="70BB06F0" w14:textId="43E6EF31" w:rsidR="00A056C9" w:rsidRDefault="00813623">
      <w:pPr>
        <w:pStyle w:val="Paragraphedeliste"/>
        <w:numPr>
          <w:ilvl w:val="1"/>
          <w:numId w:val="19"/>
        </w:numPr>
        <w:ind w:left="1985"/>
        <w:jc w:val="both"/>
        <w:rPr>
          <w:rFonts w:asciiTheme="minorHAnsi" w:hAnsiTheme="minorHAnsi" w:cstheme="minorHAnsi"/>
          <w:sz w:val="20"/>
          <w:szCs w:val="20"/>
        </w:rPr>
      </w:pPr>
      <w:r w:rsidRPr="00E36CFF">
        <w:rPr>
          <w:rFonts w:asciiTheme="minorHAnsi" w:hAnsiTheme="minorHAnsi" w:cstheme="minorHAnsi"/>
          <w:sz w:val="20"/>
          <w:szCs w:val="20"/>
        </w:rPr>
        <w:t>Les</w:t>
      </w:r>
      <w:r w:rsidR="00413703" w:rsidRPr="00E36CFF">
        <w:rPr>
          <w:rFonts w:asciiTheme="minorHAnsi" w:hAnsiTheme="minorHAnsi" w:cstheme="minorHAnsi"/>
          <w:sz w:val="20"/>
          <w:szCs w:val="20"/>
        </w:rPr>
        <w:t xml:space="preserve"> dirigeants, analystes de notation, salariés, ainsi que toute autre personne physique dont les services sont mis à la disposition ou placés sous le contrôle de l’</w:t>
      </w:r>
      <w:r w:rsidR="0040270B">
        <w:rPr>
          <w:rFonts w:asciiTheme="minorHAnsi" w:hAnsiTheme="minorHAnsi" w:cstheme="minorHAnsi"/>
          <w:sz w:val="20"/>
          <w:szCs w:val="20"/>
        </w:rPr>
        <w:t xml:space="preserve">agence de notation </w:t>
      </w:r>
      <w:r w:rsidR="00413703" w:rsidRPr="00E36CFF">
        <w:rPr>
          <w:rFonts w:asciiTheme="minorHAnsi" w:hAnsiTheme="minorHAnsi" w:cstheme="minorHAnsi"/>
          <w:sz w:val="20"/>
          <w:szCs w:val="20"/>
        </w:rPr>
        <w:t xml:space="preserve">ou toute autre personne directement ou indirectement liée à cette agence par une relation de contrôle qui participe à la fonction de vérification de la conformité, n’interviennent pas dans la réalisation des activités de notation qu’ils contrôlent; </w:t>
      </w:r>
    </w:p>
    <w:p w14:paraId="25210ED9" w14:textId="77777777" w:rsidR="005760C0" w:rsidRPr="005760C0" w:rsidRDefault="005760C0" w:rsidP="005760C0">
      <w:pPr>
        <w:jc w:val="both"/>
        <w:rPr>
          <w:rFonts w:asciiTheme="minorHAnsi" w:hAnsiTheme="minorHAnsi" w:cstheme="minorHAnsi"/>
          <w:sz w:val="20"/>
          <w:szCs w:val="20"/>
        </w:rPr>
      </w:pPr>
    </w:p>
    <w:p w14:paraId="2EA90742" w14:textId="11F008F5" w:rsidR="00A056C9" w:rsidRPr="00E36CFF" w:rsidRDefault="00813623">
      <w:pPr>
        <w:pStyle w:val="Paragraphedeliste"/>
        <w:numPr>
          <w:ilvl w:val="1"/>
          <w:numId w:val="19"/>
        </w:numPr>
        <w:ind w:left="1985"/>
        <w:jc w:val="both"/>
        <w:rPr>
          <w:rFonts w:asciiTheme="minorHAnsi" w:hAnsiTheme="minorHAnsi" w:cstheme="minorHAnsi"/>
          <w:sz w:val="20"/>
          <w:szCs w:val="20"/>
        </w:rPr>
      </w:pPr>
      <w:r w:rsidRPr="00E36CFF">
        <w:rPr>
          <w:rFonts w:asciiTheme="minorHAnsi" w:hAnsiTheme="minorHAnsi" w:cstheme="minorHAnsi"/>
          <w:sz w:val="20"/>
          <w:szCs w:val="20"/>
        </w:rPr>
        <w:t>La</w:t>
      </w:r>
      <w:r w:rsidR="00413703" w:rsidRPr="00E36CFF">
        <w:rPr>
          <w:rFonts w:asciiTheme="minorHAnsi" w:hAnsiTheme="minorHAnsi" w:cstheme="minorHAnsi"/>
          <w:sz w:val="20"/>
          <w:szCs w:val="20"/>
        </w:rPr>
        <w:t xml:space="preserve"> rémunération du responsable de la vérification de la conformité n’est pas liée aux résultats commerciaux de l’</w:t>
      </w:r>
      <w:r w:rsidR="0040270B">
        <w:rPr>
          <w:rFonts w:asciiTheme="minorHAnsi" w:hAnsiTheme="minorHAnsi" w:cstheme="minorHAnsi"/>
          <w:sz w:val="20"/>
          <w:szCs w:val="20"/>
        </w:rPr>
        <w:t xml:space="preserve">agence de notation </w:t>
      </w:r>
      <w:r w:rsidR="00413703" w:rsidRPr="00E36CFF">
        <w:rPr>
          <w:rFonts w:asciiTheme="minorHAnsi" w:hAnsiTheme="minorHAnsi" w:cstheme="minorHAnsi"/>
          <w:sz w:val="20"/>
          <w:szCs w:val="20"/>
        </w:rPr>
        <w:t xml:space="preserve">et est établie de manière à garantir son indépendance de jugement. Le responsable de la vérification de la conformité veille à ce que tout conflit d’intérêts relatif à des personnes mises à la disposition de la fonction de vérification de la conformité soit adéquatement détecté et éliminé. </w:t>
      </w:r>
    </w:p>
    <w:p w14:paraId="09837D54" w14:textId="77777777" w:rsidR="00A056C9" w:rsidRPr="00E36CFF" w:rsidRDefault="00A056C9" w:rsidP="00E36CFF">
      <w:pPr>
        <w:ind w:left="709"/>
        <w:jc w:val="both"/>
        <w:rPr>
          <w:rFonts w:asciiTheme="minorHAnsi" w:hAnsiTheme="minorHAnsi" w:cstheme="minorHAnsi"/>
          <w:sz w:val="20"/>
          <w:szCs w:val="20"/>
        </w:rPr>
      </w:pPr>
    </w:p>
    <w:p w14:paraId="4D740614" w14:textId="2F848232" w:rsidR="00A056C9" w:rsidRPr="00E36CFF" w:rsidRDefault="00413703" w:rsidP="00E36CFF">
      <w:pPr>
        <w:ind w:left="709"/>
        <w:jc w:val="both"/>
        <w:rPr>
          <w:rFonts w:asciiTheme="minorHAnsi" w:hAnsiTheme="minorHAnsi" w:cstheme="minorHAnsi"/>
          <w:sz w:val="20"/>
          <w:szCs w:val="20"/>
        </w:rPr>
      </w:pPr>
      <w:r w:rsidRPr="00E36CFF">
        <w:rPr>
          <w:rFonts w:asciiTheme="minorHAnsi" w:hAnsiTheme="minorHAnsi" w:cstheme="minorHAnsi"/>
          <w:sz w:val="20"/>
          <w:szCs w:val="20"/>
        </w:rPr>
        <w:t xml:space="preserve">Le responsable de la vérification de la conformité rend compte régulièrement de l’exercice de ses tâches aux instances dirigeantes et aux membres indépendants du conseil d’administration ou de surveillance. </w:t>
      </w:r>
    </w:p>
    <w:p w14:paraId="3AC09D4D" w14:textId="77777777" w:rsidR="00A056C9" w:rsidRPr="00E36CFF" w:rsidRDefault="00A056C9" w:rsidP="00E36CFF">
      <w:pPr>
        <w:pStyle w:val="Paragraphedeliste"/>
        <w:jc w:val="both"/>
        <w:rPr>
          <w:rFonts w:asciiTheme="minorHAnsi" w:hAnsiTheme="minorHAnsi" w:cstheme="minorHAnsi"/>
          <w:sz w:val="20"/>
          <w:szCs w:val="20"/>
        </w:rPr>
      </w:pPr>
    </w:p>
    <w:p w14:paraId="183D4CE6" w14:textId="4F9B6DCF" w:rsidR="00A056C9" w:rsidRPr="00E36CFF" w:rsidRDefault="00413703" w:rsidP="00075E77">
      <w:pPr>
        <w:pStyle w:val="Paragraphedeliste"/>
        <w:numPr>
          <w:ilvl w:val="0"/>
          <w:numId w:val="15"/>
        </w:numPr>
        <w:jc w:val="both"/>
        <w:rPr>
          <w:rFonts w:asciiTheme="minorHAnsi" w:hAnsiTheme="minorHAnsi" w:cstheme="minorHAnsi"/>
          <w:sz w:val="20"/>
          <w:szCs w:val="20"/>
        </w:rPr>
      </w:pPr>
      <w:r w:rsidRPr="00E36CFF">
        <w:rPr>
          <w:rFonts w:asciiTheme="minorHAnsi" w:hAnsiTheme="minorHAnsi" w:cstheme="minorHAnsi"/>
          <w:sz w:val="20"/>
          <w:szCs w:val="20"/>
        </w:rPr>
        <w:lastRenderedPageBreak/>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met en place des procédures organisationnelles et administratives appropriées et efficaces lui permettant de prévenir, de détecter, d’éliminer ou de gérer et de divulguer tous les conflits d’intérêts visés à </w:t>
      </w:r>
      <w:r w:rsidRPr="009E1AF7">
        <w:rPr>
          <w:rFonts w:asciiTheme="minorHAnsi" w:hAnsiTheme="minorHAnsi" w:cstheme="minorHAnsi"/>
          <w:sz w:val="20"/>
          <w:szCs w:val="20"/>
        </w:rPr>
        <w:t>la section B, point 1</w:t>
      </w:r>
      <w:r w:rsidR="008D297F">
        <w:rPr>
          <w:rFonts w:asciiTheme="minorHAnsi" w:hAnsiTheme="minorHAnsi" w:cstheme="minorHAnsi"/>
          <w:sz w:val="20"/>
          <w:szCs w:val="20"/>
        </w:rPr>
        <w:t xml:space="preserve"> de la présente annexe</w:t>
      </w:r>
      <w:r w:rsidRPr="00E36CFF">
        <w:rPr>
          <w:rFonts w:asciiTheme="minorHAnsi" w:hAnsiTheme="minorHAnsi" w:cstheme="minorHAnsi"/>
          <w:sz w:val="20"/>
          <w:szCs w:val="20"/>
        </w:rPr>
        <w:t xml:space="preserve">. Elle veille à ce que tous les risques importants qui menacent </w:t>
      </w:r>
      <w:r w:rsidR="009E1AF7">
        <w:rPr>
          <w:rFonts w:asciiTheme="minorHAnsi" w:hAnsiTheme="minorHAnsi" w:cstheme="minorHAnsi"/>
          <w:sz w:val="20"/>
          <w:szCs w:val="20"/>
        </w:rPr>
        <w:t>l’indépendance de ses activités</w:t>
      </w:r>
      <w:r w:rsidRPr="00E36CFF">
        <w:rPr>
          <w:rFonts w:asciiTheme="minorHAnsi" w:hAnsiTheme="minorHAnsi" w:cstheme="minorHAnsi"/>
          <w:sz w:val="20"/>
          <w:szCs w:val="20"/>
        </w:rPr>
        <w:t xml:space="preserve">, y compris ceux affectant les règles relatives aux analystes de notation visées à la </w:t>
      </w:r>
      <w:r w:rsidRPr="009E1AF7">
        <w:rPr>
          <w:rFonts w:asciiTheme="minorHAnsi" w:hAnsiTheme="minorHAnsi" w:cstheme="minorHAnsi"/>
          <w:sz w:val="20"/>
          <w:szCs w:val="20"/>
        </w:rPr>
        <w:t>section C, ainsi</w:t>
      </w:r>
      <w:r w:rsidRPr="00E36CFF">
        <w:rPr>
          <w:rFonts w:asciiTheme="minorHAnsi" w:hAnsiTheme="minorHAnsi" w:cstheme="minorHAnsi"/>
          <w:sz w:val="20"/>
          <w:szCs w:val="20"/>
        </w:rPr>
        <w:t xml:space="preserve"> que les mesures de sauvegarde appliquées pour atténuer ces risques, soient consignés. </w:t>
      </w:r>
    </w:p>
    <w:p w14:paraId="7AC938D0" w14:textId="77777777" w:rsidR="00A056C9" w:rsidRPr="00E36CFF" w:rsidRDefault="00A056C9" w:rsidP="00E36CFF">
      <w:pPr>
        <w:pStyle w:val="Paragraphedeliste"/>
        <w:jc w:val="both"/>
        <w:rPr>
          <w:rFonts w:asciiTheme="minorHAnsi" w:hAnsiTheme="minorHAnsi" w:cstheme="minorHAnsi"/>
          <w:sz w:val="20"/>
          <w:szCs w:val="20"/>
        </w:rPr>
      </w:pPr>
    </w:p>
    <w:p w14:paraId="5F6C21CF" w14:textId="1D3E4FBA" w:rsidR="00A056C9" w:rsidRPr="00E36CFF" w:rsidRDefault="00413703" w:rsidP="00075E77">
      <w:pPr>
        <w:pStyle w:val="Paragraphedeliste"/>
        <w:numPr>
          <w:ilvl w:val="0"/>
          <w:numId w:val="15"/>
        </w:numPr>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utilise des systèmes, des ressources et des procédures appropriés pour garantir la continuité et la régularité de ses activités de notation.</w:t>
      </w:r>
    </w:p>
    <w:p w14:paraId="5259E926" w14:textId="77777777" w:rsidR="00A056C9" w:rsidRPr="00E36CFF" w:rsidRDefault="00A056C9" w:rsidP="00E36CFF">
      <w:pPr>
        <w:pStyle w:val="Paragraphedeliste"/>
        <w:jc w:val="both"/>
        <w:rPr>
          <w:rFonts w:asciiTheme="minorHAnsi" w:hAnsiTheme="minorHAnsi" w:cstheme="minorHAnsi"/>
          <w:sz w:val="20"/>
          <w:szCs w:val="20"/>
        </w:rPr>
      </w:pPr>
    </w:p>
    <w:p w14:paraId="683ED5D1" w14:textId="7A85472B" w:rsidR="00A056C9" w:rsidRPr="00E36CFF" w:rsidRDefault="00413703" w:rsidP="00075E77">
      <w:pPr>
        <w:pStyle w:val="Paragraphedeliste"/>
        <w:numPr>
          <w:ilvl w:val="0"/>
          <w:numId w:val="15"/>
        </w:numPr>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met en place une fonction de réexamen chargée de réexaminer périodiquement ses méthodes, modèles et principales hypothèses de notation, telles que les hypothèses mathématiques ou corrélatives, ainsi que les modifications importantes qui y sont apportées, y compris l’adéquation de ces méthodes, modèles et principales hypothèses de notation lorsqu’ils sont utilisés ou qu’il est envisagé de les utiliser pour l’évaluation de nouveaux instruments financiers. </w:t>
      </w:r>
    </w:p>
    <w:p w14:paraId="4D9D9AB3" w14:textId="77777777" w:rsidR="00A056C9" w:rsidRPr="00E36CFF" w:rsidRDefault="00A056C9" w:rsidP="00E36CFF">
      <w:pPr>
        <w:pStyle w:val="Paragraphedeliste"/>
        <w:jc w:val="both"/>
        <w:rPr>
          <w:rFonts w:asciiTheme="minorHAnsi" w:hAnsiTheme="minorHAnsi" w:cstheme="minorHAnsi"/>
          <w:sz w:val="20"/>
          <w:szCs w:val="20"/>
        </w:rPr>
      </w:pPr>
    </w:p>
    <w:p w14:paraId="76C7A382" w14:textId="66082A17" w:rsidR="00A056C9" w:rsidRPr="00E36CFF" w:rsidRDefault="00413703" w:rsidP="00E36CFF">
      <w:pPr>
        <w:pStyle w:val="Paragraphedeliste"/>
        <w:jc w:val="both"/>
        <w:rPr>
          <w:rFonts w:asciiTheme="minorHAnsi" w:hAnsiTheme="minorHAnsi" w:cstheme="minorHAnsi"/>
          <w:sz w:val="20"/>
          <w:szCs w:val="20"/>
        </w:rPr>
      </w:pPr>
      <w:r w:rsidRPr="00E36CFF">
        <w:rPr>
          <w:rFonts w:asciiTheme="minorHAnsi" w:hAnsiTheme="minorHAnsi" w:cstheme="minorHAnsi"/>
          <w:sz w:val="20"/>
          <w:szCs w:val="20"/>
        </w:rPr>
        <w:t xml:space="preserve">Cette fonction de réexamen est indépendante des services chargés des activités de notation et elle rend compte aux membres du conseil d’administration ou de surveillance visés au </w:t>
      </w:r>
      <w:r w:rsidRPr="009E1AF7">
        <w:rPr>
          <w:rFonts w:asciiTheme="minorHAnsi" w:hAnsiTheme="minorHAnsi" w:cstheme="minorHAnsi"/>
          <w:sz w:val="20"/>
          <w:szCs w:val="20"/>
        </w:rPr>
        <w:t>point 2 de la présente section.</w:t>
      </w:r>
    </w:p>
    <w:p w14:paraId="63D8BA25" w14:textId="77777777" w:rsidR="00A056C9" w:rsidRPr="00E36CFF" w:rsidRDefault="00A056C9" w:rsidP="00E36CFF">
      <w:pPr>
        <w:pStyle w:val="Paragraphedeliste"/>
        <w:jc w:val="both"/>
        <w:rPr>
          <w:rFonts w:asciiTheme="minorHAnsi" w:hAnsiTheme="minorHAnsi" w:cstheme="minorHAnsi"/>
          <w:sz w:val="20"/>
          <w:szCs w:val="20"/>
        </w:rPr>
      </w:pPr>
    </w:p>
    <w:p w14:paraId="18BE7FD3" w14:textId="62439CBB" w:rsidR="00A27847" w:rsidRPr="00E36CFF" w:rsidRDefault="00413703" w:rsidP="00075E77">
      <w:pPr>
        <w:pStyle w:val="Paragraphedeliste"/>
        <w:numPr>
          <w:ilvl w:val="0"/>
          <w:numId w:val="15"/>
        </w:numPr>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contrôle et évalue l’adéquation et l’efficacité des systèmes, mécanismes de contrôle interne et autres dispositifs qu’elle a mis en place en application </w:t>
      </w:r>
      <w:r w:rsidR="005760C0">
        <w:rPr>
          <w:rFonts w:asciiTheme="minorHAnsi" w:hAnsiTheme="minorHAnsi" w:cstheme="minorHAnsi"/>
          <w:sz w:val="20"/>
          <w:szCs w:val="20"/>
        </w:rPr>
        <w:t>de la présente instruction</w:t>
      </w:r>
      <w:r w:rsidRPr="00E36CFF">
        <w:rPr>
          <w:rFonts w:asciiTheme="minorHAnsi" w:hAnsiTheme="minorHAnsi" w:cstheme="minorHAnsi"/>
          <w:sz w:val="20"/>
          <w:szCs w:val="20"/>
        </w:rPr>
        <w:t xml:space="preserve"> et prend toute mesure appropriée pour remédier à leurs éventuelles défaillances</w:t>
      </w:r>
      <w:r w:rsidR="00A27847" w:rsidRPr="00E36CFF">
        <w:rPr>
          <w:rFonts w:asciiTheme="minorHAnsi" w:hAnsiTheme="minorHAnsi" w:cstheme="minorHAnsi"/>
          <w:sz w:val="20"/>
          <w:szCs w:val="20"/>
        </w:rPr>
        <w:t>.</w:t>
      </w:r>
    </w:p>
    <w:p w14:paraId="54875DB1" w14:textId="1ECEC986" w:rsidR="00A27847" w:rsidRPr="00E36CFF" w:rsidRDefault="00A27847" w:rsidP="00E36CFF">
      <w:pPr>
        <w:jc w:val="both"/>
        <w:rPr>
          <w:rFonts w:asciiTheme="minorHAnsi" w:hAnsiTheme="minorHAnsi" w:cstheme="minorHAnsi"/>
          <w:sz w:val="20"/>
          <w:szCs w:val="20"/>
        </w:rPr>
      </w:pPr>
    </w:p>
    <w:p w14:paraId="3357CFCF" w14:textId="4AC58F80" w:rsidR="00A27847" w:rsidRPr="00E36CFF" w:rsidRDefault="00A27847" w:rsidP="005760C0">
      <w:pPr>
        <w:jc w:val="center"/>
        <w:rPr>
          <w:rFonts w:asciiTheme="minorHAnsi" w:hAnsiTheme="minorHAnsi" w:cstheme="minorHAnsi"/>
          <w:b/>
          <w:bCs/>
          <w:sz w:val="20"/>
          <w:szCs w:val="20"/>
        </w:rPr>
      </w:pPr>
      <w:r w:rsidRPr="00E36CFF">
        <w:rPr>
          <w:rFonts w:asciiTheme="minorHAnsi" w:hAnsiTheme="minorHAnsi" w:cstheme="minorHAnsi"/>
          <w:b/>
          <w:bCs/>
          <w:sz w:val="20"/>
          <w:szCs w:val="20"/>
        </w:rPr>
        <w:t>Section B</w:t>
      </w:r>
    </w:p>
    <w:p w14:paraId="0DDD8959" w14:textId="181EF5A6" w:rsidR="00A27847" w:rsidRPr="00E36CFF" w:rsidRDefault="00A27847" w:rsidP="005760C0">
      <w:pPr>
        <w:jc w:val="center"/>
        <w:rPr>
          <w:rFonts w:asciiTheme="minorHAnsi" w:hAnsiTheme="minorHAnsi" w:cstheme="minorHAnsi"/>
          <w:b/>
          <w:bCs/>
          <w:sz w:val="20"/>
          <w:szCs w:val="20"/>
        </w:rPr>
      </w:pPr>
      <w:r w:rsidRPr="00E36CFF">
        <w:rPr>
          <w:rFonts w:asciiTheme="minorHAnsi" w:hAnsiTheme="minorHAnsi" w:cstheme="minorHAnsi"/>
          <w:b/>
          <w:bCs/>
          <w:sz w:val="20"/>
          <w:szCs w:val="20"/>
        </w:rPr>
        <w:t>Exigences opérationnelles</w:t>
      </w:r>
    </w:p>
    <w:p w14:paraId="7A5FDD9B" w14:textId="77777777" w:rsidR="00A27847" w:rsidRPr="00E36CFF" w:rsidRDefault="00A27847" w:rsidP="00E36CFF">
      <w:pPr>
        <w:jc w:val="both"/>
        <w:rPr>
          <w:rFonts w:asciiTheme="minorHAnsi" w:hAnsiTheme="minorHAnsi" w:cstheme="minorHAnsi"/>
          <w:sz w:val="20"/>
          <w:szCs w:val="20"/>
        </w:rPr>
      </w:pPr>
    </w:p>
    <w:p w14:paraId="033D227C" w14:textId="13A0D9EB" w:rsidR="00A27847" w:rsidRPr="00E36CFF" w:rsidRDefault="00A27847">
      <w:pPr>
        <w:pStyle w:val="Paragraphedeliste"/>
        <w:numPr>
          <w:ilvl w:val="0"/>
          <w:numId w:val="20"/>
        </w:numPr>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détecte, élimine ou gère et divulgue, clairement et de façon bien visible, les conflits d’intérêts potentiels ou réels susceptibles d’influencer l’analyse et le jugement de ses analystes de notation, de ses salariés ou de toute autre personne physique dont les services sont mis à la disposition ou placés sous le contrôle de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et qui interviennent directement dans l’émission de </w:t>
      </w:r>
      <w:r w:rsidR="007079B2">
        <w:rPr>
          <w:rFonts w:asciiTheme="minorHAnsi" w:hAnsiTheme="minorHAnsi" w:cstheme="minorHAnsi"/>
          <w:sz w:val="20"/>
          <w:szCs w:val="20"/>
        </w:rPr>
        <w:t>notations</w:t>
      </w:r>
      <w:r w:rsidRPr="00E36CFF">
        <w:rPr>
          <w:rFonts w:asciiTheme="minorHAnsi" w:hAnsiTheme="minorHAnsi" w:cstheme="minorHAnsi"/>
          <w:sz w:val="20"/>
          <w:szCs w:val="20"/>
        </w:rPr>
        <w:t xml:space="preserve">, ainsi que des personnes chargées d’approuver celles-ci. </w:t>
      </w:r>
    </w:p>
    <w:p w14:paraId="23031A7B" w14:textId="77777777" w:rsidR="00A27847" w:rsidRPr="00E36CFF" w:rsidRDefault="00A27847" w:rsidP="00E36CFF">
      <w:pPr>
        <w:pStyle w:val="Paragraphedeliste"/>
        <w:jc w:val="both"/>
        <w:rPr>
          <w:rFonts w:asciiTheme="minorHAnsi" w:hAnsiTheme="minorHAnsi" w:cstheme="minorHAnsi"/>
          <w:sz w:val="20"/>
          <w:szCs w:val="20"/>
        </w:rPr>
      </w:pPr>
    </w:p>
    <w:p w14:paraId="7C48A635" w14:textId="77777777" w:rsidR="00A27847" w:rsidRPr="00E36CFF" w:rsidRDefault="00A27847" w:rsidP="00E36CFF">
      <w:pPr>
        <w:pStyle w:val="Paragraphedeliste"/>
        <w:jc w:val="both"/>
        <w:rPr>
          <w:rFonts w:asciiTheme="minorHAnsi" w:hAnsiTheme="minorHAnsi" w:cstheme="minorHAnsi"/>
          <w:sz w:val="20"/>
          <w:szCs w:val="20"/>
        </w:rPr>
      </w:pPr>
    </w:p>
    <w:p w14:paraId="6884D829" w14:textId="24877F25" w:rsidR="00A27847" w:rsidRPr="00E36CFF" w:rsidRDefault="00A27847">
      <w:pPr>
        <w:pStyle w:val="Paragraphedeliste"/>
        <w:numPr>
          <w:ilvl w:val="0"/>
          <w:numId w:val="20"/>
        </w:numPr>
        <w:jc w:val="both"/>
        <w:rPr>
          <w:rFonts w:asciiTheme="minorHAnsi" w:hAnsiTheme="minorHAnsi" w:cstheme="minorHAnsi"/>
          <w:sz w:val="20"/>
          <w:szCs w:val="20"/>
        </w:rPr>
      </w:pPr>
      <w:r w:rsidRPr="00E36CFF">
        <w:rPr>
          <w:rFonts w:asciiTheme="minorHAnsi" w:hAnsiTheme="minorHAnsi" w:cstheme="minorHAnsi"/>
          <w:sz w:val="20"/>
          <w:szCs w:val="20"/>
        </w:rPr>
        <w:t xml:space="preserve">Une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s’abstient d’émettre une notation ou annonce immédiatement, lorsqu’il s’agit d’une notation existante, que cette notation est potentiellement affectée dans les cas suivants : </w:t>
      </w:r>
    </w:p>
    <w:p w14:paraId="4B659B26" w14:textId="77777777" w:rsidR="00A27847" w:rsidRPr="00E36CFF" w:rsidRDefault="00A27847" w:rsidP="00E36CFF">
      <w:pPr>
        <w:pStyle w:val="Paragraphedeliste"/>
        <w:jc w:val="both"/>
        <w:rPr>
          <w:rFonts w:asciiTheme="minorHAnsi" w:hAnsiTheme="minorHAnsi" w:cstheme="minorHAnsi"/>
          <w:sz w:val="20"/>
          <w:szCs w:val="20"/>
        </w:rPr>
      </w:pPr>
    </w:p>
    <w:p w14:paraId="40C15267" w14:textId="7D256C67" w:rsidR="00A27847" w:rsidRDefault="00A27847">
      <w:pPr>
        <w:pStyle w:val="Paragraphedeliste"/>
        <w:numPr>
          <w:ilvl w:val="1"/>
          <w:numId w:val="15"/>
        </w:numPr>
        <w:jc w:val="both"/>
        <w:rPr>
          <w:rFonts w:asciiTheme="minorHAnsi" w:hAnsiTheme="minorHAnsi" w:cstheme="minorHAnsi"/>
          <w:sz w:val="20"/>
          <w:szCs w:val="20"/>
        </w:rPr>
      </w:pPr>
      <w:r w:rsidRPr="00E36CFF">
        <w:rPr>
          <w:rFonts w:asciiTheme="minorHAnsi" w:hAnsiTheme="minorHAnsi" w:cstheme="minorHAnsi"/>
          <w:sz w:val="20"/>
          <w:szCs w:val="20"/>
        </w:rPr>
        <w:t>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ou les personnes visées au </w:t>
      </w:r>
      <w:r w:rsidRPr="003640EA">
        <w:rPr>
          <w:rFonts w:asciiTheme="minorHAnsi" w:hAnsiTheme="minorHAnsi" w:cstheme="minorHAnsi"/>
          <w:sz w:val="20"/>
          <w:szCs w:val="20"/>
        </w:rPr>
        <w:t>point 1</w:t>
      </w:r>
      <w:r w:rsidRPr="00E36CFF">
        <w:rPr>
          <w:rFonts w:asciiTheme="minorHAnsi" w:hAnsiTheme="minorHAnsi" w:cstheme="minorHAnsi"/>
          <w:sz w:val="20"/>
          <w:szCs w:val="20"/>
        </w:rPr>
        <w:t xml:space="preserve"> détiennent, directement ou indirectement, des instruments financiers de l’entité notée ou d’un tiers lié ou toute autre participation directe ou indirecte dans cette entité notée ou ce tiers lié autre que des participations dans des organismes de placement collectif diversifiés, y compris des fonds gérés tels que des fonds de pension ou des assurances sur la vie;</w:t>
      </w:r>
    </w:p>
    <w:p w14:paraId="5757AE2B" w14:textId="77777777" w:rsidR="00F22414" w:rsidRDefault="00F22414" w:rsidP="00F22414">
      <w:pPr>
        <w:pStyle w:val="Paragraphedeliste"/>
        <w:ind w:left="1440"/>
        <w:jc w:val="both"/>
        <w:rPr>
          <w:rFonts w:asciiTheme="minorHAnsi" w:hAnsiTheme="minorHAnsi" w:cstheme="minorHAnsi"/>
          <w:sz w:val="20"/>
          <w:szCs w:val="20"/>
        </w:rPr>
      </w:pPr>
    </w:p>
    <w:p w14:paraId="584583A0" w14:textId="1FBCB3F1" w:rsidR="00F22414" w:rsidRDefault="00A27847">
      <w:pPr>
        <w:pStyle w:val="Paragraphedeliste"/>
        <w:numPr>
          <w:ilvl w:val="1"/>
          <w:numId w:val="15"/>
        </w:numPr>
        <w:jc w:val="both"/>
        <w:rPr>
          <w:rFonts w:asciiTheme="minorHAnsi" w:hAnsiTheme="minorHAnsi" w:cstheme="minorHAnsi"/>
          <w:sz w:val="20"/>
          <w:szCs w:val="20"/>
        </w:rPr>
      </w:pPr>
      <w:r w:rsidRPr="00F22414">
        <w:rPr>
          <w:rFonts w:asciiTheme="minorHAnsi" w:hAnsiTheme="minorHAnsi" w:cstheme="minorHAnsi"/>
          <w:sz w:val="20"/>
          <w:szCs w:val="20"/>
        </w:rPr>
        <w:t>la notation de crédit émise concerne une entité notée ou un tiers lié directement ou indirectement lié à l’</w:t>
      </w:r>
      <w:r w:rsidR="0040270B">
        <w:rPr>
          <w:rFonts w:asciiTheme="minorHAnsi" w:hAnsiTheme="minorHAnsi" w:cstheme="minorHAnsi"/>
          <w:sz w:val="20"/>
          <w:szCs w:val="20"/>
        </w:rPr>
        <w:t xml:space="preserve">agence de notation </w:t>
      </w:r>
      <w:r w:rsidRPr="00F22414">
        <w:rPr>
          <w:rFonts w:asciiTheme="minorHAnsi" w:hAnsiTheme="minorHAnsi" w:cstheme="minorHAnsi"/>
          <w:sz w:val="20"/>
          <w:szCs w:val="20"/>
        </w:rPr>
        <w:t xml:space="preserve">par une relation de contrôle; </w:t>
      </w:r>
    </w:p>
    <w:p w14:paraId="7DD77500" w14:textId="77777777" w:rsidR="00F22414" w:rsidRPr="00F22414" w:rsidRDefault="00F22414" w:rsidP="00F22414">
      <w:pPr>
        <w:pStyle w:val="Paragraphedeliste"/>
        <w:rPr>
          <w:rFonts w:asciiTheme="minorHAnsi" w:hAnsiTheme="minorHAnsi" w:cstheme="minorHAnsi"/>
          <w:sz w:val="20"/>
          <w:szCs w:val="20"/>
        </w:rPr>
      </w:pPr>
    </w:p>
    <w:p w14:paraId="423028F6" w14:textId="77777777" w:rsidR="00F22414" w:rsidRDefault="00A27847">
      <w:pPr>
        <w:pStyle w:val="Paragraphedeliste"/>
        <w:numPr>
          <w:ilvl w:val="1"/>
          <w:numId w:val="15"/>
        </w:numPr>
        <w:jc w:val="both"/>
        <w:rPr>
          <w:rFonts w:asciiTheme="minorHAnsi" w:hAnsiTheme="minorHAnsi" w:cstheme="minorHAnsi"/>
          <w:sz w:val="20"/>
          <w:szCs w:val="20"/>
        </w:rPr>
      </w:pPr>
      <w:r w:rsidRPr="00F22414">
        <w:rPr>
          <w:rFonts w:asciiTheme="minorHAnsi" w:hAnsiTheme="minorHAnsi" w:cstheme="minorHAnsi"/>
          <w:sz w:val="20"/>
          <w:szCs w:val="20"/>
        </w:rPr>
        <w:t xml:space="preserve">une personne visée au </w:t>
      </w:r>
      <w:r w:rsidRPr="003640EA">
        <w:rPr>
          <w:rFonts w:asciiTheme="minorHAnsi" w:hAnsiTheme="minorHAnsi" w:cstheme="minorHAnsi"/>
          <w:sz w:val="20"/>
          <w:szCs w:val="20"/>
        </w:rPr>
        <w:t>point 1</w:t>
      </w:r>
      <w:r w:rsidRPr="00F22414">
        <w:rPr>
          <w:rFonts w:asciiTheme="minorHAnsi" w:hAnsiTheme="minorHAnsi" w:cstheme="minorHAnsi"/>
          <w:sz w:val="20"/>
          <w:szCs w:val="20"/>
        </w:rPr>
        <w:t xml:space="preserve"> est membre du conseil d’administration ou de surveillance de l’entité notée ou d’un tiers lié; ou </w:t>
      </w:r>
    </w:p>
    <w:p w14:paraId="4CA034B7" w14:textId="77777777" w:rsidR="00F22414" w:rsidRPr="00F22414" w:rsidRDefault="00F22414" w:rsidP="00F22414">
      <w:pPr>
        <w:pStyle w:val="Paragraphedeliste"/>
        <w:rPr>
          <w:rFonts w:asciiTheme="minorHAnsi" w:hAnsiTheme="minorHAnsi" w:cstheme="minorHAnsi"/>
          <w:sz w:val="20"/>
          <w:szCs w:val="20"/>
        </w:rPr>
      </w:pPr>
    </w:p>
    <w:p w14:paraId="4AAA5EDA" w14:textId="02DA5953" w:rsidR="00A27847" w:rsidRPr="00F22414" w:rsidRDefault="00A27847">
      <w:pPr>
        <w:pStyle w:val="Paragraphedeliste"/>
        <w:numPr>
          <w:ilvl w:val="1"/>
          <w:numId w:val="15"/>
        </w:numPr>
        <w:jc w:val="both"/>
        <w:rPr>
          <w:rFonts w:asciiTheme="minorHAnsi" w:hAnsiTheme="minorHAnsi" w:cstheme="minorHAnsi"/>
          <w:sz w:val="20"/>
          <w:szCs w:val="20"/>
        </w:rPr>
      </w:pPr>
      <w:r w:rsidRPr="00F22414">
        <w:rPr>
          <w:rFonts w:asciiTheme="minorHAnsi" w:hAnsiTheme="minorHAnsi" w:cstheme="minorHAnsi"/>
          <w:sz w:val="20"/>
          <w:szCs w:val="20"/>
        </w:rPr>
        <w:t xml:space="preserve">un analyste de notation qui a participé à l’établissement d’une notation ou une personne chargée d’approuver une notation a été lié d’une manière quelconque avec l’entité notée ou avec un tiers lié, dans une mesure susceptible d’occasionner un conflit d’intérêts. </w:t>
      </w:r>
    </w:p>
    <w:p w14:paraId="45628B3C" w14:textId="77777777" w:rsidR="00A27847" w:rsidRPr="00E36CFF" w:rsidRDefault="00A27847" w:rsidP="00E36CFF">
      <w:pPr>
        <w:pStyle w:val="Paragraphedeliste"/>
        <w:jc w:val="both"/>
        <w:rPr>
          <w:rFonts w:asciiTheme="minorHAnsi" w:hAnsiTheme="minorHAnsi" w:cstheme="minorHAnsi"/>
          <w:sz w:val="20"/>
          <w:szCs w:val="20"/>
        </w:rPr>
      </w:pPr>
    </w:p>
    <w:p w14:paraId="205878C0" w14:textId="041F66E0" w:rsidR="00A27847" w:rsidRPr="00E36CFF" w:rsidRDefault="00A27847" w:rsidP="00E36CFF">
      <w:pPr>
        <w:pStyle w:val="Paragraphedeliste"/>
        <w:jc w:val="both"/>
        <w:rPr>
          <w:rFonts w:asciiTheme="minorHAnsi" w:hAnsiTheme="minorHAnsi" w:cstheme="minorHAnsi"/>
          <w:sz w:val="20"/>
          <w:szCs w:val="20"/>
        </w:rPr>
      </w:pPr>
      <w:r w:rsidRPr="00E36CFF">
        <w:rPr>
          <w:rFonts w:asciiTheme="minorHAnsi" w:hAnsiTheme="minorHAnsi" w:cstheme="minorHAnsi"/>
          <w:sz w:val="20"/>
          <w:szCs w:val="20"/>
        </w:rPr>
        <w:t>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évalue également immédiatement s’il y a lieu de procéder à une nouvelle notation ou de retirer la notation existante.</w:t>
      </w:r>
    </w:p>
    <w:p w14:paraId="59C25E83" w14:textId="77777777" w:rsidR="00A27847" w:rsidRPr="00E36CFF" w:rsidRDefault="00A27847" w:rsidP="00E36CFF">
      <w:pPr>
        <w:pStyle w:val="Paragraphedeliste"/>
        <w:jc w:val="both"/>
        <w:rPr>
          <w:rFonts w:asciiTheme="minorHAnsi" w:hAnsiTheme="minorHAnsi" w:cstheme="minorHAnsi"/>
          <w:sz w:val="20"/>
          <w:szCs w:val="20"/>
        </w:rPr>
      </w:pPr>
    </w:p>
    <w:p w14:paraId="623975A0" w14:textId="43BA638F" w:rsidR="00A27847" w:rsidRPr="00E36CFF" w:rsidRDefault="00A27847">
      <w:pPr>
        <w:pStyle w:val="Paragraphedeliste"/>
        <w:numPr>
          <w:ilvl w:val="0"/>
          <w:numId w:val="20"/>
        </w:numPr>
        <w:jc w:val="both"/>
        <w:rPr>
          <w:rFonts w:asciiTheme="minorHAnsi" w:hAnsiTheme="minorHAnsi" w:cstheme="minorHAnsi"/>
          <w:sz w:val="20"/>
          <w:szCs w:val="20"/>
        </w:rPr>
      </w:pPr>
      <w:r w:rsidRPr="00E36CFF">
        <w:rPr>
          <w:rFonts w:asciiTheme="minorHAnsi" w:hAnsiTheme="minorHAnsi" w:cstheme="minorHAnsi"/>
          <w:sz w:val="20"/>
          <w:szCs w:val="20"/>
        </w:rPr>
        <w:lastRenderedPageBreak/>
        <w:t xml:space="preserve">Une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ne fournit pas de services de consultant ou de conseil à une entité notée ou à un tiers lié en ce qui concerne leur structure sociale ou juridique, leurs actifs, leur passif ou leurs activités. </w:t>
      </w:r>
    </w:p>
    <w:p w14:paraId="46FFF4D4" w14:textId="77777777" w:rsidR="00A27847" w:rsidRPr="00E36CFF" w:rsidRDefault="00A27847" w:rsidP="00E36CFF">
      <w:pPr>
        <w:pStyle w:val="Paragraphedeliste"/>
        <w:jc w:val="both"/>
        <w:rPr>
          <w:rFonts w:asciiTheme="minorHAnsi" w:hAnsiTheme="minorHAnsi" w:cstheme="minorHAnsi"/>
          <w:sz w:val="20"/>
          <w:szCs w:val="20"/>
        </w:rPr>
      </w:pPr>
    </w:p>
    <w:p w14:paraId="52D3D923" w14:textId="28D6FC72" w:rsidR="00A27847" w:rsidRPr="00E36CFF" w:rsidRDefault="00A27847" w:rsidP="00E36CFF">
      <w:pPr>
        <w:pStyle w:val="Paragraphedeliste"/>
        <w:jc w:val="both"/>
        <w:rPr>
          <w:rFonts w:asciiTheme="minorHAnsi" w:hAnsiTheme="minorHAnsi" w:cstheme="minorHAnsi"/>
          <w:sz w:val="20"/>
          <w:szCs w:val="20"/>
        </w:rPr>
      </w:pPr>
      <w:r w:rsidRPr="00E36CFF">
        <w:rPr>
          <w:rFonts w:asciiTheme="minorHAnsi" w:hAnsiTheme="minorHAnsi" w:cstheme="minorHAnsi"/>
          <w:sz w:val="20"/>
          <w:szCs w:val="20"/>
        </w:rPr>
        <w:t xml:space="preserve">Une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peut fournir des services autres que l’émission de </w:t>
      </w:r>
      <w:r w:rsidR="007079B2">
        <w:rPr>
          <w:rFonts w:asciiTheme="minorHAnsi" w:hAnsiTheme="minorHAnsi" w:cstheme="minorHAnsi"/>
          <w:sz w:val="20"/>
          <w:szCs w:val="20"/>
        </w:rPr>
        <w:t>notations</w:t>
      </w:r>
      <w:r w:rsidRPr="00E36CFF">
        <w:rPr>
          <w:rFonts w:asciiTheme="minorHAnsi" w:hAnsiTheme="minorHAnsi" w:cstheme="minorHAnsi"/>
          <w:sz w:val="20"/>
          <w:szCs w:val="20"/>
        </w:rPr>
        <w:t xml:space="preserve"> </w:t>
      </w:r>
      <w:r w:rsidR="00FA63E6" w:rsidRPr="00E36CFF">
        <w:rPr>
          <w:rFonts w:asciiTheme="minorHAnsi" w:hAnsiTheme="minorHAnsi" w:cstheme="minorHAnsi"/>
          <w:sz w:val="20"/>
          <w:szCs w:val="20"/>
        </w:rPr>
        <w:t>(« services</w:t>
      </w:r>
      <w:r w:rsidRPr="00E36CFF">
        <w:rPr>
          <w:rFonts w:asciiTheme="minorHAnsi" w:hAnsiTheme="minorHAnsi" w:cstheme="minorHAnsi"/>
          <w:sz w:val="20"/>
          <w:szCs w:val="20"/>
        </w:rPr>
        <w:t xml:space="preserve"> </w:t>
      </w:r>
      <w:r w:rsidR="00AC756C" w:rsidRPr="00E36CFF">
        <w:rPr>
          <w:rFonts w:asciiTheme="minorHAnsi" w:hAnsiTheme="minorHAnsi" w:cstheme="minorHAnsi"/>
          <w:sz w:val="20"/>
          <w:szCs w:val="20"/>
        </w:rPr>
        <w:t>accessoires »</w:t>
      </w:r>
      <w:r w:rsidRPr="00E36CFF">
        <w:rPr>
          <w:rFonts w:asciiTheme="minorHAnsi" w:hAnsiTheme="minorHAnsi" w:cstheme="minorHAnsi"/>
          <w:sz w:val="20"/>
          <w:szCs w:val="20"/>
        </w:rPr>
        <w:t>). Les services accessoires ne font pas partie des activités de notation</w:t>
      </w:r>
      <w:r w:rsidR="00F22414" w:rsidRPr="00E36CFF">
        <w:rPr>
          <w:rFonts w:asciiTheme="minorHAnsi" w:hAnsiTheme="minorHAnsi" w:cstheme="minorHAnsi"/>
          <w:sz w:val="20"/>
          <w:szCs w:val="20"/>
        </w:rPr>
        <w:t>;</w:t>
      </w:r>
      <w:r w:rsidRPr="00E36CFF">
        <w:rPr>
          <w:rFonts w:asciiTheme="minorHAnsi" w:hAnsiTheme="minorHAnsi" w:cstheme="minorHAnsi"/>
          <w:sz w:val="20"/>
          <w:szCs w:val="20"/>
        </w:rPr>
        <w:t xml:space="preserve"> ils englobent les prévisions de marché, les estimations de l’évolution économique, les analyses de prix et d’autres analyses de données générales, ainsi que les services de distribution qui y sont liés. 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s’assure que la fourniture de services accessoires ne génère pas de conflits d’intérêts avec ses activités de notation et indique, dans ses rapports finals de notation, les services accessoires qui ont été fournis à l’entité notée ou à tout tiers lié. </w:t>
      </w:r>
    </w:p>
    <w:p w14:paraId="42AF1F1E" w14:textId="77777777" w:rsidR="00A27847" w:rsidRPr="00E36CFF" w:rsidRDefault="00A27847" w:rsidP="00E36CFF">
      <w:pPr>
        <w:pStyle w:val="Paragraphedeliste"/>
        <w:jc w:val="both"/>
        <w:rPr>
          <w:rFonts w:asciiTheme="minorHAnsi" w:hAnsiTheme="minorHAnsi" w:cstheme="minorHAnsi"/>
          <w:sz w:val="20"/>
          <w:szCs w:val="20"/>
        </w:rPr>
      </w:pPr>
    </w:p>
    <w:p w14:paraId="4C27DE11" w14:textId="2DDEBC9F" w:rsidR="00A27847" w:rsidRPr="00E36CFF" w:rsidRDefault="00A27847">
      <w:pPr>
        <w:pStyle w:val="Paragraphedeliste"/>
        <w:numPr>
          <w:ilvl w:val="0"/>
          <w:numId w:val="20"/>
        </w:numPr>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s’assure que les analystes de notation ou les personnes qui approuvent les notations n’émettent pas, de manière formelle ou informelle, de propositions ou de recommandations concernant la conception d’instruments financiers structurés dont on s’attend à ce qu’ils fassent l’objet d’une notation de sa part. </w:t>
      </w:r>
    </w:p>
    <w:p w14:paraId="12EBDEED" w14:textId="77777777" w:rsidR="00A27847" w:rsidRPr="00E36CFF" w:rsidRDefault="00A27847" w:rsidP="00E36CFF">
      <w:pPr>
        <w:pStyle w:val="Paragraphedeliste"/>
        <w:jc w:val="both"/>
        <w:rPr>
          <w:rFonts w:asciiTheme="minorHAnsi" w:hAnsiTheme="minorHAnsi" w:cstheme="minorHAnsi"/>
          <w:sz w:val="20"/>
          <w:szCs w:val="20"/>
        </w:rPr>
      </w:pPr>
    </w:p>
    <w:p w14:paraId="1928585E" w14:textId="20796A23" w:rsidR="00A27847" w:rsidRPr="00E36CFF" w:rsidRDefault="00A27847">
      <w:pPr>
        <w:pStyle w:val="Paragraphedeliste"/>
        <w:numPr>
          <w:ilvl w:val="0"/>
          <w:numId w:val="20"/>
        </w:numPr>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conçoit ses canaux de déclaration et de communication de manière à garantir l’indépendance des personnes visées au </w:t>
      </w:r>
      <w:r w:rsidRPr="003640EA">
        <w:rPr>
          <w:rFonts w:asciiTheme="minorHAnsi" w:hAnsiTheme="minorHAnsi" w:cstheme="minorHAnsi"/>
          <w:sz w:val="20"/>
          <w:szCs w:val="20"/>
        </w:rPr>
        <w:t>point 1</w:t>
      </w:r>
      <w:r w:rsidRPr="00E36CFF">
        <w:rPr>
          <w:rFonts w:asciiTheme="minorHAnsi" w:hAnsiTheme="minorHAnsi" w:cstheme="minorHAnsi"/>
          <w:sz w:val="20"/>
          <w:szCs w:val="20"/>
        </w:rPr>
        <w:t xml:space="preserve"> par rapport aux autres activités de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à titre commercial.</w:t>
      </w:r>
    </w:p>
    <w:p w14:paraId="3BD2DBA0" w14:textId="77777777" w:rsidR="00A27847" w:rsidRPr="00E36CFF" w:rsidRDefault="00A27847" w:rsidP="00E36CFF">
      <w:pPr>
        <w:pStyle w:val="Paragraphedeliste"/>
        <w:jc w:val="both"/>
        <w:rPr>
          <w:rFonts w:asciiTheme="minorHAnsi" w:hAnsiTheme="minorHAnsi" w:cstheme="minorHAnsi"/>
          <w:sz w:val="20"/>
          <w:szCs w:val="20"/>
        </w:rPr>
      </w:pPr>
    </w:p>
    <w:p w14:paraId="1E21DD44" w14:textId="5828D346" w:rsidR="00A27847" w:rsidRPr="00E36CFF" w:rsidRDefault="00A27847">
      <w:pPr>
        <w:pStyle w:val="Paragraphedeliste"/>
        <w:numPr>
          <w:ilvl w:val="0"/>
          <w:numId w:val="20"/>
        </w:numPr>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établit un relevé adéquat de ses activités de notation et, le cas échéant, en conserve des pistes d’audit. Ce relevé inclut</w:t>
      </w:r>
      <w:r w:rsidR="00F22414">
        <w:rPr>
          <w:rFonts w:asciiTheme="minorHAnsi" w:hAnsiTheme="minorHAnsi" w:cstheme="minorHAnsi"/>
          <w:sz w:val="20"/>
          <w:szCs w:val="20"/>
        </w:rPr>
        <w:t xml:space="preserve"> </w:t>
      </w:r>
      <w:r w:rsidRPr="00E36CFF">
        <w:rPr>
          <w:rFonts w:asciiTheme="minorHAnsi" w:hAnsiTheme="minorHAnsi" w:cstheme="minorHAnsi"/>
          <w:sz w:val="20"/>
          <w:szCs w:val="20"/>
        </w:rPr>
        <w:t xml:space="preserve">: </w:t>
      </w:r>
    </w:p>
    <w:p w14:paraId="14324BC1" w14:textId="77777777" w:rsidR="00A27847" w:rsidRPr="00E36CFF" w:rsidRDefault="00A27847" w:rsidP="00E36CFF">
      <w:pPr>
        <w:pStyle w:val="Paragraphedeliste"/>
        <w:jc w:val="both"/>
        <w:rPr>
          <w:rFonts w:asciiTheme="minorHAnsi" w:hAnsiTheme="minorHAnsi" w:cstheme="minorHAnsi"/>
          <w:sz w:val="20"/>
          <w:szCs w:val="20"/>
        </w:rPr>
      </w:pPr>
    </w:p>
    <w:p w14:paraId="13FAACCF" w14:textId="313E1725" w:rsidR="00A27847" w:rsidRDefault="00A27847">
      <w:pPr>
        <w:pStyle w:val="Paragraphedeliste"/>
        <w:numPr>
          <w:ilvl w:val="1"/>
          <w:numId w:val="21"/>
        </w:numPr>
        <w:ind w:left="1276"/>
        <w:jc w:val="both"/>
        <w:rPr>
          <w:rFonts w:asciiTheme="minorHAnsi" w:hAnsiTheme="minorHAnsi" w:cstheme="minorHAnsi"/>
          <w:sz w:val="20"/>
          <w:szCs w:val="20"/>
        </w:rPr>
      </w:pPr>
      <w:r w:rsidRPr="00E36CFF">
        <w:rPr>
          <w:rFonts w:asciiTheme="minorHAnsi" w:hAnsiTheme="minorHAnsi" w:cstheme="minorHAnsi"/>
          <w:sz w:val="20"/>
          <w:szCs w:val="20"/>
        </w:rPr>
        <w:t xml:space="preserve">pour chaque décision de notation, l’identité des analystes de notation qui ont participé à l’établissement de la notation, l’identité des personnes qui ont approuvé la notation, les informations concernant le point de savoir si la notation a été sollicitée ou non et la date à laquelle la mesure de notation a été prise; </w:t>
      </w:r>
    </w:p>
    <w:p w14:paraId="2DF262E0" w14:textId="77777777" w:rsidR="00F22414" w:rsidRPr="00E36CFF" w:rsidRDefault="00F22414" w:rsidP="00F22414">
      <w:pPr>
        <w:pStyle w:val="Paragraphedeliste"/>
        <w:ind w:left="1276"/>
        <w:jc w:val="both"/>
        <w:rPr>
          <w:rFonts w:asciiTheme="minorHAnsi" w:hAnsiTheme="minorHAnsi" w:cstheme="minorHAnsi"/>
          <w:sz w:val="20"/>
          <w:szCs w:val="20"/>
        </w:rPr>
      </w:pPr>
    </w:p>
    <w:p w14:paraId="0D39961C" w14:textId="46C8048A" w:rsidR="00A27847" w:rsidRDefault="00A27847">
      <w:pPr>
        <w:pStyle w:val="Paragraphedeliste"/>
        <w:numPr>
          <w:ilvl w:val="1"/>
          <w:numId w:val="21"/>
        </w:numPr>
        <w:ind w:left="1276"/>
        <w:jc w:val="both"/>
        <w:rPr>
          <w:rFonts w:asciiTheme="minorHAnsi" w:hAnsiTheme="minorHAnsi" w:cstheme="minorHAnsi"/>
          <w:sz w:val="20"/>
          <w:szCs w:val="20"/>
        </w:rPr>
      </w:pPr>
      <w:r w:rsidRPr="00E36CFF">
        <w:rPr>
          <w:rFonts w:asciiTheme="minorHAnsi" w:hAnsiTheme="minorHAnsi" w:cstheme="minorHAnsi"/>
          <w:sz w:val="20"/>
          <w:szCs w:val="20"/>
        </w:rPr>
        <w:t xml:space="preserve">la comptabilité des rémunérations reçues de toute entité notée ou de tout tiers lié ou de tout utilisateur des notations; </w:t>
      </w:r>
    </w:p>
    <w:p w14:paraId="026301D2" w14:textId="77777777" w:rsidR="00F22414" w:rsidRPr="00F22414" w:rsidRDefault="00F22414" w:rsidP="00F22414">
      <w:pPr>
        <w:jc w:val="both"/>
        <w:rPr>
          <w:rFonts w:asciiTheme="minorHAnsi" w:hAnsiTheme="minorHAnsi" w:cstheme="minorHAnsi"/>
          <w:sz w:val="20"/>
          <w:szCs w:val="20"/>
        </w:rPr>
      </w:pPr>
    </w:p>
    <w:p w14:paraId="2E898FEE" w14:textId="560675C0" w:rsidR="00A27847" w:rsidRDefault="00A27847">
      <w:pPr>
        <w:pStyle w:val="Paragraphedeliste"/>
        <w:numPr>
          <w:ilvl w:val="1"/>
          <w:numId w:val="21"/>
        </w:numPr>
        <w:ind w:left="1276"/>
        <w:jc w:val="both"/>
        <w:rPr>
          <w:rFonts w:asciiTheme="minorHAnsi" w:hAnsiTheme="minorHAnsi" w:cstheme="minorHAnsi"/>
          <w:sz w:val="20"/>
          <w:szCs w:val="20"/>
        </w:rPr>
      </w:pPr>
      <w:r w:rsidRPr="00E36CFF">
        <w:rPr>
          <w:rFonts w:asciiTheme="minorHAnsi" w:hAnsiTheme="minorHAnsi" w:cstheme="minorHAnsi"/>
          <w:sz w:val="20"/>
          <w:szCs w:val="20"/>
        </w:rPr>
        <w:t xml:space="preserve">une comptabilité concernant chaque abonné aux </w:t>
      </w:r>
      <w:r w:rsidR="007079B2">
        <w:rPr>
          <w:rFonts w:asciiTheme="minorHAnsi" w:hAnsiTheme="minorHAnsi" w:cstheme="minorHAnsi"/>
          <w:sz w:val="20"/>
          <w:szCs w:val="20"/>
        </w:rPr>
        <w:t>notations</w:t>
      </w:r>
      <w:r w:rsidRPr="00E36CFF">
        <w:rPr>
          <w:rFonts w:asciiTheme="minorHAnsi" w:hAnsiTheme="minorHAnsi" w:cstheme="minorHAnsi"/>
          <w:sz w:val="20"/>
          <w:szCs w:val="20"/>
        </w:rPr>
        <w:t xml:space="preserve"> ou à des services liés;</w:t>
      </w:r>
    </w:p>
    <w:p w14:paraId="4487EBFD" w14:textId="77777777" w:rsidR="00F22414" w:rsidRPr="00F22414" w:rsidRDefault="00F22414" w:rsidP="00F22414">
      <w:pPr>
        <w:jc w:val="both"/>
        <w:rPr>
          <w:rFonts w:asciiTheme="minorHAnsi" w:hAnsiTheme="minorHAnsi" w:cstheme="minorHAnsi"/>
          <w:sz w:val="20"/>
          <w:szCs w:val="20"/>
        </w:rPr>
      </w:pPr>
    </w:p>
    <w:p w14:paraId="7BA72088" w14:textId="40F5F689" w:rsidR="00A27847" w:rsidRDefault="00A27847">
      <w:pPr>
        <w:pStyle w:val="Paragraphedeliste"/>
        <w:numPr>
          <w:ilvl w:val="1"/>
          <w:numId w:val="21"/>
        </w:numPr>
        <w:ind w:left="1276"/>
        <w:jc w:val="both"/>
        <w:rPr>
          <w:rFonts w:asciiTheme="minorHAnsi" w:hAnsiTheme="minorHAnsi" w:cstheme="minorHAnsi"/>
          <w:sz w:val="20"/>
          <w:szCs w:val="20"/>
        </w:rPr>
      </w:pPr>
      <w:r w:rsidRPr="00E36CFF">
        <w:rPr>
          <w:rFonts w:asciiTheme="minorHAnsi" w:hAnsiTheme="minorHAnsi" w:cstheme="minorHAnsi"/>
          <w:sz w:val="20"/>
          <w:szCs w:val="20"/>
        </w:rPr>
        <w:t>un relevé documentant les procédures établies et les méthodes utilisées par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afin de déterminer les </w:t>
      </w:r>
      <w:r w:rsidR="007079B2">
        <w:rPr>
          <w:rFonts w:asciiTheme="minorHAnsi" w:hAnsiTheme="minorHAnsi" w:cstheme="minorHAnsi"/>
          <w:sz w:val="20"/>
          <w:szCs w:val="20"/>
        </w:rPr>
        <w:t>notations</w:t>
      </w:r>
      <w:r w:rsidRPr="00E36CFF">
        <w:rPr>
          <w:rFonts w:asciiTheme="minorHAnsi" w:hAnsiTheme="minorHAnsi" w:cstheme="minorHAnsi"/>
          <w:sz w:val="20"/>
          <w:szCs w:val="20"/>
        </w:rPr>
        <w:t xml:space="preserve">; </w:t>
      </w:r>
    </w:p>
    <w:p w14:paraId="26628D4F" w14:textId="77777777" w:rsidR="00F22414" w:rsidRPr="00F22414" w:rsidRDefault="00F22414" w:rsidP="00F22414">
      <w:pPr>
        <w:jc w:val="both"/>
        <w:rPr>
          <w:rFonts w:asciiTheme="minorHAnsi" w:hAnsiTheme="minorHAnsi" w:cstheme="minorHAnsi"/>
          <w:sz w:val="20"/>
          <w:szCs w:val="20"/>
        </w:rPr>
      </w:pPr>
    </w:p>
    <w:p w14:paraId="63D4F5CF" w14:textId="2DC5B6B1" w:rsidR="00A27847" w:rsidRDefault="00A27847">
      <w:pPr>
        <w:pStyle w:val="Paragraphedeliste"/>
        <w:numPr>
          <w:ilvl w:val="1"/>
          <w:numId w:val="21"/>
        </w:numPr>
        <w:ind w:left="1276"/>
        <w:jc w:val="both"/>
        <w:rPr>
          <w:rFonts w:asciiTheme="minorHAnsi" w:hAnsiTheme="minorHAnsi" w:cstheme="minorHAnsi"/>
          <w:sz w:val="20"/>
          <w:szCs w:val="20"/>
        </w:rPr>
      </w:pPr>
      <w:r w:rsidRPr="00E36CFF">
        <w:rPr>
          <w:rFonts w:asciiTheme="minorHAnsi" w:hAnsiTheme="minorHAnsi" w:cstheme="minorHAnsi"/>
          <w:sz w:val="20"/>
          <w:szCs w:val="20"/>
        </w:rPr>
        <w:t xml:space="preserve">les relevés et dossiers internes, y compris les informations et documents de travail n’ayant pas été rendus publics, utilisés comme base de toute décision prise en matière de notation; </w:t>
      </w:r>
    </w:p>
    <w:p w14:paraId="14FE7CF2" w14:textId="77777777" w:rsidR="00F22414" w:rsidRPr="00F22414" w:rsidRDefault="00F22414" w:rsidP="00F22414">
      <w:pPr>
        <w:jc w:val="both"/>
        <w:rPr>
          <w:rFonts w:asciiTheme="minorHAnsi" w:hAnsiTheme="minorHAnsi" w:cstheme="minorHAnsi"/>
          <w:sz w:val="20"/>
          <w:szCs w:val="20"/>
        </w:rPr>
      </w:pPr>
    </w:p>
    <w:p w14:paraId="68B3F1AD" w14:textId="11070453" w:rsidR="00A27847" w:rsidRDefault="00A27847">
      <w:pPr>
        <w:pStyle w:val="Paragraphedeliste"/>
        <w:numPr>
          <w:ilvl w:val="1"/>
          <w:numId w:val="21"/>
        </w:numPr>
        <w:ind w:left="1276"/>
        <w:jc w:val="both"/>
        <w:rPr>
          <w:rFonts w:asciiTheme="minorHAnsi" w:hAnsiTheme="minorHAnsi" w:cstheme="minorHAnsi"/>
          <w:sz w:val="20"/>
          <w:szCs w:val="20"/>
        </w:rPr>
      </w:pPr>
      <w:r w:rsidRPr="00E36CFF">
        <w:rPr>
          <w:rFonts w:asciiTheme="minorHAnsi" w:hAnsiTheme="minorHAnsi" w:cstheme="minorHAnsi"/>
          <w:sz w:val="20"/>
          <w:szCs w:val="20"/>
        </w:rPr>
        <w:t xml:space="preserve">des rapports d’analyse de crédit, des rapports d’évaluation de crédit et des rapports de notation de crédit privé ainsi que des relevés internes, y compris les informations et documents de travail n’ayant pas été rendus publics, utilisés comme base des avis exprimés dans ces rapports; </w:t>
      </w:r>
    </w:p>
    <w:p w14:paraId="553D90CF" w14:textId="77777777" w:rsidR="00F22414" w:rsidRPr="00F22414" w:rsidRDefault="00F22414" w:rsidP="00F22414">
      <w:pPr>
        <w:jc w:val="both"/>
        <w:rPr>
          <w:rFonts w:asciiTheme="minorHAnsi" w:hAnsiTheme="minorHAnsi" w:cstheme="minorHAnsi"/>
          <w:sz w:val="20"/>
          <w:szCs w:val="20"/>
        </w:rPr>
      </w:pPr>
    </w:p>
    <w:p w14:paraId="09E49D0E" w14:textId="36FFCBD3" w:rsidR="00F22414" w:rsidRDefault="00A27847">
      <w:pPr>
        <w:pStyle w:val="Paragraphedeliste"/>
        <w:numPr>
          <w:ilvl w:val="1"/>
          <w:numId w:val="21"/>
        </w:numPr>
        <w:ind w:left="1276"/>
        <w:jc w:val="both"/>
        <w:rPr>
          <w:rFonts w:asciiTheme="minorHAnsi" w:hAnsiTheme="minorHAnsi" w:cstheme="minorHAnsi"/>
          <w:sz w:val="20"/>
          <w:szCs w:val="20"/>
        </w:rPr>
      </w:pPr>
      <w:r w:rsidRPr="00E36CFF">
        <w:rPr>
          <w:rFonts w:asciiTheme="minorHAnsi" w:hAnsiTheme="minorHAnsi" w:cstheme="minorHAnsi"/>
          <w:sz w:val="20"/>
          <w:szCs w:val="20"/>
        </w:rPr>
        <w:t>un relevé des procédures et mesures mises en œuvre par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pour se conformer </w:t>
      </w:r>
      <w:r w:rsidR="00F22414">
        <w:rPr>
          <w:rFonts w:asciiTheme="minorHAnsi" w:hAnsiTheme="minorHAnsi" w:cstheme="minorHAnsi"/>
          <w:sz w:val="20"/>
          <w:szCs w:val="20"/>
        </w:rPr>
        <w:t>à la présente instruction</w:t>
      </w:r>
      <w:r w:rsidRPr="00E36CFF">
        <w:rPr>
          <w:rFonts w:asciiTheme="minorHAnsi" w:hAnsiTheme="minorHAnsi" w:cstheme="minorHAnsi"/>
          <w:sz w:val="20"/>
          <w:szCs w:val="20"/>
        </w:rPr>
        <w:t xml:space="preserve">; et </w:t>
      </w:r>
    </w:p>
    <w:p w14:paraId="2269E5C0" w14:textId="77777777" w:rsidR="00F22414" w:rsidRPr="00F22414" w:rsidRDefault="00F22414" w:rsidP="00F22414">
      <w:pPr>
        <w:pStyle w:val="Paragraphedeliste"/>
        <w:rPr>
          <w:rFonts w:asciiTheme="minorHAnsi" w:hAnsiTheme="minorHAnsi" w:cstheme="minorHAnsi"/>
          <w:sz w:val="20"/>
          <w:szCs w:val="20"/>
        </w:rPr>
      </w:pPr>
    </w:p>
    <w:p w14:paraId="1A8DECA4" w14:textId="0E08EAB4" w:rsidR="00A27847" w:rsidRPr="00F22414" w:rsidRDefault="00A27847">
      <w:pPr>
        <w:pStyle w:val="Paragraphedeliste"/>
        <w:numPr>
          <w:ilvl w:val="1"/>
          <w:numId w:val="21"/>
        </w:numPr>
        <w:ind w:left="1276"/>
        <w:jc w:val="both"/>
        <w:rPr>
          <w:rFonts w:asciiTheme="minorHAnsi" w:hAnsiTheme="minorHAnsi" w:cstheme="minorHAnsi"/>
          <w:sz w:val="20"/>
          <w:szCs w:val="20"/>
        </w:rPr>
      </w:pPr>
      <w:r w:rsidRPr="00F22414">
        <w:rPr>
          <w:rFonts w:asciiTheme="minorHAnsi" w:hAnsiTheme="minorHAnsi" w:cstheme="minorHAnsi"/>
          <w:sz w:val="20"/>
          <w:szCs w:val="20"/>
        </w:rPr>
        <w:t>des copies des communications internes et externes, y compris des communications électroniques reçues et envoyées par l’</w:t>
      </w:r>
      <w:r w:rsidR="0040270B">
        <w:rPr>
          <w:rFonts w:asciiTheme="minorHAnsi" w:hAnsiTheme="minorHAnsi" w:cstheme="minorHAnsi"/>
          <w:sz w:val="20"/>
          <w:szCs w:val="20"/>
        </w:rPr>
        <w:t xml:space="preserve">agence de notation </w:t>
      </w:r>
      <w:r w:rsidRPr="00F22414">
        <w:rPr>
          <w:rFonts w:asciiTheme="minorHAnsi" w:hAnsiTheme="minorHAnsi" w:cstheme="minorHAnsi"/>
          <w:sz w:val="20"/>
          <w:szCs w:val="20"/>
        </w:rPr>
        <w:t xml:space="preserve">et ses salariés, qui ont trait aux activités de notation. </w:t>
      </w:r>
    </w:p>
    <w:p w14:paraId="448543C8" w14:textId="77777777" w:rsidR="00A27847" w:rsidRPr="00E36CFF" w:rsidRDefault="00A27847" w:rsidP="00E36CFF">
      <w:pPr>
        <w:pStyle w:val="Paragraphedeliste"/>
        <w:ind w:left="1276"/>
        <w:jc w:val="both"/>
        <w:rPr>
          <w:rFonts w:asciiTheme="minorHAnsi" w:hAnsiTheme="minorHAnsi" w:cstheme="minorHAnsi"/>
          <w:sz w:val="20"/>
          <w:szCs w:val="20"/>
        </w:rPr>
      </w:pPr>
    </w:p>
    <w:p w14:paraId="116BEA9F" w14:textId="09FB822E" w:rsidR="00A27847" w:rsidRPr="00E36CFF" w:rsidRDefault="00A27847">
      <w:pPr>
        <w:pStyle w:val="Paragraphedeliste"/>
        <w:numPr>
          <w:ilvl w:val="0"/>
          <w:numId w:val="20"/>
        </w:numPr>
        <w:jc w:val="both"/>
        <w:rPr>
          <w:rFonts w:asciiTheme="minorHAnsi" w:hAnsiTheme="minorHAnsi" w:cstheme="minorHAnsi"/>
          <w:sz w:val="20"/>
          <w:szCs w:val="20"/>
        </w:rPr>
      </w:pPr>
      <w:r w:rsidRPr="00E36CFF">
        <w:rPr>
          <w:rFonts w:asciiTheme="minorHAnsi" w:hAnsiTheme="minorHAnsi" w:cstheme="minorHAnsi"/>
          <w:sz w:val="20"/>
          <w:szCs w:val="20"/>
        </w:rPr>
        <w:t>Les relevés et pistes d’audit visés au point 7 sont conservés dans les locaux de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enregistrée pendant cinq</w:t>
      </w:r>
      <w:r w:rsidR="00F22414">
        <w:rPr>
          <w:rFonts w:asciiTheme="minorHAnsi" w:hAnsiTheme="minorHAnsi" w:cstheme="minorHAnsi"/>
          <w:sz w:val="20"/>
          <w:szCs w:val="20"/>
        </w:rPr>
        <w:t xml:space="preserve"> (5)</w:t>
      </w:r>
      <w:r w:rsidRPr="00E36CFF">
        <w:rPr>
          <w:rFonts w:asciiTheme="minorHAnsi" w:hAnsiTheme="minorHAnsi" w:cstheme="minorHAnsi"/>
          <w:sz w:val="20"/>
          <w:szCs w:val="20"/>
        </w:rPr>
        <w:t xml:space="preserve"> ans au moins et ils sont communiqués sur demande </w:t>
      </w:r>
      <w:r w:rsidR="00F22414">
        <w:rPr>
          <w:rFonts w:asciiTheme="minorHAnsi" w:hAnsiTheme="minorHAnsi" w:cstheme="minorHAnsi"/>
          <w:sz w:val="20"/>
          <w:szCs w:val="20"/>
        </w:rPr>
        <w:t>la COSUMAF</w:t>
      </w:r>
      <w:r w:rsidRPr="00E36CFF">
        <w:rPr>
          <w:rFonts w:asciiTheme="minorHAnsi" w:hAnsiTheme="minorHAnsi" w:cstheme="minorHAnsi"/>
          <w:sz w:val="20"/>
          <w:szCs w:val="20"/>
        </w:rPr>
        <w:t>. En cas de retrait de l’</w:t>
      </w:r>
      <w:r w:rsidR="00F22414">
        <w:rPr>
          <w:rFonts w:asciiTheme="minorHAnsi" w:hAnsiTheme="minorHAnsi" w:cstheme="minorHAnsi"/>
          <w:sz w:val="20"/>
          <w:szCs w:val="20"/>
        </w:rPr>
        <w:t xml:space="preserve">agrément </w:t>
      </w:r>
      <w:r w:rsidRPr="00E36CFF">
        <w:rPr>
          <w:rFonts w:asciiTheme="minorHAnsi" w:hAnsiTheme="minorHAnsi" w:cstheme="minorHAnsi"/>
          <w:sz w:val="20"/>
          <w:szCs w:val="20"/>
        </w:rPr>
        <w:t>d’une agence de notation, les relevés sont conservés pendant une période supplémentaire de trois (3) ans au moins.</w:t>
      </w:r>
    </w:p>
    <w:p w14:paraId="53F2CE8C" w14:textId="77777777" w:rsidR="00A27847" w:rsidRPr="00E36CFF" w:rsidRDefault="00A27847" w:rsidP="00E36CFF">
      <w:pPr>
        <w:pStyle w:val="Paragraphedeliste"/>
        <w:jc w:val="both"/>
        <w:rPr>
          <w:rFonts w:asciiTheme="minorHAnsi" w:hAnsiTheme="minorHAnsi" w:cstheme="minorHAnsi"/>
          <w:sz w:val="20"/>
          <w:szCs w:val="20"/>
        </w:rPr>
      </w:pPr>
    </w:p>
    <w:p w14:paraId="2C9F459F" w14:textId="52F03694" w:rsidR="00A27847" w:rsidRPr="00E36CFF" w:rsidRDefault="00A27847">
      <w:pPr>
        <w:pStyle w:val="Paragraphedeliste"/>
        <w:numPr>
          <w:ilvl w:val="0"/>
          <w:numId w:val="20"/>
        </w:numPr>
        <w:jc w:val="both"/>
        <w:rPr>
          <w:rFonts w:asciiTheme="minorHAnsi" w:hAnsiTheme="minorHAnsi" w:cstheme="minorHAnsi"/>
          <w:sz w:val="20"/>
          <w:szCs w:val="20"/>
        </w:rPr>
      </w:pPr>
      <w:r w:rsidRPr="00E36CFF">
        <w:rPr>
          <w:rFonts w:asciiTheme="minorHAnsi" w:hAnsiTheme="minorHAnsi" w:cstheme="minorHAnsi"/>
          <w:sz w:val="20"/>
          <w:szCs w:val="20"/>
        </w:rPr>
        <w:lastRenderedPageBreak/>
        <w:t>Les relevés exposant les droits et obligations respectifs de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et d’une entité notée ou de ses tiers liés en vertu d’un contrat de prestation de services de notation sont conservés au moins pendant la durée de la relation liant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à cette entité notée ou à ses tiers liés.</w:t>
      </w:r>
    </w:p>
    <w:p w14:paraId="44C64C9E" w14:textId="77777777" w:rsidR="00CD50FF" w:rsidRPr="00E36CFF" w:rsidRDefault="00CD50FF" w:rsidP="00E36CFF">
      <w:pPr>
        <w:pStyle w:val="Paragraphedeliste"/>
        <w:jc w:val="both"/>
        <w:rPr>
          <w:rFonts w:asciiTheme="minorHAnsi" w:hAnsiTheme="minorHAnsi" w:cstheme="minorHAnsi"/>
          <w:sz w:val="20"/>
          <w:szCs w:val="20"/>
        </w:rPr>
      </w:pPr>
    </w:p>
    <w:p w14:paraId="47ACA1C1" w14:textId="58AE1B7F" w:rsidR="00CD50FF" w:rsidRPr="00E36CFF" w:rsidRDefault="00CD50FF" w:rsidP="00E36CFF">
      <w:pPr>
        <w:jc w:val="both"/>
        <w:rPr>
          <w:rFonts w:asciiTheme="minorHAnsi" w:hAnsiTheme="minorHAnsi" w:cstheme="minorHAnsi"/>
          <w:sz w:val="20"/>
          <w:szCs w:val="20"/>
        </w:rPr>
      </w:pPr>
    </w:p>
    <w:p w14:paraId="50E43E35" w14:textId="335679A3" w:rsidR="00CD50FF" w:rsidRDefault="00CD50FF" w:rsidP="005760C0">
      <w:pPr>
        <w:jc w:val="center"/>
        <w:rPr>
          <w:rFonts w:asciiTheme="minorHAnsi" w:hAnsiTheme="minorHAnsi" w:cstheme="minorHAnsi"/>
          <w:b/>
          <w:bCs/>
          <w:sz w:val="20"/>
          <w:szCs w:val="20"/>
        </w:rPr>
      </w:pPr>
      <w:r w:rsidRPr="00E36CFF">
        <w:rPr>
          <w:rFonts w:asciiTheme="minorHAnsi" w:hAnsiTheme="minorHAnsi" w:cstheme="minorHAnsi"/>
          <w:b/>
          <w:bCs/>
          <w:sz w:val="20"/>
          <w:szCs w:val="20"/>
        </w:rPr>
        <w:t>Section  C</w:t>
      </w:r>
    </w:p>
    <w:p w14:paraId="1785250E" w14:textId="77777777" w:rsidR="00F22414" w:rsidRPr="00E36CFF" w:rsidRDefault="00F22414" w:rsidP="005760C0">
      <w:pPr>
        <w:jc w:val="center"/>
        <w:rPr>
          <w:rFonts w:asciiTheme="minorHAnsi" w:hAnsiTheme="minorHAnsi" w:cstheme="minorHAnsi"/>
          <w:b/>
          <w:bCs/>
          <w:sz w:val="20"/>
          <w:szCs w:val="20"/>
        </w:rPr>
      </w:pPr>
    </w:p>
    <w:p w14:paraId="516CB85A" w14:textId="646AB556" w:rsidR="00CD50FF" w:rsidRPr="00E36CFF" w:rsidRDefault="00CD50FF" w:rsidP="005760C0">
      <w:pPr>
        <w:jc w:val="center"/>
        <w:rPr>
          <w:rFonts w:asciiTheme="minorHAnsi" w:hAnsiTheme="minorHAnsi" w:cstheme="minorHAnsi"/>
          <w:b/>
          <w:bCs/>
          <w:sz w:val="20"/>
          <w:szCs w:val="20"/>
        </w:rPr>
      </w:pPr>
      <w:r w:rsidRPr="00E36CFF">
        <w:rPr>
          <w:rFonts w:asciiTheme="minorHAnsi" w:hAnsiTheme="minorHAnsi" w:cstheme="minorHAnsi"/>
          <w:b/>
          <w:bCs/>
          <w:sz w:val="20"/>
          <w:szCs w:val="20"/>
        </w:rPr>
        <w:t xml:space="preserve">Règles applicables aux analystes de notation et aux autres personnes directement associées aux activités de notation </w:t>
      </w:r>
    </w:p>
    <w:p w14:paraId="57DBC1BB" w14:textId="77777777" w:rsidR="00CD50FF" w:rsidRPr="00E36CFF" w:rsidRDefault="00CD50FF" w:rsidP="00E36CFF">
      <w:pPr>
        <w:jc w:val="both"/>
        <w:rPr>
          <w:rFonts w:asciiTheme="minorHAnsi" w:hAnsiTheme="minorHAnsi" w:cstheme="minorHAnsi"/>
          <w:sz w:val="20"/>
          <w:szCs w:val="20"/>
        </w:rPr>
      </w:pPr>
    </w:p>
    <w:p w14:paraId="51100721" w14:textId="14FE5A49" w:rsidR="00CD50FF" w:rsidRPr="00E36CFF" w:rsidRDefault="00CD50FF">
      <w:pPr>
        <w:pStyle w:val="Paragraphedeliste"/>
        <w:numPr>
          <w:ilvl w:val="2"/>
          <w:numId w:val="21"/>
        </w:numPr>
        <w:ind w:left="709"/>
        <w:jc w:val="both"/>
        <w:rPr>
          <w:rFonts w:asciiTheme="minorHAnsi" w:hAnsiTheme="minorHAnsi" w:cstheme="minorHAnsi"/>
          <w:sz w:val="20"/>
          <w:szCs w:val="20"/>
        </w:rPr>
      </w:pPr>
      <w:r w:rsidRPr="00E36CFF">
        <w:rPr>
          <w:rFonts w:asciiTheme="minorHAnsi" w:hAnsiTheme="minorHAnsi" w:cstheme="minorHAnsi"/>
          <w:sz w:val="20"/>
          <w:szCs w:val="20"/>
        </w:rPr>
        <w:t>Les analystes de notation et les salariés de l’agence de notation, ainsi que toute autre personne physique dont les services sont mis à la disposition ou placés sous le contrôle de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et qui est directement associée aux activités de notation, et les personnes qui leur sont étroitement liées s’abstiennent de toute transaction d’achat, de vente ou d’une autre nature, autre qu’une participation dans des </w:t>
      </w:r>
      <w:r w:rsidRPr="005C22C8">
        <w:rPr>
          <w:rFonts w:asciiTheme="minorHAnsi" w:hAnsiTheme="minorHAnsi" w:cstheme="minorHAnsi"/>
          <w:sz w:val="20"/>
          <w:szCs w:val="20"/>
        </w:rPr>
        <w:t>organismes de placement collectif diversifiés</w:t>
      </w:r>
      <w:r w:rsidRPr="00E36CFF">
        <w:rPr>
          <w:rFonts w:asciiTheme="minorHAnsi" w:hAnsiTheme="minorHAnsi" w:cstheme="minorHAnsi"/>
          <w:sz w:val="20"/>
          <w:szCs w:val="20"/>
        </w:rPr>
        <w:t xml:space="preserve">, y compris des fonds gérés tels que des fonds de pension ou des assurances sur la vie, portant sur un instrument financier émis, garanti ou autrement soutenu par une entité notée relevant de leur responsabilité analytique première. </w:t>
      </w:r>
    </w:p>
    <w:p w14:paraId="484C5746" w14:textId="77777777" w:rsidR="00CD50FF" w:rsidRPr="00E36CFF" w:rsidRDefault="00CD50FF" w:rsidP="00E36CFF">
      <w:pPr>
        <w:pStyle w:val="Paragraphedeliste"/>
        <w:ind w:left="709"/>
        <w:jc w:val="both"/>
        <w:rPr>
          <w:rFonts w:asciiTheme="minorHAnsi" w:hAnsiTheme="minorHAnsi" w:cstheme="minorHAnsi"/>
          <w:sz w:val="20"/>
          <w:szCs w:val="20"/>
        </w:rPr>
      </w:pPr>
    </w:p>
    <w:p w14:paraId="7376096D" w14:textId="623B459D" w:rsidR="00CD50FF" w:rsidRPr="00E36CFF" w:rsidRDefault="00CD50FF">
      <w:pPr>
        <w:pStyle w:val="Paragraphedeliste"/>
        <w:numPr>
          <w:ilvl w:val="2"/>
          <w:numId w:val="21"/>
        </w:numPr>
        <w:ind w:left="709"/>
        <w:jc w:val="both"/>
        <w:rPr>
          <w:rFonts w:asciiTheme="minorHAnsi" w:hAnsiTheme="minorHAnsi" w:cstheme="minorHAnsi"/>
          <w:sz w:val="20"/>
          <w:szCs w:val="20"/>
        </w:rPr>
      </w:pPr>
      <w:r w:rsidRPr="00E36CFF">
        <w:rPr>
          <w:rFonts w:asciiTheme="minorHAnsi" w:hAnsiTheme="minorHAnsi" w:cstheme="minorHAnsi"/>
          <w:sz w:val="20"/>
          <w:szCs w:val="20"/>
        </w:rPr>
        <w:t xml:space="preserve">Aucune des personnes visées </w:t>
      </w:r>
      <w:r w:rsidRPr="00CC2BF6">
        <w:rPr>
          <w:rFonts w:asciiTheme="minorHAnsi" w:hAnsiTheme="minorHAnsi" w:cstheme="minorHAnsi"/>
          <w:sz w:val="20"/>
          <w:szCs w:val="20"/>
        </w:rPr>
        <w:t>au point 1</w:t>
      </w:r>
      <w:r w:rsidRPr="00E36CFF">
        <w:rPr>
          <w:rFonts w:asciiTheme="minorHAnsi" w:hAnsiTheme="minorHAnsi" w:cstheme="minorHAnsi"/>
          <w:sz w:val="20"/>
          <w:szCs w:val="20"/>
        </w:rPr>
        <w:t xml:space="preserve"> ne peut participer à l’établissement d’une notation pour une entité notée donnée ni autrement influencer cette notation si elle</w:t>
      </w:r>
      <w:r w:rsidR="00F22414">
        <w:rPr>
          <w:rFonts w:asciiTheme="minorHAnsi" w:hAnsiTheme="minorHAnsi" w:cstheme="minorHAnsi"/>
          <w:sz w:val="20"/>
          <w:szCs w:val="20"/>
        </w:rPr>
        <w:t xml:space="preserve"> </w:t>
      </w:r>
      <w:r w:rsidRPr="00E36CFF">
        <w:rPr>
          <w:rFonts w:asciiTheme="minorHAnsi" w:hAnsiTheme="minorHAnsi" w:cstheme="minorHAnsi"/>
          <w:sz w:val="20"/>
          <w:szCs w:val="20"/>
        </w:rPr>
        <w:t xml:space="preserve">: </w:t>
      </w:r>
    </w:p>
    <w:p w14:paraId="12547E2E" w14:textId="77777777" w:rsidR="00CD50FF" w:rsidRPr="00E36CFF" w:rsidRDefault="00CD50FF" w:rsidP="00E36CFF">
      <w:pPr>
        <w:pStyle w:val="Paragraphedeliste"/>
        <w:jc w:val="both"/>
        <w:rPr>
          <w:rFonts w:asciiTheme="minorHAnsi" w:hAnsiTheme="minorHAnsi" w:cstheme="minorHAnsi"/>
          <w:sz w:val="20"/>
          <w:szCs w:val="20"/>
        </w:rPr>
      </w:pPr>
    </w:p>
    <w:p w14:paraId="010E46AF" w14:textId="1BB12FC9" w:rsidR="00CD50FF" w:rsidRPr="00E36CFF" w:rsidRDefault="00CD50FF" w:rsidP="007C692C">
      <w:pPr>
        <w:pStyle w:val="Paragraphedeliste"/>
        <w:numPr>
          <w:ilvl w:val="0"/>
          <w:numId w:val="29"/>
        </w:numPr>
        <w:jc w:val="both"/>
        <w:rPr>
          <w:rFonts w:asciiTheme="minorHAnsi" w:hAnsiTheme="minorHAnsi" w:cstheme="minorHAnsi"/>
          <w:sz w:val="20"/>
          <w:szCs w:val="20"/>
        </w:rPr>
      </w:pPr>
      <w:r w:rsidRPr="00E36CFF">
        <w:rPr>
          <w:rFonts w:asciiTheme="minorHAnsi" w:hAnsiTheme="minorHAnsi" w:cstheme="minorHAnsi"/>
          <w:sz w:val="20"/>
          <w:szCs w:val="20"/>
        </w:rPr>
        <w:t xml:space="preserve">détient des instruments financiers de l’entité notée, autre qu’une participation dans des organismes de placement collectif diversifiés; </w:t>
      </w:r>
    </w:p>
    <w:p w14:paraId="7782F407" w14:textId="77777777" w:rsidR="00CD50FF" w:rsidRPr="00E36CFF" w:rsidRDefault="00CD50FF" w:rsidP="00E36CFF">
      <w:pPr>
        <w:pStyle w:val="Paragraphedeliste"/>
        <w:ind w:left="1440"/>
        <w:jc w:val="both"/>
        <w:rPr>
          <w:rFonts w:asciiTheme="minorHAnsi" w:hAnsiTheme="minorHAnsi" w:cstheme="minorHAnsi"/>
          <w:sz w:val="20"/>
          <w:szCs w:val="20"/>
        </w:rPr>
      </w:pPr>
    </w:p>
    <w:p w14:paraId="72AC60EC" w14:textId="77777777" w:rsidR="00CD50FF" w:rsidRPr="00E36CFF" w:rsidRDefault="00CD50FF" w:rsidP="007C692C">
      <w:pPr>
        <w:pStyle w:val="Paragraphedeliste"/>
        <w:numPr>
          <w:ilvl w:val="0"/>
          <w:numId w:val="29"/>
        </w:numPr>
        <w:jc w:val="both"/>
        <w:rPr>
          <w:rFonts w:asciiTheme="minorHAnsi" w:hAnsiTheme="minorHAnsi" w:cstheme="minorHAnsi"/>
          <w:sz w:val="20"/>
          <w:szCs w:val="20"/>
        </w:rPr>
      </w:pPr>
      <w:r w:rsidRPr="00E36CFF">
        <w:rPr>
          <w:rFonts w:asciiTheme="minorHAnsi" w:hAnsiTheme="minorHAnsi" w:cstheme="minorHAnsi"/>
          <w:sz w:val="20"/>
          <w:szCs w:val="20"/>
        </w:rPr>
        <w:t xml:space="preserve">détient des instruments financiers d’une entité liée à l’entité notée, autre qu’une participation dans des organismes de placement collectif diversifiés, dont la possession est susceptible de causer ou est généralement perçue comme causant un conflit d’intérêts; </w:t>
      </w:r>
    </w:p>
    <w:p w14:paraId="5A0F3372" w14:textId="77777777" w:rsidR="00CD50FF" w:rsidRPr="00E36CFF" w:rsidRDefault="00CD50FF" w:rsidP="00E36CFF">
      <w:pPr>
        <w:pStyle w:val="Paragraphedeliste"/>
        <w:jc w:val="both"/>
        <w:rPr>
          <w:rFonts w:asciiTheme="minorHAnsi" w:hAnsiTheme="minorHAnsi" w:cstheme="minorHAnsi"/>
          <w:sz w:val="20"/>
          <w:szCs w:val="20"/>
        </w:rPr>
      </w:pPr>
    </w:p>
    <w:p w14:paraId="6179034C" w14:textId="2D8C191E" w:rsidR="00CD50FF" w:rsidRPr="00E36CFF" w:rsidRDefault="00CD50FF" w:rsidP="007C692C">
      <w:pPr>
        <w:pStyle w:val="Paragraphedeliste"/>
        <w:numPr>
          <w:ilvl w:val="0"/>
          <w:numId w:val="29"/>
        </w:numPr>
        <w:jc w:val="both"/>
        <w:rPr>
          <w:rFonts w:asciiTheme="minorHAnsi" w:hAnsiTheme="minorHAnsi" w:cstheme="minorHAnsi"/>
          <w:sz w:val="20"/>
          <w:szCs w:val="20"/>
        </w:rPr>
      </w:pPr>
      <w:r w:rsidRPr="00E36CFF">
        <w:rPr>
          <w:rFonts w:asciiTheme="minorHAnsi" w:hAnsiTheme="minorHAnsi" w:cstheme="minorHAnsi"/>
          <w:sz w:val="20"/>
          <w:szCs w:val="20"/>
        </w:rPr>
        <w:t xml:space="preserve">a été récemment liée à l’entité notée par un contrat de travail, une relation professionnelle ou tout autre type de relation susceptible de causer ou généralement perçue comme causant un conflit d’intérêts. </w:t>
      </w:r>
    </w:p>
    <w:p w14:paraId="27F5544C" w14:textId="77777777" w:rsidR="00CD50FF" w:rsidRPr="00E36CFF" w:rsidRDefault="00CD50FF" w:rsidP="00E36CFF">
      <w:pPr>
        <w:jc w:val="both"/>
        <w:rPr>
          <w:rFonts w:asciiTheme="minorHAnsi" w:hAnsiTheme="minorHAnsi" w:cstheme="minorHAnsi"/>
          <w:sz w:val="20"/>
          <w:szCs w:val="20"/>
        </w:rPr>
      </w:pPr>
    </w:p>
    <w:p w14:paraId="32E2D563" w14:textId="16EA7F10" w:rsidR="00CD50FF" w:rsidRPr="00E36CFF" w:rsidRDefault="00CD50FF">
      <w:pPr>
        <w:pStyle w:val="Paragraphedeliste"/>
        <w:numPr>
          <w:ilvl w:val="2"/>
          <w:numId w:val="21"/>
        </w:numPr>
        <w:ind w:left="709"/>
        <w:jc w:val="both"/>
        <w:rPr>
          <w:rFonts w:asciiTheme="minorHAnsi" w:hAnsiTheme="minorHAnsi" w:cstheme="minorHAnsi"/>
          <w:sz w:val="20"/>
          <w:szCs w:val="20"/>
        </w:rPr>
      </w:pPr>
      <w:r w:rsidRPr="00E36CFF">
        <w:rPr>
          <w:rFonts w:asciiTheme="minorHAnsi" w:hAnsiTheme="minorHAnsi" w:cstheme="minorHAnsi"/>
          <w:sz w:val="20"/>
          <w:szCs w:val="20"/>
        </w:rPr>
        <w:t xml:space="preserve">Les </w:t>
      </w:r>
      <w:r w:rsidR="0091651D">
        <w:rPr>
          <w:rFonts w:asciiTheme="minorHAnsi" w:hAnsiTheme="minorHAnsi" w:cstheme="minorHAnsi"/>
          <w:sz w:val="20"/>
          <w:szCs w:val="20"/>
        </w:rPr>
        <w:t xml:space="preserve">agences de notation </w:t>
      </w:r>
      <w:r w:rsidRPr="00E36CFF">
        <w:rPr>
          <w:rFonts w:asciiTheme="minorHAnsi" w:hAnsiTheme="minorHAnsi" w:cstheme="minorHAnsi"/>
          <w:sz w:val="20"/>
          <w:szCs w:val="20"/>
        </w:rPr>
        <w:t xml:space="preserve">veillent à ce que les personnes visées au </w:t>
      </w:r>
      <w:r w:rsidRPr="00CC2BF6">
        <w:rPr>
          <w:rFonts w:asciiTheme="minorHAnsi" w:hAnsiTheme="minorHAnsi" w:cstheme="minorHAnsi"/>
          <w:sz w:val="20"/>
          <w:szCs w:val="20"/>
        </w:rPr>
        <w:t>point 1</w:t>
      </w:r>
      <w:r w:rsidR="00F22414" w:rsidRPr="00CC2BF6">
        <w:rPr>
          <w:rFonts w:asciiTheme="minorHAnsi" w:hAnsiTheme="minorHAnsi" w:cstheme="minorHAnsi"/>
          <w:sz w:val="20"/>
          <w:szCs w:val="20"/>
        </w:rPr>
        <w:t xml:space="preserve"> </w:t>
      </w:r>
      <w:r w:rsidRPr="00CC2BF6">
        <w:rPr>
          <w:rFonts w:asciiTheme="minorHAnsi" w:hAnsiTheme="minorHAnsi" w:cstheme="minorHAnsi"/>
          <w:sz w:val="20"/>
          <w:szCs w:val="20"/>
        </w:rPr>
        <w:t>:</w:t>
      </w:r>
      <w:r w:rsidRPr="00E36CFF">
        <w:rPr>
          <w:rFonts w:asciiTheme="minorHAnsi" w:hAnsiTheme="minorHAnsi" w:cstheme="minorHAnsi"/>
          <w:sz w:val="20"/>
          <w:szCs w:val="20"/>
        </w:rPr>
        <w:t xml:space="preserve"> </w:t>
      </w:r>
    </w:p>
    <w:p w14:paraId="47CF8103" w14:textId="77777777" w:rsidR="00CD50FF" w:rsidRPr="00E36CFF" w:rsidRDefault="00CD50FF" w:rsidP="00E36CFF">
      <w:pPr>
        <w:pStyle w:val="Paragraphedeliste"/>
        <w:ind w:left="1276"/>
        <w:jc w:val="both"/>
        <w:rPr>
          <w:rFonts w:asciiTheme="minorHAnsi" w:hAnsiTheme="minorHAnsi" w:cstheme="minorHAnsi"/>
          <w:sz w:val="20"/>
          <w:szCs w:val="20"/>
        </w:rPr>
      </w:pPr>
    </w:p>
    <w:p w14:paraId="648ED787" w14:textId="10832282" w:rsidR="00CD50FF" w:rsidRPr="00E36CFF" w:rsidRDefault="00CD50FF">
      <w:pPr>
        <w:pStyle w:val="Paragraphedeliste"/>
        <w:numPr>
          <w:ilvl w:val="1"/>
          <w:numId w:val="23"/>
        </w:numPr>
        <w:ind w:left="1276"/>
        <w:jc w:val="both"/>
        <w:rPr>
          <w:rFonts w:asciiTheme="minorHAnsi" w:hAnsiTheme="minorHAnsi" w:cstheme="minorHAnsi"/>
          <w:sz w:val="20"/>
          <w:szCs w:val="20"/>
        </w:rPr>
      </w:pPr>
      <w:r w:rsidRPr="00E36CFF">
        <w:rPr>
          <w:rFonts w:asciiTheme="minorHAnsi" w:hAnsiTheme="minorHAnsi" w:cstheme="minorHAnsi"/>
          <w:sz w:val="20"/>
          <w:szCs w:val="20"/>
        </w:rPr>
        <w:t>prennent toutes les mesures raisonnables pour protéger de la fraude, du vol ou de toute autre forme d’abus</w:t>
      </w:r>
      <w:r w:rsidR="00297BB0">
        <w:rPr>
          <w:rFonts w:asciiTheme="minorHAnsi" w:hAnsiTheme="minorHAnsi" w:cstheme="minorHAnsi"/>
          <w:sz w:val="20"/>
          <w:szCs w:val="20"/>
        </w:rPr>
        <w:t>,</w:t>
      </w:r>
      <w:r w:rsidRPr="00E36CFF">
        <w:rPr>
          <w:rFonts w:asciiTheme="minorHAnsi" w:hAnsiTheme="minorHAnsi" w:cstheme="minorHAnsi"/>
          <w:sz w:val="20"/>
          <w:szCs w:val="20"/>
        </w:rPr>
        <w:t xml:space="preserve"> les biens et documents en la possession de l’agence de notation, en tenant compte de la nature, de l’ampleur et de la complexité de leur activité, ainsi que de la nature et de l’éventail de leurs activités de notation;</w:t>
      </w:r>
    </w:p>
    <w:p w14:paraId="42F5DEC7" w14:textId="77777777" w:rsidR="00CD50FF" w:rsidRPr="00E36CFF" w:rsidRDefault="00CD50FF" w:rsidP="00E36CFF">
      <w:pPr>
        <w:pStyle w:val="Paragraphedeliste"/>
        <w:ind w:left="1276"/>
        <w:jc w:val="both"/>
        <w:rPr>
          <w:rFonts w:asciiTheme="minorHAnsi" w:hAnsiTheme="minorHAnsi" w:cstheme="minorHAnsi"/>
          <w:sz w:val="20"/>
          <w:szCs w:val="20"/>
        </w:rPr>
      </w:pPr>
    </w:p>
    <w:p w14:paraId="2A61CD3A" w14:textId="64207784" w:rsidR="00CD50FF" w:rsidRPr="00E36CFF" w:rsidRDefault="00CD50FF">
      <w:pPr>
        <w:pStyle w:val="Paragraphedeliste"/>
        <w:numPr>
          <w:ilvl w:val="1"/>
          <w:numId w:val="23"/>
        </w:numPr>
        <w:ind w:left="1276"/>
        <w:jc w:val="both"/>
        <w:rPr>
          <w:rFonts w:asciiTheme="minorHAnsi" w:hAnsiTheme="minorHAnsi" w:cstheme="minorHAnsi"/>
          <w:sz w:val="20"/>
          <w:szCs w:val="20"/>
        </w:rPr>
      </w:pPr>
      <w:r w:rsidRPr="00E36CFF">
        <w:rPr>
          <w:rFonts w:asciiTheme="minorHAnsi" w:hAnsiTheme="minorHAnsi" w:cstheme="minorHAnsi"/>
          <w:sz w:val="20"/>
          <w:szCs w:val="20"/>
        </w:rPr>
        <w:t xml:space="preserve">ne divulguent, sauf à l’entité notée ou à ses tiers liés, aucune information concernant les </w:t>
      </w:r>
      <w:r w:rsidR="007079B2">
        <w:rPr>
          <w:rFonts w:asciiTheme="minorHAnsi" w:hAnsiTheme="minorHAnsi" w:cstheme="minorHAnsi"/>
          <w:sz w:val="20"/>
          <w:szCs w:val="20"/>
        </w:rPr>
        <w:t>notations</w:t>
      </w:r>
      <w:r w:rsidRPr="00E36CFF">
        <w:rPr>
          <w:rFonts w:asciiTheme="minorHAnsi" w:hAnsiTheme="minorHAnsi" w:cstheme="minorHAnsi"/>
          <w:sz w:val="20"/>
          <w:szCs w:val="20"/>
        </w:rPr>
        <w:t xml:space="preserve"> que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a établies ou pourrait établir à l’avenir;</w:t>
      </w:r>
    </w:p>
    <w:p w14:paraId="019EF9D9" w14:textId="77777777" w:rsidR="00CD50FF" w:rsidRPr="00E36CFF" w:rsidRDefault="00CD50FF" w:rsidP="00E36CFF">
      <w:pPr>
        <w:pStyle w:val="Paragraphedeliste"/>
        <w:ind w:left="1276"/>
        <w:jc w:val="both"/>
        <w:rPr>
          <w:rFonts w:asciiTheme="minorHAnsi" w:hAnsiTheme="minorHAnsi" w:cstheme="minorHAnsi"/>
          <w:sz w:val="20"/>
          <w:szCs w:val="20"/>
        </w:rPr>
      </w:pPr>
    </w:p>
    <w:p w14:paraId="391753E9" w14:textId="7F16873E" w:rsidR="00CD50FF" w:rsidRPr="00E36CFF" w:rsidRDefault="00CD50FF">
      <w:pPr>
        <w:pStyle w:val="Paragraphedeliste"/>
        <w:numPr>
          <w:ilvl w:val="1"/>
          <w:numId w:val="23"/>
        </w:numPr>
        <w:ind w:left="1276"/>
        <w:jc w:val="both"/>
        <w:rPr>
          <w:rFonts w:asciiTheme="minorHAnsi" w:hAnsiTheme="minorHAnsi" w:cstheme="minorHAnsi"/>
          <w:sz w:val="20"/>
          <w:szCs w:val="20"/>
        </w:rPr>
      </w:pPr>
      <w:r w:rsidRPr="00E36CFF">
        <w:rPr>
          <w:rFonts w:asciiTheme="minorHAnsi" w:hAnsiTheme="minorHAnsi" w:cstheme="minorHAnsi"/>
          <w:sz w:val="20"/>
          <w:szCs w:val="20"/>
        </w:rPr>
        <w:t>ne partagent pas les informations confidentielles confiées à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avec les analystes de notation et les salariés d’une personne directement ou indirectement liée à elle par une relation de contrôle, ni avec toute autre personne physique dont les services sont mis à la disposition ou placés sous le contrôle de toute personne directement ou indirectement liée à l’agence par une relation de contrôle et qui est directement associée aux activités de notation; et </w:t>
      </w:r>
    </w:p>
    <w:p w14:paraId="4EFAEF01" w14:textId="77777777" w:rsidR="00CD50FF" w:rsidRPr="00E36CFF" w:rsidRDefault="00CD50FF" w:rsidP="00E36CFF">
      <w:pPr>
        <w:pStyle w:val="Paragraphedeliste"/>
        <w:ind w:left="1276"/>
        <w:jc w:val="both"/>
        <w:rPr>
          <w:rFonts w:asciiTheme="minorHAnsi" w:hAnsiTheme="minorHAnsi" w:cstheme="minorHAnsi"/>
          <w:sz w:val="20"/>
          <w:szCs w:val="20"/>
        </w:rPr>
      </w:pPr>
    </w:p>
    <w:p w14:paraId="086ABB45" w14:textId="1E4F5EB8" w:rsidR="00CD50FF" w:rsidRPr="00E36CFF" w:rsidRDefault="00CD50FF">
      <w:pPr>
        <w:pStyle w:val="Paragraphedeliste"/>
        <w:numPr>
          <w:ilvl w:val="1"/>
          <w:numId w:val="23"/>
        </w:numPr>
        <w:ind w:left="1276"/>
        <w:jc w:val="both"/>
        <w:rPr>
          <w:rFonts w:asciiTheme="minorHAnsi" w:hAnsiTheme="minorHAnsi" w:cstheme="minorHAnsi"/>
          <w:sz w:val="20"/>
          <w:szCs w:val="20"/>
        </w:rPr>
      </w:pPr>
      <w:r w:rsidRPr="00E36CFF">
        <w:rPr>
          <w:rFonts w:asciiTheme="minorHAnsi" w:hAnsiTheme="minorHAnsi" w:cstheme="minorHAnsi"/>
          <w:sz w:val="20"/>
          <w:szCs w:val="20"/>
        </w:rPr>
        <w:t>n’utilisent ni ne partagent aucune information confidentielle aux fins de la négociation d’instruments financiers ou à quelque fin autre que l’exercice des activités de notation.</w:t>
      </w:r>
    </w:p>
    <w:p w14:paraId="54D7BB8A" w14:textId="77777777" w:rsidR="00CD50FF" w:rsidRPr="00E36CFF" w:rsidRDefault="00CD50FF" w:rsidP="00E36CFF">
      <w:pPr>
        <w:pStyle w:val="Paragraphedeliste"/>
        <w:jc w:val="both"/>
        <w:rPr>
          <w:rFonts w:asciiTheme="minorHAnsi" w:hAnsiTheme="minorHAnsi" w:cstheme="minorHAnsi"/>
          <w:sz w:val="20"/>
          <w:szCs w:val="20"/>
        </w:rPr>
      </w:pPr>
    </w:p>
    <w:p w14:paraId="0DF08AE6" w14:textId="65F182CC" w:rsidR="00CD50FF" w:rsidRPr="00E36CFF" w:rsidRDefault="00CD50FF">
      <w:pPr>
        <w:pStyle w:val="Paragraphedeliste"/>
        <w:numPr>
          <w:ilvl w:val="0"/>
          <w:numId w:val="13"/>
        </w:numPr>
        <w:jc w:val="both"/>
        <w:rPr>
          <w:rFonts w:asciiTheme="minorHAnsi" w:hAnsiTheme="minorHAnsi" w:cstheme="minorHAnsi"/>
          <w:sz w:val="20"/>
          <w:szCs w:val="20"/>
        </w:rPr>
      </w:pPr>
      <w:r w:rsidRPr="00E36CFF">
        <w:rPr>
          <w:rFonts w:asciiTheme="minorHAnsi" w:hAnsiTheme="minorHAnsi" w:cstheme="minorHAnsi"/>
          <w:sz w:val="20"/>
          <w:szCs w:val="20"/>
        </w:rPr>
        <w:t>Les personnes visées au point 1 ne peuvent solliciter ni accepter de sommes d’argent, de cadeaux ou de faveurs de quiconque entretient une relation d’affaires avec l’agence de notation.</w:t>
      </w:r>
    </w:p>
    <w:p w14:paraId="786DE7CB" w14:textId="77777777" w:rsidR="00CD50FF" w:rsidRPr="00E36CFF" w:rsidRDefault="00CD50FF" w:rsidP="00E36CFF">
      <w:pPr>
        <w:pStyle w:val="Paragraphedeliste"/>
        <w:jc w:val="both"/>
        <w:rPr>
          <w:rFonts w:asciiTheme="minorHAnsi" w:hAnsiTheme="minorHAnsi" w:cstheme="minorHAnsi"/>
          <w:sz w:val="20"/>
          <w:szCs w:val="20"/>
        </w:rPr>
      </w:pPr>
    </w:p>
    <w:p w14:paraId="61C51CCE" w14:textId="7D33B0A9" w:rsidR="00CD50FF" w:rsidRPr="00E36CFF" w:rsidRDefault="00CD50FF">
      <w:pPr>
        <w:pStyle w:val="Paragraphedeliste"/>
        <w:numPr>
          <w:ilvl w:val="0"/>
          <w:numId w:val="13"/>
        </w:numPr>
        <w:jc w:val="both"/>
        <w:rPr>
          <w:rFonts w:asciiTheme="minorHAnsi" w:hAnsiTheme="minorHAnsi" w:cstheme="minorHAnsi"/>
          <w:sz w:val="20"/>
          <w:szCs w:val="20"/>
        </w:rPr>
      </w:pPr>
      <w:r w:rsidRPr="00E36CFF">
        <w:rPr>
          <w:rFonts w:asciiTheme="minorHAnsi" w:hAnsiTheme="minorHAnsi" w:cstheme="minorHAnsi"/>
          <w:sz w:val="20"/>
          <w:szCs w:val="20"/>
        </w:rPr>
        <w:lastRenderedPageBreak/>
        <w:t>Si une personne visée au point 1 considère que toute autre personne visée audit point</w:t>
      </w:r>
      <w:r w:rsidR="00971C1E">
        <w:rPr>
          <w:rFonts w:asciiTheme="minorHAnsi" w:hAnsiTheme="minorHAnsi" w:cstheme="minorHAnsi"/>
          <w:sz w:val="20"/>
          <w:szCs w:val="20"/>
        </w:rPr>
        <w:t xml:space="preserve">, </w:t>
      </w:r>
      <w:r w:rsidR="00F22414">
        <w:rPr>
          <w:rFonts w:asciiTheme="minorHAnsi" w:hAnsiTheme="minorHAnsi" w:cstheme="minorHAnsi"/>
          <w:sz w:val="20"/>
          <w:szCs w:val="20"/>
        </w:rPr>
        <w:t xml:space="preserve">a </w:t>
      </w:r>
      <w:r w:rsidRPr="00E36CFF">
        <w:rPr>
          <w:rFonts w:asciiTheme="minorHAnsi" w:hAnsiTheme="minorHAnsi" w:cstheme="minorHAnsi"/>
          <w:sz w:val="20"/>
          <w:szCs w:val="20"/>
        </w:rPr>
        <w:t>commis ce qu’elle estime être une irrégularité, elle en informe immédiatement le responsable de la vérification de la conformité sans que cela entraîne de conséquences négatives pour elle.</w:t>
      </w:r>
    </w:p>
    <w:p w14:paraId="61EEF263" w14:textId="77777777" w:rsidR="00CD50FF" w:rsidRPr="00E36CFF" w:rsidRDefault="00CD50FF" w:rsidP="00E36CFF">
      <w:pPr>
        <w:pStyle w:val="Paragraphedeliste"/>
        <w:jc w:val="both"/>
        <w:rPr>
          <w:rFonts w:asciiTheme="minorHAnsi" w:hAnsiTheme="minorHAnsi" w:cstheme="minorHAnsi"/>
          <w:sz w:val="20"/>
          <w:szCs w:val="20"/>
        </w:rPr>
      </w:pPr>
    </w:p>
    <w:p w14:paraId="0F723515" w14:textId="6D88661B" w:rsidR="00CD50FF" w:rsidRPr="00E36CFF" w:rsidRDefault="00CD50FF">
      <w:pPr>
        <w:pStyle w:val="Paragraphedeliste"/>
        <w:numPr>
          <w:ilvl w:val="0"/>
          <w:numId w:val="13"/>
        </w:numPr>
        <w:jc w:val="both"/>
        <w:rPr>
          <w:rFonts w:asciiTheme="minorHAnsi" w:hAnsiTheme="minorHAnsi" w:cstheme="minorHAnsi"/>
          <w:sz w:val="20"/>
          <w:szCs w:val="20"/>
        </w:rPr>
      </w:pPr>
      <w:r w:rsidRPr="00E36CFF">
        <w:rPr>
          <w:rFonts w:asciiTheme="minorHAnsi" w:hAnsiTheme="minorHAnsi" w:cstheme="minorHAnsi"/>
          <w:sz w:val="20"/>
          <w:szCs w:val="20"/>
        </w:rPr>
        <w:t>Lorsqu’un analyste de notation met fin à son contrat de travail pour rejoindre une entité notée à la notation de laquelle il a été associé, ou un établissement financier auquel il a eu affaire dans le cadre des fonctions qu’il occupait au sein de l’agence de notation, cette dernière vérifie le travail effectué par l’analyste de notation au cours des deux années ayant précédé son départ.</w:t>
      </w:r>
    </w:p>
    <w:p w14:paraId="2B6B2426" w14:textId="77777777" w:rsidR="00CD50FF" w:rsidRPr="00E36CFF" w:rsidRDefault="00CD50FF" w:rsidP="00E36CFF">
      <w:pPr>
        <w:pStyle w:val="Paragraphedeliste"/>
        <w:jc w:val="both"/>
        <w:rPr>
          <w:rFonts w:asciiTheme="minorHAnsi" w:hAnsiTheme="minorHAnsi" w:cstheme="minorHAnsi"/>
          <w:sz w:val="20"/>
          <w:szCs w:val="20"/>
        </w:rPr>
      </w:pPr>
    </w:p>
    <w:p w14:paraId="129C9B40" w14:textId="24C1FE37" w:rsidR="00CD50FF" w:rsidRPr="00E36CFF" w:rsidRDefault="00CD50FF">
      <w:pPr>
        <w:pStyle w:val="Paragraphedeliste"/>
        <w:numPr>
          <w:ilvl w:val="0"/>
          <w:numId w:val="13"/>
        </w:numPr>
        <w:jc w:val="both"/>
        <w:rPr>
          <w:rFonts w:asciiTheme="minorHAnsi" w:hAnsiTheme="minorHAnsi" w:cstheme="minorHAnsi"/>
          <w:sz w:val="20"/>
          <w:szCs w:val="20"/>
        </w:rPr>
      </w:pPr>
      <w:r w:rsidRPr="00E36CFF">
        <w:rPr>
          <w:rFonts w:asciiTheme="minorHAnsi" w:hAnsiTheme="minorHAnsi" w:cstheme="minorHAnsi"/>
          <w:sz w:val="20"/>
          <w:szCs w:val="20"/>
        </w:rPr>
        <w:t>Une personne visée au point 1 ne peut accepter de position de gestion clé au sein d’une entité notée ou d’un tiers lié dans les six mois suivant l’émission de la notation.</w:t>
      </w:r>
    </w:p>
    <w:p w14:paraId="1CFCA6FE" w14:textId="77777777" w:rsidR="00CD50FF" w:rsidRPr="00E36CFF" w:rsidRDefault="00CD50FF" w:rsidP="00E36CFF">
      <w:pPr>
        <w:pStyle w:val="Paragraphedeliste"/>
        <w:jc w:val="both"/>
        <w:rPr>
          <w:rFonts w:asciiTheme="minorHAnsi" w:hAnsiTheme="minorHAnsi" w:cstheme="minorHAnsi"/>
          <w:sz w:val="20"/>
          <w:szCs w:val="20"/>
        </w:rPr>
      </w:pPr>
    </w:p>
    <w:p w14:paraId="30B9CD82" w14:textId="7A027EE5" w:rsidR="00CD50FF" w:rsidRPr="00E36CFF" w:rsidRDefault="00CD50FF">
      <w:pPr>
        <w:pStyle w:val="Paragraphedeliste"/>
        <w:numPr>
          <w:ilvl w:val="0"/>
          <w:numId w:val="13"/>
        </w:numPr>
        <w:jc w:val="both"/>
        <w:rPr>
          <w:rFonts w:asciiTheme="minorHAnsi" w:hAnsiTheme="minorHAnsi" w:cstheme="minorHAnsi"/>
          <w:sz w:val="20"/>
          <w:szCs w:val="20"/>
        </w:rPr>
      </w:pPr>
      <w:r w:rsidRPr="003578E0">
        <w:rPr>
          <w:rFonts w:asciiTheme="minorHAnsi" w:hAnsiTheme="minorHAnsi" w:cstheme="minorHAnsi"/>
          <w:sz w:val="20"/>
          <w:szCs w:val="20"/>
        </w:rPr>
        <w:t>Aux f</w:t>
      </w:r>
      <w:r w:rsidR="003578E0" w:rsidRPr="003578E0">
        <w:rPr>
          <w:rFonts w:asciiTheme="minorHAnsi" w:hAnsiTheme="minorHAnsi" w:cstheme="minorHAnsi"/>
          <w:sz w:val="20"/>
          <w:szCs w:val="20"/>
        </w:rPr>
        <w:t>ins de l’article 7, paragraphe 2</w:t>
      </w:r>
      <w:r w:rsidRPr="003578E0">
        <w:rPr>
          <w:rFonts w:asciiTheme="minorHAnsi" w:hAnsiTheme="minorHAnsi" w:cstheme="minorHAnsi"/>
          <w:sz w:val="20"/>
          <w:szCs w:val="20"/>
        </w:rPr>
        <w:t>, les</w:t>
      </w:r>
      <w:r w:rsidRPr="00E36CFF">
        <w:rPr>
          <w:rFonts w:asciiTheme="minorHAnsi" w:hAnsiTheme="minorHAnsi" w:cstheme="minorHAnsi"/>
          <w:sz w:val="20"/>
          <w:szCs w:val="20"/>
        </w:rPr>
        <w:t xml:space="preserve"> </w:t>
      </w:r>
      <w:r w:rsidR="0091651D">
        <w:rPr>
          <w:rFonts w:asciiTheme="minorHAnsi" w:hAnsiTheme="minorHAnsi" w:cstheme="minorHAnsi"/>
          <w:sz w:val="20"/>
          <w:szCs w:val="20"/>
        </w:rPr>
        <w:t xml:space="preserve">agences de notation </w:t>
      </w:r>
      <w:r w:rsidRPr="00E36CFF">
        <w:rPr>
          <w:rFonts w:asciiTheme="minorHAnsi" w:hAnsiTheme="minorHAnsi" w:cstheme="minorHAnsi"/>
          <w:sz w:val="20"/>
          <w:szCs w:val="20"/>
        </w:rPr>
        <w:t>veillent à ce que</w:t>
      </w:r>
      <w:r w:rsidR="00F22414">
        <w:rPr>
          <w:rFonts w:asciiTheme="minorHAnsi" w:hAnsiTheme="minorHAnsi" w:cstheme="minorHAnsi"/>
          <w:sz w:val="20"/>
          <w:szCs w:val="20"/>
        </w:rPr>
        <w:t xml:space="preserve"> </w:t>
      </w:r>
      <w:r w:rsidRPr="00E36CFF">
        <w:rPr>
          <w:rFonts w:asciiTheme="minorHAnsi" w:hAnsiTheme="minorHAnsi" w:cstheme="minorHAnsi"/>
          <w:sz w:val="20"/>
          <w:szCs w:val="20"/>
        </w:rPr>
        <w:t xml:space="preserve">: </w:t>
      </w:r>
    </w:p>
    <w:p w14:paraId="630DBA95" w14:textId="77777777" w:rsidR="00CD50FF" w:rsidRPr="00E36CFF" w:rsidRDefault="00CD50FF" w:rsidP="00E36CFF">
      <w:pPr>
        <w:pStyle w:val="Paragraphedeliste"/>
        <w:jc w:val="both"/>
        <w:rPr>
          <w:rFonts w:asciiTheme="minorHAnsi" w:hAnsiTheme="minorHAnsi" w:cstheme="minorHAnsi"/>
          <w:sz w:val="20"/>
          <w:szCs w:val="20"/>
        </w:rPr>
      </w:pPr>
    </w:p>
    <w:p w14:paraId="3AEFBF34" w14:textId="26A0BACC" w:rsidR="00CD50FF" w:rsidRPr="00E36CFF" w:rsidRDefault="00CD50FF">
      <w:pPr>
        <w:pStyle w:val="Paragraphedeliste"/>
        <w:numPr>
          <w:ilvl w:val="1"/>
          <w:numId w:val="22"/>
        </w:numPr>
        <w:jc w:val="both"/>
        <w:rPr>
          <w:rFonts w:asciiTheme="minorHAnsi" w:hAnsiTheme="minorHAnsi" w:cstheme="minorHAnsi"/>
          <w:sz w:val="20"/>
          <w:szCs w:val="20"/>
        </w:rPr>
      </w:pPr>
      <w:r w:rsidRPr="00E36CFF">
        <w:rPr>
          <w:rFonts w:asciiTheme="minorHAnsi" w:hAnsiTheme="minorHAnsi" w:cstheme="minorHAnsi"/>
          <w:sz w:val="20"/>
          <w:szCs w:val="20"/>
        </w:rPr>
        <w:t>les analystes de notation en chef ne soient pas associés à des activités de notation afférentes à la même entité notée ou à ses tiers liés pendant une période de plus de quatre</w:t>
      </w:r>
      <w:r w:rsidR="00F22414">
        <w:rPr>
          <w:rFonts w:asciiTheme="minorHAnsi" w:hAnsiTheme="minorHAnsi" w:cstheme="minorHAnsi"/>
          <w:sz w:val="20"/>
          <w:szCs w:val="20"/>
        </w:rPr>
        <w:t xml:space="preserve"> (4)</w:t>
      </w:r>
      <w:r w:rsidRPr="00E36CFF">
        <w:rPr>
          <w:rFonts w:asciiTheme="minorHAnsi" w:hAnsiTheme="minorHAnsi" w:cstheme="minorHAnsi"/>
          <w:sz w:val="20"/>
          <w:szCs w:val="20"/>
        </w:rPr>
        <w:t xml:space="preserve"> ans; </w:t>
      </w:r>
    </w:p>
    <w:p w14:paraId="1A87046F" w14:textId="77777777" w:rsidR="00CD50FF" w:rsidRPr="00E36CFF" w:rsidRDefault="00CD50FF" w:rsidP="00E36CFF">
      <w:pPr>
        <w:pStyle w:val="Paragraphedeliste"/>
        <w:ind w:left="1418"/>
        <w:jc w:val="both"/>
        <w:rPr>
          <w:rFonts w:asciiTheme="minorHAnsi" w:hAnsiTheme="minorHAnsi" w:cstheme="minorHAnsi"/>
          <w:sz w:val="20"/>
          <w:szCs w:val="20"/>
        </w:rPr>
      </w:pPr>
    </w:p>
    <w:p w14:paraId="6FC6D56F" w14:textId="7F2ADA6E" w:rsidR="00CD50FF" w:rsidRDefault="00CD50FF">
      <w:pPr>
        <w:pStyle w:val="Paragraphedeliste"/>
        <w:numPr>
          <w:ilvl w:val="1"/>
          <w:numId w:val="22"/>
        </w:numPr>
        <w:jc w:val="both"/>
        <w:rPr>
          <w:rFonts w:asciiTheme="minorHAnsi" w:hAnsiTheme="minorHAnsi" w:cstheme="minorHAnsi"/>
          <w:sz w:val="20"/>
          <w:szCs w:val="20"/>
        </w:rPr>
      </w:pPr>
      <w:r w:rsidRPr="00E36CFF">
        <w:rPr>
          <w:rFonts w:asciiTheme="minorHAnsi" w:hAnsiTheme="minorHAnsi" w:cstheme="minorHAnsi"/>
          <w:sz w:val="20"/>
          <w:szCs w:val="20"/>
        </w:rPr>
        <w:t>les analystes de notation ne soient pas associés à des activités de notation afférentes à la même entité notée ou à ses tiers liés pendant une période de plus de cinq</w:t>
      </w:r>
      <w:r w:rsidR="00F22414">
        <w:rPr>
          <w:rFonts w:asciiTheme="minorHAnsi" w:hAnsiTheme="minorHAnsi" w:cstheme="minorHAnsi"/>
          <w:sz w:val="20"/>
          <w:szCs w:val="20"/>
        </w:rPr>
        <w:t xml:space="preserve"> (5)</w:t>
      </w:r>
      <w:r w:rsidRPr="00E36CFF">
        <w:rPr>
          <w:rFonts w:asciiTheme="minorHAnsi" w:hAnsiTheme="minorHAnsi" w:cstheme="minorHAnsi"/>
          <w:sz w:val="20"/>
          <w:szCs w:val="20"/>
        </w:rPr>
        <w:t xml:space="preserve"> ans; </w:t>
      </w:r>
    </w:p>
    <w:p w14:paraId="50FC2E2D" w14:textId="77777777" w:rsidR="00F22414" w:rsidRPr="00F22414" w:rsidRDefault="00F22414" w:rsidP="00F22414">
      <w:pPr>
        <w:jc w:val="both"/>
        <w:rPr>
          <w:rFonts w:asciiTheme="minorHAnsi" w:hAnsiTheme="minorHAnsi" w:cstheme="minorHAnsi"/>
          <w:sz w:val="20"/>
          <w:szCs w:val="20"/>
        </w:rPr>
      </w:pPr>
    </w:p>
    <w:p w14:paraId="511BE8B9" w14:textId="74FF477D" w:rsidR="00CD50FF" w:rsidRPr="00E36CFF" w:rsidRDefault="00CD50FF">
      <w:pPr>
        <w:pStyle w:val="Paragraphedeliste"/>
        <w:numPr>
          <w:ilvl w:val="1"/>
          <w:numId w:val="22"/>
        </w:numPr>
        <w:jc w:val="both"/>
        <w:rPr>
          <w:rFonts w:asciiTheme="minorHAnsi" w:hAnsiTheme="minorHAnsi" w:cstheme="minorHAnsi"/>
          <w:sz w:val="20"/>
          <w:szCs w:val="20"/>
        </w:rPr>
      </w:pPr>
      <w:r w:rsidRPr="00E36CFF">
        <w:rPr>
          <w:rFonts w:asciiTheme="minorHAnsi" w:hAnsiTheme="minorHAnsi" w:cstheme="minorHAnsi"/>
          <w:sz w:val="20"/>
          <w:szCs w:val="20"/>
        </w:rPr>
        <w:t xml:space="preserve">les personnes chargées d’approuver les </w:t>
      </w:r>
      <w:r w:rsidR="007079B2">
        <w:rPr>
          <w:rFonts w:asciiTheme="minorHAnsi" w:hAnsiTheme="minorHAnsi" w:cstheme="minorHAnsi"/>
          <w:sz w:val="20"/>
          <w:szCs w:val="20"/>
        </w:rPr>
        <w:t>notations</w:t>
      </w:r>
      <w:r w:rsidRPr="00E36CFF">
        <w:rPr>
          <w:rFonts w:asciiTheme="minorHAnsi" w:hAnsiTheme="minorHAnsi" w:cstheme="minorHAnsi"/>
          <w:sz w:val="20"/>
          <w:szCs w:val="20"/>
        </w:rPr>
        <w:t xml:space="preserve"> ne soient pas associées à des activités de notation afférentes à la même entité notée ou à ses tiers liés pendant une période de plus de sept ans. </w:t>
      </w:r>
    </w:p>
    <w:p w14:paraId="5F9E4F3A" w14:textId="77777777" w:rsidR="00CD50FF" w:rsidRPr="00E36CFF" w:rsidRDefault="00CD50FF" w:rsidP="00E36CFF">
      <w:pPr>
        <w:pStyle w:val="Paragraphedeliste"/>
        <w:jc w:val="both"/>
        <w:rPr>
          <w:rFonts w:asciiTheme="minorHAnsi" w:hAnsiTheme="minorHAnsi" w:cstheme="minorHAnsi"/>
          <w:sz w:val="20"/>
          <w:szCs w:val="20"/>
        </w:rPr>
      </w:pPr>
    </w:p>
    <w:p w14:paraId="48E358F0" w14:textId="0066893D" w:rsidR="00CD50FF" w:rsidRPr="00E36CFF" w:rsidRDefault="00CD50FF" w:rsidP="00E36CFF">
      <w:pPr>
        <w:pStyle w:val="Paragraphedeliste"/>
        <w:jc w:val="both"/>
        <w:rPr>
          <w:rFonts w:asciiTheme="minorHAnsi" w:hAnsiTheme="minorHAnsi" w:cstheme="minorHAnsi"/>
          <w:sz w:val="20"/>
          <w:szCs w:val="20"/>
        </w:rPr>
      </w:pPr>
      <w:r w:rsidRPr="00E36CFF">
        <w:rPr>
          <w:rFonts w:asciiTheme="minorHAnsi" w:hAnsiTheme="minorHAnsi" w:cstheme="minorHAnsi"/>
          <w:sz w:val="20"/>
          <w:szCs w:val="20"/>
        </w:rPr>
        <w:t>Les personnes visées au premier alinéa, points a), b) et c), ne sont pas associées à des activités de notation afférentes à l’entité notée ou à ses tiers liés visés auxdits points pendant deux</w:t>
      </w:r>
      <w:r w:rsidR="00F22414">
        <w:rPr>
          <w:rFonts w:asciiTheme="minorHAnsi" w:hAnsiTheme="minorHAnsi" w:cstheme="minorHAnsi"/>
          <w:sz w:val="20"/>
          <w:szCs w:val="20"/>
        </w:rPr>
        <w:t xml:space="preserve"> (2)</w:t>
      </w:r>
      <w:r w:rsidRPr="00E36CFF">
        <w:rPr>
          <w:rFonts w:asciiTheme="minorHAnsi" w:hAnsiTheme="minorHAnsi" w:cstheme="minorHAnsi"/>
          <w:sz w:val="20"/>
          <w:szCs w:val="20"/>
        </w:rPr>
        <w:t xml:space="preserve"> ans à compter de la fin des périodes définies auxdits points.</w:t>
      </w:r>
    </w:p>
    <w:p w14:paraId="31EAF67C" w14:textId="1DFEC013" w:rsidR="00CD50FF" w:rsidRPr="00E36CFF" w:rsidRDefault="00CD50FF" w:rsidP="00E36CFF">
      <w:pPr>
        <w:pStyle w:val="Paragraphedeliste"/>
        <w:jc w:val="both"/>
        <w:rPr>
          <w:rFonts w:asciiTheme="minorHAnsi" w:hAnsiTheme="minorHAnsi" w:cstheme="minorHAnsi"/>
          <w:sz w:val="20"/>
          <w:szCs w:val="20"/>
        </w:rPr>
      </w:pPr>
    </w:p>
    <w:p w14:paraId="511B6840" w14:textId="237B46CE" w:rsidR="00CD50FF" w:rsidRPr="00E36CFF" w:rsidRDefault="00CD50FF" w:rsidP="00E36CFF">
      <w:pPr>
        <w:pStyle w:val="Paragraphedeliste"/>
        <w:jc w:val="both"/>
        <w:rPr>
          <w:rFonts w:asciiTheme="minorHAnsi" w:hAnsiTheme="minorHAnsi" w:cstheme="minorHAnsi"/>
          <w:sz w:val="20"/>
          <w:szCs w:val="20"/>
        </w:rPr>
      </w:pPr>
    </w:p>
    <w:p w14:paraId="24912C66" w14:textId="5BED4F62" w:rsidR="00CD50FF" w:rsidRDefault="00CD50FF" w:rsidP="005760C0">
      <w:pPr>
        <w:pStyle w:val="Paragraphedeliste"/>
        <w:jc w:val="center"/>
        <w:rPr>
          <w:rFonts w:asciiTheme="minorHAnsi" w:hAnsiTheme="minorHAnsi" w:cstheme="minorHAnsi"/>
          <w:b/>
          <w:bCs/>
          <w:sz w:val="20"/>
          <w:szCs w:val="20"/>
        </w:rPr>
      </w:pPr>
      <w:r w:rsidRPr="00E36CFF">
        <w:rPr>
          <w:rFonts w:asciiTheme="minorHAnsi" w:hAnsiTheme="minorHAnsi" w:cstheme="minorHAnsi"/>
          <w:b/>
          <w:bCs/>
          <w:sz w:val="20"/>
          <w:szCs w:val="20"/>
        </w:rPr>
        <w:t>Section D</w:t>
      </w:r>
    </w:p>
    <w:p w14:paraId="3A0B455C" w14:textId="77777777" w:rsidR="00F22414" w:rsidRPr="00E36CFF" w:rsidRDefault="00F22414" w:rsidP="005760C0">
      <w:pPr>
        <w:pStyle w:val="Paragraphedeliste"/>
        <w:jc w:val="center"/>
        <w:rPr>
          <w:rFonts w:asciiTheme="minorHAnsi" w:hAnsiTheme="minorHAnsi" w:cstheme="minorHAnsi"/>
          <w:b/>
          <w:bCs/>
          <w:sz w:val="20"/>
          <w:szCs w:val="20"/>
        </w:rPr>
      </w:pPr>
    </w:p>
    <w:p w14:paraId="54D4B7F0" w14:textId="78ABA254" w:rsidR="00CD50FF" w:rsidRPr="00E36CFF" w:rsidRDefault="00CD50FF" w:rsidP="005760C0">
      <w:pPr>
        <w:pStyle w:val="Paragraphedeliste"/>
        <w:jc w:val="center"/>
        <w:rPr>
          <w:rFonts w:asciiTheme="minorHAnsi" w:hAnsiTheme="minorHAnsi" w:cstheme="minorHAnsi"/>
          <w:b/>
          <w:bCs/>
          <w:sz w:val="20"/>
          <w:szCs w:val="20"/>
        </w:rPr>
      </w:pPr>
      <w:r w:rsidRPr="00E36CFF">
        <w:rPr>
          <w:rFonts w:asciiTheme="minorHAnsi" w:hAnsiTheme="minorHAnsi" w:cstheme="minorHAnsi"/>
          <w:b/>
          <w:bCs/>
          <w:sz w:val="20"/>
          <w:szCs w:val="20"/>
        </w:rPr>
        <w:t xml:space="preserve">Règles relatives à la présentation des </w:t>
      </w:r>
      <w:r w:rsidR="007079B2">
        <w:rPr>
          <w:rFonts w:asciiTheme="minorHAnsi" w:hAnsiTheme="minorHAnsi" w:cstheme="minorHAnsi"/>
          <w:b/>
          <w:bCs/>
          <w:sz w:val="20"/>
          <w:szCs w:val="20"/>
        </w:rPr>
        <w:t>notations</w:t>
      </w:r>
    </w:p>
    <w:p w14:paraId="2A074446" w14:textId="77777777" w:rsidR="00CD50FF" w:rsidRPr="00E36CFF" w:rsidRDefault="00CD50FF" w:rsidP="00E36CFF">
      <w:pPr>
        <w:pStyle w:val="Paragraphedeliste"/>
        <w:jc w:val="both"/>
        <w:rPr>
          <w:rFonts w:asciiTheme="minorHAnsi" w:hAnsiTheme="minorHAnsi" w:cstheme="minorHAnsi"/>
          <w:sz w:val="20"/>
          <w:szCs w:val="20"/>
        </w:rPr>
      </w:pPr>
    </w:p>
    <w:p w14:paraId="070BA77B" w14:textId="756DD2CC" w:rsidR="00CD50FF" w:rsidRPr="007C692C" w:rsidRDefault="00CD50FF">
      <w:pPr>
        <w:pStyle w:val="Paragraphedeliste"/>
        <w:numPr>
          <w:ilvl w:val="2"/>
          <w:numId w:val="13"/>
        </w:numPr>
        <w:ind w:left="851"/>
        <w:jc w:val="both"/>
        <w:rPr>
          <w:rFonts w:asciiTheme="minorHAnsi" w:hAnsiTheme="minorHAnsi" w:cstheme="minorHAnsi"/>
          <w:b/>
          <w:sz w:val="20"/>
          <w:szCs w:val="20"/>
        </w:rPr>
      </w:pPr>
      <w:r w:rsidRPr="007C692C">
        <w:rPr>
          <w:rFonts w:asciiTheme="minorHAnsi" w:hAnsiTheme="minorHAnsi" w:cstheme="minorHAnsi"/>
          <w:b/>
          <w:i/>
          <w:iCs/>
          <w:sz w:val="20"/>
          <w:szCs w:val="20"/>
        </w:rPr>
        <w:t>Obligations générales</w:t>
      </w:r>
      <w:r w:rsidRPr="007C692C">
        <w:rPr>
          <w:rFonts w:asciiTheme="minorHAnsi" w:hAnsiTheme="minorHAnsi" w:cstheme="minorHAnsi"/>
          <w:b/>
          <w:sz w:val="20"/>
          <w:szCs w:val="20"/>
        </w:rPr>
        <w:t xml:space="preserve"> </w:t>
      </w:r>
    </w:p>
    <w:p w14:paraId="0C39954E" w14:textId="77777777" w:rsidR="005760C0" w:rsidRPr="005760C0" w:rsidRDefault="005760C0" w:rsidP="005760C0">
      <w:pPr>
        <w:jc w:val="both"/>
        <w:rPr>
          <w:rFonts w:asciiTheme="minorHAnsi" w:hAnsiTheme="minorHAnsi" w:cstheme="minorHAnsi"/>
          <w:sz w:val="20"/>
          <w:szCs w:val="20"/>
        </w:rPr>
      </w:pPr>
    </w:p>
    <w:p w14:paraId="6C13349E" w14:textId="10BB5DEF" w:rsidR="00CD50FF" w:rsidRPr="00E36CFF" w:rsidRDefault="00CD50FF">
      <w:pPr>
        <w:pStyle w:val="Paragraphedeliste"/>
        <w:numPr>
          <w:ilvl w:val="2"/>
          <w:numId w:val="23"/>
        </w:numPr>
        <w:ind w:left="709"/>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veille à ce que le nom et la fonction de l’analyste de notation en chef ayant participé à une activité de notation donnée, ainsi que le nom et la position de la personne ayant assumé la responsabilité première de l’approbation de la notation, soient indiqués de manière claire et bien visible dans cette notation. </w:t>
      </w:r>
    </w:p>
    <w:p w14:paraId="3AD97282" w14:textId="77777777" w:rsidR="00CD50FF" w:rsidRPr="00E36CFF" w:rsidRDefault="00CD50FF" w:rsidP="00E36CFF">
      <w:pPr>
        <w:pStyle w:val="Paragraphedeliste"/>
        <w:ind w:left="1134"/>
        <w:jc w:val="both"/>
        <w:rPr>
          <w:rFonts w:asciiTheme="minorHAnsi" w:hAnsiTheme="minorHAnsi" w:cstheme="minorHAnsi"/>
          <w:sz w:val="20"/>
          <w:szCs w:val="20"/>
        </w:rPr>
      </w:pPr>
    </w:p>
    <w:p w14:paraId="76D47454" w14:textId="7F0F596F" w:rsidR="00CD50FF" w:rsidRPr="00E36CFF" w:rsidRDefault="00CD50FF">
      <w:pPr>
        <w:pStyle w:val="Paragraphedeliste"/>
        <w:numPr>
          <w:ilvl w:val="2"/>
          <w:numId w:val="23"/>
        </w:numPr>
        <w:ind w:left="709"/>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veille au moins</w:t>
      </w:r>
      <w:r w:rsidR="005760C0">
        <w:rPr>
          <w:rFonts w:asciiTheme="minorHAnsi" w:hAnsiTheme="minorHAnsi" w:cstheme="minorHAnsi"/>
          <w:sz w:val="20"/>
          <w:szCs w:val="20"/>
        </w:rPr>
        <w:t xml:space="preserve"> </w:t>
      </w:r>
      <w:r w:rsidRPr="00E36CFF">
        <w:rPr>
          <w:rFonts w:asciiTheme="minorHAnsi" w:hAnsiTheme="minorHAnsi" w:cstheme="minorHAnsi"/>
          <w:sz w:val="20"/>
          <w:szCs w:val="20"/>
        </w:rPr>
        <w:t xml:space="preserve">: </w:t>
      </w:r>
    </w:p>
    <w:p w14:paraId="714AC0AD" w14:textId="77777777" w:rsidR="00CD50FF" w:rsidRPr="00E36CFF" w:rsidRDefault="00CD50FF" w:rsidP="00E36CFF">
      <w:pPr>
        <w:pStyle w:val="Paragraphedeliste"/>
        <w:jc w:val="both"/>
        <w:rPr>
          <w:rFonts w:asciiTheme="minorHAnsi" w:hAnsiTheme="minorHAnsi" w:cstheme="minorHAnsi"/>
          <w:sz w:val="20"/>
          <w:szCs w:val="20"/>
        </w:rPr>
      </w:pPr>
    </w:p>
    <w:p w14:paraId="5D067856" w14:textId="2E9FA6F4" w:rsidR="00CD50FF" w:rsidRPr="00E36CFF" w:rsidRDefault="001A7537" w:rsidP="00CB714B">
      <w:pPr>
        <w:pStyle w:val="Paragraphedeliste"/>
        <w:ind w:left="1440"/>
        <w:jc w:val="both"/>
        <w:rPr>
          <w:rFonts w:asciiTheme="minorHAnsi" w:hAnsiTheme="minorHAnsi" w:cstheme="minorHAnsi"/>
          <w:sz w:val="20"/>
          <w:szCs w:val="20"/>
        </w:rPr>
      </w:pPr>
      <w:r>
        <w:rPr>
          <w:rFonts w:asciiTheme="minorHAnsi" w:hAnsiTheme="minorHAnsi" w:cstheme="minorHAnsi"/>
          <w:sz w:val="20"/>
          <w:szCs w:val="20"/>
        </w:rPr>
        <w:t xml:space="preserve">a) </w:t>
      </w:r>
      <w:r w:rsidR="00CD50FF" w:rsidRPr="00E36CFF">
        <w:rPr>
          <w:rFonts w:asciiTheme="minorHAnsi" w:hAnsiTheme="minorHAnsi" w:cstheme="minorHAnsi"/>
          <w:sz w:val="20"/>
          <w:szCs w:val="20"/>
        </w:rPr>
        <w:t>à indiquer toutes les sources substantiellement importantes, y compris l’entité notée ou, le cas échéant, un tiers lié, qui ont été utilisées pour préparer la notation, et à préciser si la notation a été communiquée à l’entité notée ou à ce tiers lié et modifiée à la suite de cette communication avant d’être émise;</w:t>
      </w:r>
    </w:p>
    <w:p w14:paraId="1159D417" w14:textId="77777777" w:rsidR="00CD50FF" w:rsidRPr="00E36CFF" w:rsidRDefault="00CD50FF" w:rsidP="00E36CFF">
      <w:pPr>
        <w:pStyle w:val="Paragraphedeliste"/>
        <w:ind w:left="1440"/>
        <w:jc w:val="both"/>
        <w:rPr>
          <w:rFonts w:asciiTheme="minorHAnsi" w:hAnsiTheme="minorHAnsi" w:cstheme="minorHAnsi"/>
          <w:sz w:val="20"/>
          <w:szCs w:val="20"/>
        </w:rPr>
      </w:pPr>
    </w:p>
    <w:p w14:paraId="4B58015C" w14:textId="7A77B543" w:rsidR="00CD50FF" w:rsidRPr="00E36CFF" w:rsidRDefault="00CD50FF">
      <w:pPr>
        <w:pStyle w:val="Paragraphedeliste"/>
        <w:numPr>
          <w:ilvl w:val="1"/>
          <w:numId w:val="13"/>
        </w:numPr>
        <w:jc w:val="both"/>
        <w:rPr>
          <w:rFonts w:asciiTheme="minorHAnsi" w:hAnsiTheme="minorHAnsi" w:cstheme="minorHAnsi"/>
          <w:sz w:val="20"/>
          <w:szCs w:val="20"/>
        </w:rPr>
      </w:pPr>
      <w:r w:rsidRPr="00E36CFF">
        <w:rPr>
          <w:rFonts w:asciiTheme="minorHAnsi" w:hAnsiTheme="minorHAnsi" w:cstheme="minorHAnsi"/>
          <w:sz w:val="20"/>
          <w:szCs w:val="20"/>
        </w:rPr>
        <w:t>à indiquer clairement la principale méthode ou la version de cette méthode qui a été utilisée pour établir la notation, avec renvoi à sa description complète; lorsque la notation a été établie à partir de plusieurs méthodes, ou lorsqu’un renvoi exclusif à la principale méthode utilisée pourrait amener les investisseurs à négliger d’autres aspects importants de la notation, y compris tout ajustement important ou toute déviation significative,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l’explique dans sa notation, en indiquant comment celle-ci reflète les différentes méthodes utilisées ou ces autres aspects;</w:t>
      </w:r>
    </w:p>
    <w:p w14:paraId="20CFC0E1" w14:textId="77777777" w:rsidR="00CD50FF" w:rsidRPr="00E36CFF" w:rsidRDefault="00CD50FF" w:rsidP="00E36CFF">
      <w:pPr>
        <w:pStyle w:val="Paragraphedeliste"/>
        <w:jc w:val="both"/>
        <w:rPr>
          <w:rFonts w:asciiTheme="minorHAnsi" w:hAnsiTheme="minorHAnsi" w:cstheme="minorHAnsi"/>
          <w:sz w:val="20"/>
          <w:szCs w:val="20"/>
        </w:rPr>
      </w:pPr>
    </w:p>
    <w:p w14:paraId="20D2DBF0" w14:textId="5D71C53F" w:rsidR="00CD50FF" w:rsidRPr="00E36CFF" w:rsidRDefault="00CD50FF">
      <w:pPr>
        <w:pStyle w:val="Paragraphedeliste"/>
        <w:numPr>
          <w:ilvl w:val="1"/>
          <w:numId w:val="13"/>
        </w:numPr>
        <w:jc w:val="both"/>
        <w:rPr>
          <w:rFonts w:asciiTheme="minorHAnsi" w:hAnsiTheme="minorHAnsi" w:cstheme="minorHAnsi"/>
          <w:sz w:val="20"/>
          <w:szCs w:val="20"/>
        </w:rPr>
      </w:pPr>
      <w:r w:rsidRPr="00E36CFF">
        <w:rPr>
          <w:rFonts w:asciiTheme="minorHAnsi" w:hAnsiTheme="minorHAnsi" w:cstheme="minorHAnsi"/>
          <w:sz w:val="20"/>
          <w:szCs w:val="20"/>
        </w:rPr>
        <w:t xml:space="preserve">à expliquer la signification de chaque catégorie de notation, la définition des notions de défaut et de rétablissement et tout avertissement pertinent émis en ce qui concerne les risques, y </w:t>
      </w:r>
      <w:r w:rsidRPr="00E36CFF">
        <w:rPr>
          <w:rFonts w:asciiTheme="minorHAnsi" w:hAnsiTheme="minorHAnsi" w:cstheme="minorHAnsi"/>
          <w:sz w:val="20"/>
          <w:szCs w:val="20"/>
        </w:rPr>
        <w:lastRenderedPageBreak/>
        <w:t xml:space="preserve">compris une analyse de la sensibilité aux risques des principales hypothèses de notation, telles que les hypothèses mathématiques et corrélatives, assortie des </w:t>
      </w:r>
      <w:r w:rsidR="007079B2">
        <w:rPr>
          <w:rFonts w:asciiTheme="minorHAnsi" w:hAnsiTheme="minorHAnsi" w:cstheme="minorHAnsi"/>
          <w:sz w:val="20"/>
          <w:szCs w:val="20"/>
        </w:rPr>
        <w:t>notations</w:t>
      </w:r>
      <w:r w:rsidRPr="00E36CFF">
        <w:rPr>
          <w:rFonts w:asciiTheme="minorHAnsi" w:hAnsiTheme="minorHAnsi" w:cstheme="minorHAnsi"/>
          <w:sz w:val="20"/>
          <w:szCs w:val="20"/>
        </w:rPr>
        <w:t xml:space="preserve"> possibles en cas de scénario le plus défavorable ou, au contraire, le plus favorable; </w:t>
      </w:r>
    </w:p>
    <w:p w14:paraId="544C55E9" w14:textId="77777777" w:rsidR="00CD50FF" w:rsidRPr="00E36CFF" w:rsidRDefault="00CD50FF" w:rsidP="00E36CFF">
      <w:pPr>
        <w:pStyle w:val="Paragraphedeliste"/>
        <w:jc w:val="both"/>
        <w:rPr>
          <w:rFonts w:asciiTheme="minorHAnsi" w:hAnsiTheme="minorHAnsi" w:cstheme="minorHAnsi"/>
          <w:sz w:val="20"/>
          <w:szCs w:val="20"/>
        </w:rPr>
      </w:pPr>
    </w:p>
    <w:p w14:paraId="483162E1" w14:textId="1C101D11" w:rsidR="00CD50FF" w:rsidRPr="00E36CFF" w:rsidRDefault="00CD50FF">
      <w:pPr>
        <w:pStyle w:val="Paragraphedeliste"/>
        <w:numPr>
          <w:ilvl w:val="1"/>
          <w:numId w:val="13"/>
        </w:numPr>
        <w:jc w:val="both"/>
        <w:rPr>
          <w:rFonts w:asciiTheme="minorHAnsi" w:hAnsiTheme="minorHAnsi" w:cstheme="minorHAnsi"/>
          <w:sz w:val="20"/>
          <w:szCs w:val="20"/>
        </w:rPr>
      </w:pPr>
      <w:r w:rsidRPr="00E36CFF">
        <w:rPr>
          <w:rFonts w:asciiTheme="minorHAnsi" w:hAnsiTheme="minorHAnsi" w:cstheme="minorHAnsi"/>
          <w:sz w:val="20"/>
          <w:szCs w:val="20"/>
        </w:rPr>
        <w:t xml:space="preserve">à mentionner la date à laquelle la notation a été pour la première fois publiée pour diffusion et à indiquer de manière claire et visible la date à laquelle elle a été actualisée en dernier lieu; et </w:t>
      </w:r>
    </w:p>
    <w:p w14:paraId="29AB27AF" w14:textId="77777777" w:rsidR="00CD50FF" w:rsidRPr="00E36CFF" w:rsidRDefault="00CD50FF" w:rsidP="00E36CFF">
      <w:pPr>
        <w:pStyle w:val="Paragraphedeliste"/>
        <w:jc w:val="both"/>
        <w:rPr>
          <w:rFonts w:asciiTheme="minorHAnsi" w:hAnsiTheme="minorHAnsi" w:cstheme="minorHAnsi"/>
          <w:sz w:val="20"/>
          <w:szCs w:val="20"/>
        </w:rPr>
      </w:pPr>
    </w:p>
    <w:p w14:paraId="23A79239" w14:textId="488BCD20" w:rsidR="00CD50FF" w:rsidRPr="00E36CFF" w:rsidRDefault="00CD50FF">
      <w:pPr>
        <w:pStyle w:val="Paragraphedeliste"/>
        <w:numPr>
          <w:ilvl w:val="1"/>
          <w:numId w:val="13"/>
        </w:numPr>
        <w:jc w:val="both"/>
        <w:rPr>
          <w:rFonts w:asciiTheme="minorHAnsi" w:hAnsiTheme="minorHAnsi" w:cstheme="minorHAnsi"/>
          <w:sz w:val="20"/>
          <w:szCs w:val="20"/>
        </w:rPr>
      </w:pPr>
      <w:r w:rsidRPr="00E36CFF">
        <w:rPr>
          <w:rFonts w:asciiTheme="minorHAnsi" w:hAnsiTheme="minorHAnsi" w:cstheme="minorHAnsi"/>
          <w:sz w:val="20"/>
          <w:szCs w:val="20"/>
        </w:rPr>
        <w:t>à indiquer si la notation concerne un instrument financier nouvellement émis et si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évalue cet instrument pour la première fois. </w:t>
      </w:r>
    </w:p>
    <w:p w14:paraId="6EA1573E" w14:textId="77777777" w:rsidR="00CD50FF" w:rsidRPr="00E36CFF" w:rsidRDefault="00CD50FF" w:rsidP="00E36CFF">
      <w:pPr>
        <w:pStyle w:val="Paragraphedeliste"/>
        <w:jc w:val="both"/>
        <w:rPr>
          <w:rFonts w:asciiTheme="minorHAnsi" w:hAnsiTheme="minorHAnsi" w:cstheme="minorHAnsi"/>
          <w:sz w:val="20"/>
          <w:szCs w:val="20"/>
        </w:rPr>
      </w:pPr>
    </w:p>
    <w:p w14:paraId="50C374E9" w14:textId="30B7AF29" w:rsidR="00CD50FF" w:rsidRPr="00E36CFF" w:rsidRDefault="00CD50FF">
      <w:pPr>
        <w:pStyle w:val="Paragraphedeliste"/>
        <w:numPr>
          <w:ilvl w:val="2"/>
          <w:numId w:val="23"/>
        </w:numPr>
        <w:ind w:left="1134"/>
        <w:jc w:val="both"/>
        <w:rPr>
          <w:rFonts w:asciiTheme="minorHAnsi" w:hAnsiTheme="minorHAnsi" w:cstheme="minorHAnsi"/>
          <w:sz w:val="20"/>
          <w:szCs w:val="20"/>
        </w:rPr>
      </w:pPr>
      <w:r w:rsidRPr="00E36CFF">
        <w:rPr>
          <w:rFonts w:asciiTheme="minorHAnsi" w:hAnsiTheme="minorHAnsi" w:cstheme="minorHAnsi"/>
          <w:sz w:val="20"/>
          <w:szCs w:val="20"/>
        </w:rPr>
        <w:t>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informe l’entité notée, au moins douze (12) heures avant la publication, du résultat de la notation de crédit ainsi que des motifs essentiels sur lesquels celle-ci se fonde, afin que l’entité concernée ait la possibilité de signaler à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toute erreur matérielle. </w:t>
      </w:r>
    </w:p>
    <w:p w14:paraId="0DB5B80A" w14:textId="77777777" w:rsidR="00CD50FF" w:rsidRPr="00E36CFF" w:rsidRDefault="00CD50FF" w:rsidP="00E36CFF">
      <w:pPr>
        <w:pStyle w:val="Paragraphedeliste"/>
        <w:ind w:left="1134"/>
        <w:jc w:val="both"/>
        <w:rPr>
          <w:rFonts w:asciiTheme="minorHAnsi" w:hAnsiTheme="minorHAnsi" w:cstheme="minorHAnsi"/>
          <w:sz w:val="20"/>
          <w:szCs w:val="20"/>
        </w:rPr>
      </w:pPr>
    </w:p>
    <w:p w14:paraId="7AB70626" w14:textId="3B362E99" w:rsidR="00E36CFF" w:rsidRPr="00E36CFF" w:rsidRDefault="00CD50FF">
      <w:pPr>
        <w:pStyle w:val="Paragraphedeliste"/>
        <w:numPr>
          <w:ilvl w:val="2"/>
          <w:numId w:val="23"/>
        </w:numPr>
        <w:ind w:left="1134"/>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indique de manière claire et visible, lors de la publication des </w:t>
      </w:r>
      <w:r w:rsidR="007079B2">
        <w:rPr>
          <w:rFonts w:asciiTheme="minorHAnsi" w:hAnsiTheme="minorHAnsi" w:cstheme="minorHAnsi"/>
          <w:sz w:val="20"/>
          <w:szCs w:val="20"/>
        </w:rPr>
        <w:t>notations</w:t>
      </w:r>
      <w:r w:rsidRPr="00E36CFF">
        <w:rPr>
          <w:rFonts w:asciiTheme="minorHAnsi" w:hAnsiTheme="minorHAnsi" w:cstheme="minorHAnsi"/>
          <w:sz w:val="20"/>
          <w:szCs w:val="20"/>
        </w:rPr>
        <w:t xml:space="preserve">, l’ensemble des limites et attributs éventuels de ces </w:t>
      </w:r>
      <w:r w:rsidR="007079B2">
        <w:rPr>
          <w:rFonts w:asciiTheme="minorHAnsi" w:hAnsiTheme="minorHAnsi" w:cstheme="minorHAnsi"/>
          <w:sz w:val="20"/>
          <w:szCs w:val="20"/>
        </w:rPr>
        <w:t>notations</w:t>
      </w:r>
      <w:r w:rsidRPr="00E36CFF">
        <w:rPr>
          <w:rFonts w:asciiTheme="minorHAnsi" w:hAnsiTheme="minorHAnsi" w:cstheme="minorHAnsi"/>
          <w:sz w:val="20"/>
          <w:szCs w:val="20"/>
        </w:rPr>
        <w:t>. En particulier, elle indique de manière visible, lors de la publication de toute notation, si elle juge satisfaisante la qualité des informations disponibles sur l’entité notée, ainsi que la mesure dans laquelle elle a vérifié les informations qui lui ont été fournies par cette entité notée ou par un tiers lié. Si la notation porte sur un type d’entité ou d’instrument financier pour lequel il existe peu de données historiques,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indique, de manière claire et visible, les limites présentées par cette notation. </w:t>
      </w:r>
    </w:p>
    <w:p w14:paraId="5A73E52D" w14:textId="77777777" w:rsidR="00E36CFF" w:rsidRPr="00E36CFF" w:rsidRDefault="00E36CFF" w:rsidP="00E36CFF">
      <w:pPr>
        <w:pStyle w:val="Paragraphedeliste"/>
        <w:jc w:val="both"/>
        <w:rPr>
          <w:rFonts w:asciiTheme="minorHAnsi" w:hAnsiTheme="minorHAnsi" w:cstheme="minorHAnsi"/>
          <w:sz w:val="20"/>
          <w:szCs w:val="20"/>
        </w:rPr>
      </w:pPr>
    </w:p>
    <w:p w14:paraId="4187495E" w14:textId="64D7C886" w:rsidR="00CD50FF" w:rsidRPr="00E36CFF" w:rsidRDefault="00CD50FF" w:rsidP="00E36CFF">
      <w:pPr>
        <w:pStyle w:val="Paragraphedeliste"/>
        <w:ind w:left="1134"/>
        <w:jc w:val="both"/>
        <w:rPr>
          <w:rFonts w:asciiTheme="minorHAnsi" w:hAnsiTheme="minorHAnsi" w:cstheme="minorHAnsi"/>
          <w:sz w:val="20"/>
          <w:szCs w:val="20"/>
        </w:rPr>
      </w:pPr>
      <w:r w:rsidRPr="00E36CFF">
        <w:rPr>
          <w:rFonts w:asciiTheme="minorHAnsi" w:hAnsiTheme="minorHAnsi" w:cstheme="minorHAnsi"/>
          <w:sz w:val="20"/>
          <w:szCs w:val="20"/>
        </w:rPr>
        <w:t xml:space="preserve">Lorsque l’absence de données fiables ou la complexité de la structure d’un nouveau type d’instrument financier ou la qualité insuffisante des informations disponibles mettent sérieusement en doute la capacité d’une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à émettre une notation crédible,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s’abstient d’émettre une notation ou retire sa notation existante. </w:t>
      </w:r>
    </w:p>
    <w:p w14:paraId="1037264D" w14:textId="77777777" w:rsidR="00CD50FF" w:rsidRPr="00E36CFF" w:rsidRDefault="00CD50FF" w:rsidP="00E36CFF">
      <w:pPr>
        <w:pStyle w:val="Paragraphedeliste"/>
        <w:ind w:left="1134"/>
        <w:jc w:val="both"/>
        <w:rPr>
          <w:rFonts w:asciiTheme="minorHAnsi" w:hAnsiTheme="minorHAnsi" w:cstheme="minorHAnsi"/>
          <w:sz w:val="20"/>
          <w:szCs w:val="20"/>
        </w:rPr>
      </w:pPr>
    </w:p>
    <w:p w14:paraId="15CBC76B" w14:textId="6D157C8D" w:rsidR="00E36CFF" w:rsidRPr="00E36CFF" w:rsidRDefault="00CD50FF">
      <w:pPr>
        <w:pStyle w:val="Paragraphedeliste"/>
        <w:numPr>
          <w:ilvl w:val="2"/>
          <w:numId w:val="23"/>
        </w:numPr>
        <w:ind w:left="1134"/>
        <w:jc w:val="both"/>
        <w:rPr>
          <w:rFonts w:asciiTheme="minorHAnsi" w:hAnsiTheme="minorHAnsi" w:cstheme="minorHAnsi"/>
          <w:sz w:val="20"/>
          <w:szCs w:val="20"/>
        </w:rPr>
      </w:pPr>
      <w:r w:rsidRPr="00E36CFF">
        <w:rPr>
          <w:rFonts w:asciiTheme="minorHAnsi" w:hAnsiTheme="minorHAnsi" w:cstheme="minorHAnsi"/>
          <w:sz w:val="20"/>
          <w:szCs w:val="20"/>
        </w:rPr>
        <w:t xml:space="preserve">Lors de l’annonce d’une notation, 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explique dans ses communiqués de presse ou ses rapports les principaux éléments sous-tendant cette notation. </w:t>
      </w:r>
    </w:p>
    <w:p w14:paraId="4014D63D" w14:textId="77777777" w:rsidR="00E36CFF" w:rsidRPr="00E36CFF" w:rsidRDefault="00E36CFF" w:rsidP="00E36CFF">
      <w:pPr>
        <w:pStyle w:val="Paragraphedeliste"/>
        <w:ind w:left="1134"/>
        <w:jc w:val="both"/>
        <w:rPr>
          <w:rFonts w:asciiTheme="minorHAnsi" w:hAnsiTheme="minorHAnsi" w:cstheme="minorHAnsi"/>
          <w:sz w:val="20"/>
          <w:szCs w:val="20"/>
        </w:rPr>
      </w:pPr>
    </w:p>
    <w:p w14:paraId="727F82F4" w14:textId="0E6BD96B" w:rsidR="00CD50FF" w:rsidRPr="00E36CFF" w:rsidRDefault="00CD50FF" w:rsidP="00E36CFF">
      <w:pPr>
        <w:pStyle w:val="Paragraphedeliste"/>
        <w:ind w:left="1134"/>
        <w:jc w:val="both"/>
        <w:rPr>
          <w:rFonts w:asciiTheme="minorHAnsi" w:hAnsiTheme="minorHAnsi" w:cstheme="minorHAnsi"/>
          <w:sz w:val="20"/>
          <w:szCs w:val="20"/>
        </w:rPr>
      </w:pPr>
      <w:r w:rsidRPr="00E36CFF">
        <w:rPr>
          <w:rFonts w:asciiTheme="minorHAnsi" w:hAnsiTheme="minorHAnsi" w:cstheme="minorHAnsi"/>
          <w:sz w:val="20"/>
          <w:szCs w:val="20"/>
        </w:rPr>
        <w:t>Lorsque les obligations d’information prévues aux points 1, 2 et 4 risquent d’être disproportionnées par rapport à la longueur du rapport diffusé, il suffit de faire référence, de manière claire et visible dans le rapport lui-même, à l’endroit où les informations requises peuvent être directement et aisément consultées par le public, y compris par l’indication d’un lien direct vers ces informations sur un site internet approprié de l’agence de notation.</w:t>
      </w:r>
    </w:p>
    <w:p w14:paraId="10381346" w14:textId="52481535" w:rsidR="00E36CFF" w:rsidRPr="00E36CFF" w:rsidRDefault="00E36CFF" w:rsidP="00E36CFF">
      <w:pPr>
        <w:jc w:val="both"/>
        <w:rPr>
          <w:rFonts w:asciiTheme="minorHAnsi" w:hAnsiTheme="minorHAnsi" w:cstheme="minorHAnsi"/>
          <w:sz w:val="20"/>
          <w:szCs w:val="20"/>
        </w:rPr>
      </w:pPr>
    </w:p>
    <w:p w14:paraId="675E5582" w14:textId="5A809CBC" w:rsidR="00E36CFF" w:rsidRPr="007C692C" w:rsidRDefault="00E36CFF" w:rsidP="00E36CFF">
      <w:pPr>
        <w:tabs>
          <w:tab w:val="left" w:pos="1564"/>
        </w:tabs>
        <w:jc w:val="both"/>
        <w:rPr>
          <w:rFonts w:asciiTheme="minorHAnsi" w:hAnsiTheme="minorHAnsi" w:cstheme="minorHAnsi"/>
          <w:b/>
          <w:sz w:val="20"/>
          <w:szCs w:val="20"/>
        </w:rPr>
      </w:pPr>
      <w:r w:rsidRPr="007C692C">
        <w:rPr>
          <w:rFonts w:asciiTheme="minorHAnsi" w:hAnsiTheme="minorHAnsi" w:cstheme="minorHAnsi"/>
          <w:b/>
          <w:sz w:val="20"/>
          <w:szCs w:val="20"/>
        </w:rPr>
        <w:t xml:space="preserve">II. </w:t>
      </w:r>
      <w:r w:rsidRPr="007C692C">
        <w:rPr>
          <w:rFonts w:asciiTheme="minorHAnsi" w:hAnsiTheme="minorHAnsi" w:cstheme="minorHAnsi"/>
          <w:b/>
          <w:i/>
          <w:iCs/>
          <w:sz w:val="20"/>
          <w:szCs w:val="20"/>
        </w:rPr>
        <w:t xml:space="preserve">Obligations supplémentaires pour les </w:t>
      </w:r>
      <w:r w:rsidR="007079B2" w:rsidRPr="007C692C">
        <w:rPr>
          <w:rFonts w:asciiTheme="minorHAnsi" w:hAnsiTheme="minorHAnsi" w:cstheme="minorHAnsi"/>
          <w:b/>
          <w:i/>
          <w:iCs/>
          <w:sz w:val="20"/>
          <w:szCs w:val="20"/>
        </w:rPr>
        <w:t>notations</w:t>
      </w:r>
      <w:r w:rsidRPr="007C692C">
        <w:rPr>
          <w:rFonts w:asciiTheme="minorHAnsi" w:hAnsiTheme="minorHAnsi" w:cstheme="minorHAnsi"/>
          <w:b/>
          <w:i/>
          <w:iCs/>
          <w:sz w:val="20"/>
          <w:szCs w:val="20"/>
        </w:rPr>
        <w:t xml:space="preserve"> relatives aux instruments financiers structurés</w:t>
      </w:r>
      <w:r w:rsidRPr="007C692C">
        <w:rPr>
          <w:rFonts w:asciiTheme="minorHAnsi" w:hAnsiTheme="minorHAnsi" w:cstheme="minorHAnsi"/>
          <w:b/>
          <w:sz w:val="20"/>
          <w:szCs w:val="20"/>
        </w:rPr>
        <w:t xml:space="preserve"> </w:t>
      </w:r>
    </w:p>
    <w:p w14:paraId="002BE314" w14:textId="77777777" w:rsidR="00E36CFF" w:rsidRPr="00E36CFF" w:rsidRDefault="00E36CFF" w:rsidP="00E36CFF">
      <w:pPr>
        <w:tabs>
          <w:tab w:val="left" w:pos="1564"/>
        </w:tabs>
        <w:jc w:val="both"/>
        <w:rPr>
          <w:rFonts w:asciiTheme="minorHAnsi" w:hAnsiTheme="minorHAnsi" w:cstheme="minorHAnsi"/>
          <w:sz w:val="20"/>
          <w:szCs w:val="20"/>
        </w:rPr>
      </w:pPr>
    </w:p>
    <w:p w14:paraId="716F4106" w14:textId="79E83928" w:rsidR="00E36CFF" w:rsidRPr="00E36CFF" w:rsidRDefault="00E36CFF">
      <w:pPr>
        <w:pStyle w:val="Paragraphedeliste"/>
        <w:numPr>
          <w:ilvl w:val="0"/>
          <w:numId w:val="24"/>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Lorsqu’une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note un instrument financier structuré, elle fournit, dans sa notation, toutes les informations concernant l’analyse des pertes et des flux de trésorerie qu’elle a effectuée ou sur laquelle elle se fonde ainsi qu’une indication de tout changement attendu de la notation.</w:t>
      </w:r>
    </w:p>
    <w:p w14:paraId="3083A548" w14:textId="77777777" w:rsidR="00E36CFF" w:rsidRPr="00E36CFF" w:rsidRDefault="00E36CFF" w:rsidP="00E36CFF">
      <w:pPr>
        <w:pStyle w:val="Paragraphedeliste"/>
        <w:tabs>
          <w:tab w:val="left" w:pos="1564"/>
        </w:tabs>
        <w:jc w:val="both"/>
        <w:rPr>
          <w:rFonts w:asciiTheme="minorHAnsi" w:hAnsiTheme="minorHAnsi" w:cstheme="minorHAnsi"/>
          <w:sz w:val="20"/>
          <w:szCs w:val="20"/>
        </w:rPr>
      </w:pPr>
    </w:p>
    <w:p w14:paraId="36F1664A" w14:textId="71559A40" w:rsidR="00E36CFF" w:rsidRPr="00E36CFF" w:rsidRDefault="00E36CFF">
      <w:pPr>
        <w:pStyle w:val="Paragraphedeliste"/>
        <w:numPr>
          <w:ilvl w:val="0"/>
          <w:numId w:val="24"/>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indique à quel niveau elle a évalué les procédures de saine diligence mises en œuvre à l’échelon des instruments financiers ou autres actifs sous-jacents aux instruments financiers structurés. Elle révèle si elle a procédé elle-même à une évaluation de ces procédures de saine diligence ou si elle s’est appuyée sur l’évaluation d’un tiers et précise comment les conclusions de cette évaluation ont influencé sa notation.</w:t>
      </w:r>
    </w:p>
    <w:p w14:paraId="65EDFE32" w14:textId="77777777" w:rsidR="00E36CFF" w:rsidRPr="00E36CFF" w:rsidRDefault="00E36CFF" w:rsidP="00E36CFF">
      <w:pPr>
        <w:pStyle w:val="Paragraphedeliste"/>
        <w:jc w:val="both"/>
        <w:rPr>
          <w:rFonts w:asciiTheme="minorHAnsi" w:hAnsiTheme="minorHAnsi" w:cstheme="minorHAnsi"/>
          <w:sz w:val="20"/>
          <w:szCs w:val="20"/>
        </w:rPr>
      </w:pPr>
    </w:p>
    <w:p w14:paraId="32DBC066" w14:textId="77777777" w:rsidR="007C692C" w:rsidRDefault="00E36CFF" w:rsidP="007C692C">
      <w:pPr>
        <w:pStyle w:val="Paragraphedeliste"/>
        <w:numPr>
          <w:ilvl w:val="0"/>
          <w:numId w:val="24"/>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Lorsqu’une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émet des notations d’instruments financiers structurés, elle assortit la publication de ses méthodes, modèles et principales hypothèses de notation d’explications quant aux hypothèses, paramètres, limites et incertitudes qui entourent les modèles et les méthodes de notation qu’elle a utilisés pour cette notation, y compris les simulations de crise qu’elle a effectuées lors de son établissement. Ces explications sont claires et facilement compréhensibles.</w:t>
      </w:r>
    </w:p>
    <w:p w14:paraId="0CF6BA48" w14:textId="77777777" w:rsidR="007C692C" w:rsidRPr="007C692C" w:rsidRDefault="007C692C" w:rsidP="007C692C">
      <w:pPr>
        <w:pStyle w:val="Paragraphedeliste"/>
        <w:rPr>
          <w:rFonts w:asciiTheme="minorHAnsi" w:hAnsiTheme="minorHAnsi" w:cstheme="minorHAnsi"/>
          <w:sz w:val="20"/>
          <w:szCs w:val="20"/>
        </w:rPr>
      </w:pPr>
    </w:p>
    <w:p w14:paraId="33F348B1" w14:textId="3370E465" w:rsidR="00E36CFF" w:rsidRPr="007C692C" w:rsidRDefault="00E36CFF" w:rsidP="007C692C">
      <w:pPr>
        <w:pStyle w:val="Paragraphedeliste"/>
        <w:numPr>
          <w:ilvl w:val="0"/>
          <w:numId w:val="24"/>
        </w:numPr>
        <w:tabs>
          <w:tab w:val="left" w:pos="1564"/>
        </w:tabs>
        <w:jc w:val="both"/>
        <w:rPr>
          <w:rFonts w:asciiTheme="minorHAnsi" w:hAnsiTheme="minorHAnsi" w:cstheme="minorHAnsi"/>
          <w:sz w:val="20"/>
          <w:szCs w:val="20"/>
        </w:rPr>
      </w:pPr>
      <w:r w:rsidRPr="007C692C">
        <w:rPr>
          <w:rFonts w:asciiTheme="minorHAnsi" w:hAnsiTheme="minorHAnsi" w:cstheme="minorHAnsi"/>
          <w:sz w:val="20"/>
          <w:szCs w:val="20"/>
        </w:rPr>
        <w:t xml:space="preserve">Toute </w:t>
      </w:r>
      <w:r w:rsidR="0040270B" w:rsidRPr="007C692C">
        <w:rPr>
          <w:rFonts w:asciiTheme="minorHAnsi" w:hAnsiTheme="minorHAnsi" w:cstheme="minorHAnsi"/>
          <w:sz w:val="20"/>
          <w:szCs w:val="20"/>
        </w:rPr>
        <w:t xml:space="preserve">agence de notation </w:t>
      </w:r>
      <w:r w:rsidRPr="007C692C">
        <w:rPr>
          <w:rFonts w:asciiTheme="minorHAnsi" w:hAnsiTheme="minorHAnsi" w:cstheme="minorHAnsi"/>
          <w:sz w:val="20"/>
          <w:szCs w:val="20"/>
        </w:rPr>
        <w:t xml:space="preserve">publie, de façon permanente, des informations sur tous les produits financiers structurés soumis à leur première évaluation ou à une notation préliminaire. </w:t>
      </w:r>
    </w:p>
    <w:p w14:paraId="03A3F6EA" w14:textId="241F62EA" w:rsidR="00E36CFF" w:rsidRPr="00E36CFF" w:rsidRDefault="00E36CFF" w:rsidP="00E36CFF">
      <w:pPr>
        <w:tabs>
          <w:tab w:val="left" w:pos="1564"/>
        </w:tabs>
        <w:jc w:val="both"/>
        <w:rPr>
          <w:rFonts w:asciiTheme="minorHAnsi" w:hAnsiTheme="minorHAnsi" w:cstheme="minorHAnsi"/>
          <w:sz w:val="20"/>
          <w:szCs w:val="20"/>
        </w:rPr>
      </w:pPr>
    </w:p>
    <w:p w14:paraId="5524277C" w14:textId="001855B3" w:rsidR="00E36CFF" w:rsidRDefault="00E36CFF" w:rsidP="00E36CFF">
      <w:pPr>
        <w:tabs>
          <w:tab w:val="left" w:pos="1564"/>
        </w:tabs>
        <w:jc w:val="center"/>
        <w:rPr>
          <w:rFonts w:asciiTheme="minorHAnsi" w:hAnsiTheme="minorHAnsi" w:cstheme="minorHAnsi"/>
          <w:b/>
          <w:bCs/>
          <w:sz w:val="20"/>
          <w:szCs w:val="20"/>
        </w:rPr>
      </w:pPr>
      <w:r w:rsidRPr="00E36CFF">
        <w:rPr>
          <w:rFonts w:asciiTheme="minorHAnsi" w:hAnsiTheme="minorHAnsi" w:cstheme="minorHAnsi"/>
          <w:b/>
          <w:bCs/>
          <w:sz w:val="20"/>
          <w:szCs w:val="20"/>
        </w:rPr>
        <w:t>Section E</w:t>
      </w:r>
    </w:p>
    <w:p w14:paraId="409C55D2" w14:textId="77777777" w:rsidR="00FE0895" w:rsidRPr="00E36CFF" w:rsidRDefault="00FE0895" w:rsidP="00E36CFF">
      <w:pPr>
        <w:tabs>
          <w:tab w:val="left" w:pos="1564"/>
        </w:tabs>
        <w:jc w:val="center"/>
        <w:rPr>
          <w:rFonts w:asciiTheme="minorHAnsi" w:hAnsiTheme="minorHAnsi" w:cstheme="minorHAnsi"/>
          <w:b/>
          <w:bCs/>
          <w:sz w:val="20"/>
          <w:szCs w:val="20"/>
        </w:rPr>
      </w:pPr>
    </w:p>
    <w:p w14:paraId="448E3A74" w14:textId="6EA080B0" w:rsidR="00E36CFF" w:rsidRDefault="00E36CFF" w:rsidP="00E36CFF">
      <w:pPr>
        <w:tabs>
          <w:tab w:val="left" w:pos="1564"/>
        </w:tabs>
        <w:jc w:val="center"/>
        <w:rPr>
          <w:rFonts w:asciiTheme="minorHAnsi" w:hAnsiTheme="minorHAnsi" w:cstheme="minorHAnsi"/>
          <w:b/>
          <w:bCs/>
          <w:sz w:val="20"/>
          <w:szCs w:val="20"/>
        </w:rPr>
      </w:pPr>
      <w:r w:rsidRPr="00E36CFF">
        <w:rPr>
          <w:rFonts w:asciiTheme="minorHAnsi" w:hAnsiTheme="minorHAnsi" w:cstheme="minorHAnsi"/>
          <w:b/>
          <w:bCs/>
          <w:sz w:val="20"/>
          <w:szCs w:val="20"/>
        </w:rPr>
        <w:t>Publications</w:t>
      </w:r>
    </w:p>
    <w:p w14:paraId="1E75D0C8" w14:textId="77777777" w:rsidR="00E36CFF" w:rsidRPr="00E36CFF" w:rsidRDefault="00E36CFF" w:rsidP="00E36CFF">
      <w:pPr>
        <w:tabs>
          <w:tab w:val="left" w:pos="1564"/>
        </w:tabs>
        <w:jc w:val="center"/>
        <w:rPr>
          <w:rFonts w:asciiTheme="minorHAnsi" w:hAnsiTheme="minorHAnsi" w:cstheme="minorHAnsi"/>
          <w:b/>
          <w:bCs/>
          <w:sz w:val="20"/>
          <w:szCs w:val="20"/>
        </w:rPr>
      </w:pPr>
    </w:p>
    <w:p w14:paraId="7EEDD716" w14:textId="05615358" w:rsidR="00E36CFF" w:rsidRPr="000B5AF4" w:rsidRDefault="00E36CFF">
      <w:pPr>
        <w:pStyle w:val="Paragraphedeliste"/>
        <w:numPr>
          <w:ilvl w:val="2"/>
          <w:numId w:val="13"/>
        </w:numPr>
        <w:tabs>
          <w:tab w:val="left" w:pos="1564"/>
        </w:tabs>
        <w:ind w:left="851"/>
        <w:jc w:val="both"/>
        <w:rPr>
          <w:rFonts w:asciiTheme="minorHAnsi" w:hAnsiTheme="minorHAnsi" w:cstheme="minorHAnsi"/>
          <w:b/>
          <w:i/>
          <w:iCs/>
          <w:sz w:val="20"/>
          <w:szCs w:val="20"/>
        </w:rPr>
      </w:pPr>
      <w:r w:rsidRPr="000B5AF4">
        <w:rPr>
          <w:rFonts w:asciiTheme="minorHAnsi" w:hAnsiTheme="minorHAnsi" w:cstheme="minorHAnsi"/>
          <w:b/>
          <w:i/>
          <w:iCs/>
          <w:sz w:val="20"/>
          <w:szCs w:val="20"/>
        </w:rPr>
        <w:t xml:space="preserve">Publications de caractère général </w:t>
      </w:r>
    </w:p>
    <w:p w14:paraId="5C4581A7" w14:textId="77777777" w:rsidR="00E36CFF" w:rsidRPr="00E36CFF" w:rsidRDefault="00E36CFF" w:rsidP="00E36CFF">
      <w:pPr>
        <w:tabs>
          <w:tab w:val="left" w:pos="1564"/>
        </w:tabs>
        <w:jc w:val="both"/>
        <w:rPr>
          <w:rFonts w:asciiTheme="minorHAnsi" w:hAnsiTheme="minorHAnsi" w:cstheme="minorHAnsi"/>
          <w:sz w:val="20"/>
          <w:szCs w:val="20"/>
        </w:rPr>
      </w:pPr>
    </w:p>
    <w:p w14:paraId="1CA0CB7B" w14:textId="31D99877" w:rsidR="00E36CFF" w:rsidRPr="00E36CFF" w:rsidRDefault="00E36CFF" w:rsidP="00E36CFF">
      <w:p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D’une manière générale, 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rend publics le fait qu’elle est </w:t>
      </w:r>
      <w:r w:rsidR="00FE0895">
        <w:rPr>
          <w:rFonts w:asciiTheme="minorHAnsi" w:hAnsiTheme="minorHAnsi" w:cstheme="minorHAnsi"/>
          <w:sz w:val="20"/>
          <w:szCs w:val="20"/>
        </w:rPr>
        <w:t>agréée</w:t>
      </w:r>
      <w:r w:rsidR="009E41A7" w:rsidRPr="009E41A7">
        <w:rPr>
          <w:rFonts w:asciiTheme="minorHAnsi" w:hAnsiTheme="minorHAnsi" w:cstheme="minorHAnsi"/>
          <w:sz w:val="20"/>
          <w:szCs w:val="20"/>
        </w:rPr>
        <w:t xml:space="preserve"> </w:t>
      </w:r>
      <w:r w:rsidR="009E41A7">
        <w:rPr>
          <w:rFonts w:asciiTheme="minorHAnsi" w:hAnsiTheme="minorHAnsi" w:cstheme="minorHAnsi"/>
          <w:sz w:val="20"/>
          <w:szCs w:val="20"/>
        </w:rPr>
        <w:t xml:space="preserve">sur le </w:t>
      </w:r>
      <w:r w:rsidR="009E41A7" w:rsidRPr="00FE0895">
        <w:rPr>
          <w:rFonts w:asciiTheme="minorHAnsi" w:hAnsiTheme="minorHAnsi" w:cstheme="minorHAnsi"/>
          <w:sz w:val="20"/>
          <w:szCs w:val="20"/>
        </w:rPr>
        <w:t>marché financier</w:t>
      </w:r>
      <w:r w:rsidRPr="00E36CFF">
        <w:rPr>
          <w:rFonts w:asciiTheme="minorHAnsi" w:hAnsiTheme="minorHAnsi" w:cstheme="minorHAnsi"/>
          <w:sz w:val="20"/>
          <w:szCs w:val="20"/>
        </w:rPr>
        <w:t xml:space="preserve"> </w:t>
      </w:r>
      <w:r w:rsidR="009E41A7">
        <w:rPr>
          <w:rFonts w:asciiTheme="minorHAnsi" w:hAnsiTheme="minorHAnsi" w:cstheme="minorHAnsi"/>
          <w:sz w:val="20"/>
          <w:szCs w:val="20"/>
        </w:rPr>
        <w:t xml:space="preserve">régional </w:t>
      </w:r>
      <w:r w:rsidRPr="00E36CFF">
        <w:rPr>
          <w:rFonts w:asciiTheme="minorHAnsi" w:hAnsiTheme="minorHAnsi" w:cstheme="minorHAnsi"/>
          <w:sz w:val="20"/>
          <w:szCs w:val="20"/>
        </w:rPr>
        <w:t>ainsi que les informations suivantes</w:t>
      </w:r>
      <w:r>
        <w:rPr>
          <w:rFonts w:asciiTheme="minorHAnsi" w:hAnsiTheme="minorHAnsi" w:cstheme="minorHAnsi"/>
          <w:sz w:val="20"/>
          <w:szCs w:val="20"/>
        </w:rPr>
        <w:t xml:space="preserve"> </w:t>
      </w:r>
      <w:r w:rsidRPr="00E36CFF">
        <w:rPr>
          <w:rFonts w:asciiTheme="minorHAnsi" w:hAnsiTheme="minorHAnsi" w:cstheme="minorHAnsi"/>
          <w:sz w:val="20"/>
          <w:szCs w:val="20"/>
        </w:rPr>
        <w:t xml:space="preserve">: </w:t>
      </w:r>
    </w:p>
    <w:p w14:paraId="3DE80163" w14:textId="77777777" w:rsidR="00E36CFF" w:rsidRPr="00E36CFF" w:rsidRDefault="00E36CFF" w:rsidP="00E36CFF">
      <w:pPr>
        <w:tabs>
          <w:tab w:val="left" w:pos="1564"/>
        </w:tabs>
        <w:jc w:val="both"/>
        <w:rPr>
          <w:rFonts w:asciiTheme="minorHAnsi" w:hAnsiTheme="minorHAnsi" w:cstheme="minorHAnsi"/>
          <w:sz w:val="20"/>
          <w:szCs w:val="20"/>
        </w:rPr>
      </w:pPr>
    </w:p>
    <w:p w14:paraId="34E03813" w14:textId="4F75B05C" w:rsidR="00E36CFF" w:rsidRPr="00DD2A65" w:rsidRDefault="00E36CFF">
      <w:pPr>
        <w:pStyle w:val="Paragraphedeliste"/>
        <w:numPr>
          <w:ilvl w:val="0"/>
          <w:numId w:val="25"/>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les conflits d’intérêts réels et potentiels visés à la </w:t>
      </w:r>
      <w:r w:rsidRPr="00DD2A65">
        <w:rPr>
          <w:rFonts w:asciiTheme="minorHAnsi" w:hAnsiTheme="minorHAnsi" w:cstheme="minorHAnsi"/>
          <w:sz w:val="20"/>
          <w:szCs w:val="20"/>
        </w:rPr>
        <w:t xml:space="preserve">section B, point 1; </w:t>
      </w:r>
    </w:p>
    <w:p w14:paraId="19C3EBAA" w14:textId="20565EE8" w:rsidR="00E36CFF" w:rsidRPr="00E36CFF" w:rsidRDefault="00E36CFF">
      <w:pPr>
        <w:pStyle w:val="Paragraphedeliste"/>
        <w:numPr>
          <w:ilvl w:val="0"/>
          <w:numId w:val="25"/>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la liste de ses services accessoires; </w:t>
      </w:r>
    </w:p>
    <w:p w14:paraId="57B262EF" w14:textId="03BACCEC" w:rsidR="00E36CFF" w:rsidRPr="00E36CFF" w:rsidRDefault="00E36CFF">
      <w:pPr>
        <w:pStyle w:val="Paragraphedeliste"/>
        <w:numPr>
          <w:ilvl w:val="0"/>
          <w:numId w:val="25"/>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sa politique en matière de publication des </w:t>
      </w:r>
      <w:r w:rsidR="007079B2">
        <w:rPr>
          <w:rFonts w:asciiTheme="minorHAnsi" w:hAnsiTheme="minorHAnsi" w:cstheme="minorHAnsi"/>
          <w:sz w:val="20"/>
          <w:szCs w:val="20"/>
        </w:rPr>
        <w:t>notations</w:t>
      </w:r>
      <w:r w:rsidRPr="00E36CFF">
        <w:rPr>
          <w:rFonts w:asciiTheme="minorHAnsi" w:hAnsiTheme="minorHAnsi" w:cstheme="minorHAnsi"/>
          <w:sz w:val="20"/>
          <w:szCs w:val="20"/>
        </w:rPr>
        <w:t xml:space="preserve"> et des autres communications qui y sont liées; </w:t>
      </w:r>
    </w:p>
    <w:p w14:paraId="5FE38627" w14:textId="056655D1" w:rsidR="00E36CFF" w:rsidRPr="00E36CFF" w:rsidRDefault="00E36CFF">
      <w:pPr>
        <w:pStyle w:val="Paragraphedeliste"/>
        <w:numPr>
          <w:ilvl w:val="0"/>
          <w:numId w:val="25"/>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la nature générale de son régime de rémunération; </w:t>
      </w:r>
    </w:p>
    <w:p w14:paraId="7828D81D" w14:textId="30543C59" w:rsidR="00E36CFF" w:rsidRPr="00E36CFF" w:rsidRDefault="00E36CFF">
      <w:pPr>
        <w:pStyle w:val="Paragraphedeliste"/>
        <w:numPr>
          <w:ilvl w:val="0"/>
          <w:numId w:val="25"/>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les méthodes et les descriptions des modèles et des principales hypothèses de notation, telles que les hypothèses mathématiques ou corrélatives, qu’elle utilise dans ses activités de notation, ainsi que toute modification importante qu’elle y a apportée; </w:t>
      </w:r>
    </w:p>
    <w:p w14:paraId="3B931722" w14:textId="2A9BE82B" w:rsidR="00E36CFF" w:rsidRPr="00E36CFF" w:rsidRDefault="00B453BD">
      <w:pPr>
        <w:pStyle w:val="Paragraphedeliste"/>
        <w:numPr>
          <w:ilvl w:val="0"/>
          <w:numId w:val="25"/>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Toute</w:t>
      </w:r>
      <w:r w:rsidR="00E36CFF" w:rsidRPr="00E36CFF">
        <w:rPr>
          <w:rFonts w:asciiTheme="minorHAnsi" w:hAnsiTheme="minorHAnsi" w:cstheme="minorHAnsi"/>
          <w:sz w:val="20"/>
          <w:szCs w:val="20"/>
        </w:rPr>
        <w:t xml:space="preserve"> modification importante apportée à ses systèmes, ressources ou procédures; et </w:t>
      </w:r>
    </w:p>
    <w:p w14:paraId="245C150E" w14:textId="25334963" w:rsidR="00E36CFF" w:rsidRPr="00E36CFF" w:rsidRDefault="00E36CFF">
      <w:pPr>
        <w:pStyle w:val="Paragraphedeliste"/>
        <w:numPr>
          <w:ilvl w:val="0"/>
          <w:numId w:val="25"/>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son code de conduite, le cas échéant. </w:t>
      </w:r>
    </w:p>
    <w:p w14:paraId="584F742D" w14:textId="77777777" w:rsidR="00E36CFF" w:rsidRPr="00E36CFF" w:rsidRDefault="00E36CFF" w:rsidP="00E36CFF">
      <w:pPr>
        <w:tabs>
          <w:tab w:val="left" w:pos="1564"/>
        </w:tabs>
        <w:jc w:val="both"/>
        <w:rPr>
          <w:rFonts w:asciiTheme="minorHAnsi" w:hAnsiTheme="minorHAnsi" w:cstheme="minorHAnsi"/>
          <w:i/>
          <w:iCs/>
          <w:sz w:val="20"/>
          <w:szCs w:val="20"/>
        </w:rPr>
      </w:pPr>
    </w:p>
    <w:p w14:paraId="67467266" w14:textId="149F924B" w:rsidR="00E36CFF" w:rsidRPr="000B5AF4" w:rsidRDefault="00E36CFF">
      <w:pPr>
        <w:pStyle w:val="Paragraphedeliste"/>
        <w:numPr>
          <w:ilvl w:val="2"/>
          <w:numId w:val="13"/>
        </w:numPr>
        <w:tabs>
          <w:tab w:val="left" w:pos="1564"/>
        </w:tabs>
        <w:ind w:left="851"/>
        <w:jc w:val="both"/>
        <w:rPr>
          <w:rFonts w:asciiTheme="minorHAnsi" w:hAnsiTheme="minorHAnsi" w:cstheme="minorHAnsi"/>
          <w:b/>
          <w:i/>
          <w:iCs/>
          <w:sz w:val="20"/>
          <w:szCs w:val="20"/>
        </w:rPr>
      </w:pPr>
      <w:r w:rsidRPr="000B5AF4">
        <w:rPr>
          <w:rFonts w:asciiTheme="minorHAnsi" w:hAnsiTheme="minorHAnsi" w:cstheme="minorHAnsi"/>
          <w:b/>
          <w:i/>
          <w:iCs/>
          <w:sz w:val="20"/>
          <w:szCs w:val="20"/>
        </w:rPr>
        <w:t xml:space="preserve">Publications périodiques </w:t>
      </w:r>
    </w:p>
    <w:p w14:paraId="2E497782" w14:textId="77777777" w:rsidR="00E36CFF" w:rsidRPr="00E36CFF" w:rsidRDefault="00E36CFF" w:rsidP="00E36CFF">
      <w:pPr>
        <w:tabs>
          <w:tab w:val="left" w:pos="1564"/>
        </w:tabs>
        <w:jc w:val="both"/>
        <w:rPr>
          <w:rFonts w:asciiTheme="minorHAnsi" w:hAnsiTheme="minorHAnsi" w:cstheme="minorHAnsi"/>
          <w:sz w:val="20"/>
          <w:szCs w:val="20"/>
        </w:rPr>
      </w:pPr>
    </w:p>
    <w:p w14:paraId="1E57C079" w14:textId="3A267830" w:rsidR="00E36CFF" w:rsidRPr="00E36CFF" w:rsidRDefault="00E36CFF" w:rsidP="00E36CFF">
      <w:p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publie périodiquement les informations suivantes</w:t>
      </w:r>
      <w:r w:rsidR="00FE0895">
        <w:rPr>
          <w:rFonts w:asciiTheme="minorHAnsi" w:hAnsiTheme="minorHAnsi" w:cstheme="minorHAnsi"/>
          <w:sz w:val="20"/>
          <w:szCs w:val="20"/>
        </w:rPr>
        <w:t xml:space="preserve"> </w:t>
      </w:r>
      <w:r w:rsidRPr="00E36CFF">
        <w:rPr>
          <w:rFonts w:asciiTheme="minorHAnsi" w:hAnsiTheme="minorHAnsi" w:cstheme="minorHAnsi"/>
          <w:sz w:val="20"/>
          <w:szCs w:val="20"/>
        </w:rPr>
        <w:t xml:space="preserve">: </w:t>
      </w:r>
    </w:p>
    <w:p w14:paraId="673536BB" w14:textId="77777777" w:rsidR="00E36CFF" w:rsidRPr="00E36CFF" w:rsidRDefault="00E36CFF" w:rsidP="00E36CFF">
      <w:pPr>
        <w:tabs>
          <w:tab w:val="left" w:pos="1564"/>
        </w:tabs>
        <w:jc w:val="both"/>
        <w:rPr>
          <w:rFonts w:asciiTheme="minorHAnsi" w:hAnsiTheme="minorHAnsi" w:cstheme="minorHAnsi"/>
          <w:sz w:val="20"/>
          <w:szCs w:val="20"/>
        </w:rPr>
      </w:pPr>
    </w:p>
    <w:p w14:paraId="2AA82E38" w14:textId="70DD969C" w:rsidR="00E36CFF" w:rsidRPr="00E36CFF" w:rsidRDefault="00B453BD">
      <w:pPr>
        <w:pStyle w:val="Paragraphedeliste"/>
        <w:numPr>
          <w:ilvl w:val="0"/>
          <w:numId w:val="26"/>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Tous</w:t>
      </w:r>
      <w:r w:rsidR="00E36CFF" w:rsidRPr="00E36CFF">
        <w:rPr>
          <w:rFonts w:asciiTheme="minorHAnsi" w:hAnsiTheme="minorHAnsi" w:cstheme="minorHAnsi"/>
          <w:sz w:val="20"/>
          <w:szCs w:val="20"/>
        </w:rPr>
        <w:t xml:space="preserve"> les six </w:t>
      </w:r>
      <w:r w:rsidR="00FE0895">
        <w:rPr>
          <w:rFonts w:asciiTheme="minorHAnsi" w:hAnsiTheme="minorHAnsi" w:cstheme="minorHAnsi"/>
          <w:sz w:val="20"/>
          <w:szCs w:val="20"/>
        </w:rPr>
        <w:t xml:space="preserve">(6) </w:t>
      </w:r>
      <w:r w:rsidR="00E36CFF" w:rsidRPr="00E36CFF">
        <w:rPr>
          <w:rFonts w:asciiTheme="minorHAnsi" w:hAnsiTheme="minorHAnsi" w:cstheme="minorHAnsi"/>
          <w:sz w:val="20"/>
          <w:szCs w:val="20"/>
        </w:rPr>
        <w:t xml:space="preserve">mois, des données concernant les taux de défaut historiques de ses catégories de notation, en distinguant les principales zones géographiques des émetteurs et en indiquant, le cas échéant, l’évolution dans la durée de ces taux de défaut; </w:t>
      </w:r>
    </w:p>
    <w:p w14:paraId="61DB5120" w14:textId="77777777" w:rsidR="00E36CFF" w:rsidRPr="00E36CFF" w:rsidRDefault="00E36CFF" w:rsidP="00E36CFF">
      <w:pPr>
        <w:pStyle w:val="Paragraphedeliste"/>
        <w:tabs>
          <w:tab w:val="left" w:pos="1564"/>
        </w:tabs>
        <w:jc w:val="both"/>
        <w:rPr>
          <w:rFonts w:asciiTheme="minorHAnsi" w:hAnsiTheme="minorHAnsi" w:cstheme="minorHAnsi"/>
          <w:sz w:val="20"/>
          <w:szCs w:val="20"/>
        </w:rPr>
      </w:pPr>
    </w:p>
    <w:p w14:paraId="0E27B89E" w14:textId="7FE7E251" w:rsidR="00E36CFF" w:rsidRPr="00E36CFF" w:rsidRDefault="00B453BD">
      <w:pPr>
        <w:pStyle w:val="Paragraphedeliste"/>
        <w:numPr>
          <w:ilvl w:val="0"/>
          <w:numId w:val="26"/>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Tous</w:t>
      </w:r>
      <w:r w:rsidR="00E36CFF" w:rsidRPr="00E36CFF">
        <w:rPr>
          <w:rFonts w:asciiTheme="minorHAnsi" w:hAnsiTheme="minorHAnsi" w:cstheme="minorHAnsi"/>
          <w:sz w:val="20"/>
          <w:szCs w:val="20"/>
        </w:rPr>
        <w:t xml:space="preserve"> les ans, les informations suivantes : </w:t>
      </w:r>
    </w:p>
    <w:p w14:paraId="14C972CE" w14:textId="77777777" w:rsidR="00E36CFF" w:rsidRPr="00E36CFF" w:rsidRDefault="00E36CFF" w:rsidP="00E36CFF">
      <w:pPr>
        <w:tabs>
          <w:tab w:val="left" w:pos="1564"/>
        </w:tabs>
        <w:jc w:val="both"/>
        <w:rPr>
          <w:rFonts w:asciiTheme="minorHAnsi" w:hAnsiTheme="minorHAnsi" w:cstheme="minorHAnsi"/>
          <w:sz w:val="20"/>
          <w:szCs w:val="20"/>
        </w:rPr>
      </w:pPr>
    </w:p>
    <w:p w14:paraId="222022AA" w14:textId="7F5B39FA" w:rsidR="00E36CFF" w:rsidRPr="00E36CFF" w:rsidRDefault="00E36CFF">
      <w:pPr>
        <w:pStyle w:val="Paragraphedeliste"/>
        <w:numPr>
          <w:ilvl w:val="1"/>
          <w:numId w:val="26"/>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une liste de ses vingt </w:t>
      </w:r>
      <w:r w:rsidR="00FE0895">
        <w:rPr>
          <w:rFonts w:asciiTheme="minorHAnsi" w:hAnsiTheme="minorHAnsi" w:cstheme="minorHAnsi"/>
          <w:sz w:val="20"/>
          <w:szCs w:val="20"/>
        </w:rPr>
        <w:t xml:space="preserve">(20) </w:t>
      </w:r>
      <w:r w:rsidRPr="00E36CFF">
        <w:rPr>
          <w:rFonts w:asciiTheme="minorHAnsi" w:hAnsiTheme="minorHAnsi" w:cstheme="minorHAnsi"/>
          <w:sz w:val="20"/>
          <w:szCs w:val="20"/>
        </w:rPr>
        <w:t xml:space="preserve">plus gros clients, classés en fonction du chiffre d’affaires généré par eux; et </w:t>
      </w:r>
    </w:p>
    <w:p w14:paraId="3FF39AA9" w14:textId="77777777" w:rsidR="00E36CFF" w:rsidRPr="00E36CFF" w:rsidRDefault="00E36CFF" w:rsidP="00E36CFF">
      <w:pPr>
        <w:pStyle w:val="Paragraphedeliste"/>
        <w:tabs>
          <w:tab w:val="left" w:pos="1564"/>
        </w:tabs>
        <w:ind w:left="1440"/>
        <w:jc w:val="both"/>
        <w:rPr>
          <w:rFonts w:asciiTheme="minorHAnsi" w:hAnsiTheme="minorHAnsi" w:cstheme="minorHAnsi"/>
          <w:sz w:val="20"/>
          <w:szCs w:val="20"/>
        </w:rPr>
      </w:pPr>
    </w:p>
    <w:p w14:paraId="08D0CE1D" w14:textId="6AB7272B" w:rsidR="00E36CFF" w:rsidRPr="00E36CFF" w:rsidRDefault="00E36CFF">
      <w:pPr>
        <w:pStyle w:val="Paragraphedeliste"/>
        <w:numPr>
          <w:ilvl w:val="1"/>
          <w:numId w:val="26"/>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une liste des clients de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dont la contribution au taux de croissance du chiffre d’affaires généré au cours du précédent exercice a dépassé, d’un facteur supérieur à une fois et </w:t>
      </w:r>
      <w:r w:rsidR="00DD2A65" w:rsidRPr="00E36CFF">
        <w:rPr>
          <w:rFonts w:asciiTheme="minorHAnsi" w:hAnsiTheme="minorHAnsi" w:cstheme="minorHAnsi"/>
          <w:sz w:val="20"/>
          <w:szCs w:val="20"/>
        </w:rPr>
        <w:t>demi</w:t>
      </w:r>
      <w:r w:rsidRPr="00E36CFF">
        <w:rPr>
          <w:rFonts w:asciiTheme="minorHAnsi" w:hAnsiTheme="minorHAnsi" w:cstheme="minorHAnsi"/>
          <w:sz w:val="20"/>
          <w:szCs w:val="20"/>
        </w:rPr>
        <w:t xml:space="preserve">, le taux de croissance de l’ensemble du chiffre d’affaires de l’agence de notation. Chaque client ne peut être inscrit sur la liste que s’il a généré, au cours de l’exercice considéré, plus de 0,25 % du montant total du chiffre d’affaires mondial de l’agence de notation. </w:t>
      </w:r>
    </w:p>
    <w:p w14:paraId="3EE03552" w14:textId="77777777" w:rsidR="00E36CFF" w:rsidRPr="00E36CFF" w:rsidRDefault="00E36CFF" w:rsidP="00E36CFF">
      <w:pPr>
        <w:tabs>
          <w:tab w:val="left" w:pos="1564"/>
        </w:tabs>
        <w:jc w:val="both"/>
        <w:rPr>
          <w:rFonts w:asciiTheme="minorHAnsi" w:hAnsiTheme="minorHAnsi" w:cstheme="minorHAnsi"/>
          <w:sz w:val="20"/>
          <w:szCs w:val="20"/>
        </w:rPr>
      </w:pPr>
    </w:p>
    <w:p w14:paraId="1F7ADC77" w14:textId="45C9B096" w:rsidR="00E36CFF" w:rsidRPr="00E36CFF" w:rsidRDefault="00E36CFF" w:rsidP="00E36CFF">
      <w:p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Aux fins du présent point, on entend par «client» une entité, ses filiales et les entités liées dans lesquelles la première entité détient une participation de plus de 20 %, ainsi que toute autre entité pour laquelle elle a négocié la structuration d’une émission de titres de créance au nom d’un client, lorsqu’une commission a été directement ou indirectement versée à l’</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 xml:space="preserve">pour la notation de ces titres de créance. </w:t>
      </w:r>
    </w:p>
    <w:p w14:paraId="0CED79F5" w14:textId="77777777" w:rsidR="00E36CFF" w:rsidRPr="00E36CFF" w:rsidRDefault="00E36CFF" w:rsidP="00E36CFF">
      <w:pPr>
        <w:tabs>
          <w:tab w:val="left" w:pos="1564"/>
        </w:tabs>
        <w:jc w:val="both"/>
        <w:rPr>
          <w:rFonts w:asciiTheme="minorHAnsi" w:hAnsiTheme="minorHAnsi" w:cstheme="minorHAnsi"/>
          <w:i/>
          <w:iCs/>
          <w:sz w:val="20"/>
          <w:szCs w:val="20"/>
        </w:rPr>
      </w:pPr>
    </w:p>
    <w:p w14:paraId="1024F40B" w14:textId="74B2F78D" w:rsidR="00E36CFF" w:rsidRPr="000B5AF4" w:rsidRDefault="00E36CFF">
      <w:pPr>
        <w:pStyle w:val="Paragraphedeliste"/>
        <w:numPr>
          <w:ilvl w:val="2"/>
          <w:numId w:val="13"/>
        </w:numPr>
        <w:tabs>
          <w:tab w:val="left" w:pos="1564"/>
        </w:tabs>
        <w:ind w:left="851"/>
        <w:jc w:val="both"/>
        <w:rPr>
          <w:rFonts w:asciiTheme="minorHAnsi" w:hAnsiTheme="minorHAnsi" w:cstheme="minorHAnsi"/>
          <w:b/>
          <w:i/>
          <w:iCs/>
          <w:sz w:val="20"/>
          <w:szCs w:val="20"/>
        </w:rPr>
      </w:pPr>
      <w:r w:rsidRPr="000B5AF4">
        <w:rPr>
          <w:rFonts w:asciiTheme="minorHAnsi" w:hAnsiTheme="minorHAnsi" w:cstheme="minorHAnsi"/>
          <w:b/>
          <w:i/>
          <w:iCs/>
          <w:sz w:val="20"/>
          <w:szCs w:val="20"/>
        </w:rPr>
        <w:t xml:space="preserve">Rapport de transparence </w:t>
      </w:r>
    </w:p>
    <w:p w14:paraId="32135E9A" w14:textId="77777777" w:rsidR="00E36CFF" w:rsidRPr="00E36CFF" w:rsidRDefault="00E36CFF" w:rsidP="00E36CFF">
      <w:pPr>
        <w:tabs>
          <w:tab w:val="left" w:pos="1564"/>
        </w:tabs>
        <w:jc w:val="both"/>
        <w:rPr>
          <w:rFonts w:asciiTheme="minorHAnsi" w:hAnsiTheme="minorHAnsi" w:cstheme="minorHAnsi"/>
          <w:sz w:val="20"/>
          <w:szCs w:val="20"/>
        </w:rPr>
      </w:pPr>
    </w:p>
    <w:p w14:paraId="0AE7245E" w14:textId="37422798" w:rsidR="00E36CFF" w:rsidRPr="00E36CFF" w:rsidRDefault="00E36CFF" w:rsidP="00E36CFF">
      <w:p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Toute </w:t>
      </w:r>
      <w:r w:rsidR="0040270B">
        <w:rPr>
          <w:rFonts w:asciiTheme="minorHAnsi" w:hAnsiTheme="minorHAnsi" w:cstheme="minorHAnsi"/>
          <w:sz w:val="20"/>
          <w:szCs w:val="20"/>
        </w:rPr>
        <w:t xml:space="preserve">agence de notation </w:t>
      </w:r>
      <w:r w:rsidRPr="00E36CFF">
        <w:rPr>
          <w:rFonts w:asciiTheme="minorHAnsi" w:hAnsiTheme="minorHAnsi" w:cstheme="minorHAnsi"/>
          <w:sz w:val="20"/>
          <w:szCs w:val="20"/>
        </w:rPr>
        <w:t>publie annuellement les informations suivantes</w:t>
      </w:r>
      <w:r w:rsidR="00FE0895">
        <w:rPr>
          <w:rFonts w:asciiTheme="minorHAnsi" w:hAnsiTheme="minorHAnsi" w:cstheme="minorHAnsi"/>
          <w:sz w:val="20"/>
          <w:szCs w:val="20"/>
        </w:rPr>
        <w:t xml:space="preserve"> </w:t>
      </w:r>
      <w:r w:rsidRPr="00E36CFF">
        <w:rPr>
          <w:rFonts w:asciiTheme="minorHAnsi" w:hAnsiTheme="minorHAnsi" w:cstheme="minorHAnsi"/>
          <w:sz w:val="20"/>
          <w:szCs w:val="20"/>
        </w:rPr>
        <w:t xml:space="preserve">: </w:t>
      </w:r>
    </w:p>
    <w:p w14:paraId="01BBF2A9" w14:textId="77777777" w:rsidR="00E36CFF" w:rsidRPr="00E36CFF" w:rsidRDefault="00E36CFF" w:rsidP="00E36CFF">
      <w:pPr>
        <w:tabs>
          <w:tab w:val="left" w:pos="1564"/>
        </w:tabs>
        <w:jc w:val="both"/>
        <w:rPr>
          <w:rFonts w:asciiTheme="minorHAnsi" w:hAnsiTheme="minorHAnsi" w:cstheme="minorHAnsi"/>
          <w:sz w:val="20"/>
          <w:szCs w:val="20"/>
        </w:rPr>
      </w:pPr>
    </w:p>
    <w:p w14:paraId="6A5A9C40" w14:textId="4A8AFA50" w:rsidR="00E36CFF" w:rsidRPr="00E36CFF" w:rsidRDefault="00E36CFF">
      <w:pPr>
        <w:pStyle w:val="Paragraphedeliste"/>
        <w:numPr>
          <w:ilvl w:val="0"/>
          <w:numId w:val="27"/>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des informations détaillées sur sa structure juridique et la détention de son capital, y compris des informations sur les participations ;</w:t>
      </w:r>
    </w:p>
    <w:p w14:paraId="6322617B" w14:textId="7FF5D2DF" w:rsidR="00E36CFF" w:rsidRPr="00E36CFF" w:rsidRDefault="00E36CFF">
      <w:pPr>
        <w:pStyle w:val="Paragraphedeliste"/>
        <w:numPr>
          <w:ilvl w:val="0"/>
          <w:numId w:val="27"/>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une description des mécanismes de contrôle interne assurant la qualité de ses activités de notation </w:t>
      </w:r>
    </w:p>
    <w:p w14:paraId="7F386121" w14:textId="02B17BC8" w:rsidR="00E36CFF" w:rsidRPr="00E36CFF" w:rsidRDefault="00E36CFF">
      <w:pPr>
        <w:pStyle w:val="Paragraphedeliste"/>
        <w:numPr>
          <w:ilvl w:val="0"/>
          <w:numId w:val="27"/>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des statistiques concernant l’affectation des membres de son personnel à l’établissement des nouvelles </w:t>
      </w:r>
      <w:r w:rsidR="007079B2">
        <w:rPr>
          <w:rFonts w:asciiTheme="minorHAnsi" w:hAnsiTheme="minorHAnsi" w:cstheme="minorHAnsi"/>
          <w:sz w:val="20"/>
          <w:szCs w:val="20"/>
        </w:rPr>
        <w:t>notations</w:t>
      </w:r>
      <w:r w:rsidRPr="00E36CFF">
        <w:rPr>
          <w:rFonts w:asciiTheme="minorHAnsi" w:hAnsiTheme="minorHAnsi" w:cstheme="minorHAnsi"/>
          <w:sz w:val="20"/>
          <w:szCs w:val="20"/>
        </w:rPr>
        <w:t xml:space="preserve">, au réexamen des </w:t>
      </w:r>
      <w:r w:rsidR="007079B2">
        <w:rPr>
          <w:rFonts w:asciiTheme="minorHAnsi" w:hAnsiTheme="minorHAnsi" w:cstheme="minorHAnsi"/>
          <w:sz w:val="20"/>
          <w:szCs w:val="20"/>
        </w:rPr>
        <w:t>notations</w:t>
      </w:r>
      <w:r w:rsidRPr="00E36CFF">
        <w:rPr>
          <w:rFonts w:asciiTheme="minorHAnsi" w:hAnsiTheme="minorHAnsi" w:cstheme="minorHAnsi"/>
          <w:sz w:val="20"/>
          <w:szCs w:val="20"/>
        </w:rPr>
        <w:t xml:space="preserve"> et à l’évaluation des méthodes et modèles utilisés, ainsi que des statistiques concernant l’affectation de son personnel dans les instances dirigeantes;</w:t>
      </w:r>
    </w:p>
    <w:p w14:paraId="170FA22B" w14:textId="016932AD" w:rsidR="00E36CFF" w:rsidRPr="00E36CFF" w:rsidRDefault="00E36CFF">
      <w:pPr>
        <w:pStyle w:val="Paragraphedeliste"/>
        <w:numPr>
          <w:ilvl w:val="0"/>
          <w:numId w:val="27"/>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une description de sa politique d’archivage; </w:t>
      </w:r>
    </w:p>
    <w:p w14:paraId="4D26AAF6" w14:textId="0AF3C975" w:rsidR="00E36CFF" w:rsidRPr="00E36CFF" w:rsidRDefault="00E36CFF">
      <w:pPr>
        <w:pStyle w:val="Paragraphedeliste"/>
        <w:numPr>
          <w:ilvl w:val="0"/>
          <w:numId w:val="27"/>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lastRenderedPageBreak/>
        <w:t>les conclusions d</w:t>
      </w:r>
      <w:bookmarkStart w:id="0" w:name="_GoBack"/>
      <w:bookmarkEnd w:id="0"/>
      <w:r w:rsidRPr="00E36CFF">
        <w:rPr>
          <w:rFonts w:asciiTheme="minorHAnsi" w:hAnsiTheme="minorHAnsi" w:cstheme="minorHAnsi"/>
          <w:sz w:val="20"/>
          <w:szCs w:val="20"/>
        </w:rPr>
        <w:t xml:space="preserve">u contrôle interne annuel portant sur sa fonction de vérification de la conformité indépendante; </w:t>
      </w:r>
    </w:p>
    <w:p w14:paraId="505A0CE0" w14:textId="50932257" w:rsidR="00E36CFF" w:rsidRPr="00E36CFF" w:rsidRDefault="00E36CFF">
      <w:pPr>
        <w:pStyle w:val="Paragraphedeliste"/>
        <w:numPr>
          <w:ilvl w:val="0"/>
          <w:numId w:val="27"/>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une description de sa politique de rotation des membres de l’encadrement et des analystes de notation; </w:t>
      </w:r>
    </w:p>
    <w:p w14:paraId="66A240C9" w14:textId="6DE65237" w:rsidR="00E36CFF" w:rsidRPr="00E36CFF" w:rsidRDefault="00E36CFF">
      <w:pPr>
        <w:pStyle w:val="Paragraphedeliste"/>
        <w:numPr>
          <w:ilvl w:val="0"/>
          <w:numId w:val="27"/>
        </w:numPr>
        <w:tabs>
          <w:tab w:val="left" w:pos="1564"/>
        </w:tabs>
        <w:jc w:val="both"/>
        <w:rPr>
          <w:rFonts w:asciiTheme="minorHAnsi" w:hAnsiTheme="minorHAnsi" w:cstheme="minorHAnsi"/>
          <w:sz w:val="20"/>
          <w:szCs w:val="20"/>
        </w:rPr>
      </w:pPr>
      <w:r w:rsidRPr="00E36CFF">
        <w:rPr>
          <w:rFonts w:asciiTheme="minorHAnsi" w:hAnsiTheme="minorHAnsi" w:cstheme="minorHAnsi"/>
          <w:sz w:val="20"/>
          <w:szCs w:val="20"/>
        </w:rPr>
        <w:t xml:space="preserve">des informations financières relatives à son chiffre d’affaires ventilé selon les revenus générés, d’une part, par ses activités de notation et, d’autre part, par ses autres activités, avec une description complète de chaque type de revenu. </w:t>
      </w:r>
    </w:p>
    <w:p w14:paraId="7A669390" w14:textId="02925567" w:rsidR="00E36CFF" w:rsidRPr="00E36CFF" w:rsidRDefault="00E36CFF" w:rsidP="00E36CFF">
      <w:pPr>
        <w:tabs>
          <w:tab w:val="left" w:pos="1564"/>
        </w:tabs>
        <w:jc w:val="both"/>
        <w:rPr>
          <w:rFonts w:asciiTheme="minorHAnsi" w:hAnsiTheme="minorHAnsi" w:cstheme="minorHAnsi"/>
          <w:sz w:val="20"/>
          <w:szCs w:val="20"/>
        </w:rPr>
      </w:pPr>
    </w:p>
    <w:sectPr w:rsidR="00E36CFF" w:rsidRPr="00E36CFF" w:rsidSect="003A5F34">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3D521" w14:textId="77777777" w:rsidR="00496FEB" w:rsidRDefault="00496FEB" w:rsidP="00843715">
      <w:r>
        <w:separator/>
      </w:r>
    </w:p>
  </w:endnote>
  <w:endnote w:type="continuationSeparator" w:id="0">
    <w:p w14:paraId="58218951" w14:textId="77777777" w:rsidR="00496FEB" w:rsidRDefault="00496FEB" w:rsidP="00843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Titre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òˇøÂ'91Â'1">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Gra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48278" w14:textId="77777777" w:rsidR="00CB714B" w:rsidRDefault="00CB714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370987"/>
      <w:docPartObj>
        <w:docPartGallery w:val="Page Numbers (Bottom of Page)"/>
        <w:docPartUnique/>
      </w:docPartObj>
    </w:sdtPr>
    <w:sdtEndPr/>
    <w:sdtContent>
      <w:p w14:paraId="6858707E" w14:textId="77E5A5A8" w:rsidR="0075145B" w:rsidRDefault="0075145B">
        <w:pPr>
          <w:pStyle w:val="Pieddepage"/>
          <w:jc w:val="center"/>
        </w:pPr>
        <w:r>
          <w:fldChar w:fldCharType="begin"/>
        </w:r>
        <w:r>
          <w:instrText>PAGE   \* MERGEFORMAT</w:instrText>
        </w:r>
        <w:r>
          <w:fldChar w:fldCharType="separate"/>
        </w:r>
        <w:r w:rsidR="000B5AF4">
          <w:rPr>
            <w:noProof/>
          </w:rPr>
          <w:t>12</w:t>
        </w:r>
        <w:r>
          <w:fldChar w:fldCharType="end"/>
        </w:r>
      </w:p>
    </w:sdtContent>
  </w:sdt>
  <w:p w14:paraId="25065C2A" w14:textId="77777777" w:rsidR="0075145B" w:rsidRDefault="0075145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92623" w14:textId="77777777" w:rsidR="00CB714B" w:rsidRDefault="00CB71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1278C1" w14:textId="77777777" w:rsidR="00496FEB" w:rsidRDefault="00496FEB" w:rsidP="00843715">
      <w:r>
        <w:separator/>
      </w:r>
    </w:p>
  </w:footnote>
  <w:footnote w:type="continuationSeparator" w:id="0">
    <w:p w14:paraId="7FAE148C" w14:textId="77777777" w:rsidR="00496FEB" w:rsidRDefault="00496FEB" w:rsidP="008437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D1296" w14:textId="77777777" w:rsidR="00CB714B" w:rsidRDefault="00CB714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FC42FA" w14:textId="77777777" w:rsidR="00CB714B" w:rsidRDefault="00CB714B">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546248" w14:textId="77777777" w:rsidR="00CB714B" w:rsidRDefault="00CB714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59.1pt;height:59.1pt" o:bullet="t">
        <v:imagedata r:id="rId1" o:title="Flêche_AMF_blc"/>
      </v:shape>
    </w:pict>
  </w:numPicBullet>
  <w:abstractNum w:abstractNumId="0" w15:restartNumberingAfterBreak="0">
    <w:nsid w:val="01513A58"/>
    <w:multiLevelType w:val="hybridMultilevel"/>
    <w:tmpl w:val="768EC482"/>
    <w:lvl w:ilvl="0" w:tplc="5B60DA14">
      <w:start w:val="1"/>
      <w:numFmt w:val="decimal"/>
      <w:pStyle w:val="AMFPucegrise"/>
      <w:lvlText w:val="%1."/>
      <w:lvlJc w:val="left"/>
      <w:pPr>
        <w:ind w:left="720" w:hanging="360"/>
      </w:pPr>
      <w:rPr>
        <w:rFonts w:ascii="Arial" w:eastAsia="Times" w:hAnsi="Arial" w:cs="Times New Roman" w:hint="default"/>
        <w:b/>
        <w:color w:val="17365D"/>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15:restartNumberingAfterBreak="0">
    <w:nsid w:val="09E8423B"/>
    <w:multiLevelType w:val="multilevel"/>
    <w:tmpl w:val="9BF6B820"/>
    <w:lvl w:ilvl="0">
      <w:start w:val="1"/>
      <w:numFmt w:val="bullet"/>
      <w:lvlText w:val=""/>
      <w:lvlPicBulletId w:val="0"/>
      <w:lvlJc w:val="left"/>
      <w:pPr>
        <w:ind w:left="170" w:hanging="170"/>
      </w:pPr>
      <w:rPr>
        <w:rFonts w:ascii="Symbol" w:hAnsi="Symbol" w:hint="default"/>
        <w:color w:val="FFC000" w:themeColor="accent4"/>
      </w:rPr>
    </w:lvl>
    <w:lvl w:ilvl="1">
      <w:start w:val="1"/>
      <w:numFmt w:val="bullet"/>
      <w:pStyle w:val="Puceprune"/>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203F75"/>
    <w:multiLevelType w:val="hybridMultilevel"/>
    <w:tmpl w:val="31D89F40"/>
    <w:lvl w:ilvl="0" w:tplc="040C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850FE9"/>
    <w:multiLevelType w:val="hybridMultilevel"/>
    <w:tmpl w:val="47063C4C"/>
    <w:lvl w:ilvl="0" w:tplc="E01409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AD0B95"/>
    <w:multiLevelType w:val="hybridMultilevel"/>
    <w:tmpl w:val="28B869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BFC549D"/>
    <w:multiLevelType w:val="hybridMultilevel"/>
    <w:tmpl w:val="A9302E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C784C40"/>
    <w:multiLevelType w:val="hybridMultilevel"/>
    <w:tmpl w:val="E118F358"/>
    <w:lvl w:ilvl="0" w:tplc="040C0017">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CA81BF5"/>
    <w:multiLevelType w:val="hybridMultilevel"/>
    <w:tmpl w:val="5F92F940"/>
    <w:lvl w:ilvl="0" w:tplc="E5184E70">
      <w:start w:val="1"/>
      <w:numFmt w:val="lowerLetter"/>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00231A0"/>
    <w:multiLevelType w:val="hybridMultilevel"/>
    <w:tmpl w:val="E47C2260"/>
    <w:lvl w:ilvl="0" w:tplc="8B6E7E1C">
      <w:start w:val="1"/>
      <w:numFmt w:val="bullet"/>
      <w:pStyle w:val="pucetiret"/>
      <w:lvlText w:val="-"/>
      <w:lvlJc w:val="left"/>
      <w:pPr>
        <w:tabs>
          <w:tab w:val="num" w:pos="1437"/>
        </w:tabs>
        <w:ind w:left="1437" w:hanging="360"/>
      </w:pPr>
      <w:rPr>
        <w:rFont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pStyle w:val="Titre6"/>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B013CE"/>
    <w:multiLevelType w:val="hybridMultilevel"/>
    <w:tmpl w:val="E378FD7A"/>
    <w:lvl w:ilvl="0" w:tplc="E634DEBE">
      <w:start w:val="1"/>
      <w:numFmt w:val="decimal"/>
      <w:pStyle w:val="fichedagrement"/>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B942CD52">
      <w:start w:val="3"/>
      <w:numFmt w:val="bullet"/>
      <w:lvlText w:val="-"/>
      <w:lvlJc w:val="left"/>
      <w:pPr>
        <w:tabs>
          <w:tab w:val="num" w:pos="2520"/>
        </w:tabs>
        <w:ind w:left="2520" w:hanging="360"/>
      </w:pPr>
      <w:rPr>
        <w:rFonts w:ascii="Times New Roman" w:eastAsia="Times New Roman" w:hAnsi="Times New Roman" w:cs="Times New Roman" w:hint="default"/>
      </w:r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0" w15:restartNumberingAfterBreak="0">
    <w:nsid w:val="29584037"/>
    <w:multiLevelType w:val="hybridMultilevel"/>
    <w:tmpl w:val="6408FF66"/>
    <w:lvl w:ilvl="0" w:tplc="FFFFFFFF">
      <w:start w:val="1"/>
      <w:numFmt w:val="decimal"/>
      <w:lvlText w:val="%1."/>
      <w:lvlJc w:val="left"/>
      <w:pPr>
        <w:ind w:left="720" w:hanging="360"/>
      </w:pPr>
      <w:rPr>
        <w:rFonts w:hint="default"/>
      </w:rPr>
    </w:lvl>
    <w:lvl w:ilvl="1" w:tplc="B1F0D038">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83B6BBC"/>
    <w:multiLevelType w:val="hybridMultilevel"/>
    <w:tmpl w:val="06844AFE"/>
    <w:lvl w:ilvl="0" w:tplc="E01409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9675CFF"/>
    <w:multiLevelType w:val="hybridMultilevel"/>
    <w:tmpl w:val="78CA81A8"/>
    <w:lvl w:ilvl="0" w:tplc="E01409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373A1F"/>
    <w:multiLevelType w:val="hybridMultilevel"/>
    <w:tmpl w:val="CEA898C0"/>
    <w:lvl w:ilvl="0" w:tplc="E01409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B357D02"/>
    <w:multiLevelType w:val="hybridMultilevel"/>
    <w:tmpl w:val="C43CAF9C"/>
    <w:lvl w:ilvl="0" w:tplc="A062682C">
      <w:start w:val="1"/>
      <w:numFmt w:val="bullet"/>
      <w:pStyle w:val="AMFPuceflche"/>
      <w:lvlText w:val=""/>
      <w:lvlJc w:val="left"/>
      <w:pPr>
        <w:ind w:left="1287" w:hanging="360"/>
      </w:pPr>
      <w:rPr>
        <w:rFonts w:ascii="Wingdings" w:hAnsi="Wingdings" w:hint="default"/>
        <w:color w:val="auto"/>
        <w:sz w:val="20"/>
        <w:szCs w:val="28"/>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5" w15:restartNumberingAfterBreak="0">
    <w:nsid w:val="501F7A5B"/>
    <w:multiLevelType w:val="hybridMultilevel"/>
    <w:tmpl w:val="E782F042"/>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1270118"/>
    <w:multiLevelType w:val="hybridMultilevel"/>
    <w:tmpl w:val="997A6ABC"/>
    <w:lvl w:ilvl="0" w:tplc="E01409CA">
      <w:start w:val="1"/>
      <w:numFmt w:val="decimal"/>
      <w:lvlText w:val="%1."/>
      <w:lvlJc w:val="left"/>
      <w:pPr>
        <w:ind w:left="720" w:hanging="360"/>
      </w:pPr>
      <w:rPr>
        <w:rFonts w:hint="default"/>
      </w:rPr>
    </w:lvl>
    <w:lvl w:ilvl="1" w:tplc="E5184E70">
      <w:start w:val="1"/>
      <w:numFmt w:val="lowerLetter"/>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C8B7803"/>
    <w:multiLevelType w:val="hybridMultilevel"/>
    <w:tmpl w:val="8C0C12F0"/>
    <w:lvl w:ilvl="0" w:tplc="F17CA182">
      <w:start w:val="1"/>
      <w:numFmt w:val="bullet"/>
      <w:pStyle w:val="pucepoint"/>
      <w:lvlText w:val=""/>
      <w:lvlJc w:val="left"/>
      <w:pPr>
        <w:tabs>
          <w:tab w:val="num" w:pos="720"/>
        </w:tabs>
        <w:ind w:left="720" w:hanging="360"/>
      </w:pPr>
      <w:rPr>
        <w:rFonts w:ascii="Symbol" w:hAnsi="Symbol" w:hint="default"/>
      </w:rPr>
    </w:lvl>
    <w:lvl w:ilvl="1" w:tplc="040C0003" w:tentative="1">
      <w:start w:val="1"/>
      <w:numFmt w:val="bullet"/>
      <w:pStyle w:val="Titre2"/>
      <w:lvlText w:val="o"/>
      <w:lvlJc w:val="left"/>
      <w:pPr>
        <w:tabs>
          <w:tab w:val="num" w:pos="1440"/>
        </w:tabs>
        <w:ind w:left="1440" w:hanging="360"/>
      </w:pPr>
      <w:rPr>
        <w:rFonts w:ascii="Courier New" w:hAnsi="Courier New" w:hint="default"/>
      </w:rPr>
    </w:lvl>
    <w:lvl w:ilvl="2" w:tplc="040C0005" w:tentative="1">
      <w:start w:val="1"/>
      <w:numFmt w:val="bullet"/>
      <w:pStyle w:val="Titr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pStyle w:val="Titre5"/>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E00936"/>
    <w:multiLevelType w:val="hybridMultilevel"/>
    <w:tmpl w:val="36301E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6BB55BE5"/>
    <w:multiLevelType w:val="hybridMultilevel"/>
    <w:tmpl w:val="0AF4AE94"/>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125A44E0">
      <w:start w:val="1"/>
      <w:numFmt w:val="decimal"/>
      <w:lvlText w:val="%3."/>
      <w:lvlJc w:val="left"/>
      <w:pPr>
        <w:ind w:left="3060" w:hanging="360"/>
      </w:pPr>
      <w:rPr>
        <w:rFonts w:hint="default"/>
      </w:r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6D4C548B"/>
    <w:multiLevelType w:val="hybridMultilevel"/>
    <w:tmpl w:val="4B8805C4"/>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1" w15:restartNumberingAfterBreak="0">
    <w:nsid w:val="6D96545F"/>
    <w:multiLevelType w:val="hybridMultilevel"/>
    <w:tmpl w:val="28082CF4"/>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0860347"/>
    <w:multiLevelType w:val="hybridMultilevel"/>
    <w:tmpl w:val="B82C24A2"/>
    <w:lvl w:ilvl="0" w:tplc="040C0019">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3" w15:restartNumberingAfterBreak="0">
    <w:nsid w:val="712C01EE"/>
    <w:multiLevelType w:val="hybridMultilevel"/>
    <w:tmpl w:val="6F64B6B2"/>
    <w:lvl w:ilvl="0" w:tplc="040C0019">
      <w:start w:val="1"/>
      <w:numFmt w:val="lowerLetter"/>
      <w:lvlText w:val="%1."/>
      <w:lvlJc w:val="left"/>
      <w:pPr>
        <w:ind w:left="2160" w:hanging="360"/>
      </w:pPr>
    </w:lvl>
    <w:lvl w:ilvl="1" w:tplc="040C0019">
      <w:start w:val="1"/>
      <w:numFmt w:val="lowerLetter"/>
      <w:lvlText w:val="%2."/>
      <w:lvlJc w:val="left"/>
      <w:pPr>
        <w:ind w:left="2880" w:hanging="360"/>
      </w:pPr>
    </w:lvl>
    <w:lvl w:ilvl="2" w:tplc="57D29840">
      <w:start w:val="1"/>
      <w:numFmt w:val="decimal"/>
      <w:lvlText w:val="%3."/>
      <w:lvlJc w:val="left"/>
      <w:pPr>
        <w:ind w:left="3780" w:hanging="360"/>
      </w:pPr>
      <w:rPr>
        <w:rFonts w:hint="default"/>
      </w:r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4" w15:restartNumberingAfterBreak="0">
    <w:nsid w:val="75841931"/>
    <w:multiLevelType w:val="hybridMultilevel"/>
    <w:tmpl w:val="4F4EC21A"/>
    <w:lvl w:ilvl="0" w:tplc="040C0017">
      <w:start w:val="1"/>
      <w:numFmt w:val="lowerLetter"/>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5" w15:restartNumberingAfterBreak="0">
    <w:nsid w:val="7B9302DB"/>
    <w:multiLevelType w:val="hybridMultilevel"/>
    <w:tmpl w:val="91FA9F3C"/>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F203537"/>
    <w:multiLevelType w:val="hybridMultilevel"/>
    <w:tmpl w:val="06C62B96"/>
    <w:lvl w:ilvl="0" w:tplc="A47A71C4">
      <w:start w:val="13"/>
      <w:numFmt w:val="bullet"/>
      <w:pStyle w:val="AMFPucecarr"/>
      <w:lvlText w:val=""/>
      <w:lvlJc w:val="left"/>
      <w:pPr>
        <w:ind w:left="1288" w:hanging="360"/>
      </w:pPr>
      <w:rPr>
        <w:rFonts w:ascii="Wingdings" w:hAnsi="Wingdings" w:hint="default"/>
        <w:color w:val="auto"/>
        <w:sz w:val="20"/>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27" w15:restartNumberingAfterBreak="0">
    <w:nsid w:val="7F3D2121"/>
    <w:multiLevelType w:val="hybridMultilevel"/>
    <w:tmpl w:val="904C1F02"/>
    <w:lvl w:ilvl="0" w:tplc="FFFFFFFF">
      <w:start w:val="1"/>
      <w:numFmt w:val="decimal"/>
      <w:lvlText w:val="%1."/>
      <w:lvlJc w:val="left"/>
      <w:pPr>
        <w:ind w:left="720" w:hanging="360"/>
      </w:pPr>
      <w:rPr>
        <w:rFonts w:hint="default"/>
      </w:rPr>
    </w:lvl>
    <w:lvl w:ilvl="1" w:tplc="23A4CEA4">
      <w:start w:val="1"/>
      <w:numFmt w:val="lowerLetter"/>
      <w:lvlText w:val="%2)"/>
      <w:lvlJc w:val="left"/>
      <w:pPr>
        <w:ind w:left="1440" w:hanging="360"/>
      </w:pPr>
      <w:rPr>
        <w:rFonts w:hint="default"/>
      </w:rPr>
    </w:lvl>
    <w:lvl w:ilvl="2" w:tplc="093EEA8A">
      <w:start w:val="1"/>
      <w:numFmt w:val="upperRoman"/>
      <w:lvlText w:val="%3."/>
      <w:lvlJc w:val="lef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num>
  <w:num w:numId="2">
    <w:abstractNumId w:val="14"/>
  </w:num>
  <w:num w:numId="3">
    <w:abstractNumId w:val="26"/>
  </w:num>
  <w:num w:numId="4">
    <w:abstractNumId w:val="17"/>
  </w:num>
  <w:num w:numId="5">
    <w:abstractNumId w:val="8"/>
  </w:num>
  <w:num w:numId="6">
    <w:abstractNumId w:val="9"/>
  </w:num>
  <w:num w:numId="7">
    <w:abstractNumId w:val="0"/>
    <w:lvlOverride w:ilvl="0">
      <w:startOverride w:val="1"/>
    </w:lvlOverride>
  </w:num>
  <w:num w:numId="8">
    <w:abstractNumId w:val="5"/>
  </w:num>
  <w:num w:numId="9">
    <w:abstractNumId w:val="4"/>
  </w:num>
  <w:num w:numId="10">
    <w:abstractNumId w:val="2"/>
  </w:num>
  <w:num w:numId="11">
    <w:abstractNumId w:val="18"/>
  </w:num>
  <w:num w:numId="12">
    <w:abstractNumId w:val="3"/>
  </w:num>
  <w:num w:numId="13">
    <w:abstractNumId w:val="27"/>
  </w:num>
  <w:num w:numId="14">
    <w:abstractNumId w:val="13"/>
  </w:num>
  <w:num w:numId="15">
    <w:abstractNumId w:val="16"/>
  </w:num>
  <w:num w:numId="16">
    <w:abstractNumId w:val="24"/>
  </w:num>
  <w:num w:numId="17">
    <w:abstractNumId w:val="6"/>
  </w:num>
  <w:num w:numId="18">
    <w:abstractNumId w:val="20"/>
  </w:num>
  <w:num w:numId="19">
    <w:abstractNumId w:val="22"/>
  </w:num>
  <w:num w:numId="20">
    <w:abstractNumId w:val="11"/>
  </w:num>
  <w:num w:numId="21">
    <w:abstractNumId w:val="19"/>
  </w:num>
  <w:num w:numId="22">
    <w:abstractNumId w:val="25"/>
  </w:num>
  <w:num w:numId="23">
    <w:abstractNumId w:val="23"/>
  </w:num>
  <w:num w:numId="24">
    <w:abstractNumId w:val="12"/>
  </w:num>
  <w:num w:numId="25">
    <w:abstractNumId w:val="15"/>
  </w:num>
  <w:num w:numId="26">
    <w:abstractNumId w:val="10"/>
  </w:num>
  <w:num w:numId="27">
    <w:abstractNumId w:val="21"/>
  </w:num>
  <w:num w:numId="28">
    <w:abstractNumId w:val="0"/>
  </w:num>
  <w:num w:numId="2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E4D"/>
    <w:rsid w:val="00017B31"/>
    <w:rsid w:val="00026E3A"/>
    <w:rsid w:val="00033BC1"/>
    <w:rsid w:val="00035116"/>
    <w:rsid w:val="00044EAE"/>
    <w:rsid w:val="00046E61"/>
    <w:rsid w:val="00075E77"/>
    <w:rsid w:val="00090D2A"/>
    <w:rsid w:val="00093EA8"/>
    <w:rsid w:val="00096355"/>
    <w:rsid w:val="000A6AE4"/>
    <w:rsid w:val="000B50D2"/>
    <w:rsid w:val="000B5751"/>
    <w:rsid w:val="000B5AF4"/>
    <w:rsid w:val="000C5C37"/>
    <w:rsid w:val="000E623D"/>
    <w:rsid w:val="000F0F3D"/>
    <w:rsid w:val="000F1979"/>
    <w:rsid w:val="000F4257"/>
    <w:rsid w:val="000F4995"/>
    <w:rsid w:val="000F6063"/>
    <w:rsid w:val="00112750"/>
    <w:rsid w:val="001574D5"/>
    <w:rsid w:val="0016446B"/>
    <w:rsid w:val="001728B3"/>
    <w:rsid w:val="00183128"/>
    <w:rsid w:val="001A5708"/>
    <w:rsid w:val="001A7537"/>
    <w:rsid w:val="001D1DDC"/>
    <w:rsid w:val="001D6C0C"/>
    <w:rsid w:val="00211991"/>
    <w:rsid w:val="002542BD"/>
    <w:rsid w:val="002602EA"/>
    <w:rsid w:val="00265C9E"/>
    <w:rsid w:val="00272FCA"/>
    <w:rsid w:val="002823B6"/>
    <w:rsid w:val="00290F3C"/>
    <w:rsid w:val="00297BB0"/>
    <w:rsid w:val="002A532F"/>
    <w:rsid w:val="002C102B"/>
    <w:rsid w:val="002F49F7"/>
    <w:rsid w:val="00303001"/>
    <w:rsid w:val="00314832"/>
    <w:rsid w:val="0031620A"/>
    <w:rsid w:val="00325C3B"/>
    <w:rsid w:val="003578E0"/>
    <w:rsid w:val="003640EA"/>
    <w:rsid w:val="003678E5"/>
    <w:rsid w:val="00372E06"/>
    <w:rsid w:val="00386770"/>
    <w:rsid w:val="003A2390"/>
    <w:rsid w:val="003A5F34"/>
    <w:rsid w:val="003B072E"/>
    <w:rsid w:val="003B5BAD"/>
    <w:rsid w:val="003D3479"/>
    <w:rsid w:val="003F154B"/>
    <w:rsid w:val="003F4C20"/>
    <w:rsid w:val="0040270B"/>
    <w:rsid w:val="00413703"/>
    <w:rsid w:val="0042410D"/>
    <w:rsid w:val="004258B8"/>
    <w:rsid w:val="00431047"/>
    <w:rsid w:val="00432B44"/>
    <w:rsid w:val="00466570"/>
    <w:rsid w:val="00466D13"/>
    <w:rsid w:val="004757A3"/>
    <w:rsid w:val="004765F7"/>
    <w:rsid w:val="00477F3F"/>
    <w:rsid w:val="00496FEB"/>
    <w:rsid w:val="004B037D"/>
    <w:rsid w:val="004C0145"/>
    <w:rsid w:val="004D68E1"/>
    <w:rsid w:val="004D6E9A"/>
    <w:rsid w:val="004E2946"/>
    <w:rsid w:val="004E430C"/>
    <w:rsid w:val="005061CE"/>
    <w:rsid w:val="005207E3"/>
    <w:rsid w:val="00522A89"/>
    <w:rsid w:val="005407FB"/>
    <w:rsid w:val="0054593C"/>
    <w:rsid w:val="00564435"/>
    <w:rsid w:val="00566397"/>
    <w:rsid w:val="005712DE"/>
    <w:rsid w:val="005760C0"/>
    <w:rsid w:val="0057761D"/>
    <w:rsid w:val="00581DB9"/>
    <w:rsid w:val="00586657"/>
    <w:rsid w:val="005B086D"/>
    <w:rsid w:val="005B0B1E"/>
    <w:rsid w:val="005C22C8"/>
    <w:rsid w:val="005D2021"/>
    <w:rsid w:val="005F0E31"/>
    <w:rsid w:val="006118FD"/>
    <w:rsid w:val="00613A62"/>
    <w:rsid w:val="006538C1"/>
    <w:rsid w:val="006546C2"/>
    <w:rsid w:val="00671BE2"/>
    <w:rsid w:val="0067305B"/>
    <w:rsid w:val="006B18E4"/>
    <w:rsid w:val="006D0896"/>
    <w:rsid w:val="006E4A41"/>
    <w:rsid w:val="006F05EA"/>
    <w:rsid w:val="00702303"/>
    <w:rsid w:val="007079B2"/>
    <w:rsid w:val="00710A40"/>
    <w:rsid w:val="00726614"/>
    <w:rsid w:val="007277F3"/>
    <w:rsid w:val="0075145B"/>
    <w:rsid w:val="0076076F"/>
    <w:rsid w:val="007625DB"/>
    <w:rsid w:val="0078409B"/>
    <w:rsid w:val="007C692C"/>
    <w:rsid w:val="007D4CD3"/>
    <w:rsid w:val="007E23DC"/>
    <w:rsid w:val="00810E3C"/>
    <w:rsid w:val="00813623"/>
    <w:rsid w:val="00825A5B"/>
    <w:rsid w:val="00840304"/>
    <w:rsid w:val="00843715"/>
    <w:rsid w:val="00846810"/>
    <w:rsid w:val="00847B5A"/>
    <w:rsid w:val="00853E2F"/>
    <w:rsid w:val="00860708"/>
    <w:rsid w:val="00862E6D"/>
    <w:rsid w:val="00871C93"/>
    <w:rsid w:val="008B4F23"/>
    <w:rsid w:val="008C0737"/>
    <w:rsid w:val="008C51BC"/>
    <w:rsid w:val="008C71DD"/>
    <w:rsid w:val="008D297F"/>
    <w:rsid w:val="008E774F"/>
    <w:rsid w:val="008E7CF3"/>
    <w:rsid w:val="008F2D44"/>
    <w:rsid w:val="008F37E8"/>
    <w:rsid w:val="00903EB5"/>
    <w:rsid w:val="00913491"/>
    <w:rsid w:val="0091651D"/>
    <w:rsid w:val="00955EC7"/>
    <w:rsid w:val="00971C1E"/>
    <w:rsid w:val="009B11B3"/>
    <w:rsid w:val="009B1E52"/>
    <w:rsid w:val="009C0FA2"/>
    <w:rsid w:val="009C6FE0"/>
    <w:rsid w:val="009D07A4"/>
    <w:rsid w:val="009D15A6"/>
    <w:rsid w:val="009D37CA"/>
    <w:rsid w:val="009E1AF7"/>
    <w:rsid w:val="009E41A7"/>
    <w:rsid w:val="009F708A"/>
    <w:rsid w:val="00A056C9"/>
    <w:rsid w:val="00A27847"/>
    <w:rsid w:val="00A347B7"/>
    <w:rsid w:val="00A449A8"/>
    <w:rsid w:val="00A63FB4"/>
    <w:rsid w:val="00A82CAF"/>
    <w:rsid w:val="00A850BC"/>
    <w:rsid w:val="00A87357"/>
    <w:rsid w:val="00AB739C"/>
    <w:rsid w:val="00AC756C"/>
    <w:rsid w:val="00AF5385"/>
    <w:rsid w:val="00B2216A"/>
    <w:rsid w:val="00B2646B"/>
    <w:rsid w:val="00B26CCE"/>
    <w:rsid w:val="00B453BD"/>
    <w:rsid w:val="00B45C7D"/>
    <w:rsid w:val="00B52B26"/>
    <w:rsid w:val="00B77D17"/>
    <w:rsid w:val="00B8276A"/>
    <w:rsid w:val="00B905AD"/>
    <w:rsid w:val="00BB4E7D"/>
    <w:rsid w:val="00BC2772"/>
    <w:rsid w:val="00BC2A4C"/>
    <w:rsid w:val="00BD6E0A"/>
    <w:rsid w:val="00BE0BDA"/>
    <w:rsid w:val="00BE24F2"/>
    <w:rsid w:val="00BE7132"/>
    <w:rsid w:val="00C35631"/>
    <w:rsid w:val="00C370A4"/>
    <w:rsid w:val="00C44C00"/>
    <w:rsid w:val="00C64D9B"/>
    <w:rsid w:val="00C6635B"/>
    <w:rsid w:val="00C8167E"/>
    <w:rsid w:val="00C95BAD"/>
    <w:rsid w:val="00C9723A"/>
    <w:rsid w:val="00CA108A"/>
    <w:rsid w:val="00CB714B"/>
    <w:rsid w:val="00CC09D3"/>
    <w:rsid w:val="00CC2BF6"/>
    <w:rsid w:val="00CD50FF"/>
    <w:rsid w:val="00CD53DF"/>
    <w:rsid w:val="00CF50D3"/>
    <w:rsid w:val="00D01BB8"/>
    <w:rsid w:val="00D02FAF"/>
    <w:rsid w:val="00D0396E"/>
    <w:rsid w:val="00D07651"/>
    <w:rsid w:val="00D15506"/>
    <w:rsid w:val="00D41DB2"/>
    <w:rsid w:val="00D602ED"/>
    <w:rsid w:val="00D762D7"/>
    <w:rsid w:val="00DA002B"/>
    <w:rsid w:val="00DA1EF7"/>
    <w:rsid w:val="00DB4BB3"/>
    <w:rsid w:val="00DC1AAD"/>
    <w:rsid w:val="00DC4C88"/>
    <w:rsid w:val="00DD2A65"/>
    <w:rsid w:val="00DE4143"/>
    <w:rsid w:val="00DE4DE6"/>
    <w:rsid w:val="00DF3185"/>
    <w:rsid w:val="00E108C3"/>
    <w:rsid w:val="00E176F5"/>
    <w:rsid w:val="00E31FED"/>
    <w:rsid w:val="00E32384"/>
    <w:rsid w:val="00E36CFF"/>
    <w:rsid w:val="00E442B6"/>
    <w:rsid w:val="00E55A30"/>
    <w:rsid w:val="00E6293F"/>
    <w:rsid w:val="00E7745C"/>
    <w:rsid w:val="00E86B39"/>
    <w:rsid w:val="00E945B0"/>
    <w:rsid w:val="00E971A8"/>
    <w:rsid w:val="00EB21DE"/>
    <w:rsid w:val="00EB499A"/>
    <w:rsid w:val="00ED6269"/>
    <w:rsid w:val="00EE0C7A"/>
    <w:rsid w:val="00EF212E"/>
    <w:rsid w:val="00EF5E4D"/>
    <w:rsid w:val="00F22414"/>
    <w:rsid w:val="00F254EA"/>
    <w:rsid w:val="00F60C42"/>
    <w:rsid w:val="00FA63E6"/>
    <w:rsid w:val="00FB2B0A"/>
    <w:rsid w:val="00FB3C54"/>
    <w:rsid w:val="00FC7F72"/>
    <w:rsid w:val="00FD1893"/>
    <w:rsid w:val="00FE0895"/>
    <w:rsid w:val="00FF5E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BB00C"/>
  <w15:chartTrackingRefBased/>
  <w15:docId w15:val="{B8900C58-8967-3F46-8D8B-575D5A703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E31"/>
    <w:rPr>
      <w:rFonts w:ascii="Times New Roman" w:eastAsia="Times New Roman" w:hAnsi="Times New Roman" w:cs="Times New Roman"/>
      <w:lang w:eastAsia="fr-FR"/>
    </w:rPr>
  </w:style>
  <w:style w:type="paragraph" w:styleId="Titre1">
    <w:name w:val="heading 1"/>
    <w:basedOn w:val="Normal"/>
    <w:next w:val="Normal"/>
    <w:link w:val="Titre1Car"/>
    <w:autoRedefine/>
    <w:qFormat/>
    <w:rsid w:val="00EF212E"/>
    <w:pPr>
      <w:keepNext/>
      <w:keepLines/>
      <w:tabs>
        <w:tab w:val="num" w:pos="720"/>
      </w:tabs>
      <w:spacing w:before="240"/>
      <w:ind w:left="720" w:hanging="360"/>
      <w:jc w:val="center"/>
      <w:outlineLvl w:val="0"/>
    </w:pPr>
    <w:rPr>
      <w:rFonts w:eastAsiaTheme="majorEastAsia" w:cs="Times New Roman (Titres CS)"/>
      <w:b/>
      <w:smallCaps/>
      <w:color w:val="000000" w:themeColor="text1"/>
      <w:szCs w:val="32"/>
    </w:rPr>
  </w:style>
  <w:style w:type="paragraph" w:styleId="Titre2">
    <w:name w:val="heading 2"/>
    <w:basedOn w:val="Normal"/>
    <w:next w:val="Normal"/>
    <w:link w:val="Titre2Car"/>
    <w:autoRedefine/>
    <w:unhideWhenUsed/>
    <w:qFormat/>
    <w:rsid w:val="00EF212E"/>
    <w:pPr>
      <w:keepNext/>
      <w:keepLines/>
      <w:numPr>
        <w:ilvl w:val="1"/>
        <w:numId w:val="4"/>
      </w:numPr>
      <w:spacing w:before="40"/>
      <w:jc w:val="center"/>
      <w:outlineLvl w:val="1"/>
    </w:pPr>
    <w:rPr>
      <w:rFonts w:eastAsiaTheme="majorEastAsia" w:cs="Times New Roman (Titres CS)"/>
      <w:i/>
      <w:caps/>
      <w:color w:val="000000" w:themeColor="text1"/>
      <w:sz w:val="22"/>
      <w:szCs w:val="26"/>
    </w:rPr>
  </w:style>
  <w:style w:type="paragraph" w:styleId="Titre3">
    <w:name w:val="heading 3"/>
    <w:basedOn w:val="Normal"/>
    <w:next w:val="Normal"/>
    <w:link w:val="Titre3Car"/>
    <w:autoRedefine/>
    <w:unhideWhenUsed/>
    <w:qFormat/>
    <w:rsid w:val="00EF212E"/>
    <w:pPr>
      <w:keepNext/>
      <w:keepLines/>
      <w:numPr>
        <w:ilvl w:val="2"/>
        <w:numId w:val="4"/>
      </w:numPr>
      <w:spacing w:before="40"/>
      <w:jc w:val="center"/>
      <w:outlineLvl w:val="2"/>
    </w:pPr>
    <w:rPr>
      <w:rFonts w:asciiTheme="majorHAnsi" w:eastAsiaTheme="majorEastAsia" w:hAnsiTheme="majorHAnsi" w:cs="Times New Roman (Titres CS)"/>
      <w:b/>
      <w:i/>
      <w:caps/>
      <w:color w:val="000000" w:themeColor="text1"/>
      <w:sz w:val="22"/>
    </w:rPr>
  </w:style>
  <w:style w:type="paragraph" w:styleId="Titre4">
    <w:name w:val="heading 4"/>
    <w:basedOn w:val="Normal"/>
    <w:next w:val="Normal"/>
    <w:link w:val="Titre4Car"/>
    <w:qFormat/>
    <w:rsid w:val="006118FD"/>
    <w:pPr>
      <w:keepNext/>
      <w:tabs>
        <w:tab w:val="left" w:pos="737"/>
      </w:tabs>
      <w:spacing w:line="240" w:lineRule="atLeast"/>
      <w:ind w:left="737" w:hanging="737"/>
      <w:jc w:val="both"/>
      <w:outlineLvl w:val="3"/>
    </w:pPr>
    <w:rPr>
      <w:rFonts w:ascii="Arial" w:hAnsi="Arial"/>
      <w:i/>
      <w:iCs/>
      <w:sz w:val="18"/>
      <w:szCs w:val="20"/>
    </w:rPr>
  </w:style>
  <w:style w:type="paragraph" w:styleId="Titre5">
    <w:name w:val="heading 5"/>
    <w:basedOn w:val="Normal"/>
    <w:next w:val="Normal"/>
    <w:link w:val="Titre5Car"/>
    <w:autoRedefine/>
    <w:unhideWhenUsed/>
    <w:qFormat/>
    <w:rsid w:val="00EF212E"/>
    <w:pPr>
      <w:keepNext/>
      <w:keepLines/>
      <w:numPr>
        <w:ilvl w:val="4"/>
        <w:numId w:val="4"/>
      </w:numPr>
      <w:spacing w:before="40"/>
      <w:jc w:val="center"/>
      <w:outlineLvl w:val="4"/>
    </w:pPr>
    <w:rPr>
      <w:rFonts w:eastAsiaTheme="majorEastAsia" w:cstheme="majorBidi"/>
      <w:i/>
      <w:color w:val="000000" w:themeColor="text1"/>
      <w:sz w:val="22"/>
    </w:rPr>
  </w:style>
  <w:style w:type="paragraph" w:styleId="Titre6">
    <w:name w:val="heading 6"/>
    <w:basedOn w:val="Normal"/>
    <w:next w:val="Normal"/>
    <w:link w:val="Titre6Car"/>
    <w:autoRedefine/>
    <w:unhideWhenUsed/>
    <w:qFormat/>
    <w:rsid w:val="00EF212E"/>
    <w:pPr>
      <w:keepNext/>
      <w:keepLines/>
      <w:numPr>
        <w:ilvl w:val="5"/>
        <w:numId w:val="5"/>
      </w:numPr>
      <w:spacing w:before="40"/>
      <w:jc w:val="center"/>
      <w:outlineLvl w:val="5"/>
    </w:pPr>
    <w:rPr>
      <w:rFonts w:eastAsiaTheme="majorEastAsia" w:cstheme="majorBidi"/>
      <w:i/>
      <w:color w:val="000000" w:themeColor="text1"/>
      <w:sz w:val="22"/>
    </w:rPr>
  </w:style>
  <w:style w:type="paragraph" w:styleId="Titre8">
    <w:name w:val="heading 8"/>
    <w:basedOn w:val="Normal"/>
    <w:next w:val="Normal"/>
    <w:link w:val="Titre8Car"/>
    <w:unhideWhenUsed/>
    <w:qFormat/>
    <w:rsid w:val="00862E6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B739C"/>
    <w:rPr>
      <w:rFonts w:eastAsiaTheme="majorEastAsia" w:cs="Times New Roman (Titres CS)"/>
      <w:b/>
      <w:smallCaps/>
      <w:color w:val="000000" w:themeColor="text1"/>
      <w:szCs w:val="32"/>
      <w:lang w:eastAsia="fr-FR"/>
    </w:rPr>
  </w:style>
  <w:style w:type="character" w:customStyle="1" w:styleId="Titre2Car">
    <w:name w:val="Titre 2 Car"/>
    <w:basedOn w:val="Policepardfaut"/>
    <w:link w:val="Titre2"/>
    <w:rsid w:val="00AB739C"/>
    <w:rPr>
      <w:rFonts w:ascii="Times New Roman" w:eastAsiaTheme="majorEastAsia" w:hAnsi="Times New Roman" w:cs="Times New Roman (Titres CS)"/>
      <w:i/>
      <w:caps/>
      <w:color w:val="000000" w:themeColor="text1"/>
      <w:sz w:val="22"/>
      <w:szCs w:val="26"/>
      <w:lang w:eastAsia="fr-FR"/>
    </w:rPr>
  </w:style>
  <w:style w:type="character" w:customStyle="1" w:styleId="Titre3Car">
    <w:name w:val="Titre 3 Car"/>
    <w:basedOn w:val="Policepardfaut"/>
    <w:link w:val="Titre3"/>
    <w:rsid w:val="00AB739C"/>
    <w:rPr>
      <w:rFonts w:asciiTheme="majorHAnsi" w:eastAsiaTheme="majorEastAsia" w:hAnsiTheme="majorHAnsi" w:cs="Times New Roman (Titres CS)"/>
      <w:b/>
      <w:i/>
      <w:caps/>
      <w:color w:val="000000" w:themeColor="text1"/>
      <w:sz w:val="22"/>
      <w:lang w:eastAsia="fr-FR"/>
    </w:rPr>
  </w:style>
  <w:style w:type="character" w:customStyle="1" w:styleId="Titre6Car">
    <w:name w:val="Titre 6 Car"/>
    <w:basedOn w:val="Policepardfaut"/>
    <w:link w:val="Titre6"/>
    <w:rsid w:val="00EF212E"/>
    <w:rPr>
      <w:rFonts w:ascii="Times New Roman" w:eastAsiaTheme="majorEastAsia" w:hAnsi="Times New Roman" w:cstheme="majorBidi"/>
      <w:i/>
      <w:color w:val="000000" w:themeColor="text1"/>
      <w:sz w:val="22"/>
      <w:lang w:eastAsia="fr-FR"/>
    </w:rPr>
  </w:style>
  <w:style w:type="character" w:customStyle="1" w:styleId="Titre5Car">
    <w:name w:val="Titre 5 Car"/>
    <w:basedOn w:val="Policepardfaut"/>
    <w:link w:val="Titre5"/>
    <w:rsid w:val="00EF212E"/>
    <w:rPr>
      <w:rFonts w:ascii="Times New Roman" w:eastAsiaTheme="majorEastAsia" w:hAnsi="Times New Roman" w:cstheme="majorBidi"/>
      <w:i/>
      <w:color w:val="000000" w:themeColor="text1"/>
      <w:sz w:val="22"/>
      <w:lang w:eastAsia="fr-FR"/>
    </w:rPr>
  </w:style>
  <w:style w:type="paragraph" w:styleId="NormalWeb">
    <w:name w:val="Normal (Web)"/>
    <w:basedOn w:val="Normal"/>
    <w:unhideWhenUsed/>
    <w:rsid w:val="00EF5E4D"/>
    <w:pPr>
      <w:spacing w:before="100" w:beforeAutospacing="1" w:after="100" w:afterAutospacing="1"/>
    </w:pPr>
  </w:style>
  <w:style w:type="paragraph" w:customStyle="1" w:styleId="msonormal0">
    <w:name w:val="msonormal"/>
    <w:basedOn w:val="Normal"/>
    <w:rsid w:val="00EF5E4D"/>
    <w:pPr>
      <w:spacing w:before="100" w:beforeAutospacing="1" w:after="100" w:afterAutospacing="1"/>
    </w:pPr>
  </w:style>
  <w:style w:type="paragraph" w:styleId="Paragraphedeliste">
    <w:name w:val="List Paragraph"/>
    <w:aliases w:val="Paragraphe EI,Paragraphe de liste1,EC"/>
    <w:basedOn w:val="Normal"/>
    <w:link w:val="ParagraphedelisteCar"/>
    <w:uiPriority w:val="34"/>
    <w:qFormat/>
    <w:rsid w:val="00726614"/>
    <w:pPr>
      <w:ind w:left="720"/>
      <w:contextualSpacing/>
    </w:pPr>
  </w:style>
  <w:style w:type="character" w:styleId="Marquedecommentaire">
    <w:name w:val="annotation reference"/>
    <w:basedOn w:val="Policepardfaut"/>
    <w:unhideWhenUsed/>
    <w:rsid w:val="00211991"/>
    <w:rPr>
      <w:sz w:val="16"/>
      <w:szCs w:val="16"/>
    </w:rPr>
  </w:style>
  <w:style w:type="paragraph" w:styleId="Commentaire">
    <w:name w:val="annotation text"/>
    <w:basedOn w:val="Normal"/>
    <w:link w:val="CommentaireCar"/>
    <w:unhideWhenUsed/>
    <w:rsid w:val="00211991"/>
    <w:rPr>
      <w:sz w:val="20"/>
      <w:szCs w:val="20"/>
    </w:rPr>
  </w:style>
  <w:style w:type="character" w:customStyle="1" w:styleId="CommentaireCar">
    <w:name w:val="Commentaire Car"/>
    <w:basedOn w:val="Policepardfaut"/>
    <w:link w:val="Commentaire"/>
    <w:uiPriority w:val="99"/>
    <w:rsid w:val="00211991"/>
    <w:rPr>
      <w:sz w:val="20"/>
      <w:szCs w:val="20"/>
    </w:rPr>
  </w:style>
  <w:style w:type="paragraph" w:styleId="Objetducommentaire">
    <w:name w:val="annotation subject"/>
    <w:basedOn w:val="Commentaire"/>
    <w:next w:val="Commentaire"/>
    <w:link w:val="ObjetducommentaireCar"/>
    <w:unhideWhenUsed/>
    <w:rsid w:val="00211991"/>
    <w:rPr>
      <w:b/>
      <w:bCs/>
    </w:rPr>
  </w:style>
  <w:style w:type="character" w:customStyle="1" w:styleId="ObjetducommentaireCar">
    <w:name w:val="Objet du commentaire Car"/>
    <w:basedOn w:val="CommentaireCar"/>
    <w:link w:val="Objetducommentaire"/>
    <w:rsid w:val="00211991"/>
    <w:rPr>
      <w:b/>
      <w:bCs/>
      <w:sz w:val="20"/>
      <w:szCs w:val="20"/>
    </w:rPr>
  </w:style>
  <w:style w:type="paragraph" w:customStyle="1" w:styleId="Default">
    <w:name w:val="Default"/>
    <w:rsid w:val="008F37E8"/>
    <w:pPr>
      <w:autoSpaceDE w:val="0"/>
      <w:autoSpaceDN w:val="0"/>
      <w:adjustRightInd w:val="0"/>
    </w:pPr>
    <w:rPr>
      <w:rFonts w:ascii="Trebuchet MS" w:hAnsi="Trebuchet MS" w:cs="Trebuchet MS"/>
      <w:color w:val="000000"/>
      <w:lang w:val="en-US"/>
    </w:rPr>
  </w:style>
  <w:style w:type="character" w:customStyle="1" w:styleId="Titre8Car">
    <w:name w:val="Titre 8 Car"/>
    <w:basedOn w:val="Policepardfaut"/>
    <w:link w:val="Titre8"/>
    <w:rsid w:val="00862E6D"/>
    <w:rPr>
      <w:rFonts w:asciiTheme="majorHAnsi" w:eastAsiaTheme="majorEastAsia" w:hAnsiTheme="majorHAnsi" w:cstheme="majorBidi"/>
      <w:color w:val="272727" w:themeColor="text1" w:themeTint="D8"/>
      <w:sz w:val="21"/>
      <w:szCs w:val="21"/>
      <w:lang w:eastAsia="fr-FR"/>
    </w:rPr>
  </w:style>
  <w:style w:type="table" w:styleId="Grilledutableau">
    <w:name w:val="Table Grid"/>
    <w:basedOn w:val="TableauNormal"/>
    <w:uiPriority w:val="59"/>
    <w:rsid w:val="00862E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862E6D"/>
  </w:style>
  <w:style w:type="paragraph" w:customStyle="1" w:styleId="AMFDate">
    <w:name w:val="AMF Date"/>
    <w:basedOn w:val="Normal"/>
    <w:qFormat/>
    <w:rsid w:val="00862E6D"/>
    <w:pPr>
      <w:ind w:left="284"/>
      <w:jc w:val="right"/>
    </w:pPr>
    <w:rPr>
      <w:rFonts w:ascii="Calibri" w:eastAsiaTheme="minorEastAsia" w:hAnsi="Calibri"/>
      <w:b/>
      <w:bCs/>
      <w:sz w:val="20"/>
      <w:szCs w:val="19"/>
    </w:rPr>
  </w:style>
  <w:style w:type="paragraph" w:customStyle="1" w:styleId="AMFPucegrise">
    <w:name w:val="AMF Puce grise"/>
    <w:basedOn w:val="Paragraphedeliste"/>
    <w:qFormat/>
    <w:rsid w:val="00862E6D"/>
    <w:pPr>
      <w:numPr>
        <w:numId w:val="7"/>
      </w:numPr>
      <w:spacing w:before="120"/>
      <w:contextualSpacing w:val="0"/>
      <w:jc w:val="both"/>
    </w:pPr>
    <w:rPr>
      <w:rFonts w:ascii="Calibri" w:hAnsi="Calibri"/>
      <w:b/>
      <w:sz w:val="20"/>
      <w:szCs w:val="20"/>
    </w:rPr>
  </w:style>
  <w:style w:type="paragraph" w:customStyle="1" w:styleId="AMFDoctrineEncadr">
    <w:name w:val="AMF Doctrine Encadré"/>
    <w:basedOn w:val="Normal"/>
    <w:qFormat/>
    <w:rsid w:val="00862E6D"/>
    <w:pPr>
      <w:pBdr>
        <w:top w:val="single" w:sz="4" w:space="1" w:color="auto"/>
        <w:left w:val="single" w:sz="4" w:space="4" w:color="auto"/>
        <w:bottom w:val="single" w:sz="4" w:space="1" w:color="auto"/>
        <w:right w:val="single" w:sz="4" w:space="4" w:color="auto"/>
      </w:pBdr>
      <w:spacing w:line="240" w:lineRule="atLeast"/>
      <w:jc w:val="both"/>
    </w:pPr>
    <w:rPr>
      <w:rFonts w:ascii="Calibri" w:hAnsi="Calibri" w:cs="Arial"/>
      <w:b/>
      <w:sz w:val="20"/>
      <w:szCs w:val="22"/>
    </w:rPr>
  </w:style>
  <w:style w:type="paragraph" w:styleId="Textedebulles">
    <w:name w:val="Balloon Text"/>
    <w:basedOn w:val="Normal"/>
    <w:link w:val="TextedebullesCar"/>
    <w:unhideWhenUsed/>
    <w:rsid w:val="00862E6D"/>
    <w:rPr>
      <w:rFonts w:ascii="Segoe UI" w:hAnsi="Segoe UI" w:cs="Segoe UI"/>
      <w:sz w:val="18"/>
      <w:szCs w:val="18"/>
    </w:rPr>
  </w:style>
  <w:style w:type="character" w:customStyle="1" w:styleId="TextedebullesCar">
    <w:name w:val="Texte de bulles Car"/>
    <w:basedOn w:val="Policepardfaut"/>
    <w:link w:val="Textedebulles"/>
    <w:rsid w:val="00862E6D"/>
    <w:rPr>
      <w:rFonts w:ascii="Segoe UI" w:eastAsia="Times New Roman" w:hAnsi="Segoe UI" w:cs="Segoe UI"/>
      <w:sz w:val="18"/>
      <w:szCs w:val="18"/>
      <w:lang w:eastAsia="fr-FR"/>
    </w:rPr>
  </w:style>
  <w:style w:type="paragraph" w:styleId="En-tte">
    <w:name w:val="header"/>
    <w:basedOn w:val="Normal"/>
    <w:link w:val="En-tteCar"/>
    <w:unhideWhenUsed/>
    <w:rsid w:val="00862E6D"/>
    <w:pPr>
      <w:tabs>
        <w:tab w:val="center" w:pos="4536"/>
        <w:tab w:val="right" w:pos="9072"/>
      </w:tabs>
    </w:pPr>
  </w:style>
  <w:style w:type="character" w:customStyle="1" w:styleId="En-tteCar">
    <w:name w:val="En-tête Car"/>
    <w:basedOn w:val="Policepardfaut"/>
    <w:link w:val="En-tte"/>
    <w:uiPriority w:val="99"/>
    <w:rsid w:val="00862E6D"/>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862E6D"/>
    <w:pPr>
      <w:tabs>
        <w:tab w:val="center" w:pos="4536"/>
        <w:tab w:val="right" w:pos="9072"/>
      </w:tabs>
    </w:pPr>
  </w:style>
  <w:style w:type="character" w:customStyle="1" w:styleId="PieddepageCar">
    <w:name w:val="Pied de page Car"/>
    <w:basedOn w:val="Policepardfaut"/>
    <w:link w:val="Pieddepage"/>
    <w:uiPriority w:val="99"/>
    <w:rsid w:val="00862E6D"/>
    <w:rPr>
      <w:rFonts w:ascii="Times New Roman" w:eastAsia="Times New Roman" w:hAnsi="Times New Roman" w:cs="Times New Roman"/>
      <w:lang w:eastAsia="fr-FR"/>
    </w:rPr>
  </w:style>
  <w:style w:type="character" w:styleId="Numrodepage">
    <w:name w:val="page number"/>
    <w:basedOn w:val="Policepardfaut"/>
    <w:unhideWhenUsed/>
    <w:rsid w:val="00862E6D"/>
  </w:style>
  <w:style w:type="paragraph" w:customStyle="1" w:styleId="ENTETEUMOA">
    <w:name w:val="ENTETE_UMOA"/>
    <w:basedOn w:val="Normal"/>
    <w:next w:val="Normal"/>
    <w:rsid w:val="00862E6D"/>
    <w:pPr>
      <w:spacing w:before="120" w:after="120"/>
      <w:ind w:left="567"/>
      <w:jc w:val="center"/>
    </w:pPr>
    <w:rPr>
      <w:rFonts w:ascii="Trebuchet MS" w:hAnsi="Trebuchet MS" w:cs="Arial"/>
      <w:b/>
      <w:spacing w:val="-20"/>
      <w:sz w:val="20"/>
    </w:rPr>
  </w:style>
  <w:style w:type="paragraph" w:customStyle="1" w:styleId="ENTETECREPMF">
    <w:name w:val="ENTETE_CREPMF"/>
    <w:basedOn w:val="Normal"/>
    <w:rsid w:val="00862E6D"/>
    <w:pPr>
      <w:spacing w:before="60" w:after="60" w:line="280" w:lineRule="atLeast"/>
      <w:jc w:val="center"/>
    </w:pPr>
    <w:rPr>
      <w:rFonts w:ascii="Trebuchet MS" w:hAnsi="Trebuchet MS" w:cs="Arial"/>
      <w:b/>
      <w:spacing w:val="-20"/>
      <w:sz w:val="20"/>
    </w:rPr>
  </w:style>
  <w:style w:type="paragraph" w:styleId="Rvision">
    <w:name w:val="Revision"/>
    <w:hidden/>
    <w:uiPriority w:val="99"/>
    <w:semiHidden/>
    <w:rsid w:val="00862E6D"/>
    <w:rPr>
      <w:rFonts w:ascii="Times New Roman" w:eastAsia="Times New Roman" w:hAnsi="Times New Roman" w:cs="Times New Roman"/>
      <w:lang w:eastAsia="fr-FR"/>
    </w:rPr>
  </w:style>
  <w:style w:type="character" w:customStyle="1" w:styleId="ParagraphedelisteCar">
    <w:name w:val="Paragraphe de liste Car"/>
    <w:aliases w:val="Paragraphe EI Car,Paragraphe de liste1 Car,EC Car"/>
    <w:link w:val="Paragraphedeliste"/>
    <w:uiPriority w:val="34"/>
    <w:rsid w:val="00862E6D"/>
  </w:style>
  <w:style w:type="paragraph" w:customStyle="1" w:styleId="AMFTEXTECOURANT">
    <w:name w:val="AMF TEXTE COURANT"/>
    <w:basedOn w:val="Normal"/>
    <w:autoRedefine/>
    <w:qFormat/>
    <w:rsid w:val="00843715"/>
    <w:pPr>
      <w:spacing w:line="240" w:lineRule="atLeast"/>
      <w:ind w:left="-142"/>
      <w:jc w:val="both"/>
    </w:pPr>
    <w:rPr>
      <w:rFonts w:ascii="Calibri" w:hAnsi="Calibri" w:cs="Arial"/>
      <w:b/>
      <w:sz w:val="20"/>
      <w:szCs w:val="22"/>
    </w:rPr>
  </w:style>
  <w:style w:type="character" w:styleId="Appelnotedebasdep">
    <w:name w:val="footnote reference"/>
    <w:aliases w:val="fr,Footnote Reference Superscript,BVI fnr,Footnote symbol,16 Point,Superscript 6 Point,Footnote Reference Number,Footnote Reference_LVL6,Footnote Reference_LVL61,Footnote Reference_LVL62,Footnote Reference_LVL63,SUPERS,Footnote"/>
    <w:basedOn w:val="Policepardfaut"/>
    <w:rsid w:val="00843715"/>
    <w:rPr>
      <w:vertAlign w:val="superscript"/>
    </w:rPr>
  </w:style>
  <w:style w:type="paragraph" w:customStyle="1" w:styleId="AMFNotedebasdepage">
    <w:name w:val="AMF Note de bas de page"/>
    <w:basedOn w:val="Notedebasdepage"/>
    <w:qFormat/>
    <w:rsid w:val="00843715"/>
    <w:rPr>
      <w:i/>
      <w:sz w:val="16"/>
      <w:szCs w:val="16"/>
    </w:rPr>
  </w:style>
  <w:style w:type="paragraph" w:customStyle="1" w:styleId="Style2">
    <w:name w:val="Style2"/>
    <w:basedOn w:val="Normal"/>
    <w:rsid w:val="00843715"/>
    <w:pPr>
      <w:tabs>
        <w:tab w:val="num" w:pos="360"/>
      </w:tabs>
    </w:pPr>
  </w:style>
  <w:style w:type="paragraph" w:customStyle="1" w:styleId="AMFDoctrineChapeau">
    <w:name w:val="AMF Doctrine Chapeau"/>
    <w:basedOn w:val="Normal"/>
    <w:qFormat/>
    <w:rsid w:val="00843715"/>
    <w:pPr>
      <w:spacing w:line="240" w:lineRule="atLeast"/>
      <w:jc w:val="both"/>
    </w:pPr>
    <w:rPr>
      <w:rFonts w:ascii="Calibri" w:hAnsi="Calibri" w:cs="Calibri"/>
      <w:sz w:val="20"/>
      <w:szCs w:val="20"/>
    </w:rPr>
  </w:style>
  <w:style w:type="paragraph" w:customStyle="1" w:styleId="AMFPucecadre">
    <w:name w:val="AMF Puce cadre"/>
    <w:basedOn w:val="Style2"/>
    <w:qFormat/>
    <w:rsid w:val="00843715"/>
    <w:pPr>
      <w:spacing w:line="240" w:lineRule="atLeast"/>
      <w:ind w:left="284" w:hanging="284"/>
    </w:pPr>
    <w:rPr>
      <w:rFonts w:ascii="Calibri" w:hAnsi="Calibri"/>
      <w:sz w:val="20"/>
    </w:rPr>
  </w:style>
  <w:style w:type="paragraph" w:customStyle="1" w:styleId="AMFDoctrineTitreNiveau2">
    <w:name w:val="AMF Doctrine Titre Niveau 2"/>
    <w:basedOn w:val="Normal"/>
    <w:qFormat/>
    <w:rsid w:val="00843715"/>
    <w:pPr>
      <w:tabs>
        <w:tab w:val="num" w:pos="360"/>
      </w:tabs>
      <w:spacing w:before="120" w:after="120"/>
      <w:ind w:left="567" w:hanging="567"/>
    </w:pPr>
    <w:rPr>
      <w:rFonts w:ascii="Calibri" w:hAnsi="Calibri" w:cs="Calibri"/>
      <w:b/>
    </w:rPr>
  </w:style>
  <w:style w:type="paragraph" w:customStyle="1" w:styleId="AMFDoctrineTitreNiveau3">
    <w:name w:val="AMF Doctrine Titre Niveau 3"/>
    <w:basedOn w:val="Normal"/>
    <w:qFormat/>
    <w:rsid w:val="00843715"/>
    <w:pPr>
      <w:tabs>
        <w:tab w:val="num" w:pos="360"/>
      </w:tabs>
      <w:spacing w:before="120" w:after="120"/>
      <w:ind w:left="567" w:hanging="567"/>
    </w:pPr>
    <w:rPr>
      <w:rFonts w:cstheme="minorHAnsi"/>
      <w:sz w:val="20"/>
      <w:szCs w:val="20"/>
    </w:rPr>
  </w:style>
  <w:style w:type="paragraph" w:customStyle="1" w:styleId="AMFDoctrineTitreNiveau1">
    <w:name w:val="AMF Doctrine Titre Niveau 1"/>
    <w:basedOn w:val="Normal"/>
    <w:next w:val="AMFTEXTECOURANT"/>
    <w:qFormat/>
    <w:rsid w:val="00843715"/>
    <w:pPr>
      <w:tabs>
        <w:tab w:val="num" w:pos="360"/>
      </w:tabs>
      <w:spacing w:before="240" w:after="240" w:line="240" w:lineRule="atLeast"/>
      <w:ind w:left="567" w:hanging="567"/>
      <w:contextualSpacing/>
    </w:pPr>
    <w:rPr>
      <w:rFonts w:ascii="Calibri" w:hAnsi="Calibri" w:cs="Calibri"/>
      <w:caps/>
      <w:szCs w:val="28"/>
    </w:rPr>
  </w:style>
  <w:style w:type="paragraph" w:styleId="Notedebasdepage">
    <w:name w:val="footnote text"/>
    <w:aliases w:val="Note de bas de page Car Car Car Car Car Car Car Car Car Car Car,Note de bas de page Car Car Car,Note de bas de page Car Car Car Car Car Car Car Car,Note de bas de page3 Car,Note de bas de page3 Car Car,Footnote Text Char1,ft"/>
    <w:basedOn w:val="Normal"/>
    <w:link w:val="NotedebasdepageCar"/>
    <w:unhideWhenUsed/>
    <w:rsid w:val="00843715"/>
    <w:rPr>
      <w:sz w:val="20"/>
      <w:szCs w:val="20"/>
    </w:rPr>
  </w:style>
  <w:style w:type="character" w:customStyle="1" w:styleId="NotedebasdepageCar">
    <w:name w:val="Note de bas de page Car"/>
    <w:aliases w:val="Note de bas de page Car Car Car Car Car Car Car Car Car Car Car Car,Note de bas de page Car Car Car Car,Note de bas de page Car Car Car Car Car Car Car Car Car,Note de bas de page3 Car Car1,Note de bas de page3 Car Car Car,ft Car"/>
    <w:basedOn w:val="Policepardfaut"/>
    <w:link w:val="Notedebasdepage"/>
    <w:uiPriority w:val="99"/>
    <w:rsid w:val="00843715"/>
    <w:rPr>
      <w:sz w:val="20"/>
      <w:szCs w:val="20"/>
    </w:rPr>
  </w:style>
  <w:style w:type="character" w:customStyle="1" w:styleId="Titre4Car">
    <w:name w:val="Titre 4 Car"/>
    <w:basedOn w:val="Policepardfaut"/>
    <w:link w:val="Titre4"/>
    <w:rsid w:val="006118FD"/>
    <w:rPr>
      <w:rFonts w:ascii="Arial" w:eastAsia="Times New Roman" w:hAnsi="Arial" w:cs="Times New Roman"/>
      <w:i/>
      <w:iCs/>
      <w:sz w:val="18"/>
      <w:szCs w:val="20"/>
      <w:lang w:eastAsia="fr-FR"/>
    </w:rPr>
  </w:style>
  <w:style w:type="paragraph" w:customStyle="1" w:styleId="AMFTitre">
    <w:name w:val="AMF Titre"/>
    <w:basedOn w:val="Normal"/>
    <w:qFormat/>
    <w:rsid w:val="006118FD"/>
    <w:pPr>
      <w:ind w:left="284" w:right="3384"/>
    </w:pPr>
    <w:rPr>
      <w:rFonts w:asciiTheme="majorHAnsi" w:eastAsiaTheme="minorEastAsia" w:hAnsiTheme="majorHAnsi"/>
      <w:b/>
      <w:bCs/>
      <w:caps/>
      <w:sz w:val="30"/>
      <w:szCs w:val="30"/>
    </w:rPr>
  </w:style>
  <w:style w:type="paragraph" w:styleId="Corpsdetexte">
    <w:name w:val="Body Text"/>
    <w:basedOn w:val="Normal"/>
    <w:link w:val="CorpsdetexteCar"/>
    <w:rsid w:val="006118FD"/>
    <w:pPr>
      <w:jc w:val="both"/>
    </w:pPr>
    <w:rPr>
      <w:rFonts w:ascii="Calibri" w:hAnsi="Calibri"/>
      <w:sz w:val="20"/>
    </w:rPr>
  </w:style>
  <w:style w:type="character" w:customStyle="1" w:styleId="CorpsdetexteCar">
    <w:name w:val="Corps de texte Car"/>
    <w:basedOn w:val="Policepardfaut"/>
    <w:link w:val="Corpsdetexte"/>
    <w:rsid w:val="006118FD"/>
    <w:rPr>
      <w:rFonts w:ascii="Calibri" w:eastAsia="Times New Roman" w:hAnsi="Calibri" w:cs="Times New Roman"/>
      <w:sz w:val="20"/>
      <w:lang w:eastAsia="fr-FR"/>
    </w:rPr>
  </w:style>
  <w:style w:type="paragraph" w:customStyle="1" w:styleId="AMFDoctrineTitre">
    <w:name w:val="AMF Doctrine Titre"/>
    <w:basedOn w:val="Normal"/>
    <w:qFormat/>
    <w:rsid w:val="006118FD"/>
    <w:pPr>
      <w:spacing w:before="720" w:after="480"/>
    </w:pPr>
    <w:rPr>
      <w:rFonts w:ascii="Calibri" w:hAnsi="Calibri"/>
      <w:b/>
      <w:caps/>
    </w:rPr>
  </w:style>
  <w:style w:type="paragraph" w:customStyle="1" w:styleId="Style1">
    <w:name w:val="Style1"/>
    <w:basedOn w:val="Normal"/>
    <w:qFormat/>
    <w:rsid w:val="006118FD"/>
    <w:pPr>
      <w:ind w:left="851" w:hanging="360"/>
    </w:pPr>
    <w:rPr>
      <w:rFonts w:asciiTheme="majorHAnsi" w:eastAsiaTheme="minorEastAsia" w:hAnsiTheme="majorHAnsi" w:cs="∆òˇøÂ'91Â'1"/>
      <w:color w:val="000000"/>
      <w:sz w:val="19"/>
      <w:szCs w:val="19"/>
    </w:rPr>
  </w:style>
  <w:style w:type="paragraph" w:customStyle="1" w:styleId="Puceprune">
    <w:name w:val="Puce prune"/>
    <w:basedOn w:val="Normal"/>
    <w:qFormat/>
    <w:rsid w:val="006118FD"/>
    <w:pPr>
      <w:widowControl w:val="0"/>
      <w:numPr>
        <w:ilvl w:val="1"/>
        <w:numId w:val="1"/>
      </w:numPr>
      <w:autoSpaceDE w:val="0"/>
      <w:autoSpaceDN w:val="0"/>
      <w:adjustRightInd w:val="0"/>
      <w:spacing w:before="100" w:after="100" w:line="240" w:lineRule="exact"/>
    </w:pPr>
    <w:rPr>
      <w:rFonts w:asciiTheme="majorHAnsi" w:eastAsiaTheme="minorEastAsia" w:hAnsiTheme="majorHAnsi" w:cs="∆òˇøÂ'91Â'1"/>
      <w:color w:val="000000"/>
      <w:sz w:val="19"/>
      <w:szCs w:val="19"/>
    </w:rPr>
  </w:style>
  <w:style w:type="paragraph" w:customStyle="1" w:styleId="AMFDoctrineType">
    <w:name w:val="AMF Doctrine Type"/>
    <w:basedOn w:val="Normal"/>
    <w:qFormat/>
    <w:rsid w:val="006118FD"/>
    <w:pPr>
      <w:spacing w:before="240"/>
    </w:pPr>
    <w:rPr>
      <w:rFonts w:asciiTheme="majorHAnsi" w:eastAsiaTheme="minorEastAsia" w:hAnsiTheme="majorHAnsi"/>
      <w:b/>
      <w:bCs/>
      <w:caps/>
      <w:noProof/>
      <w:sz w:val="20"/>
      <w:szCs w:val="20"/>
    </w:rPr>
  </w:style>
  <w:style w:type="paragraph" w:customStyle="1" w:styleId="AMFDoctrineRfrence">
    <w:name w:val="AMF Doctrine Référence"/>
    <w:basedOn w:val="AMFTitre"/>
    <w:qFormat/>
    <w:rsid w:val="006118FD"/>
    <w:pPr>
      <w:ind w:left="0" w:right="0"/>
    </w:pPr>
    <w:rPr>
      <w:noProof/>
    </w:rPr>
  </w:style>
  <w:style w:type="paragraph" w:customStyle="1" w:styleId="Style3">
    <w:name w:val="Style3"/>
    <w:basedOn w:val="Style2"/>
    <w:qFormat/>
    <w:rsid w:val="006118FD"/>
    <w:pPr>
      <w:tabs>
        <w:tab w:val="clear" w:pos="360"/>
      </w:tabs>
      <w:ind w:left="284" w:hanging="284"/>
    </w:pPr>
    <w:rPr>
      <w:rFonts w:ascii="Calibri" w:hAnsi="Calibri"/>
      <w:sz w:val="20"/>
    </w:rPr>
  </w:style>
  <w:style w:type="paragraph" w:customStyle="1" w:styleId="AMFPuceflche">
    <w:name w:val="AMF Puce flèche"/>
    <w:basedOn w:val="Normal"/>
    <w:qFormat/>
    <w:rsid w:val="006118FD"/>
    <w:pPr>
      <w:numPr>
        <w:numId w:val="2"/>
      </w:numPr>
      <w:spacing w:line="240" w:lineRule="atLeast"/>
      <w:ind w:left="568" w:hanging="284"/>
      <w:contextualSpacing/>
      <w:jc w:val="both"/>
    </w:pPr>
    <w:rPr>
      <w:rFonts w:ascii="Calibri" w:hAnsi="Calibri" w:cs="Calibri"/>
      <w:sz w:val="20"/>
      <w:szCs w:val="20"/>
    </w:rPr>
  </w:style>
  <w:style w:type="paragraph" w:customStyle="1" w:styleId="AMFPucecarr">
    <w:name w:val="AMF Puce carré"/>
    <w:basedOn w:val="Normal"/>
    <w:qFormat/>
    <w:rsid w:val="006118FD"/>
    <w:pPr>
      <w:numPr>
        <w:numId w:val="3"/>
      </w:numPr>
      <w:spacing w:line="240" w:lineRule="atLeast"/>
      <w:ind w:left="851" w:hanging="284"/>
      <w:jc w:val="both"/>
    </w:pPr>
    <w:rPr>
      <w:rFonts w:ascii="Calibri" w:hAnsi="Calibri" w:cs="Calibri"/>
      <w:sz w:val="20"/>
      <w:szCs w:val="20"/>
    </w:rPr>
  </w:style>
  <w:style w:type="paragraph" w:customStyle="1" w:styleId="AMFTitre1erniveauviolet">
    <w:name w:val="AMF Titre 1er niveau violet"/>
    <w:basedOn w:val="Normal"/>
    <w:qFormat/>
    <w:rsid w:val="006118FD"/>
    <w:pPr>
      <w:spacing w:before="480" w:after="120"/>
      <w:ind w:left="425" w:hanging="425"/>
      <w:contextualSpacing/>
    </w:pPr>
    <w:rPr>
      <w:rFonts w:ascii="Calibri" w:hAnsi="Calibri" w:cs="Calibri"/>
      <w:caps/>
      <w:color w:val="FFC000" w:themeColor="accent4"/>
      <w:szCs w:val="28"/>
    </w:rPr>
  </w:style>
  <w:style w:type="paragraph" w:customStyle="1" w:styleId="AMFTitre4eniveau">
    <w:name w:val="AMF Titre 4e niveau"/>
    <w:basedOn w:val="Normal"/>
    <w:qFormat/>
    <w:rsid w:val="006118FD"/>
    <w:pPr>
      <w:spacing w:before="120" w:after="120" w:line="240" w:lineRule="atLeast"/>
      <w:ind w:left="709" w:hanging="709"/>
    </w:pPr>
    <w:rPr>
      <w:rFonts w:ascii="Calibri" w:hAnsi="Calibri" w:cs="Calibri"/>
      <w:sz w:val="20"/>
    </w:rPr>
  </w:style>
  <w:style w:type="paragraph" w:customStyle="1" w:styleId="AMFNBP">
    <w:name w:val="AMF NBP"/>
    <w:basedOn w:val="Notedebasdepage"/>
    <w:qFormat/>
    <w:rsid w:val="006118FD"/>
    <w:pPr>
      <w:ind w:left="284" w:hanging="284"/>
    </w:pPr>
    <w:rPr>
      <w:rFonts w:ascii="Calibri" w:hAnsi="Calibri" w:cs="Calibri"/>
      <w:sz w:val="16"/>
      <w:szCs w:val="16"/>
    </w:rPr>
  </w:style>
  <w:style w:type="paragraph" w:customStyle="1" w:styleId="AMFDoctrineTextesrfrence">
    <w:name w:val="AMF Doctrine Textes référence"/>
    <w:basedOn w:val="AMFTEXTECOURANT"/>
    <w:qFormat/>
    <w:rsid w:val="006118FD"/>
    <w:pPr>
      <w:spacing w:after="480"/>
    </w:pPr>
    <w:rPr>
      <w:b w:val="0"/>
    </w:rPr>
  </w:style>
  <w:style w:type="paragraph" w:customStyle="1" w:styleId="AMFDoctrineEntete2">
    <w:name w:val="AMF Doctrine Entete 2"/>
    <w:basedOn w:val="Normal"/>
    <w:qFormat/>
    <w:rsid w:val="006118FD"/>
    <w:pPr>
      <w:pBdr>
        <w:bottom w:val="dotted" w:sz="4" w:space="1" w:color="auto"/>
      </w:pBdr>
      <w:spacing w:before="240"/>
    </w:pPr>
    <w:rPr>
      <w:rFonts w:cstheme="minorHAnsi"/>
      <w:sz w:val="18"/>
      <w:szCs w:val="18"/>
    </w:rPr>
  </w:style>
  <w:style w:type="character" w:styleId="Textedelespacerserv">
    <w:name w:val="Placeholder Text"/>
    <w:basedOn w:val="Policepardfaut"/>
    <w:rsid w:val="006118FD"/>
    <w:rPr>
      <w:color w:val="808080"/>
    </w:rPr>
  </w:style>
  <w:style w:type="character" w:customStyle="1" w:styleId="Style4">
    <w:name w:val="Style4"/>
    <w:basedOn w:val="Policepardfaut"/>
    <w:uiPriority w:val="1"/>
    <w:rsid w:val="006118FD"/>
    <w:rPr>
      <w:b/>
      <w:u w:val="single"/>
    </w:rPr>
  </w:style>
  <w:style w:type="paragraph" w:customStyle="1" w:styleId="chapeau">
    <w:name w:val="chapeau"/>
    <w:basedOn w:val="Normal"/>
    <w:next w:val="Normal"/>
    <w:rsid w:val="006118FD"/>
    <w:pPr>
      <w:spacing w:line="260" w:lineRule="exact"/>
      <w:jc w:val="both"/>
    </w:pPr>
    <w:rPr>
      <w:rFonts w:ascii="Arial" w:eastAsia="Times" w:hAnsi="Arial"/>
      <w:i/>
      <w:sz w:val="22"/>
      <w:szCs w:val="20"/>
    </w:rPr>
  </w:style>
  <w:style w:type="paragraph" w:customStyle="1" w:styleId="Direction">
    <w:name w:val="Direction"/>
    <w:basedOn w:val="Normal"/>
    <w:next w:val="Normal"/>
    <w:rsid w:val="006118FD"/>
    <w:pPr>
      <w:spacing w:line="240" w:lineRule="atLeast"/>
    </w:pPr>
    <w:rPr>
      <w:rFonts w:ascii="Arial" w:eastAsia="Times" w:hAnsi="Arial"/>
      <w:b/>
      <w:bCs/>
      <w:sz w:val="18"/>
      <w:szCs w:val="20"/>
    </w:rPr>
  </w:style>
  <w:style w:type="paragraph" w:customStyle="1" w:styleId="Service">
    <w:name w:val="Service"/>
    <w:basedOn w:val="Normal"/>
    <w:next w:val="Normal"/>
    <w:rsid w:val="006118FD"/>
    <w:pPr>
      <w:spacing w:line="240" w:lineRule="atLeast"/>
    </w:pPr>
    <w:rPr>
      <w:rFonts w:ascii="Arial" w:eastAsia="Times" w:hAnsi="Arial"/>
      <w:bCs/>
      <w:sz w:val="18"/>
      <w:szCs w:val="20"/>
    </w:rPr>
  </w:style>
  <w:style w:type="paragraph" w:customStyle="1" w:styleId="Signature1">
    <w:name w:val="Signature1"/>
    <w:basedOn w:val="Normal"/>
    <w:next w:val="Normal"/>
    <w:autoRedefine/>
    <w:rsid w:val="006118FD"/>
    <w:pPr>
      <w:spacing w:line="240" w:lineRule="atLeast"/>
    </w:pPr>
    <w:rPr>
      <w:rFonts w:ascii="Arial" w:eastAsia="Times" w:hAnsi="Arial" w:cs="Arial"/>
      <w:sz w:val="18"/>
      <w:szCs w:val="20"/>
    </w:rPr>
  </w:style>
  <w:style w:type="paragraph" w:customStyle="1" w:styleId="titre">
    <w:name w:val="titre"/>
    <w:basedOn w:val="Normal"/>
    <w:rsid w:val="006118FD"/>
    <w:pPr>
      <w:spacing w:line="320" w:lineRule="atLeast"/>
    </w:pPr>
    <w:rPr>
      <w:rFonts w:ascii="Arial" w:eastAsia="Times" w:hAnsi="Arial"/>
      <w:b/>
      <w:sz w:val="20"/>
      <w:szCs w:val="20"/>
    </w:rPr>
  </w:style>
  <w:style w:type="paragraph" w:customStyle="1" w:styleId="numrodepage0">
    <w:name w:val="numéro de page"/>
    <w:basedOn w:val="Normal"/>
    <w:next w:val="Normal"/>
    <w:rsid w:val="006118FD"/>
    <w:pPr>
      <w:spacing w:line="240" w:lineRule="atLeast"/>
      <w:jc w:val="center"/>
    </w:pPr>
    <w:rPr>
      <w:rFonts w:ascii="Arial" w:eastAsia="Times" w:hAnsi="Arial"/>
      <w:sz w:val="16"/>
      <w:szCs w:val="20"/>
    </w:rPr>
  </w:style>
  <w:style w:type="paragraph" w:customStyle="1" w:styleId="pucepoint">
    <w:name w:val="puce point"/>
    <w:basedOn w:val="Normal"/>
    <w:rsid w:val="006118FD"/>
    <w:pPr>
      <w:numPr>
        <w:numId w:val="4"/>
      </w:numPr>
      <w:spacing w:line="240" w:lineRule="atLeast"/>
      <w:jc w:val="both"/>
    </w:pPr>
    <w:rPr>
      <w:rFonts w:ascii="Arial" w:eastAsia="Times" w:hAnsi="Arial"/>
      <w:sz w:val="18"/>
      <w:szCs w:val="20"/>
    </w:rPr>
  </w:style>
  <w:style w:type="paragraph" w:customStyle="1" w:styleId="pucetiret">
    <w:name w:val="puce tiret"/>
    <w:basedOn w:val="Normal"/>
    <w:rsid w:val="006118FD"/>
    <w:pPr>
      <w:numPr>
        <w:numId w:val="5"/>
      </w:numPr>
      <w:tabs>
        <w:tab w:val="clear" w:pos="1437"/>
        <w:tab w:val="num" w:pos="1134"/>
      </w:tabs>
      <w:spacing w:line="240" w:lineRule="atLeast"/>
      <w:ind w:left="1134" w:hanging="352"/>
      <w:jc w:val="both"/>
    </w:pPr>
    <w:rPr>
      <w:rFonts w:ascii="Arial" w:eastAsia="Times" w:hAnsi="Arial"/>
      <w:sz w:val="18"/>
      <w:szCs w:val="20"/>
    </w:rPr>
  </w:style>
  <w:style w:type="character" w:styleId="Lienhypertexte">
    <w:name w:val="Hyperlink"/>
    <w:uiPriority w:val="99"/>
    <w:rsid w:val="006118FD"/>
    <w:rPr>
      <w:color w:val="0000FF"/>
      <w:u w:val="single"/>
    </w:rPr>
  </w:style>
  <w:style w:type="paragraph" w:customStyle="1" w:styleId="CelluleIntitul">
    <w:name w:val="Cellule Intitulé"/>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color w:val="000000"/>
      <w:w w:val="0"/>
      <w:lang w:eastAsia="fr-FR"/>
    </w:rPr>
  </w:style>
  <w:style w:type="paragraph" w:customStyle="1" w:styleId="fichedagrement">
    <w:name w:val="fiche d'agrement"/>
    <w:basedOn w:val="Normal"/>
    <w:rsid w:val="006118FD"/>
    <w:pPr>
      <w:numPr>
        <w:numId w:val="6"/>
      </w:numPr>
      <w:suppressLineNumbers/>
      <w:tabs>
        <w:tab w:val="left" w:pos="6804"/>
      </w:tabs>
      <w:overflowPunct w:val="0"/>
      <w:autoSpaceDE w:val="0"/>
      <w:autoSpaceDN w:val="0"/>
      <w:adjustRightInd w:val="0"/>
      <w:jc w:val="both"/>
      <w:textAlignment w:val="baseline"/>
    </w:pPr>
    <w:rPr>
      <w:rFonts w:ascii="Garamond" w:hAnsi="Garamond"/>
      <w:bCs/>
      <w:snapToGrid w:val="0"/>
      <w:sz w:val="20"/>
      <w:szCs w:val="22"/>
    </w:rPr>
  </w:style>
  <w:style w:type="paragraph" w:styleId="Corpsdetexte2">
    <w:name w:val="Body Text 2"/>
    <w:basedOn w:val="Normal"/>
    <w:link w:val="Corpsdetexte2Car"/>
    <w:rsid w:val="006118FD"/>
    <w:pPr>
      <w:jc w:val="both"/>
    </w:pPr>
    <w:rPr>
      <w:rFonts w:ascii="Arial" w:eastAsia="Times" w:hAnsi="Arial"/>
      <w:i/>
      <w:iCs/>
      <w:sz w:val="18"/>
      <w:szCs w:val="20"/>
    </w:rPr>
  </w:style>
  <w:style w:type="character" w:customStyle="1" w:styleId="Corpsdetexte2Car">
    <w:name w:val="Corps de texte 2 Car"/>
    <w:basedOn w:val="Policepardfaut"/>
    <w:link w:val="Corpsdetexte2"/>
    <w:rsid w:val="006118FD"/>
    <w:rPr>
      <w:rFonts w:ascii="Arial" w:eastAsia="Times" w:hAnsi="Arial" w:cs="Times New Roman"/>
      <w:i/>
      <w:iCs/>
      <w:sz w:val="18"/>
      <w:szCs w:val="20"/>
      <w:lang w:eastAsia="fr-FR"/>
    </w:rPr>
  </w:style>
  <w:style w:type="paragraph" w:customStyle="1" w:styleId="Style8">
    <w:name w:val="Style 8"/>
    <w:basedOn w:val="Normal"/>
    <w:rsid w:val="006118FD"/>
    <w:pPr>
      <w:widowControl w:val="0"/>
      <w:spacing w:line="372" w:lineRule="atLeast"/>
    </w:pPr>
    <w:rPr>
      <w:snapToGrid w:val="0"/>
      <w:szCs w:val="20"/>
    </w:rPr>
  </w:style>
  <w:style w:type="paragraph" w:customStyle="1" w:styleId="CM91">
    <w:name w:val="CM91"/>
    <w:basedOn w:val="Default"/>
    <w:next w:val="Default"/>
    <w:rsid w:val="006118FD"/>
    <w:pPr>
      <w:widowControl w:val="0"/>
      <w:spacing w:after="208"/>
    </w:pPr>
    <w:rPr>
      <w:rFonts w:ascii="Arial" w:eastAsia="Times New Roman" w:hAnsi="Arial" w:cs="Times New Roman"/>
      <w:color w:val="auto"/>
      <w:lang w:val="fr-FR" w:eastAsia="fr-FR"/>
    </w:rPr>
  </w:style>
  <w:style w:type="table" w:customStyle="1" w:styleId="Grilledutableau2">
    <w:name w:val="Grille du tableau2"/>
    <w:basedOn w:val="TableauNormal"/>
    <w:next w:val="Grilledutableau"/>
    <w:rsid w:val="006118FD"/>
    <w:pPr>
      <w:overflowPunct w:val="0"/>
      <w:autoSpaceDE w:val="0"/>
      <w:autoSpaceDN w:val="0"/>
      <w:adjustRightInd w:val="0"/>
      <w:jc w:val="both"/>
      <w:textAlignment w:val="baseline"/>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CarCharChar">
    <w:name w:val="Car Car Car Char Char"/>
    <w:basedOn w:val="Normal"/>
    <w:rsid w:val="006118FD"/>
    <w:pPr>
      <w:keepNext/>
      <w:spacing w:after="160" w:line="240" w:lineRule="exact"/>
    </w:pPr>
    <w:rPr>
      <w:rFonts w:ascii="Arial" w:hAnsi="Arial"/>
      <w:lang w:val="en-US"/>
    </w:rPr>
  </w:style>
  <w:style w:type="paragraph" w:customStyle="1" w:styleId="CarCarCarCharChar1">
    <w:name w:val="Car Car Car Char Char1"/>
    <w:basedOn w:val="Normal"/>
    <w:rsid w:val="006118FD"/>
    <w:pPr>
      <w:keepNext/>
      <w:spacing w:after="160" w:line="240" w:lineRule="exact"/>
    </w:pPr>
    <w:rPr>
      <w:rFonts w:ascii="Arial" w:hAnsi="Arial"/>
      <w:lang w:val="en-US"/>
    </w:rPr>
  </w:style>
  <w:style w:type="paragraph" w:customStyle="1" w:styleId="Normal1">
    <w:name w:val="Normal1"/>
    <w:basedOn w:val="Normal"/>
    <w:rsid w:val="006118FD"/>
    <w:pPr>
      <w:spacing w:before="120"/>
      <w:jc w:val="both"/>
      <w:textAlignment w:val="baseline"/>
    </w:pPr>
    <w:rPr>
      <w:rFonts w:ascii="Arial" w:hAnsi="Arial" w:cs="Arial"/>
      <w:color w:val="000000"/>
      <w:sz w:val="18"/>
      <w:szCs w:val="18"/>
    </w:rPr>
  </w:style>
  <w:style w:type="paragraph" w:customStyle="1" w:styleId="retrait-corps-de-texte-2">
    <w:name w:val="retrait-corps-de-texte-2"/>
    <w:basedOn w:val="Normal"/>
    <w:rsid w:val="006118FD"/>
    <w:pPr>
      <w:ind w:left="142" w:hanging="142"/>
      <w:jc w:val="both"/>
      <w:textAlignment w:val="baseline"/>
    </w:pPr>
    <w:rPr>
      <w:rFonts w:ascii="Arial" w:hAnsi="Arial" w:cs="Arial"/>
      <w:color w:val="000000"/>
      <w:sz w:val="18"/>
      <w:szCs w:val="18"/>
    </w:rPr>
  </w:style>
  <w:style w:type="paragraph" w:customStyle="1" w:styleId="CelluleCourant">
    <w:name w:val="Cellule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StyleStyle1014pt">
    <w:name w:val="Style Style10 + 14 pt"/>
    <w:basedOn w:val="Normal"/>
    <w:rsid w:val="006118FD"/>
    <w:pPr>
      <w:keepNext/>
      <w:spacing w:line="360" w:lineRule="auto"/>
      <w:jc w:val="both"/>
      <w:outlineLvl w:val="2"/>
    </w:pPr>
    <w:rPr>
      <w:rFonts w:ascii="Arial Gras" w:hAnsi="Arial Gras" w:cs="Arial"/>
      <w:bCs/>
      <w:sz w:val="28"/>
      <w:szCs w:val="28"/>
      <w:u w:val="double"/>
      <w14:shadow w14:blurRad="50800" w14:dist="38100" w14:dir="2700000" w14:sx="100000" w14:sy="100000" w14:kx="0" w14:ky="0" w14:algn="tl">
        <w14:srgbClr w14:val="000000">
          <w14:alpha w14:val="60000"/>
        </w14:srgbClr>
      </w14:shadow>
    </w:rPr>
  </w:style>
  <w:style w:type="paragraph" w:customStyle="1" w:styleId="Style11">
    <w:name w:val="Style11"/>
    <w:basedOn w:val="Normal"/>
    <w:rsid w:val="006118FD"/>
    <w:pPr>
      <w:spacing w:line="360" w:lineRule="auto"/>
      <w:jc w:val="right"/>
    </w:pPr>
    <w:rPr>
      <w:rFonts w:ascii="Arial" w:hAnsi="Arial" w:cs="Arial"/>
      <w:bCs/>
      <w:smallCaps/>
      <w:sz w:val="18"/>
      <w:szCs w:val="18"/>
      <w:u w:val="thick"/>
      <w:lang w:val="en-GB"/>
      <w14:shadow w14:blurRad="50800" w14:dist="38100" w14:dir="2700000" w14:sx="100000" w14:sy="100000" w14:kx="0" w14:ky="0" w14:algn="tl">
        <w14:srgbClr w14:val="000000">
          <w14:alpha w14:val="60000"/>
        </w14:srgbClr>
      </w14:shadow>
    </w:rPr>
  </w:style>
  <w:style w:type="paragraph" w:customStyle="1" w:styleId="Courant">
    <w:name w:val="Courant"/>
    <w:rsid w:val="006118FD"/>
    <w:pPr>
      <w:widowControl w:val="0"/>
      <w:autoSpaceDE w:val="0"/>
      <w:autoSpaceDN w:val="0"/>
      <w:adjustRightInd w:val="0"/>
      <w:spacing w:line="280" w:lineRule="atLeast"/>
    </w:pPr>
    <w:rPr>
      <w:rFonts w:ascii="Times New Roman" w:eastAsia="Times New Roman" w:hAnsi="Times New Roman" w:cs="Times New Roman"/>
      <w:color w:val="000000"/>
      <w:w w:val="0"/>
      <w:lang w:eastAsia="fr-FR"/>
    </w:rPr>
  </w:style>
  <w:style w:type="paragraph" w:customStyle="1" w:styleId="Enretrait">
    <w:name w:val="En retrait"/>
    <w:rsid w:val="006118FD"/>
    <w:pPr>
      <w:widowControl w:val="0"/>
      <w:tabs>
        <w:tab w:val="left" w:pos="280"/>
      </w:tabs>
      <w:autoSpaceDE w:val="0"/>
      <w:autoSpaceDN w:val="0"/>
      <w:adjustRightInd w:val="0"/>
      <w:spacing w:line="280" w:lineRule="atLeast"/>
      <w:ind w:left="280"/>
    </w:pPr>
    <w:rPr>
      <w:rFonts w:ascii="Times New Roman" w:eastAsia="Times New Roman" w:hAnsi="Times New Roman" w:cs="Times New Roman"/>
      <w:color w:val="000000"/>
      <w:w w:val="0"/>
      <w:lang w:eastAsia="fr-FR"/>
    </w:rPr>
  </w:style>
  <w:style w:type="paragraph" w:customStyle="1" w:styleId="Intertitre">
    <w:name w:val="Intertitre"/>
    <w:next w:val="Courant"/>
    <w:rsid w:val="006118FD"/>
    <w:pPr>
      <w:keepNext/>
      <w:widowControl w:val="0"/>
      <w:autoSpaceDE w:val="0"/>
      <w:autoSpaceDN w:val="0"/>
      <w:adjustRightInd w:val="0"/>
      <w:spacing w:before="120" w:line="280" w:lineRule="atLeast"/>
    </w:pPr>
    <w:rPr>
      <w:rFonts w:ascii="Times New Roman" w:eastAsia="Times New Roman" w:hAnsi="Times New Roman" w:cs="Times New Roman"/>
      <w:b/>
      <w:bCs/>
      <w:color w:val="000000"/>
      <w:w w:val="0"/>
      <w:lang w:eastAsia="fr-FR"/>
    </w:rPr>
  </w:style>
  <w:style w:type="paragraph" w:styleId="Listepuces">
    <w:name w:val="List Bullet"/>
    <w:basedOn w:val="Normal"/>
    <w:rsid w:val="006118FD"/>
    <w:pPr>
      <w:widowControl w:val="0"/>
      <w:tabs>
        <w:tab w:val="left" w:pos="280"/>
      </w:tabs>
      <w:autoSpaceDE w:val="0"/>
      <w:autoSpaceDN w:val="0"/>
      <w:adjustRightInd w:val="0"/>
      <w:spacing w:line="280" w:lineRule="atLeast"/>
      <w:ind w:left="280" w:hanging="280"/>
    </w:pPr>
    <w:rPr>
      <w:color w:val="000000"/>
      <w:w w:val="0"/>
    </w:rPr>
  </w:style>
  <w:style w:type="paragraph" w:customStyle="1" w:styleId="Notepage">
    <w:name w:val="Note (page)"/>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otetableau">
    <w:name w:val="Note (tableau)"/>
    <w:rsid w:val="006118FD"/>
    <w:pPr>
      <w:widowControl w:val="0"/>
      <w:tabs>
        <w:tab w:val="left" w:pos="560"/>
      </w:tabs>
      <w:autoSpaceDE w:val="0"/>
      <w:autoSpaceDN w:val="0"/>
      <w:adjustRightInd w:val="0"/>
      <w:spacing w:line="240" w:lineRule="atLeast"/>
      <w:ind w:left="560" w:right="280" w:hanging="280"/>
    </w:pPr>
    <w:rPr>
      <w:rFonts w:ascii="Times New Roman" w:eastAsia="Times New Roman" w:hAnsi="Times New Roman" w:cs="Times New Roman"/>
      <w:color w:val="000000"/>
      <w:w w:val="0"/>
      <w:sz w:val="20"/>
      <w:szCs w:val="20"/>
      <w:lang w:eastAsia="fr-FR"/>
    </w:rPr>
  </w:style>
  <w:style w:type="paragraph" w:customStyle="1" w:styleId="Numrot">
    <w:name w:val="Numéroté"/>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customStyle="1" w:styleId="Numrot1">
    <w:name w:val="Numéroté1"/>
    <w:next w:val="Numrot"/>
    <w:rsid w:val="006118FD"/>
    <w:pPr>
      <w:widowControl w:val="0"/>
      <w:tabs>
        <w:tab w:val="left" w:pos="280"/>
      </w:tabs>
      <w:autoSpaceDE w:val="0"/>
      <w:autoSpaceDN w:val="0"/>
      <w:adjustRightInd w:val="0"/>
      <w:spacing w:line="280" w:lineRule="atLeast"/>
      <w:ind w:left="280" w:hanging="280"/>
    </w:pPr>
    <w:rPr>
      <w:rFonts w:ascii="Times New Roman" w:eastAsia="Times New Roman" w:hAnsi="Times New Roman" w:cs="Times New Roman"/>
      <w:color w:val="000000"/>
      <w:w w:val="0"/>
      <w:lang w:eastAsia="fr-FR"/>
    </w:rPr>
  </w:style>
  <w:style w:type="paragraph" w:styleId="Titre0">
    <w:name w:val="Title"/>
    <w:basedOn w:val="Normal"/>
    <w:next w:val="Courant"/>
    <w:link w:val="TitreCar"/>
    <w:qFormat/>
    <w:rsid w:val="006118FD"/>
    <w:pPr>
      <w:keepNext/>
      <w:widowControl w:val="0"/>
      <w:suppressAutoHyphens/>
      <w:autoSpaceDE w:val="0"/>
      <w:autoSpaceDN w:val="0"/>
      <w:adjustRightInd w:val="0"/>
      <w:spacing w:before="480" w:after="240" w:line="480" w:lineRule="atLeast"/>
      <w:jc w:val="center"/>
    </w:pPr>
    <w:rPr>
      <w:b/>
      <w:bCs/>
      <w:color w:val="000000"/>
      <w:w w:val="0"/>
      <w:sz w:val="36"/>
      <w:szCs w:val="36"/>
    </w:rPr>
  </w:style>
  <w:style w:type="character" w:customStyle="1" w:styleId="TitreCar">
    <w:name w:val="Titre Car"/>
    <w:basedOn w:val="Policepardfaut"/>
    <w:link w:val="Titre0"/>
    <w:rsid w:val="006118FD"/>
    <w:rPr>
      <w:rFonts w:ascii="Times New Roman" w:eastAsia="Times New Roman" w:hAnsi="Times New Roman" w:cs="Times New Roman"/>
      <w:b/>
      <w:bCs/>
      <w:color w:val="000000"/>
      <w:w w:val="0"/>
      <w:sz w:val="36"/>
      <w:szCs w:val="36"/>
      <w:lang w:eastAsia="fr-FR"/>
    </w:rPr>
  </w:style>
  <w:style w:type="paragraph" w:customStyle="1" w:styleId="Titre10">
    <w:name w:val="Titre1"/>
    <w:next w:val="Courant"/>
    <w:rsid w:val="006118FD"/>
    <w:pPr>
      <w:keepNext/>
      <w:widowControl w:val="0"/>
      <w:autoSpaceDE w:val="0"/>
      <w:autoSpaceDN w:val="0"/>
      <w:adjustRightInd w:val="0"/>
      <w:spacing w:before="280" w:after="120" w:line="320" w:lineRule="atLeast"/>
    </w:pPr>
    <w:rPr>
      <w:rFonts w:ascii="Times New Roman" w:eastAsia="Times New Roman" w:hAnsi="Times New Roman" w:cs="Times New Roman"/>
      <w:b/>
      <w:bCs/>
      <w:color w:val="000000"/>
      <w:w w:val="0"/>
      <w:sz w:val="28"/>
      <w:szCs w:val="28"/>
      <w:lang w:eastAsia="fr-FR"/>
    </w:rPr>
  </w:style>
  <w:style w:type="paragraph" w:customStyle="1" w:styleId="Titre20">
    <w:name w:val="Titre2"/>
    <w:next w:val="Courant"/>
    <w:rsid w:val="006118FD"/>
    <w:pPr>
      <w:keepNext/>
      <w:widowControl w:val="0"/>
      <w:autoSpaceDE w:val="0"/>
      <w:autoSpaceDN w:val="0"/>
      <w:adjustRightInd w:val="0"/>
      <w:spacing w:before="240" w:after="60" w:line="280" w:lineRule="atLeast"/>
    </w:pPr>
    <w:rPr>
      <w:rFonts w:ascii="Times New Roman" w:eastAsia="Times New Roman" w:hAnsi="Times New Roman" w:cs="Times New Roman"/>
      <w:b/>
      <w:bCs/>
      <w:color w:val="000000"/>
      <w:w w:val="0"/>
      <w:lang w:eastAsia="fr-FR"/>
    </w:rPr>
  </w:style>
  <w:style w:type="paragraph" w:customStyle="1" w:styleId="TitreTableau">
    <w:name w:val="TitreTableau"/>
    <w:rsid w:val="006118FD"/>
    <w:pPr>
      <w:widowControl w:val="0"/>
      <w:suppressAutoHyphens/>
      <w:autoSpaceDE w:val="0"/>
      <w:autoSpaceDN w:val="0"/>
      <w:adjustRightInd w:val="0"/>
      <w:spacing w:line="280" w:lineRule="atLeast"/>
      <w:jc w:val="center"/>
    </w:pPr>
    <w:rPr>
      <w:rFonts w:ascii="Times New Roman" w:eastAsia="Times New Roman" w:hAnsi="Times New Roman" w:cs="Times New Roman"/>
      <w:b/>
      <w:bCs/>
      <w:color w:val="000000"/>
      <w:w w:val="0"/>
      <w:lang w:eastAsia="fr-FR"/>
    </w:rPr>
  </w:style>
  <w:style w:type="character" w:customStyle="1" w:styleId="Relief">
    <w:name w:val="Relief"/>
    <w:rsid w:val="006118FD"/>
    <w:rPr>
      <w:i/>
      <w:iCs/>
    </w:rPr>
  </w:style>
  <w:style w:type="character" w:customStyle="1" w:styleId="VariablesEquation">
    <w:name w:val="VariablesEquation"/>
    <w:rsid w:val="006118FD"/>
    <w:rPr>
      <w:i/>
      <w:iCs/>
    </w:rPr>
  </w:style>
  <w:style w:type="paragraph" w:styleId="Retraitcorpsdetexte">
    <w:name w:val="Body Text Indent"/>
    <w:basedOn w:val="Normal"/>
    <w:link w:val="RetraitcorpsdetexteCar"/>
    <w:rsid w:val="006118FD"/>
    <w:pPr>
      <w:spacing w:after="120" w:line="240" w:lineRule="atLeast"/>
      <w:ind w:left="283"/>
      <w:jc w:val="both"/>
    </w:pPr>
    <w:rPr>
      <w:rFonts w:ascii="Arial" w:eastAsia="Times" w:hAnsi="Arial"/>
      <w:sz w:val="18"/>
      <w:szCs w:val="20"/>
    </w:rPr>
  </w:style>
  <w:style w:type="character" w:customStyle="1" w:styleId="RetraitcorpsdetexteCar">
    <w:name w:val="Retrait corps de texte Car"/>
    <w:basedOn w:val="Policepardfaut"/>
    <w:link w:val="Retraitcorpsdetexte"/>
    <w:rsid w:val="006118FD"/>
    <w:rPr>
      <w:rFonts w:ascii="Arial" w:eastAsia="Times" w:hAnsi="Arial" w:cs="Times New Roman"/>
      <w:sz w:val="18"/>
      <w:szCs w:val="20"/>
      <w:lang w:eastAsia="fr-FR"/>
    </w:rPr>
  </w:style>
  <w:style w:type="character" w:styleId="Lienhypertextesuivivisit">
    <w:name w:val="FollowedHyperlink"/>
    <w:rsid w:val="006118FD"/>
    <w:rPr>
      <w:color w:val="800080"/>
      <w:u w:val="single"/>
    </w:rPr>
  </w:style>
  <w:style w:type="character" w:customStyle="1" w:styleId="formlibchampsmaller1">
    <w:name w:val="formlibchampsmaller1"/>
    <w:rsid w:val="006118FD"/>
    <w:rPr>
      <w:rFonts w:ascii="Arial" w:hAnsi="Arial" w:cs="Arial" w:hint="default"/>
      <w:b w:val="0"/>
      <w:bCs w:val="0"/>
      <w:color w:val="000080"/>
      <w:sz w:val="20"/>
      <w:szCs w:val="20"/>
    </w:rPr>
  </w:style>
  <w:style w:type="character" w:customStyle="1" w:styleId="formlibchamp1">
    <w:name w:val="formlibchamp1"/>
    <w:rsid w:val="006118FD"/>
    <w:rPr>
      <w:rFonts w:ascii="Arial" w:hAnsi="Arial" w:cs="Arial" w:hint="default"/>
      <w:b/>
      <w:bCs/>
      <w:color w:val="000080"/>
      <w:sz w:val="20"/>
      <w:szCs w:val="20"/>
    </w:rPr>
  </w:style>
  <w:style w:type="paragraph" w:styleId="Sous-titre">
    <w:name w:val="Subtitle"/>
    <w:basedOn w:val="Normal"/>
    <w:next w:val="Normal"/>
    <w:link w:val="Sous-titreCar"/>
    <w:qFormat/>
    <w:rsid w:val="006118FD"/>
    <w:pPr>
      <w:spacing w:after="60" w:line="240" w:lineRule="atLeast"/>
      <w:jc w:val="center"/>
      <w:outlineLvl w:val="1"/>
    </w:pPr>
    <w:rPr>
      <w:rFonts w:ascii="Cambria" w:hAnsi="Cambria"/>
    </w:rPr>
  </w:style>
  <w:style w:type="character" w:customStyle="1" w:styleId="Sous-titreCar">
    <w:name w:val="Sous-titre Car"/>
    <w:basedOn w:val="Policepardfaut"/>
    <w:link w:val="Sous-titre"/>
    <w:rsid w:val="006118FD"/>
    <w:rPr>
      <w:rFonts w:ascii="Cambria" w:eastAsia="Times New Roman" w:hAnsi="Cambria" w:cs="Times New Roman"/>
      <w:lang w:eastAsia="fr-FR"/>
    </w:rPr>
  </w:style>
  <w:style w:type="paragraph" w:styleId="Notedefin">
    <w:name w:val="endnote text"/>
    <w:basedOn w:val="Normal"/>
    <w:link w:val="NotedefinCar"/>
    <w:rsid w:val="006118FD"/>
    <w:pPr>
      <w:spacing w:line="240" w:lineRule="atLeast"/>
      <w:jc w:val="both"/>
    </w:pPr>
    <w:rPr>
      <w:rFonts w:ascii="Arial" w:eastAsia="Times" w:hAnsi="Arial"/>
      <w:sz w:val="20"/>
      <w:szCs w:val="20"/>
    </w:rPr>
  </w:style>
  <w:style w:type="character" w:customStyle="1" w:styleId="NotedefinCar">
    <w:name w:val="Note de fin Car"/>
    <w:basedOn w:val="Policepardfaut"/>
    <w:link w:val="Notedefin"/>
    <w:rsid w:val="006118FD"/>
    <w:rPr>
      <w:rFonts w:ascii="Arial" w:eastAsia="Times" w:hAnsi="Arial" w:cs="Times New Roman"/>
      <w:sz w:val="20"/>
      <w:szCs w:val="20"/>
      <w:lang w:eastAsia="fr-FR"/>
    </w:rPr>
  </w:style>
  <w:style w:type="character" w:styleId="Appeldenotedefin">
    <w:name w:val="endnote reference"/>
    <w:rsid w:val="006118FD"/>
    <w:rPr>
      <w:vertAlign w:val="superscript"/>
    </w:rPr>
  </w:style>
  <w:style w:type="paragraph" w:customStyle="1" w:styleId="rg">
    <w:name w:val="rg"/>
    <w:basedOn w:val="Normal"/>
    <w:rsid w:val="006118FD"/>
    <w:pPr>
      <w:spacing w:before="100" w:beforeAutospacing="1" w:after="100" w:afterAutospacing="1"/>
    </w:pPr>
  </w:style>
  <w:style w:type="paragraph" w:customStyle="1" w:styleId="Normal2">
    <w:name w:val="Normal2"/>
    <w:basedOn w:val="Normal"/>
    <w:rsid w:val="006118FD"/>
    <w:pPr>
      <w:spacing w:before="120"/>
      <w:jc w:val="both"/>
      <w:textAlignment w:val="baseline"/>
    </w:pPr>
    <w:rPr>
      <w:rFonts w:ascii="Arial" w:hAnsi="Arial" w:cs="Arial"/>
      <w:color w:val="000000"/>
      <w:sz w:val="18"/>
      <w:szCs w:val="18"/>
    </w:rPr>
  </w:style>
  <w:style w:type="paragraph" w:customStyle="1" w:styleId="Normal3">
    <w:name w:val="Normal3"/>
    <w:basedOn w:val="Normal"/>
    <w:rsid w:val="00FB3C54"/>
    <w:pPr>
      <w:spacing w:before="100" w:beforeAutospacing="1" w:after="100" w:afterAutospacing="1"/>
    </w:pPr>
  </w:style>
  <w:style w:type="character" w:customStyle="1" w:styleId="super">
    <w:name w:val="super"/>
    <w:basedOn w:val="Policepardfaut"/>
    <w:rsid w:val="00FB3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5639">
      <w:bodyDiv w:val="1"/>
      <w:marLeft w:val="0"/>
      <w:marRight w:val="0"/>
      <w:marTop w:val="0"/>
      <w:marBottom w:val="0"/>
      <w:divBdr>
        <w:top w:val="none" w:sz="0" w:space="0" w:color="auto"/>
        <w:left w:val="none" w:sz="0" w:space="0" w:color="auto"/>
        <w:bottom w:val="none" w:sz="0" w:space="0" w:color="auto"/>
        <w:right w:val="none" w:sz="0" w:space="0" w:color="auto"/>
      </w:divBdr>
      <w:divsChild>
        <w:div w:id="543686853">
          <w:marLeft w:val="0"/>
          <w:marRight w:val="0"/>
          <w:marTop w:val="0"/>
          <w:marBottom w:val="0"/>
          <w:divBdr>
            <w:top w:val="none" w:sz="0" w:space="0" w:color="auto"/>
            <w:left w:val="none" w:sz="0" w:space="0" w:color="auto"/>
            <w:bottom w:val="none" w:sz="0" w:space="0" w:color="auto"/>
            <w:right w:val="none" w:sz="0" w:space="0" w:color="auto"/>
          </w:divBdr>
          <w:divsChild>
            <w:div w:id="1299604741">
              <w:marLeft w:val="0"/>
              <w:marRight w:val="0"/>
              <w:marTop w:val="0"/>
              <w:marBottom w:val="0"/>
              <w:divBdr>
                <w:top w:val="none" w:sz="0" w:space="0" w:color="auto"/>
                <w:left w:val="none" w:sz="0" w:space="0" w:color="auto"/>
                <w:bottom w:val="none" w:sz="0" w:space="0" w:color="auto"/>
                <w:right w:val="none" w:sz="0" w:space="0" w:color="auto"/>
              </w:divBdr>
              <w:divsChild>
                <w:div w:id="1566331852">
                  <w:marLeft w:val="0"/>
                  <w:marRight w:val="0"/>
                  <w:marTop w:val="0"/>
                  <w:marBottom w:val="0"/>
                  <w:divBdr>
                    <w:top w:val="none" w:sz="0" w:space="0" w:color="auto"/>
                    <w:left w:val="none" w:sz="0" w:space="0" w:color="auto"/>
                    <w:bottom w:val="none" w:sz="0" w:space="0" w:color="auto"/>
                    <w:right w:val="none" w:sz="0" w:space="0" w:color="auto"/>
                  </w:divBdr>
                  <w:divsChild>
                    <w:div w:id="186109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2373470">
      <w:bodyDiv w:val="1"/>
      <w:marLeft w:val="0"/>
      <w:marRight w:val="0"/>
      <w:marTop w:val="0"/>
      <w:marBottom w:val="0"/>
      <w:divBdr>
        <w:top w:val="none" w:sz="0" w:space="0" w:color="auto"/>
        <w:left w:val="none" w:sz="0" w:space="0" w:color="auto"/>
        <w:bottom w:val="none" w:sz="0" w:space="0" w:color="auto"/>
        <w:right w:val="none" w:sz="0" w:space="0" w:color="auto"/>
      </w:divBdr>
    </w:div>
    <w:div w:id="283120349">
      <w:bodyDiv w:val="1"/>
      <w:marLeft w:val="0"/>
      <w:marRight w:val="0"/>
      <w:marTop w:val="0"/>
      <w:marBottom w:val="0"/>
      <w:divBdr>
        <w:top w:val="none" w:sz="0" w:space="0" w:color="auto"/>
        <w:left w:val="none" w:sz="0" w:space="0" w:color="auto"/>
        <w:bottom w:val="none" w:sz="0" w:space="0" w:color="auto"/>
        <w:right w:val="none" w:sz="0" w:space="0" w:color="auto"/>
      </w:divBdr>
      <w:divsChild>
        <w:div w:id="959267732">
          <w:marLeft w:val="0"/>
          <w:marRight w:val="0"/>
          <w:marTop w:val="0"/>
          <w:marBottom w:val="0"/>
          <w:divBdr>
            <w:top w:val="none" w:sz="0" w:space="0" w:color="auto"/>
            <w:left w:val="none" w:sz="0" w:space="0" w:color="auto"/>
            <w:bottom w:val="none" w:sz="0" w:space="0" w:color="auto"/>
            <w:right w:val="none" w:sz="0" w:space="0" w:color="auto"/>
          </w:divBdr>
          <w:divsChild>
            <w:div w:id="1376925826">
              <w:marLeft w:val="0"/>
              <w:marRight w:val="0"/>
              <w:marTop w:val="0"/>
              <w:marBottom w:val="0"/>
              <w:divBdr>
                <w:top w:val="none" w:sz="0" w:space="0" w:color="auto"/>
                <w:left w:val="none" w:sz="0" w:space="0" w:color="auto"/>
                <w:bottom w:val="none" w:sz="0" w:space="0" w:color="auto"/>
                <w:right w:val="none" w:sz="0" w:space="0" w:color="auto"/>
              </w:divBdr>
              <w:divsChild>
                <w:div w:id="35007937">
                  <w:marLeft w:val="0"/>
                  <w:marRight w:val="0"/>
                  <w:marTop w:val="0"/>
                  <w:marBottom w:val="0"/>
                  <w:divBdr>
                    <w:top w:val="none" w:sz="0" w:space="0" w:color="auto"/>
                    <w:left w:val="none" w:sz="0" w:space="0" w:color="auto"/>
                    <w:bottom w:val="none" w:sz="0" w:space="0" w:color="auto"/>
                    <w:right w:val="none" w:sz="0" w:space="0" w:color="auto"/>
                  </w:divBdr>
                </w:div>
              </w:divsChild>
            </w:div>
            <w:div w:id="1611476805">
              <w:marLeft w:val="0"/>
              <w:marRight w:val="0"/>
              <w:marTop w:val="0"/>
              <w:marBottom w:val="0"/>
              <w:divBdr>
                <w:top w:val="none" w:sz="0" w:space="0" w:color="auto"/>
                <w:left w:val="none" w:sz="0" w:space="0" w:color="auto"/>
                <w:bottom w:val="none" w:sz="0" w:space="0" w:color="auto"/>
                <w:right w:val="none" w:sz="0" w:space="0" w:color="auto"/>
              </w:divBdr>
              <w:divsChild>
                <w:div w:id="2003121842">
                  <w:marLeft w:val="0"/>
                  <w:marRight w:val="0"/>
                  <w:marTop w:val="0"/>
                  <w:marBottom w:val="0"/>
                  <w:divBdr>
                    <w:top w:val="none" w:sz="0" w:space="0" w:color="auto"/>
                    <w:left w:val="none" w:sz="0" w:space="0" w:color="auto"/>
                    <w:bottom w:val="none" w:sz="0" w:space="0" w:color="auto"/>
                    <w:right w:val="none" w:sz="0" w:space="0" w:color="auto"/>
                  </w:divBdr>
                </w:div>
              </w:divsChild>
            </w:div>
            <w:div w:id="1024400175">
              <w:marLeft w:val="0"/>
              <w:marRight w:val="0"/>
              <w:marTop w:val="0"/>
              <w:marBottom w:val="0"/>
              <w:divBdr>
                <w:top w:val="none" w:sz="0" w:space="0" w:color="auto"/>
                <w:left w:val="none" w:sz="0" w:space="0" w:color="auto"/>
                <w:bottom w:val="none" w:sz="0" w:space="0" w:color="auto"/>
                <w:right w:val="none" w:sz="0" w:space="0" w:color="auto"/>
              </w:divBdr>
              <w:divsChild>
                <w:div w:id="317078881">
                  <w:marLeft w:val="0"/>
                  <w:marRight w:val="0"/>
                  <w:marTop w:val="0"/>
                  <w:marBottom w:val="0"/>
                  <w:divBdr>
                    <w:top w:val="none" w:sz="0" w:space="0" w:color="auto"/>
                    <w:left w:val="none" w:sz="0" w:space="0" w:color="auto"/>
                    <w:bottom w:val="none" w:sz="0" w:space="0" w:color="auto"/>
                    <w:right w:val="none" w:sz="0" w:space="0" w:color="auto"/>
                  </w:divBdr>
                </w:div>
              </w:divsChild>
            </w:div>
            <w:div w:id="66147942">
              <w:marLeft w:val="0"/>
              <w:marRight w:val="0"/>
              <w:marTop w:val="0"/>
              <w:marBottom w:val="0"/>
              <w:divBdr>
                <w:top w:val="none" w:sz="0" w:space="0" w:color="auto"/>
                <w:left w:val="none" w:sz="0" w:space="0" w:color="auto"/>
                <w:bottom w:val="none" w:sz="0" w:space="0" w:color="auto"/>
                <w:right w:val="none" w:sz="0" w:space="0" w:color="auto"/>
              </w:divBdr>
              <w:divsChild>
                <w:div w:id="1680496810">
                  <w:marLeft w:val="0"/>
                  <w:marRight w:val="0"/>
                  <w:marTop w:val="0"/>
                  <w:marBottom w:val="0"/>
                  <w:divBdr>
                    <w:top w:val="none" w:sz="0" w:space="0" w:color="auto"/>
                    <w:left w:val="none" w:sz="0" w:space="0" w:color="auto"/>
                    <w:bottom w:val="none" w:sz="0" w:space="0" w:color="auto"/>
                    <w:right w:val="none" w:sz="0" w:space="0" w:color="auto"/>
                  </w:divBdr>
                </w:div>
              </w:divsChild>
            </w:div>
            <w:div w:id="1419668621">
              <w:marLeft w:val="0"/>
              <w:marRight w:val="0"/>
              <w:marTop w:val="0"/>
              <w:marBottom w:val="0"/>
              <w:divBdr>
                <w:top w:val="none" w:sz="0" w:space="0" w:color="auto"/>
                <w:left w:val="none" w:sz="0" w:space="0" w:color="auto"/>
                <w:bottom w:val="none" w:sz="0" w:space="0" w:color="auto"/>
                <w:right w:val="none" w:sz="0" w:space="0" w:color="auto"/>
              </w:divBdr>
              <w:divsChild>
                <w:div w:id="775826744">
                  <w:marLeft w:val="0"/>
                  <w:marRight w:val="0"/>
                  <w:marTop w:val="0"/>
                  <w:marBottom w:val="0"/>
                  <w:divBdr>
                    <w:top w:val="none" w:sz="0" w:space="0" w:color="auto"/>
                    <w:left w:val="none" w:sz="0" w:space="0" w:color="auto"/>
                    <w:bottom w:val="none" w:sz="0" w:space="0" w:color="auto"/>
                    <w:right w:val="none" w:sz="0" w:space="0" w:color="auto"/>
                  </w:divBdr>
                </w:div>
              </w:divsChild>
            </w:div>
            <w:div w:id="1676227076">
              <w:marLeft w:val="0"/>
              <w:marRight w:val="0"/>
              <w:marTop w:val="0"/>
              <w:marBottom w:val="0"/>
              <w:divBdr>
                <w:top w:val="none" w:sz="0" w:space="0" w:color="auto"/>
                <w:left w:val="none" w:sz="0" w:space="0" w:color="auto"/>
                <w:bottom w:val="none" w:sz="0" w:space="0" w:color="auto"/>
                <w:right w:val="none" w:sz="0" w:space="0" w:color="auto"/>
              </w:divBdr>
              <w:divsChild>
                <w:div w:id="324743227">
                  <w:marLeft w:val="0"/>
                  <w:marRight w:val="0"/>
                  <w:marTop w:val="0"/>
                  <w:marBottom w:val="0"/>
                  <w:divBdr>
                    <w:top w:val="none" w:sz="0" w:space="0" w:color="auto"/>
                    <w:left w:val="none" w:sz="0" w:space="0" w:color="auto"/>
                    <w:bottom w:val="none" w:sz="0" w:space="0" w:color="auto"/>
                    <w:right w:val="none" w:sz="0" w:space="0" w:color="auto"/>
                  </w:divBdr>
                </w:div>
              </w:divsChild>
            </w:div>
            <w:div w:id="1443456431">
              <w:marLeft w:val="0"/>
              <w:marRight w:val="0"/>
              <w:marTop w:val="0"/>
              <w:marBottom w:val="0"/>
              <w:divBdr>
                <w:top w:val="none" w:sz="0" w:space="0" w:color="auto"/>
                <w:left w:val="none" w:sz="0" w:space="0" w:color="auto"/>
                <w:bottom w:val="none" w:sz="0" w:space="0" w:color="auto"/>
                <w:right w:val="none" w:sz="0" w:space="0" w:color="auto"/>
              </w:divBdr>
              <w:divsChild>
                <w:div w:id="1328512558">
                  <w:marLeft w:val="0"/>
                  <w:marRight w:val="0"/>
                  <w:marTop w:val="0"/>
                  <w:marBottom w:val="0"/>
                  <w:divBdr>
                    <w:top w:val="none" w:sz="0" w:space="0" w:color="auto"/>
                    <w:left w:val="none" w:sz="0" w:space="0" w:color="auto"/>
                    <w:bottom w:val="none" w:sz="0" w:space="0" w:color="auto"/>
                    <w:right w:val="none" w:sz="0" w:space="0" w:color="auto"/>
                  </w:divBdr>
                </w:div>
              </w:divsChild>
            </w:div>
            <w:div w:id="85080773">
              <w:marLeft w:val="0"/>
              <w:marRight w:val="0"/>
              <w:marTop w:val="0"/>
              <w:marBottom w:val="0"/>
              <w:divBdr>
                <w:top w:val="none" w:sz="0" w:space="0" w:color="auto"/>
                <w:left w:val="none" w:sz="0" w:space="0" w:color="auto"/>
                <w:bottom w:val="none" w:sz="0" w:space="0" w:color="auto"/>
                <w:right w:val="none" w:sz="0" w:space="0" w:color="auto"/>
              </w:divBdr>
              <w:divsChild>
                <w:div w:id="532302369">
                  <w:marLeft w:val="0"/>
                  <w:marRight w:val="0"/>
                  <w:marTop w:val="0"/>
                  <w:marBottom w:val="0"/>
                  <w:divBdr>
                    <w:top w:val="none" w:sz="0" w:space="0" w:color="auto"/>
                    <w:left w:val="none" w:sz="0" w:space="0" w:color="auto"/>
                    <w:bottom w:val="none" w:sz="0" w:space="0" w:color="auto"/>
                    <w:right w:val="none" w:sz="0" w:space="0" w:color="auto"/>
                  </w:divBdr>
                </w:div>
              </w:divsChild>
            </w:div>
            <w:div w:id="1822503102">
              <w:marLeft w:val="0"/>
              <w:marRight w:val="0"/>
              <w:marTop w:val="0"/>
              <w:marBottom w:val="0"/>
              <w:divBdr>
                <w:top w:val="none" w:sz="0" w:space="0" w:color="auto"/>
                <w:left w:val="none" w:sz="0" w:space="0" w:color="auto"/>
                <w:bottom w:val="none" w:sz="0" w:space="0" w:color="auto"/>
                <w:right w:val="none" w:sz="0" w:space="0" w:color="auto"/>
              </w:divBdr>
              <w:divsChild>
                <w:div w:id="917709582">
                  <w:marLeft w:val="0"/>
                  <w:marRight w:val="0"/>
                  <w:marTop w:val="0"/>
                  <w:marBottom w:val="0"/>
                  <w:divBdr>
                    <w:top w:val="none" w:sz="0" w:space="0" w:color="auto"/>
                    <w:left w:val="none" w:sz="0" w:space="0" w:color="auto"/>
                    <w:bottom w:val="none" w:sz="0" w:space="0" w:color="auto"/>
                    <w:right w:val="none" w:sz="0" w:space="0" w:color="auto"/>
                  </w:divBdr>
                </w:div>
              </w:divsChild>
            </w:div>
            <w:div w:id="1395202859">
              <w:marLeft w:val="0"/>
              <w:marRight w:val="0"/>
              <w:marTop w:val="0"/>
              <w:marBottom w:val="0"/>
              <w:divBdr>
                <w:top w:val="none" w:sz="0" w:space="0" w:color="auto"/>
                <w:left w:val="none" w:sz="0" w:space="0" w:color="auto"/>
                <w:bottom w:val="none" w:sz="0" w:space="0" w:color="auto"/>
                <w:right w:val="none" w:sz="0" w:space="0" w:color="auto"/>
              </w:divBdr>
              <w:divsChild>
                <w:div w:id="1948081861">
                  <w:marLeft w:val="0"/>
                  <w:marRight w:val="0"/>
                  <w:marTop w:val="0"/>
                  <w:marBottom w:val="0"/>
                  <w:divBdr>
                    <w:top w:val="none" w:sz="0" w:space="0" w:color="auto"/>
                    <w:left w:val="none" w:sz="0" w:space="0" w:color="auto"/>
                    <w:bottom w:val="none" w:sz="0" w:space="0" w:color="auto"/>
                    <w:right w:val="none" w:sz="0" w:space="0" w:color="auto"/>
                  </w:divBdr>
                </w:div>
              </w:divsChild>
            </w:div>
            <w:div w:id="1491018189">
              <w:marLeft w:val="0"/>
              <w:marRight w:val="0"/>
              <w:marTop w:val="0"/>
              <w:marBottom w:val="0"/>
              <w:divBdr>
                <w:top w:val="none" w:sz="0" w:space="0" w:color="auto"/>
                <w:left w:val="none" w:sz="0" w:space="0" w:color="auto"/>
                <w:bottom w:val="none" w:sz="0" w:space="0" w:color="auto"/>
                <w:right w:val="none" w:sz="0" w:space="0" w:color="auto"/>
              </w:divBdr>
              <w:divsChild>
                <w:div w:id="1597400450">
                  <w:marLeft w:val="0"/>
                  <w:marRight w:val="0"/>
                  <w:marTop w:val="0"/>
                  <w:marBottom w:val="0"/>
                  <w:divBdr>
                    <w:top w:val="none" w:sz="0" w:space="0" w:color="auto"/>
                    <w:left w:val="none" w:sz="0" w:space="0" w:color="auto"/>
                    <w:bottom w:val="none" w:sz="0" w:space="0" w:color="auto"/>
                    <w:right w:val="none" w:sz="0" w:space="0" w:color="auto"/>
                  </w:divBdr>
                </w:div>
              </w:divsChild>
            </w:div>
            <w:div w:id="1697149157">
              <w:marLeft w:val="0"/>
              <w:marRight w:val="0"/>
              <w:marTop w:val="0"/>
              <w:marBottom w:val="0"/>
              <w:divBdr>
                <w:top w:val="none" w:sz="0" w:space="0" w:color="auto"/>
                <w:left w:val="none" w:sz="0" w:space="0" w:color="auto"/>
                <w:bottom w:val="none" w:sz="0" w:space="0" w:color="auto"/>
                <w:right w:val="none" w:sz="0" w:space="0" w:color="auto"/>
              </w:divBdr>
              <w:divsChild>
                <w:div w:id="1107700615">
                  <w:marLeft w:val="0"/>
                  <w:marRight w:val="0"/>
                  <w:marTop w:val="0"/>
                  <w:marBottom w:val="0"/>
                  <w:divBdr>
                    <w:top w:val="none" w:sz="0" w:space="0" w:color="auto"/>
                    <w:left w:val="none" w:sz="0" w:space="0" w:color="auto"/>
                    <w:bottom w:val="none" w:sz="0" w:space="0" w:color="auto"/>
                    <w:right w:val="none" w:sz="0" w:space="0" w:color="auto"/>
                  </w:divBdr>
                </w:div>
              </w:divsChild>
            </w:div>
            <w:div w:id="1124083226">
              <w:marLeft w:val="0"/>
              <w:marRight w:val="0"/>
              <w:marTop w:val="0"/>
              <w:marBottom w:val="0"/>
              <w:divBdr>
                <w:top w:val="none" w:sz="0" w:space="0" w:color="auto"/>
                <w:left w:val="none" w:sz="0" w:space="0" w:color="auto"/>
                <w:bottom w:val="none" w:sz="0" w:space="0" w:color="auto"/>
                <w:right w:val="none" w:sz="0" w:space="0" w:color="auto"/>
              </w:divBdr>
              <w:divsChild>
                <w:div w:id="441653872">
                  <w:marLeft w:val="0"/>
                  <w:marRight w:val="0"/>
                  <w:marTop w:val="0"/>
                  <w:marBottom w:val="0"/>
                  <w:divBdr>
                    <w:top w:val="none" w:sz="0" w:space="0" w:color="auto"/>
                    <w:left w:val="none" w:sz="0" w:space="0" w:color="auto"/>
                    <w:bottom w:val="none" w:sz="0" w:space="0" w:color="auto"/>
                    <w:right w:val="none" w:sz="0" w:space="0" w:color="auto"/>
                  </w:divBdr>
                </w:div>
              </w:divsChild>
            </w:div>
            <w:div w:id="687215373">
              <w:marLeft w:val="0"/>
              <w:marRight w:val="0"/>
              <w:marTop w:val="0"/>
              <w:marBottom w:val="0"/>
              <w:divBdr>
                <w:top w:val="none" w:sz="0" w:space="0" w:color="auto"/>
                <w:left w:val="none" w:sz="0" w:space="0" w:color="auto"/>
                <w:bottom w:val="none" w:sz="0" w:space="0" w:color="auto"/>
                <w:right w:val="none" w:sz="0" w:space="0" w:color="auto"/>
              </w:divBdr>
              <w:divsChild>
                <w:div w:id="1153181700">
                  <w:marLeft w:val="0"/>
                  <w:marRight w:val="0"/>
                  <w:marTop w:val="0"/>
                  <w:marBottom w:val="0"/>
                  <w:divBdr>
                    <w:top w:val="none" w:sz="0" w:space="0" w:color="auto"/>
                    <w:left w:val="none" w:sz="0" w:space="0" w:color="auto"/>
                    <w:bottom w:val="none" w:sz="0" w:space="0" w:color="auto"/>
                    <w:right w:val="none" w:sz="0" w:space="0" w:color="auto"/>
                  </w:divBdr>
                </w:div>
              </w:divsChild>
            </w:div>
            <w:div w:id="1019307749">
              <w:marLeft w:val="0"/>
              <w:marRight w:val="0"/>
              <w:marTop w:val="0"/>
              <w:marBottom w:val="0"/>
              <w:divBdr>
                <w:top w:val="none" w:sz="0" w:space="0" w:color="auto"/>
                <w:left w:val="none" w:sz="0" w:space="0" w:color="auto"/>
                <w:bottom w:val="none" w:sz="0" w:space="0" w:color="auto"/>
                <w:right w:val="none" w:sz="0" w:space="0" w:color="auto"/>
              </w:divBdr>
              <w:divsChild>
                <w:div w:id="1511292621">
                  <w:marLeft w:val="0"/>
                  <w:marRight w:val="0"/>
                  <w:marTop w:val="0"/>
                  <w:marBottom w:val="0"/>
                  <w:divBdr>
                    <w:top w:val="none" w:sz="0" w:space="0" w:color="auto"/>
                    <w:left w:val="none" w:sz="0" w:space="0" w:color="auto"/>
                    <w:bottom w:val="none" w:sz="0" w:space="0" w:color="auto"/>
                    <w:right w:val="none" w:sz="0" w:space="0" w:color="auto"/>
                  </w:divBdr>
                </w:div>
              </w:divsChild>
            </w:div>
            <w:div w:id="987705723">
              <w:marLeft w:val="0"/>
              <w:marRight w:val="0"/>
              <w:marTop w:val="0"/>
              <w:marBottom w:val="0"/>
              <w:divBdr>
                <w:top w:val="none" w:sz="0" w:space="0" w:color="auto"/>
                <w:left w:val="none" w:sz="0" w:space="0" w:color="auto"/>
                <w:bottom w:val="none" w:sz="0" w:space="0" w:color="auto"/>
                <w:right w:val="none" w:sz="0" w:space="0" w:color="auto"/>
              </w:divBdr>
              <w:divsChild>
                <w:div w:id="1953248795">
                  <w:marLeft w:val="0"/>
                  <w:marRight w:val="0"/>
                  <w:marTop w:val="0"/>
                  <w:marBottom w:val="0"/>
                  <w:divBdr>
                    <w:top w:val="none" w:sz="0" w:space="0" w:color="auto"/>
                    <w:left w:val="none" w:sz="0" w:space="0" w:color="auto"/>
                    <w:bottom w:val="none" w:sz="0" w:space="0" w:color="auto"/>
                    <w:right w:val="none" w:sz="0" w:space="0" w:color="auto"/>
                  </w:divBdr>
                </w:div>
              </w:divsChild>
            </w:div>
            <w:div w:id="1023939675">
              <w:marLeft w:val="0"/>
              <w:marRight w:val="0"/>
              <w:marTop w:val="0"/>
              <w:marBottom w:val="0"/>
              <w:divBdr>
                <w:top w:val="none" w:sz="0" w:space="0" w:color="auto"/>
                <w:left w:val="none" w:sz="0" w:space="0" w:color="auto"/>
                <w:bottom w:val="none" w:sz="0" w:space="0" w:color="auto"/>
                <w:right w:val="none" w:sz="0" w:space="0" w:color="auto"/>
              </w:divBdr>
              <w:divsChild>
                <w:div w:id="1512602821">
                  <w:marLeft w:val="0"/>
                  <w:marRight w:val="0"/>
                  <w:marTop w:val="0"/>
                  <w:marBottom w:val="0"/>
                  <w:divBdr>
                    <w:top w:val="none" w:sz="0" w:space="0" w:color="auto"/>
                    <w:left w:val="none" w:sz="0" w:space="0" w:color="auto"/>
                    <w:bottom w:val="none" w:sz="0" w:space="0" w:color="auto"/>
                    <w:right w:val="none" w:sz="0" w:space="0" w:color="auto"/>
                  </w:divBdr>
                </w:div>
              </w:divsChild>
            </w:div>
            <w:div w:id="344945920">
              <w:marLeft w:val="0"/>
              <w:marRight w:val="0"/>
              <w:marTop w:val="0"/>
              <w:marBottom w:val="0"/>
              <w:divBdr>
                <w:top w:val="none" w:sz="0" w:space="0" w:color="auto"/>
                <w:left w:val="none" w:sz="0" w:space="0" w:color="auto"/>
                <w:bottom w:val="none" w:sz="0" w:space="0" w:color="auto"/>
                <w:right w:val="none" w:sz="0" w:space="0" w:color="auto"/>
              </w:divBdr>
              <w:divsChild>
                <w:div w:id="1801992156">
                  <w:marLeft w:val="0"/>
                  <w:marRight w:val="0"/>
                  <w:marTop w:val="0"/>
                  <w:marBottom w:val="0"/>
                  <w:divBdr>
                    <w:top w:val="none" w:sz="0" w:space="0" w:color="auto"/>
                    <w:left w:val="none" w:sz="0" w:space="0" w:color="auto"/>
                    <w:bottom w:val="none" w:sz="0" w:space="0" w:color="auto"/>
                    <w:right w:val="none" w:sz="0" w:space="0" w:color="auto"/>
                  </w:divBdr>
                </w:div>
              </w:divsChild>
            </w:div>
            <w:div w:id="1637369896">
              <w:marLeft w:val="0"/>
              <w:marRight w:val="0"/>
              <w:marTop w:val="0"/>
              <w:marBottom w:val="0"/>
              <w:divBdr>
                <w:top w:val="none" w:sz="0" w:space="0" w:color="auto"/>
                <w:left w:val="none" w:sz="0" w:space="0" w:color="auto"/>
                <w:bottom w:val="none" w:sz="0" w:space="0" w:color="auto"/>
                <w:right w:val="none" w:sz="0" w:space="0" w:color="auto"/>
              </w:divBdr>
              <w:divsChild>
                <w:div w:id="654071046">
                  <w:marLeft w:val="0"/>
                  <w:marRight w:val="0"/>
                  <w:marTop w:val="0"/>
                  <w:marBottom w:val="0"/>
                  <w:divBdr>
                    <w:top w:val="none" w:sz="0" w:space="0" w:color="auto"/>
                    <w:left w:val="none" w:sz="0" w:space="0" w:color="auto"/>
                    <w:bottom w:val="none" w:sz="0" w:space="0" w:color="auto"/>
                    <w:right w:val="none" w:sz="0" w:space="0" w:color="auto"/>
                  </w:divBdr>
                </w:div>
              </w:divsChild>
            </w:div>
            <w:div w:id="67457617">
              <w:marLeft w:val="0"/>
              <w:marRight w:val="0"/>
              <w:marTop w:val="0"/>
              <w:marBottom w:val="0"/>
              <w:divBdr>
                <w:top w:val="none" w:sz="0" w:space="0" w:color="auto"/>
                <w:left w:val="none" w:sz="0" w:space="0" w:color="auto"/>
                <w:bottom w:val="none" w:sz="0" w:space="0" w:color="auto"/>
                <w:right w:val="none" w:sz="0" w:space="0" w:color="auto"/>
              </w:divBdr>
              <w:divsChild>
                <w:div w:id="1412700959">
                  <w:marLeft w:val="0"/>
                  <w:marRight w:val="0"/>
                  <w:marTop w:val="0"/>
                  <w:marBottom w:val="0"/>
                  <w:divBdr>
                    <w:top w:val="none" w:sz="0" w:space="0" w:color="auto"/>
                    <w:left w:val="none" w:sz="0" w:space="0" w:color="auto"/>
                    <w:bottom w:val="none" w:sz="0" w:space="0" w:color="auto"/>
                    <w:right w:val="none" w:sz="0" w:space="0" w:color="auto"/>
                  </w:divBdr>
                </w:div>
              </w:divsChild>
            </w:div>
            <w:div w:id="1360157807">
              <w:marLeft w:val="0"/>
              <w:marRight w:val="0"/>
              <w:marTop w:val="0"/>
              <w:marBottom w:val="0"/>
              <w:divBdr>
                <w:top w:val="none" w:sz="0" w:space="0" w:color="auto"/>
                <w:left w:val="none" w:sz="0" w:space="0" w:color="auto"/>
                <w:bottom w:val="none" w:sz="0" w:space="0" w:color="auto"/>
                <w:right w:val="none" w:sz="0" w:space="0" w:color="auto"/>
              </w:divBdr>
              <w:divsChild>
                <w:div w:id="261375233">
                  <w:marLeft w:val="0"/>
                  <w:marRight w:val="0"/>
                  <w:marTop w:val="0"/>
                  <w:marBottom w:val="0"/>
                  <w:divBdr>
                    <w:top w:val="none" w:sz="0" w:space="0" w:color="auto"/>
                    <w:left w:val="none" w:sz="0" w:space="0" w:color="auto"/>
                    <w:bottom w:val="none" w:sz="0" w:space="0" w:color="auto"/>
                    <w:right w:val="none" w:sz="0" w:space="0" w:color="auto"/>
                  </w:divBdr>
                </w:div>
              </w:divsChild>
            </w:div>
            <w:div w:id="840238155">
              <w:marLeft w:val="0"/>
              <w:marRight w:val="0"/>
              <w:marTop w:val="0"/>
              <w:marBottom w:val="0"/>
              <w:divBdr>
                <w:top w:val="none" w:sz="0" w:space="0" w:color="auto"/>
                <w:left w:val="none" w:sz="0" w:space="0" w:color="auto"/>
                <w:bottom w:val="none" w:sz="0" w:space="0" w:color="auto"/>
                <w:right w:val="none" w:sz="0" w:space="0" w:color="auto"/>
              </w:divBdr>
              <w:divsChild>
                <w:div w:id="827746136">
                  <w:marLeft w:val="0"/>
                  <w:marRight w:val="0"/>
                  <w:marTop w:val="0"/>
                  <w:marBottom w:val="0"/>
                  <w:divBdr>
                    <w:top w:val="none" w:sz="0" w:space="0" w:color="auto"/>
                    <w:left w:val="none" w:sz="0" w:space="0" w:color="auto"/>
                    <w:bottom w:val="none" w:sz="0" w:space="0" w:color="auto"/>
                    <w:right w:val="none" w:sz="0" w:space="0" w:color="auto"/>
                  </w:divBdr>
                </w:div>
              </w:divsChild>
            </w:div>
            <w:div w:id="1265114482">
              <w:marLeft w:val="0"/>
              <w:marRight w:val="0"/>
              <w:marTop w:val="0"/>
              <w:marBottom w:val="0"/>
              <w:divBdr>
                <w:top w:val="none" w:sz="0" w:space="0" w:color="auto"/>
                <w:left w:val="none" w:sz="0" w:space="0" w:color="auto"/>
                <w:bottom w:val="none" w:sz="0" w:space="0" w:color="auto"/>
                <w:right w:val="none" w:sz="0" w:space="0" w:color="auto"/>
              </w:divBdr>
              <w:divsChild>
                <w:div w:id="725836051">
                  <w:marLeft w:val="0"/>
                  <w:marRight w:val="0"/>
                  <w:marTop w:val="0"/>
                  <w:marBottom w:val="0"/>
                  <w:divBdr>
                    <w:top w:val="none" w:sz="0" w:space="0" w:color="auto"/>
                    <w:left w:val="none" w:sz="0" w:space="0" w:color="auto"/>
                    <w:bottom w:val="none" w:sz="0" w:space="0" w:color="auto"/>
                    <w:right w:val="none" w:sz="0" w:space="0" w:color="auto"/>
                  </w:divBdr>
                </w:div>
              </w:divsChild>
            </w:div>
            <w:div w:id="1152985213">
              <w:marLeft w:val="0"/>
              <w:marRight w:val="0"/>
              <w:marTop w:val="0"/>
              <w:marBottom w:val="0"/>
              <w:divBdr>
                <w:top w:val="none" w:sz="0" w:space="0" w:color="auto"/>
                <w:left w:val="none" w:sz="0" w:space="0" w:color="auto"/>
                <w:bottom w:val="none" w:sz="0" w:space="0" w:color="auto"/>
                <w:right w:val="none" w:sz="0" w:space="0" w:color="auto"/>
              </w:divBdr>
              <w:divsChild>
                <w:div w:id="639381452">
                  <w:marLeft w:val="0"/>
                  <w:marRight w:val="0"/>
                  <w:marTop w:val="0"/>
                  <w:marBottom w:val="0"/>
                  <w:divBdr>
                    <w:top w:val="none" w:sz="0" w:space="0" w:color="auto"/>
                    <w:left w:val="none" w:sz="0" w:space="0" w:color="auto"/>
                    <w:bottom w:val="none" w:sz="0" w:space="0" w:color="auto"/>
                    <w:right w:val="none" w:sz="0" w:space="0" w:color="auto"/>
                  </w:divBdr>
                </w:div>
              </w:divsChild>
            </w:div>
            <w:div w:id="295064268">
              <w:marLeft w:val="0"/>
              <w:marRight w:val="0"/>
              <w:marTop w:val="0"/>
              <w:marBottom w:val="0"/>
              <w:divBdr>
                <w:top w:val="none" w:sz="0" w:space="0" w:color="auto"/>
                <w:left w:val="none" w:sz="0" w:space="0" w:color="auto"/>
                <w:bottom w:val="none" w:sz="0" w:space="0" w:color="auto"/>
                <w:right w:val="none" w:sz="0" w:space="0" w:color="auto"/>
              </w:divBdr>
              <w:divsChild>
                <w:div w:id="163317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481835">
      <w:bodyDiv w:val="1"/>
      <w:marLeft w:val="0"/>
      <w:marRight w:val="0"/>
      <w:marTop w:val="0"/>
      <w:marBottom w:val="0"/>
      <w:divBdr>
        <w:top w:val="none" w:sz="0" w:space="0" w:color="auto"/>
        <w:left w:val="none" w:sz="0" w:space="0" w:color="auto"/>
        <w:bottom w:val="none" w:sz="0" w:space="0" w:color="auto"/>
        <w:right w:val="none" w:sz="0" w:space="0" w:color="auto"/>
      </w:divBdr>
      <w:divsChild>
        <w:div w:id="1262294540">
          <w:marLeft w:val="0"/>
          <w:marRight w:val="0"/>
          <w:marTop w:val="0"/>
          <w:marBottom w:val="0"/>
          <w:divBdr>
            <w:top w:val="none" w:sz="0" w:space="0" w:color="auto"/>
            <w:left w:val="none" w:sz="0" w:space="0" w:color="auto"/>
            <w:bottom w:val="none" w:sz="0" w:space="0" w:color="auto"/>
            <w:right w:val="none" w:sz="0" w:space="0" w:color="auto"/>
          </w:divBdr>
          <w:divsChild>
            <w:div w:id="648676307">
              <w:marLeft w:val="0"/>
              <w:marRight w:val="0"/>
              <w:marTop w:val="0"/>
              <w:marBottom w:val="0"/>
              <w:divBdr>
                <w:top w:val="none" w:sz="0" w:space="0" w:color="auto"/>
                <w:left w:val="none" w:sz="0" w:space="0" w:color="auto"/>
                <w:bottom w:val="none" w:sz="0" w:space="0" w:color="auto"/>
                <w:right w:val="none" w:sz="0" w:space="0" w:color="auto"/>
              </w:divBdr>
              <w:divsChild>
                <w:div w:id="690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2149">
          <w:marLeft w:val="0"/>
          <w:marRight w:val="0"/>
          <w:marTop w:val="0"/>
          <w:marBottom w:val="0"/>
          <w:divBdr>
            <w:top w:val="none" w:sz="0" w:space="0" w:color="auto"/>
            <w:left w:val="none" w:sz="0" w:space="0" w:color="auto"/>
            <w:bottom w:val="none" w:sz="0" w:space="0" w:color="auto"/>
            <w:right w:val="none" w:sz="0" w:space="0" w:color="auto"/>
          </w:divBdr>
          <w:divsChild>
            <w:div w:id="1510559090">
              <w:marLeft w:val="0"/>
              <w:marRight w:val="0"/>
              <w:marTop w:val="0"/>
              <w:marBottom w:val="0"/>
              <w:divBdr>
                <w:top w:val="none" w:sz="0" w:space="0" w:color="auto"/>
                <w:left w:val="none" w:sz="0" w:space="0" w:color="auto"/>
                <w:bottom w:val="none" w:sz="0" w:space="0" w:color="auto"/>
                <w:right w:val="none" w:sz="0" w:space="0" w:color="auto"/>
              </w:divBdr>
              <w:divsChild>
                <w:div w:id="1191643366">
                  <w:marLeft w:val="0"/>
                  <w:marRight w:val="0"/>
                  <w:marTop w:val="0"/>
                  <w:marBottom w:val="0"/>
                  <w:divBdr>
                    <w:top w:val="none" w:sz="0" w:space="0" w:color="auto"/>
                    <w:left w:val="none" w:sz="0" w:space="0" w:color="auto"/>
                    <w:bottom w:val="none" w:sz="0" w:space="0" w:color="auto"/>
                    <w:right w:val="none" w:sz="0" w:space="0" w:color="auto"/>
                  </w:divBdr>
                </w:div>
              </w:divsChild>
            </w:div>
            <w:div w:id="1097218108">
              <w:marLeft w:val="0"/>
              <w:marRight w:val="0"/>
              <w:marTop w:val="0"/>
              <w:marBottom w:val="0"/>
              <w:divBdr>
                <w:top w:val="none" w:sz="0" w:space="0" w:color="auto"/>
                <w:left w:val="none" w:sz="0" w:space="0" w:color="auto"/>
                <w:bottom w:val="none" w:sz="0" w:space="0" w:color="auto"/>
                <w:right w:val="none" w:sz="0" w:space="0" w:color="auto"/>
              </w:divBdr>
              <w:divsChild>
                <w:div w:id="50359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01857">
          <w:marLeft w:val="0"/>
          <w:marRight w:val="0"/>
          <w:marTop w:val="0"/>
          <w:marBottom w:val="0"/>
          <w:divBdr>
            <w:top w:val="none" w:sz="0" w:space="0" w:color="auto"/>
            <w:left w:val="none" w:sz="0" w:space="0" w:color="auto"/>
            <w:bottom w:val="none" w:sz="0" w:space="0" w:color="auto"/>
            <w:right w:val="none" w:sz="0" w:space="0" w:color="auto"/>
          </w:divBdr>
          <w:divsChild>
            <w:div w:id="739329083">
              <w:marLeft w:val="0"/>
              <w:marRight w:val="0"/>
              <w:marTop w:val="0"/>
              <w:marBottom w:val="0"/>
              <w:divBdr>
                <w:top w:val="none" w:sz="0" w:space="0" w:color="auto"/>
                <w:left w:val="none" w:sz="0" w:space="0" w:color="auto"/>
                <w:bottom w:val="none" w:sz="0" w:space="0" w:color="auto"/>
                <w:right w:val="none" w:sz="0" w:space="0" w:color="auto"/>
              </w:divBdr>
              <w:divsChild>
                <w:div w:id="1694959751">
                  <w:marLeft w:val="0"/>
                  <w:marRight w:val="0"/>
                  <w:marTop w:val="0"/>
                  <w:marBottom w:val="0"/>
                  <w:divBdr>
                    <w:top w:val="none" w:sz="0" w:space="0" w:color="auto"/>
                    <w:left w:val="none" w:sz="0" w:space="0" w:color="auto"/>
                    <w:bottom w:val="none" w:sz="0" w:space="0" w:color="auto"/>
                    <w:right w:val="none" w:sz="0" w:space="0" w:color="auto"/>
                  </w:divBdr>
                </w:div>
              </w:divsChild>
            </w:div>
            <w:div w:id="373771633">
              <w:marLeft w:val="0"/>
              <w:marRight w:val="0"/>
              <w:marTop w:val="0"/>
              <w:marBottom w:val="0"/>
              <w:divBdr>
                <w:top w:val="none" w:sz="0" w:space="0" w:color="auto"/>
                <w:left w:val="none" w:sz="0" w:space="0" w:color="auto"/>
                <w:bottom w:val="none" w:sz="0" w:space="0" w:color="auto"/>
                <w:right w:val="none" w:sz="0" w:space="0" w:color="auto"/>
              </w:divBdr>
              <w:divsChild>
                <w:div w:id="5467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68701">
          <w:marLeft w:val="0"/>
          <w:marRight w:val="0"/>
          <w:marTop w:val="0"/>
          <w:marBottom w:val="0"/>
          <w:divBdr>
            <w:top w:val="none" w:sz="0" w:space="0" w:color="auto"/>
            <w:left w:val="none" w:sz="0" w:space="0" w:color="auto"/>
            <w:bottom w:val="none" w:sz="0" w:space="0" w:color="auto"/>
            <w:right w:val="none" w:sz="0" w:space="0" w:color="auto"/>
          </w:divBdr>
          <w:divsChild>
            <w:div w:id="1960988843">
              <w:marLeft w:val="0"/>
              <w:marRight w:val="0"/>
              <w:marTop w:val="0"/>
              <w:marBottom w:val="0"/>
              <w:divBdr>
                <w:top w:val="none" w:sz="0" w:space="0" w:color="auto"/>
                <w:left w:val="none" w:sz="0" w:space="0" w:color="auto"/>
                <w:bottom w:val="none" w:sz="0" w:space="0" w:color="auto"/>
                <w:right w:val="none" w:sz="0" w:space="0" w:color="auto"/>
              </w:divBdr>
              <w:divsChild>
                <w:div w:id="1763799381">
                  <w:marLeft w:val="0"/>
                  <w:marRight w:val="0"/>
                  <w:marTop w:val="0"/>
                  <w:marBottom w:val="0"/>
                  <w:divBdr>
                    <w:top w:val="none" w:sz="0" w:space="0" w:color="auto"/>
                    <w:left w:val="none" w:sz="0" w:space="0" w:color="auto"/>
                    <w:bottom w:val="none" w:sz="0" w:space="0" w:color="auto"/>
                    <w:right w:val="none" w:sz="0" w:space="0" w:color="auto"/>
                  </w:divBdr>
                </w:div>
              </w:divsChild>
            </w:div>
            <w:div w:id="760179046">
              <w:marLeft w:val="0"/>
              <w:marRight w:val="0"/>
              <w:marTop w:val="0"/>
              <w:marBottom w:val="0"/>
              <w:divBdr>
                <w:top w:val="none" w:sz="0" w:space="0" w:color="auto"/>
                <w:left w:val="none" w:sz="0" w:space="0" w:color="auto"/>
                <w:bottom w:val="none" w:sz="0" w:space="0" w:color="auto"/>
                <w:right w:val="none" w:sz="0" w:space="0" w:color="auto"/>
              </w:divBdr>
              <w:divsChild>
                <w:div w:id="10714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5419">
          <w:marLeft w:val="0"/>
          <w:marRight w:val="0"/>
          <w:marTop w:val="0"/>
          <w:marBottom w:val="0"/>
          <w:divBdr>
            <w:top w:val="none" w:sz="0" w:space="0" w:color="auto"/>
            <w:left w:val="none" w:sz="0" w:space="0" w:color="auto"/>
            <w:bottom w:val="none" w:sz="0" w:space="0" w:color="auto"/>
            <w:right w:val="none" w:sz="0" w:space="0" w:color="auto"/>
          </w:divBdr>
          <w:divsChild>
            <w:div w:id="116068391">
              <w:marLeft w:val="0"/>
              <w:marRight w:val="0"/>
              <w:marTop w:val="0"/>
              <w:marBottom w:val="0"/>
              <w:divBdr>
                <w:top w:val="none" w:sz="0" w:space="0" w:color="auto"/>
                <w:left w:val="none" w:sz="0" w:space="0" w:color="auto"/>
                <w:bottom w:val="none" w:sz="0" w:space="0" w:color="auto"/>
                <w:right w:val="none" w:sz="0" w:space="0" w:color="auto"/>
              </w:divBdr>
              <w:divsChild>
                <w:div w:id="1801141806">
                  <w:marLeft w:val="0"/>
                  <w:marRight w:val="0"/>
                  <w:marTop w:val="0"/>
                  <w:marBottom w:val="0"/>
                  <w:divBdr>
                    <w:top w:val="none" w:sz="0" w:space="0" w:color="auto"/>
                    <w:left w:val="none" w:sz="0" w:space="0" w:color="auto"/>
                    <w:bottom w:val="none" w:sz="0" w:space="0" w:color="auto"/>
                    <w:right w:val="none" w:sz="0" w:space="0" w:color="auto"/>
                  </w:divBdr>
                </w:div>
              </w:divsChild>
            </w:div>
            <w:div w:id="723990197">
              <w:marLeft w:val="0"/>
              <w:marRight w:val="0"/>
              <w:marTop w:val="0"/>
              <w:marBottom w:val="0"/>
              <w:divBdr>
                <w:top w:val="none" w:sz="0" w:space="0" w:color="auto"/>
                <w:left w:val="none" w:sz="0" w:space="0" w:color="auto"/>
                <w:bottom w:val="none" w:sz="0" w:space="0" w:color="auto"/>
                <w:right w:val="none" w:sz="0" w:space="0" w:color="auto"/>
              </w:divBdr>
              <w:divsChild>
                <w:div w:id="11345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3286">
          <w:marLeft w:val="0"/>
          <w:marRight w:val="0"/>
          <w:marTop w:val="0"/>
          <w:marBottom w:val="0"/>
          <w:divBdr>
            <w:top w:val="none" w:sz="0" w:space="0" w:color="auto"/>
            <w:left w:val="none" w:sz="0" w:space="0" w:color="auto"/>
            <w:bottom w:val="none" w:sz="0" w:space="0" w:color="auto"/>
            <w:right w:val="none" w:sz="0" w:space="0" w:color="auto"/>
          </w:divBdr>
          <w:divsChild>
            <w:div w:id="1816800936">
              <w:marLeft w:val="0"/>
              <w:marRight w:val="0"/>
              <w:marTop w:val="0"/>
              <w:marBottom w:val="0"/>
              <w:divBdr>
                <w:top w:val="none" w:sz="0" w:space="0" w:color="auto"/>
                <w:left w:val="none" w:sz="0" w:space="0" w:color="auto"/>
                <w:bottom w:val="none" w:sz="0" w:space="0" w:color="auto"/>
                <w:right w:val="none" w:sz="0" w:space="0" w:color="auto"/>
              </w:divBdr>
              <w:divsChild>
                <w:div w:id="978270942">
                  <w:marLeft w:val="0"/>
                  <w:marRight w:val="0"/>
                  <w:marTop w:val="0"/>
                  <w:marBottom w:val="0"/>
                  <w:divBdr>
                    <w:top w:val="none" w:sz="0" w:space="0" w:color="auto"/>
                    <w:left w:val="none" w:sz="0" w:space="0" w:color="auto"/>
                    <w:bottom w:val="none" w:sz="0" w:space="0" w:color="auto"/>
                    <w:right w:val="none" w:sz="0" w:space="0" w:color="auto"/>
                  </w:divBdr>
                </w:div>
              </w:divsChild>
            </w:div>
            <w:div w:id="597786435">
              <w:marLeft w:val="0"/>
              <w:marRight w:val="0"/>
              <w:marTop w:val="0"/>
              <w:marBottom w:val="0"/>
              <w:divBdr>
                <w:top w:val="none" w:sz="0" w:space="0" w:color="auto"/>
                <w:left w:val="none" w:sz="0" w:space="0" w:color="auto"/>
                <w:bottom w:val="none" w:sz="0" w:space="0" w:color="auto"/>
                <w:right w:val="none" w:sz="0" w:space="0" w:color="auto"/>
              </w:divBdr>
              <w:divsChild>
                <w:div w:id="2085948471">
                  <w:marLeft w:val="0"/>
                  <w:marRight w:val="0"/>
                  <w:marTop w:val="0"/>
                  <w:marBottom w:val="0"/>
                  <w:divBdr>
                    <w:top w:val="none" w:sz="0" w:space="0" w:color="auto"/>
                    <w:left w:val="none" w:sz="0" w:space="0" w:color="auto"/>
                    <w:bottom w:val="none" w:sz="0" w:space="0" w:color="auto"/>
                    <w:right w:val="none" w:sz="0" w:space="0" w:color="auto"/>
                  </w:divBdr>
                </w:div>
              </w:divsChild>
            </w:div>
            <w:div w:id="1577014482">
              <w:marLeft w:val="0"/>
              <w:marRight w:val="0"/>
              <w:marTop w:val="0"/>
              <w:marBottom w:val="0"/>
              <w:divBdr>
                <w:top w:val="none" w:sz="0" w:space="0" w:color="auto"/>
                <w:left w:val="none" w:sz="0" w:space="0" w:color="auto"/>
                <w:bottom w:val="none" w:sz="0" w:space="0" w:color="auto"/>
                <w:right w:val="none" w:sz="0" w:space="0" w:color="auto"/>
              </w:divBdr>
              <w:divsChild>
                <w:div w:id="1439446816">
                  <w:marLeft w:val="0"/>
                  <w:marRight w:val="0"/>
                  <w:marTop w:val="0"/>
                  <w:marBottom w:val="0"/>
                  <w:divBdr>
                    <w:top w:val="none" w:sz="0" w:space="0" w:color="auto"/>
                    <w:left w:val="none" w:sz="0" w:space="0" w:color="auto"/>
                    <w:bottom w:val="none" w:sz="0" w:space="0" w:color="auto"/>
                    <w:right w:val="none" w:sz="0" w:space="0" w:color="auto"/>
                  </w:divBdr>
                </w:div>
              </w:divsChild>
            </w:div>
            <w:div w:id="2132674837">
              <w:marLeft w:val="0"/>
              <w:marRight w:val="0"/>
              <w:marTop w:val="0"/>
              <w:marBottom w:val="0"/>
              <w:divBdr>
                <w:top w:val="none" w:sz="0" w:space="0" w:color="auto"/>
                <w:left w:val="none" w:sz="0" w:space="0" w:color="auto"/>
                <w:bottom w:val="none" w:sz="0" w:space="0" w:color="auto"/>
                <w:right w:val="none" w:sz="0" w:space="0" w:color="auto"/>
              </w:divBdr>
              <w:divsChild>
                <w:div w:id="237135549">
                  <w:marLeft w:val="0"/>
                  <w:marRight w:val="0"/>
                  <w:marTop w:val="0"/>
                  <w:marBottom w:val="0"/>
                  <w:divBdr>
                    <w:top w:val="none" w:sz="0" w:space="0" w:color="auto"/>
                    <w:left w:val="none" w:sz="0" w:space="0" w:color="auto"/>
                    <w:bottom w:val="none" w:sz="0" w:space="0" w:color="auto"/>
                    <w:right w:val="none" w:sz="0" w:space="0" w:color="auto"/>
                  </w:divBdr>
                </w:div>
              </w:divsChild>
            </w:div>
            <w:div w:id="1725903783">
              <w:marLeft w:val="0"/>
              <w:marRight w:val="0"/>
              <w:marTop w:val="0"/>
              <w:marBottom w:val="0"/>
              <w:divBdr>
                <w:top w:val="none" w:sz="0" w:space="0" w:color="auto"/>
                <w:left w:val="none" w:sz="0" w:space="0" w:color="auto"/>
                <w:bottom w:val="none" w:sz="0" w:space="0" w:color="auto"/>
                <w:right w:val="none" w:sz="0" w:space="0" w:color="auto"/>
              </w:divBdr>
              <w:divsChild>
                <w:div w:id="1917547921">
                  <w:marLeft w:val="0"/>
                  <w:marRight w:val="0"/>
                  <w:marTop w:val="0"/>
                  <w:marBottom w:val="0"/>
                  <w:divBdr>
                    <w:top w:val="none" w:sz="0" w:space="0" w:color="auto"/>
                    <w:left w:val="none" w:sz="0" w:space="0" w:color="auto"/>
                    <w:bottom w:val="none" w:sz="0" w:space="0" w:color="auto"/>
                    <w:right w:val="none" w:sz="0" w:space="0" w:color="auto"/>
                  </w:divBdr>
                </w:div>
              </w:divsChild>
            </w:div>
            <w:div w:id="1821770876">
              <w:marLeft w:val="0"/>
              <w:marRight w:val="0"/>
              <w:marTop w:val="0"/>
              <w:marBottom w:val="0"/>
              <w:divBdr>
                <w:top w:val="none" w:sz="0" w:space="0" w:color="auto"/>
                <w:left w:val="none" w:sz="0" w:space="0" w:color="auto"/>
                <w:bottom w:val="none" w:sz="0" w:space="0" w:color="auto"/>
                <w:right w:val="none" w:sz="0" w:space="0" w:color="auto"/>
              </w:divBdr>
              <w:divsChild>
                <w:div w:id="781731644">
                  <w:marLeft w:val="0"/>
                  <w:marRight w:val="0"/>
                  <w:marTop w:val="0"/>
                  <w:marBottom w:val="0"/>
                  <w:divBdr>
                    <w:top w:val="none" w:sz="0" w:space="0" w:color="auto"/>
                    <w:left w:val="none" w:sz="0" w:space="0" w:color="auto"/>
                    <w:bottom w:val="none" w:sz="0" w:space="0" w:color="auto"/>
                    <w:right w:val="none" w:sz="0" w:space="0" w:color="auto"/>
                  </w:divBdr>
                </w:div>
              </w:divsChild>
            </w:div>
            <w:div w:id="807283165">
              <w:marLeft w:val="0"/>
              <w:marRight w:val="0"/>
              <w:marTop w:val="0"/>
              <w:marBottom w:val="0"/>
              <w:divBdr>
                <w:top w:val="none" w:sz="0" w:space="0" w:color="auto"/>
                <w:left w:val="none" w:sz="0" w:space="0" w:color="auto"/>
                <w:bottom w:val="none" w:sz="0" w:space="0" w:color="auto"/>
                <w:right w:val="none" w:sz="0" w:space="0" w:color="auto"/>
              </w:divBdr>
              <w:divsChild>
                <w:div w:id="376785089">
                  <w:marLeft w:val="0"/>
                  <w:marRight w:val="0"/>
                  <w:marTop w:val="0"/>
                  <w:marBottom w:val="0"/>
                  <w:divBdr>
                    <w:top w:val="none" w:sz="0" w:space="0" w:color="auto"/>
                    <w:left w:val="none" w:sz="0" w:space="0" w:color="auto"/>
                    <w:bottom w:val="none" w:sz="0" w:space="0" w:color="auto"/>
                    <w:right w:val="none" w:sz="0" w:space="0" w:color="auto"/>
                  </w:divBdr>
                </w:div>
              </w:divsChild>
            </w:div>
            <w:div w:id="929121716">
              <w:marLeft w:val="0"/>
              <w:marRight w:val="0"/>
              <w:marTop w:val="0"/>
              <w:marBottom w:val="0"/>
              <w:divBdr>
                <w:top w:val="none" w:sz="0" w:space="0" w:color="auto"/>
                <w:left w:val="none" w:sz="0" w:space="0" w:color="auto"/>
                <w:bottom w:val="none" w:sz="0" w:space="0" w:color="auto"/>
                <w:right w:val="none" w:sz="0" w:space="0" w:color="auto"/>
              </w:divBdr>
              <w:divsChild>
                <w:div w:id="370038701">
                  <w:marLeft w:val="0"/>
                  <w:marRight w:val="0"/>
                  <w:marTop w:val="0"/>
                  <w:marBottom w:val="0"/>
                  <w:divBdr>
                    <w:top w:val="none" w:sz="0" w:space="0" w:color="auto"/>
                    <w:left w:val="none" w:sz="0" w:space="0" w:color="auto"/>
                    <w:bottom w:val="none" w:sz="0" w:space="0" w:color="auto"/>
                    <w:right w:val="none" w:sz="0" w:space="0" w:color="auto"/>
                  </w:divBdr>
                </w:div>
              </w:divsChild>
            </w:div>
            <w:div w:id="275134957">
              <w:marLeft w:val="0"/>
              <w:marRight w:val="0"/>
              <w:marTop w:val="0"/>
              <w:marBottom w:val="0"/>
              <w:divBdr>
                <w:top w:val="none" w:sz="0" w:space="0" w:color="auto"/>
                <w:left w:val="none" w:sz="0" w:space="0" w:color="auto"/>
                <w:bottom w:val="none" w:sz="0" w:space="0" w:color="auto"/>
                <w:right w:val="none" w:sz="0" w:space="0" w:color="auto"/>
              </w:divBdr>
              <w:divsChild>
                <w:div w:id="461577905">
                  <w:marLeft w:val="0"/>
                  <w:marRight w:val="0"/>
                  <w:marTop w:val="0"/>
                  <w:marBottom w:val="0"/>
                  <w:divBdr>
                    <w:top w:val="none" w:sz="0" w:space="0" w:color="auto"/>
                    <w:left w:val="none" w:sz="0" w:space="0" w:color="auto"/>
                    <w:bottom w:val="none" w:sz="0" w:space="0" w:color="auto"/>
                    <w:right w:val="none" w:sz="0" w:space="0" w:color="auto"/>
                  </w:divBdr>
                </w:div>
              </w:divsChild>
            </w:div>
            <w:div w:id="336924208">
              <w:marLeft w:val="0"/>
              <w:marRight w:val="0"/>
              <w:marTop w:val="0"/>
              <w:marBottom w:val="0"/>
              <w:divBdr>
                <w:top w:val="none" w:sz="0" w:space="0" w:color="auto"/>
                <w:left w:val="none" w:sz="0" w:space="0" w:color="auto"/>
                <w:bottom w:val="none" w:sz="0" w:space="0" w:color="auto"/>
                <w:right w:val="none" w:sz="0" w:space="0" w:color="auto"/>
              </w:divBdr>
              <w:divsChild>
                <w:div w:id="1216040869">
                  <w:marLeft w:val="0"/>
                  <w:marRight w:val="0"/>
                  <w:marTop w:val="0"/>
                  <w:marBottom w:val="0"/>
                  <w:divBdr>
                    <w:top w:val="none" w:sz="0" w:space="0" w:color="auto"/>
                    <w:left w:val="none" w:sz="0" w:space="0" w:color="auto"/>
                    <w:bottom w:val="none" w:sz="0" w:space="0" w:color="auto"/>
                    <w:right w:val="none" w:sz="0" w:space="0" w:color="auto"/>
                  </w:divBdr>
                </w:div>
              </w:divsChild>
            </w:div>
            <w:div w:id="1208958049">
              <w:marLeft w:val="0"/>
              <w:marRight w:val="0"/>
              <w:marTop w:val="0"/>
              <w:marBottom w:val="0"/>
              <w:divBdr>
                <w:top w:val="none" w:sz="0" w:space="0" w:color="auto"/>
                <w:left w:val="none" w:sz="0" w:space="0" w:color="auto"/>
                <w:bottom w:val="none" w:sz="0" w:space="0" w:color="auto"/>
                <w:right w:val="none" w:sz="0" w:space="0" w:color="auto"/>
              </w:divBdr>
              <w:divsChild>
                <w:div w:id="1317419037">
                  <w:marLeft w:val="0"/>
                  <w:marRight w:val="0"/>
                  <w:marTop w:val="0"/>
                  <w:marBottom w:val="0"/>
                  <w:divBdr>
                    <w:top w:val="none" w:sz="0" w:space="0" w:color="auto"/>
                    <w:left w:val="none" w:sz="0" w:space="0" w:color="auto"/>
                    <w:bottom w:val="none" w:sz="0" w:space="0" w:color="auto"/>
                    <w:right w:val="none" w:sz="0" w:space="0" w:color="auto"/>
                  </w:divBdr>
                </w:div>
              </w:divsChild>
            </w:div>
            <w:div w:id="583539624">
              <w:marLeft w:val="0"/>
              <w:marRight w:val="0"/>
              <w:marTop w:val="0"/>
              <w:marBottom w:val="0"/>
              <w:divBdr>
                <w:top w:val="none" w:sz="0" w:space="0" w:color="auto"/>
                <w:left w:val="none" w:sz="0" w:space="0" w:color="auto"/>
                <w:bottom w:val="none" w:sz="0" w:space="0" w:color="auto"/>
                <w:right w:val="none" w:sz="0" w:space="0" w:color="auto"/>
              </w:divBdr>
              <w:divsChild>
                <w:div w:id="2097896832">
                  <w:marLeft w:val="0"/>
                  <w:marRight w:val="0"/>
                  <w:marTop w:val="0"/>
                  <w:marBottom w:val="0"/>
                  <w:divBdr>
                    <w:top w:val="none" w:sz="0" w:space="0" w:color="auto"/>
                    <w:left w:val="none" w:sz="0" w:space="0" w:color="auto"/>
                    <w:bottom w:val="none" w:sz="0" w:space="0" w:color="auto"/>
                    <w:right w:val="none" w:sz="0" w:space="0" w:color="auto"/>
                  </w:divBdr>
                </w:div>
              </w:divsChild>
            </w:div>
            <w:div w:id="1782873188">
              <w:marLeft w:val="0"/>
              <w:marRight w:val="0"/>
              <w:marTop w:val="0"/>
              <w:marBottom w:val="0"/>
              <w:divBdr>
                <w:top w:val="none" w:sz="0" w:space="0" w:color="auto"/>
                <w:left w:val="none" w:sz="0" w:space="0" w:color="auto"/>
                <w:bottom w:val="none" w:sz="0" w:space="0" w:color="auto"/>
                <w:right w:val="none" w:sz="0" w:space="0" w:color="auto"/>
              </w:divBdr>
              <w:divsChild>
                <w:div w:id="409809906">
                  <w:marLeft w:val="0"/>
                  <w:marRight w:val="0"/>
                  <w:marTop w:val="0"/>
                  <w:marBottom w:val="0"/>
                  <w:divBdr>
                    <w:top w:val="none" w:sz="0" w:space="0" w:color="auto"/>
                    <w:left w:val="none" w:sz="0" w:space="0" w:color="auto"/>
                    <w:bottom w:val="none" w:sz="0" w:space="0" w:color="auto"/>
                    <w:right w:val="none" w:sz="0" w:space="0" w:color="auto"/>
                  </w:divBdr>
                </w:div>
              </w:divsChild>
            </w:div>
            <w:div w:id="446312567">
              <w:marLeft w:val="0"/>
              <w:marRight w:val="0"/>
              <w:marTop w:val="0"/>
              <w:marBottom w:val="0"/>
              <w:divBdr>
                <w:top w:val="none" w:sz="0" w:space="0" w:color="auto"/>
                <w:left w:val="none" w:sz="0" w:space="0" w:color="auto"/>
                <w:bottom w:val="none" w:sz="0" w:space="0" w:color="auto"/>
                <w:right w:val="none" w:sz="0" w:space="0" w:color="auto"/>
              </w:divBdr>
              <w:divsChild>
                <w:div w:id="1040011217">
                  <w:marLeft w:val="0"/>
                  <w:marRight w:val="0"/>
                  <w:marTop w:val="0"/>
                  <w:marBottom w:val="0"/>
                  <w:divBdr>
                    <w:top w:val="none" w:sz="0" w:space="0" w:color="auto"/>
                    <w:left w:val="none" w:sz="0" w:space="0" w:color="auto"/>
                    <w:bottom w:val="none" w:sz="0" w:space="0" w:color="auto"/>
                    <w:right w:val="none" w:sz="0" w:space="0" w:color="auto"/>
                  </w:divBdr>
                </w:div>
              </w:divsChild>
            </w:div>
            <w:div w:id="303707621">
              <w:marLeft w:val="0"/>
              <w:marRight w:val="0"/>
              <w:marTop w:val="0"/>
              <w:marBottom w:val="0"/>
              <w:divBdr>
                <w:top w:val="none" w:sz="0" w:space="0" w:color="auto"/>
                <w:left w:val="none" w:sz="0" w:space="0" w:color="auto"/>
                <w:bottom w:val="none" w:sz="0" w:space="0" w:color="auto"/>
                <w:right w:val="none" w:sz="0" w:space="0" w:color="auto"/>
              </w:divBdr>
              <w:divsChild>
                <w:div w:id="1783500641">
                  <w:marLeft w:val="0"/>
                  <w:marRight w:val="0"/>
                  <w:marTop w:val="0"/>
                  <w:marBottom w:val="0"/>
                  <w:divBdr>
                    <w:top w:val="none" w:sz="0" w:space="0" w:color="auto"/>
                    <w:left w:val="none" w:sz="0" w:space="0" w:color="auto"/>
                    <w:bottom w:val="none" w:sz="0" w:space="0" w:color="auto"/>
                    <w:right w:val="none" w:sz="0" w:space="0" w:color="auto"/>
                  </w:divBdr>
                </w:div>
              </w:divsChild>
            </w:div>
            <w:div w:id="973558372">
              <w:marLeft w:val="0"/>
              <w:marRight w:val="0"/>
              <w:marTop w:val="0"/>
              <w:marBottom w:val="0"/>
              <w:divBdr>
                <w:top w:val="none" w:sz="0" w:space="0" w:color="auto"/>
                <w:left w:val="none" w:sz="0" w:space="0" w:color="auto"/>
                <w:bottom w:val="none" w:sz="0" w:space="0" w:color="auto"/>
                <w:right w:val="none" w:sz="0" w:space="0" w:color="auto"/>
              </w:divBdr>
              <w:divsChild>
                <w:div w:id="538393759">
                  <w:marLeft w:val="0"/>
                  <w:marRight w:val="0"/>
                  <w:marTop w:val="0"/>
                  <w:marBottom w:val="0"/>
                  <w:divBdr>
                    <w:top w:val="none" w:sz="0" w:space="0" w:color="auto"/>
                    <w:left w:val="none" w:sz="0" w:space="0" w:color="auto"/>
                    <w:bottom w:val="none" w:sz="0" w:space="0" w:color="auto"/>
                    <w:right w:val="none" w:sz="0" w:space="0" w:color="auto"/>
                  </w:divBdr>
                </w:div>
              </w:divsChild>
            </w:div>
            <w:div w:id="558591424">
              <w:marLeft w:val="0"/>
              <w:marRight w:val="0"/>
              <w:marTop w:val="0"/>
              <w:marBottom w:val="0"/>
              <w:divBdr>
                <w:top w:val="none" w:sz="0" w:space="0" w:color="auto"/>
                <w:left w:val="none" w:sz="0" w:space="0" w:color="auto"/>
                <w:bottom w:val="none" w:sz="0" w:space="0" w:color="auto"/>
                <w:right w:val="none" w:sz="0" w:space="0" w:color="auto"/>
              </w:divBdr>
              <w:divsChild>
                <w:div w:id="1503274084">
                  <w:marLeft w:val="0"/>
                  <w:marRight w:val="0"/>
                  <w:marTop w:val="0"/>
                  <w:marBottom w:val="0"/>
                  <w:divBdr>
                    <w:top w:val="none" w:sz="0" w:space="0" w:color="auto"/>
                    <w:left w:val="none" w:sz="0" w:space="0" w:color="auto"/>
                    <w:bottom w:val="none" w:sz="0" w:space="0" w:color="auto"/>
                    <w:right w:val="none" w:sz="0" w:space="0" w:color="auto"/>
                  </w:divBdr>
                </w:div>
              </w:divsChild>
            </w:div>
            <w:div w:id="763917299">
              <w:marLeft w:val="0"/>
              <w:marRight w:val="0"/>
              <w:marTop w:val="0"/>
              <w:marBottom w:val="0"/>
              <w:divBdr>
                <w:top w:val="none" w:sz="0" w:space="0" w:color="auto"/>
                <w:left w:val="none" w:sz="0" w:space="0" w:color="auto"/>
                <w:bottom w:val="none" w:sz="0" w:space="0" w:color="auto"/>
                <w:right w:val="none" w:sz="0" w:space="0" w:color="auto"/>
              </w:divBdr>
              <w:divsChild>
                <w:div w:id="1983995551">
                  <w:marLeft w:val="0"/>
                  <w:marRight w:val="0"/>
                  <w:marTop w:val="0"/>
                  <w:marBottom w:val="0"/>
                  <w:divBdr>
                    <w:top w:val="none" w:sz="0" w:space="0" w:color="auto"/>
                    <w:left w:val="none" w:sz="0" w:space="0" w:color="auto"/>
                    <w:bottom w:val="none" w:sz="0" w:space="0" w:color="auto"/>
                    <w:right w:val="none" w:sz="0" w:space="0" w:color="auto"/>
                  </w:divBdr>
                </w:div>
              </w:divsChild>
            </w:div>
            <w:div w:id="1872644336">
              <w:marLeft w:val="0"/>
              <w:marRight w:val="0"/>
              <w:marTop w:val="0"/>
              <w:marBottom w:val="0"/>
              <w:divBdr>
                <w:top w:val="none" w:sz="0" w:space="0" w:color="auto"/>
                <w:left w:val="none" w:sz="0" w:space="0" w:color="auto"/>
                <w:bottom w:val="none" w:sz="0" w:space="0" w:color="auto"/>
                <w:right w:val="none" w:sz="0" w:space="0" w:color="auto"/>
              </w:divBdr>
              <w:divsChild>
                <w:div w:id="1372339103">
                  <w:marLeft w:val="0"/>
                  <w:marRight w:val="0"/>
                  <w:marTop w:val="0"/>
                  <w:marBottom w:val="0"/>
                  <w:divBdr>
                    <w:top w:val="none" w:sz="0" w:space="0" w:color="auto"/>
                    <w:left w:val="none" w:sz="0" w:space="0" w:color="auto"/>
                    <w:bottom w:val="none" w:sz="0" w:space="0" w:color="auto"/>
                    <w:right w:val="none" w:sz="0" w:space="0" w:color="auto"/>
                  </w:divBdr>
                </w:div>
              </w:divsChild>
            </w:div>
            <w:div w:id="1150292642">
              <w:marLeft w:val="0"/>
              <w:marRight w:val="0"/>
              <w:marTop w:val="0"/>
              <w:marBottom w:val="0"/>
              <w:divBdr>
                <w:top w:val="none" w:sz="0" w:space="0" w:color="auto"/>
                <w:left w:val="none" w:sz="0" w:space="0" w:color="auto"/>
                <w:bottom w:val="none" w:sz="0" w:space="0" w:color="auto"/>
                <w:right w:val="none" w:sz="0" w:space="0" w:color="auto"/>
              </w:divBdr>
              <w:divsChild>
                <w:div w:id="1205288012">
                  <w:marLeft w:val="0"/>
                  <w:marRight w:val="0"/>
                  <w:marTop w:val="0"/>
                  <w:marBottom w:val="0"/>
                  <w:divBdr>
                    <w:top w:val="none" w:sz="0" w:space="0" w:color="auto"/>
                    <w:left w:val="none" w:sz="0" w:space="0" w:color="auto"/>
                    <w:bottom w:val="none" w:sz="0" w:space="0" w:color="auto"/>
                    <w:right w:val="none" w:sz="0" w:space="0" w:color="auto"/>
                  </w:divBdr>
                </w:div>
              </w:divsChild>
            </w:div>
            <w:div w:id="1262033333">
              <w:marLeft w:val="0"/>
              <w:marRight w:val="0"/>
              <w:marTop w:val="0"/>
              <w:marBottom w:val="0"/>
              <w:divBdr>
                <w:top w:val="none" w:sz="0" w:space="0" w:color="auto"/>
                <w:left w:val="none" w:sz="0" w:space="0" w:color="auto"/>
                <w:bottom w:val="none" w:sz="0" w:space="0" w:color="auto"/>
                <w:right w:val="none" w:sz="0" w:space="0" w:color="auto"/>
              </w:divBdr>
              <w:divsChild>
                <w:div w:id="67013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839424">
          <w:marLeft w:val="0"/>
          <w:marRight w:val="0"/>
          <w:marTop w:val="0"/>
          <w:marBottom w:val="0"/>
          <w:divBdr>
            <w:top w:val="none" w:sz="0" w:space="0" w:color="auto"/>
            <w:left w:val="none" w:sz="0" w:space="0" w:color="auto"/>
            <w:bottom w:val="none" w:sz="0" w:space="0" w:color="auto"/>
            <w:right w:val="none" w:sz="0" w:space="0" w:color="auto"/>
          </w:divBdr>
          <w:divsChild>
            <w:div w:id="1133332051">
              <w:marLeft w:val="0"/>
              <w:marRight w:val="0"/>
              <w:marTop w:val="0"/>
              <w:marBottom w:val="0"/>
              <w:divBdr>
                <w:top w:val="none" w:sz="0" w:space="0" w:color="auto"/>
                <w:left w:val="none" w:sz="0" w:space="0" w:color="auto"/>
                <w:bottom w:val="none" w:sz="0" w:space="0" w:color="auto"/>
                <w:right w:val="none" w:sz="0" w:space="0" w:color="auto"/>
              </w:divBdr>
              <w:divsChild>
                <w:div w:id="378172032">
                  <w:marLeft w:val="0"/>
                  <w:marRight w:val="0"/>
                  <w:marTop w:val="0"/>
                  <w:marBottom w:val="0"/>
                  <w:divBdr>
                    <w:top w:val="none" w:sz="0" w:space="0" w:color="auto"/>
                    <w:left w:val="none" w:sz="0" w:space="0" w:color="auto"/>
                    <w:bottom w:val="none" w:sz="0" w:space="0" w:color="auto"/>
                    <w:right w:val="none" w:sz="0" w:space="0" w:color="auto"/>
                  </w:divBdr>
                </w:div>
              </w:divsChild>
            </w:div>
            <w:div w:id="1741248915">
              <w:marLeft w:val="0"/>
              <w:marRight w:val="0"/>
              <w:marTop w:val="0"/>
              <w:marBottom w:val="0"/>
              <w:divBdr>
                <w:top w:val="none" w:sz="0" w:space="0" w:color="auto"/>
                <w:left w:val="none" w:sz="0" w:space="0" w:color="auto"/>
                <w:bottom w:val="none" w:sz="0" w:space="0" w:color="auto"/>
                <w:right w:val="none" w:sz="0" w:space="0" w:color="auto"/>
              </w:divBdr>
              <w:divsChild>
                <w:div w:id="56365920">
                  <w:marLeft w:val="0"/>
                  <w:marRight w:val="0"/>
                  <w:marTop w:val="0"/>
                  <w:marBottom w:val="0"/>
                  <w:divBdr>
                    <w:top w:val="none" w:sz="0" w:space="0" w:color="auto"/>
                    <w:left w:val="none" w:sz="0" w:space="0" w:color="auto"/>
                    <w:bottom w:val="none" w:sz="0" w:space="0" w:color="auto"/>
                    <w:right w:val="none" w:sz="0" w:space="0" w:color="auto"/>
                  </w:divBdr>
                </w:div>
              </w:divsChild>
            </w:div>
            <w:div w:id="1630434622">
              <w:marLeft w:val="0"/>
              <w:marRight w:val="0"/>
              <w:marTop w:val="0"/>
              <w:marBottom w:val="0"/>
              <w:divBdr>
                <w:top w:val="none" w:sz="0" w:space="0" w:color="auto"/>
                <w:left w:val="none" w:sz="0" w:space="0" w:color="auto"/>
                <w:bottom w:val="none" w:sz="0" w:space="0" w:color="auto"/>
                <w:right w:val="none" w:sz="0" w:space="0" w:color="auto"/>
              </w:divBdr>
              <w:divsChild>
                <w:div w:id="305203360">
                  <w:marLeft w:val="0"/>
                  <w:marRight w:val="0"/>
                  <w:marTop w:val="0"/>
                  <w:marBottom w:val="0"/>
                  <w:divBdr>
                    <w:top w:val="none" w:sz="0" w:space="0" w:color="auto"/>
                    <w:left w:val="none" w:sz="0" w:space="0" w:color="auto"/>
                    <w:bottom w:val="none" w:sz="0" w:space="0" w:color="auto"/>
                    <w:right w:val="none" w:sz="0" w:space="0" w:color="auto"/>
                  </w:divBdr>
                </w:div>
              </w:divsChild>
            </w:div>
            <w:div w:id="944730680">
              <w:marLeft w:val="0"/>
              <w:marRight w:val="0"/>
              <w:marTop w:val="0"/>
              <w:marBottom w:val="0"/>
              <w:divBdr>
                <w:top w:val="none" w:sz="0" w:space="0" w:color="auto"/>
                <w:left w:val="none" w:sz="0" w:space="0" w:color="auto"/>
                <w:bottom w:val="none" w:sz="0" w:space="0" w:color="auto"/>
                <w:right w:val="none" w:sz="0" w:space="0" w:color="auto"/>
              </w:divBdr>
              <w:divsChild>
                <w:div w:id="145524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1578">
          <w:marLeft w:val="0"/>
          <w:marRight w:val="0"/>
          <w:marTop w:val="0"/>
          <w:marBottom w:val="0"/>
          <w:divBdr>
            <w:top w:val="none" w:sz="0" w:space="0" w:color="auto"/>
            <w:left w:val="none" w:sz="0" w:space="0" w:color="auto"/>
            <w:bottom w:val="none" w:sz="0" w:space="0" w:color="auto"/>
            <w:right w:val="none" w:sz="0" w:space="0" w:color="auto"/>
          </w:divBdr>
          <w:divsChild>
            <w:div w:id="1511095074">
              <w:marLeft w:val="0"/>
              <w:marRight w:val="0"/>
              <w:marTop w:val="0"/>
              <w:marBottom w:val="0"/>
              <w:divBdr>
                <w:top w:val="none" w:sz="0" w:space="0" w:color="auto"/>
                <w:left w:val="none" w:sz="0" w:space="0" w:color="auto"/>
                <w:bottom w:val="none" w:sz="0" w:space="0" w:color="auto"/>
                <w:right w:val="none" w:sz="0" w:space="0" w:color="auto"/>
              </w:divBdr>
              <w:divsChild>
                <w:div w:id="104517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3128">
          <w:marLeft w:val="0"/>
          <w:marRight w:val="0"/>
          <w:marTop w:val="0"/>
          <w:marBottom w:val="0"/>
          <w:divBdr>
            <w:top w:val="none" w:sz="0" w:space="0" w:color="auto"/>
            <w:left w:val="none" w:sz="0" w:space="0" w:color="auto"/>
            <w:bottom w:val="none" w:sz="0" w:space="0" w:color="auto"/>
            <w:right w:val="none" w:sz="0" w:space="0" w:color="auto"/>
          </w:divBdr>
          <w:divsChild>
            <w:div w:id="1077627897">
              <w:marLeft w:val="0"/>
              <w:marRight w:val="0"/>
              <w:marTop w:val="0"/>
              <w:marBottom w:val="0"/>
              <w:divBdr>
                <w:top w:val="none" w:sz="0" w:space="0" w:color="auto"/>
                <w:left w:val="none" w:sz="0" w:space="0" w:color="auto"/>
                <w:bottom w:val="none" w:sz="0" w:space="0" w:color="auto"/>
                <w:right w:val="none" w:sz="0" w:space="0" w:color="auto"/>
              </w:divBdr>
              <w:divsChild>
                <w:div w:id="261574463">
                  <w:marLeft w:val="0"/>
                  <w:marRight w:val="0"/>
                  <w:marTop w:val="0"/>
                  <w:marBottom w:val="0"/>
                  <w:divBdr>
                    <w:top w:val="none" w:sz="0" w:space="0" w:color="auto"/>
                    <w:left w:val="none" w:sz="0" w:space="0" w:color="auto"/>
                    <w:bottom w:val="none" w:sz="0" w:space="0" w:color="auto"/>
                    <w:right w:val="none" w:sz="0" w:space="0" w:color="auto"/>
                  </w:divBdr>
                </w:div>
              </w:divsChild>
            </w:div>
            <w:div w:id="486093858">
              <w:marLeft w:val="0"/>
              <w:marRight w:val="0"/>
              <w:marTop w:val="0"/>
              <w:marBottom w:val="0"/>
              <w:divBdr>
                <w:top w:val="none" w:sz="0" w:space="0" w:color="auto"/>
                <w:left w:val="none" w:sz="0" w:space="0" w:color="auto"/>
                <w:bottom w:val="none" w:sz="0" w:space="0" w:color="auto"/>
                <w:right w:val="none" w:sz="0" w:space="0" w:color="auto"/>
              </w:divBdr>
              <w:divsChild>
                <w:div w:id="656305180">
                  <w:marLeft w:val="0"/>
                  <w:marRight w:val="0"/>
                  <w:marTop w:val="0"/>
                  <w:marBottom w:val="0"/>
                  <w:divBdr>
                    <w:top w:val="none" w:sz="0" w:space="0" w:color="auto"/>
                    <w:left w:val="none" w:sz="0" w:space="0" w:color="auto"/>
                    <w:bottom w:val="none" w:sz="0" w:space="0" w:color="auto"/>
                    <w:right w:val="none" w:sz="0" w:space="0" w:color="auto"/>
                  </w:divBdr>
                </w:div>
              </w:divsChild>
            </w:div>
            <w:div w:id="211969420">
              <w:marLeft w:val="0"/>
              <w:marRight w:val="0"/>
              <w:marTop w:val="0"/>
              <w:marBottom w:val="0"/>
              <w:divBdr>
                <w:top w:val="none" w:sz="0" w:space="0" w:color="auto"/>
                <w:left w:val="none" w:sz="0" w:space="0" w:color="auto"/>
                <w:bottom w:val="none" w:sz="0" w:space="0" w:color="auto"/>
                <w:right w:val="none" w:sz="0" w:space="0" w:color="auto"/>
              </w:divBdr>
              <w:divsChild>
                <w:div w:id="355928098">
                  <w:marLeft w:val="0"/>
                  <w:marRight w:val="0"/>
                  <w:marTop w:val="0"/>
                  <w:marBottom w:val="0"/>
                  <w:divBdr>
                    <w:top w:val="none" w:sz="0" w:space="0" w:color="auto"/>
                    <w:left w:val="none" w:sz="0" w:space="0" w:color="auto"/>
                    <w:bottom w:val="none" w:sz="0" w:space="0" w:color="auto"/>
                    <w:right w:val="none" w:sz="0" w:space="0" w:color="auto"/>
                  </w:divBdr>
                </w:div>
                <w:div w:id="402334589">
                  <w:marLeft w:val="0"/>
                  <w:marRight w:val="0"/>
                  <w:marTop w:val="0"/>
                  <w:marBottom w:val="0"/>
                  <w:divBdr>
                    <w:top w:val="none" w:sz="0" w:space="0" w:color="auto"/>
                    <w:left w:val="none" w:sz="0" w:space="0" w:color="auto"/>
                    <w:bottom w:val="none" w:sz="0" w:space="0" w:color="auto"/>
                    <w:right w:val="none" w:sz="0" w:space="0" w:color="auto"/>
                  </w:divBdr>
                </w:div>
              </w:divsChild>
            </w:div>
            <w:div w:id="254289169">
              <w:marLeft w:val="0"/>
              <w:marRight w:val="0"/>
              <w:marTop w:val="0"/>
              <w:marBottom w:val="0"/>
              <w:divBdr>
                <w:top w:val="none" w:sz="0" w:space="0" w:color="auto"/>
                <w:left w:val="none" w:sz="0" w:space="0" w:color="auto"/>
                <w:bottom w:val="none" w:sz="0" w:space="0" w:color="auto"/>
                <w:right w:val="none" w:sz="0" w:space="0" w:color="auto"/>
              </w:divBdr>
              <w:divsChild>
                <w:div w:id="1585532050">
                  <w:marLeft w:val="0"/>
                  <w:marRight w:val="0"/>
                  <w:marTop w:val="0"/>
                  <w:marBottom w:val="0"/>
                  <w:divBdr>
                    <w:top w:val="none" w:sz="0" w:space="0" w:color="auto"/>
                    <w:left w:val="none" w:sz="0" w:space="0" w:color="auto"/>
                    <w:bottom w:val="none" w:sz="0" w:space="0" w:color="auto"/>
                    <w:right w:val="none" w:sz="0" w:space="0" w:color="auto"/>
                  </w:divBdr>
                </w:div>
              </w:divsChild>
            </w:div>
            <w:div w:id="1909684739">
              <w:marLeft w:val="0"/>
              <w:marRight w:val="0"/>
              <w:marTop w:val="0"/>
              <w:marBottom w:val="0"/>
              <w:divBdr>
                <w:top w:val="none" w:sz="0" w:space="0" w:color="auto"/>
                <w:left w:val="none" w:sz="0" w:space="0" w:color="auto"/>
                <w:bottom w:val="none" w:sz="0" w:space="0" w:color="auto"/>
                <w:right w:val="none" w:sz="0" w:space="0" w:color="auto"/>
              </w:divBdr>
              <w:divsChild>
                <w:div w:id="55929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94524">
          <w:marLeft w:val="0"/>
          <w:marRight w:val="0"/>
          <w:marTop w:val="0"/>
          <w:marBottom w:val="0"/>
          <w:divBdr>
            <w:top w:val="none" w:sz="0" w:space="0" w:color="auto"/>
            <w:left w:val="none" w:sz="0" w:space="0" w:color="auto"/>
            <w:bottom w:val="none" w:sz="0" w:space="0" w:color="auto"/>
            <w:right w:val="none" w:sz="0" w:space="0" w:color="auto"/>
          </w:divBdr>
          <w:divsChild>
            <w:div w:id="2040398991">
              <w:marLeft w:val="0"/>
              <w:marRight w:val="0"/>
              <w:marTop w:val="0"/>
              <w:marBottom w:val="0"/>
              <w:divBdr>
                <w:top w:val="none" w:sz="0" w:space="0" w:color="auto"/>
                <w:left w:val="none" w:sz="0" w:space="0" w:color="auto"/>
                <w:bottom w:val="none" w:sz="0" w:space="0" w:color="auto"/>
                <w:right w:val="none" w:sz="0" w:space="0" w:color="auto"/>
              </w:divBdr>
              <w:divsChild>
                <w:div w:id="153182772">
                  <w:marLeft w:val="0"/>
                  <w:marRight w:val="0"/>
                  <w:marTop w:val="0"/>
                  <w:marBottom w:val="0"/>
                  <w:divBdr>
                    <w:top w:val="none" w:sz="0" w:space="0" w:color="auto"/>
                    <w:left w:val="none" w:sz="0" w:space="0" w:color="auto"/>
                    <w:bottom w:val="none" w:sz="0" w:space="0" w:color="auto"/>
                    <w:right w:val="none" w:sz="0" w:space="0" w:color="auto"/>
                  </w:divBdr>
                </w:div>
              </w:divsChild>
            </w:div>
            <w:div w:id="1649047788">
              <w:marLeft w:val="0"/>
              <w:marRight w:val="0"/>
              <w:marTop w:val="0"/>
              <w:marBottom w:val="0"/>
              <w:divBdr>
                <w:top w:val="none" w:sz="0" w:space="0" w:color="auto"/>
                <w:left w:val="none" w:sz="0" w:space="0" w:color="auto"/>
                <w:bottom w:val="none" w:sz="0" w:space="0" w:color="auto"/>
                <w:right w:val="none" w:sz="0" w:space="0" w:color="auto"/>
              </w:divBdr>
              <w:divsChild>
                <w:div w:id="148577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010964">
          <w:marLeft w:val="0"/>
          <w:marRight w:val="0"/>
          <w:marTop w:val="0"/>
          <w:marBottom w:val="0"/>
          <w:divBdr>
            <w:top w:val="none" w:sz="0" w:space="0" w:color="auto"/>
            <w:left w:val="none" w:sz="0" w:space="0" w:color="auto"/>
            <w:bottom w:val="none" w:sz="0" w:space="0" w:color="auto"/>
            <w:right w:val="none" w:sz="0" w:space="0" w:color="auto"/>
          </w:divBdr>
          <w:divsChild>
            <w:div w:id="2035810672">
              <w:marLeft w:val="0"/>
              <w:marRight w:val="0"/>
              <w:marTop w:val="0"/>
              <w:marBottom w:val="0"/>
              <w:divBdr>
                <w:top w:val="none" w:sz="0" w:space="0" w:color="auto"/>
                <w:left w:val="none" w:sz="0" w:space="0" w:color="auto"/>
                <w:bottom w:val="none" w:sz="0" w:space="0" w:color="auto"/>
                <w:right w:val="none" w:sz="0" w:space="0" w:color="auto"/>
              </w:divBdr>
              <w:divsChild>
                <w:div w:id="1039353847">
                  <w:marLeft w:val="0"/>
                  <w:marRight w:val="0"/>
                  <w:marTop w:val="0"/>
                  <w:marBottom w:val="0"/>
                  <w:divBdr>
                    <w:top w:val="none" w:sz="0" w:space="0" w:color="auto"/>
                    <w:left w:val="none" w:sz="0" w:space="0" w:color="auto"/>
                    <w:bottom w:val="none" w:sz="0" w:space="0" w:color="auto"/>
                    <w:right w:val="none" w:sz="0" w:space="0" w:color="auto"/>
                  </w:divBdr>
                </w:div>
              </w:divsChild>
            </w:div>
            <w:div w:id="986783876">
              <w:marLeft w:val="0"/>
              <w:marRight w:val="0"/>
              <w:marTop w:val="0"/>
              <w:marBottom w:val="0"/>
              <w:divBdr>
                <w:top w:val="none" w:sz="0" w:space="0" w:color="auto"/>
                <w:left w:val="none" w:sz="0" w:space="0" w:color="auto"/>
                <w:bottom w:val="none" w:sz="0" w:space="0" w:color="auto"/>
                <w:right w:val="none" w:sz="0" w:space="0" w:color="auto"/>
              </w:divBdr>
              <w:divsChild>
                <w:div w:id="7188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0176">
          <w:marLeft w:val="0"/>
          <w:marRight w:val="0"/>
          <w:marTop w:val="0"/>
          <w:marBottom w:val="0"/>
          <w:divBdr>
            <w:top w:val="none" w:sz="0" w:space="0" w:color="auto"/>
            <w:left w:val="none" w:sz="0" w:space="0" w:color="auto"/>
            <w:bottom w:val="none" w:sz="0" w:space="0" w:color="auto"/>
            <w:right w:val="none" w:sz="0" w:space="0" w:color="auto"/>
          </w:divBdr>
          <w:divsChild>
            <w:div w:id="1436826295">
              <w:marLeft w:val="0"/>
              <w:marRight w:val="0"/>
              <w:marTop w:val="0"/>
              <w:marBottom w:val="0"/>
              <w:divBdr>
                <w:top w:val="none" w:sz="0" w:space="0" w:color="auto"/>
                <w:left w:val="none" w:sz="0" w:space="0" w:color="auto"/>
                <w:bottom w:val="none" w:sz="0" w:space="0" w:color="auto"/>
                <w:right w:val="none" w:sz="0" w:space="0" w:color="auto"/>
              </w:divBdr>
              <w:divsChild>
                <w:div w:id="829254662">
                  <w:marLeft w:val="0"/>
                  <w:marRight w:val="0"/>
                  <w:marTop w:val="0"/>
                  <w:marBottom w:val="0"/>
                  <w:divBdr>
                    <w:top w:val="none" w:sz="0" w:space="0" w:color="auto"/>
                    <w:left w:val="none" w:sz="0" w:space="0" w:color="auto"/>
                    <w:bottom w:val="none" w:sz="0" w:space="0" w:color="auto"/>
                    <w:right w:val="none" w:sz="0" w:space="0" w:color="auto"/>
                  </w:divBdr>
                </w:div>
              </w:divsChild>
            </w:div>
            <w:div w:id="238175725">
              <w:marLeft w:val="0"/>
              <w:marRight w:val="0"/>
              <w:marTop w:val="0"/>
              <w:marBottom w:val="0"/>
              <w:divBdr>
                <w:top w:val="none" w:sz="0" w:space="0" w:color="auto"/>
                <w:left w:val="none" w:sz="0" w:space="0" w:color="auto"/>
                <w:bottom w:val="none" w:sz="0" w:space="0" w:color="auto"/>
                <w:right w:val="none" w:sz="0" w:space="0" w:color="auto"/>
              </w:divBdr>
              <w:divsChild>
                <w:div w:id="22237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16001">
          <w:marLeft w:val="0"/>
          <w:marRight w:val="0"/>
          <w:marTop w:val="0"/>
          <w:marBottom w:val="0"/>
          <w:divBdr>
            <w:top w:val="none" w:sz="0" w:space="0" w:color="auto"/>
            <w:left w:val="none" w:sz="0" w:space="0" w:color="auto"/>
            <w:bottom w:val="none" w:sz="0" w:space="0" w:color="auto"/>
            <w:right w:val="none" w:sz="0" w:space="0" w:color="auto"/>
          </w:divBdr>
          <w:divsChild>
            <w:div w:id="1349990899">
              <w:marLeft w:val="0"/>
              <w:marRight w:val="0"/>
              <w:marTop w:val="0"/>
              <w:marBottom w:val="0"/>
              <w:divBdr>
                <w:top w:val="none" w:sz="0" w:space="0" w:color="auto"/>
                <w:left w:val="none" w:sz="0" w:space="0" w:color="auto"/>
                <w:bottom w:val="none" w:sz="0" w:space="0" w:color="auto"/>
                <w:right w:val="none" w:sz="0" w:space="0" w:color="auto"/>
              </w:divBdr>
              <w:divsChild>
                <w:div w:id="20357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944820">
      <w:bodyDiv w:val="1"/>
      <w:marLeft w:val="0"/>
      <w:marRight w:val="0"/>
      <w:marTop w:val="0"/>
      <w:marBottom w:val="0"/>
      <w:divBdr>
        <w:top w:val="none" w:sz="0" w:space="0" w:color="auto"/>
        <w:left w:val="none" w:sz="0" w:space="0" w:color="auto"/>
        <w:bottom w:val="none" w:sz="0" w:space="0" w:color="auto"/>
        <w:right w:val="none" w:sz="0" w:space="0" w:color="auto"/>
      </w:divBdr>
      <w:divsChild>
        <w:div w:id="1907105000">
          <w:marLeft w:val="0"/>
          <w:marRight w:val="0"/>
          <w:marTop w:val="0"/>
          <w:marBottom w:val="0"/>
          <w:divBdr>
            <w:top w:val="none" w:sz="0" w:space="0" w:color="auto"/>
            <w:left w:val="none" w:sz="0" w:space="0" w:color="auto"/>
            <w:bottom w:val="none" w:sz="0" w:space="0" w:color="auto"/>
            <w:right w:val="none" w:sz="0" w:space="0" w:color="auto"/>
          </w:divBdr>
          <w:divsChild>
            <w:div w:id="148523650">
              <w:marLeft w:val="0"/>
              <w:marRight w:val="0"/>
              <w:marTop w:val="0"/>
              <w:marBottom w:val="0"/>
              <w:divBdr>
                <w:top w:val="none" w:sz="0" w:space="0" w:color="auto"/>
                <w:left w:val="none" w:sz="0" w:space="0" w:color="auto"/>
                <w:bottom w:val="none" w:sz="0" w:space="0" w:color="auto"/>
                <w:right w:val="none" w:sz="0" w:space="0" w:color="auto"/>
              </w:divBdr>
              <w:divsChild>
                <w:div w:id="26577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403258">
      <w:bodyDiv w:val="1"/>
      <w:marLeft w:val="0"/>
      <w:marRight w:val="0"/>
      <w:marTop w:val="0"/>
      <w:marBottom w:val="0"/>
      <w:divBdr>
        <w:top w:val="none" w:sz="0" w:space="0" w:color="auto"/>
        <w:left w:val="none" w:sz="0" w:space="0" w:color="auto"/>
        <w:bottom w:val="none" w:sz="0" w:space="0" w:color="auto"/>
        <w:right w:val="none" w:sz="0" w:space="0" w:color="auto"/>
      </w:divBdr>
      <w:divsChild>
        <w:div w:id="732195921">
          <w:marLeft w:val="0"/>
          <w:marRight w:val="0"/>
          <w:marTop w:val="0"/>
          <w:marBottom w:val="0"/>
          <w:divBdr>
            <w:top w:val="none" w:sz="0" w:space="0" w:color="auto"/>
            <w:left w:val="none" w:sz="0" w:space="0" w:color="auto"/>
            <w:bottom w:val="none" w:sz="0" w:space="0" w:color="auto"/>
            <w:right w:val="none" w:sz="0" w:space="0" w:color="auto"/>
          </w:divBdr>
          <w:divsChild>
            <w:div w:id="665205899">
              <w:marLeft w:val="0"/>
              <w:marRight w:val="0"/>
              <w:marTop w:val="0"/>
              <w:marBottom w:val="0"/>
              <w:divBdr>
                <w:top w:val="none" w:sz="0" w:space="0" w:color="auto"/>
                <w:left w:val="none" w:sz="0" w:space="0" w:color="auto"/>
                <w:bottom w:val="none" w:sz="0" w:space="0" w:color="auto"/>
                <w:right w:val="none" w:sz="0" w:space="0" w:color="auto"/>
              </w:divBdr>
              <w:divsChild>
                <w:div w:id="1399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744890">
      <w:bodyDiv w:val="1"/>
      <w:marLeft w:val="0"/>
      <w:marRight w:val="0"/>
      <w:marTop w:val="0"/>
      <w:marBottom w:val="0"/>
      <w:divBdr>
        <w:top w:val="none" w:sz="0" w:space="0" w:color="auto"/>
        <w:left w:val="none" w:sz="0" w:space="0" w:color="auto"/>
        <w:bottom w:val="none" w:sz="0" w:space="0" w:color="auto"/>
        <w:right w:val="none" w:sz="0" w:space="0" w:color="auto"/>
      </w:divBdr>
      <w:divsChild>
        <w:div w:id="960038166">
          <w:marLeft w:val="0"/>
          <w:marRight w:val="0"/>
          <w:marTop w:val="0"/>
          <w:marBottom w:val="0"/>
          <w:divBdr>
            <w:top w:val="none" w:sz="0" w:space="0" w:color="auto"/>
            <w:left w:val="none" w:sz="0" w:space="0" w:color="auto"/>
            <w:bottom w:val="none" w:sz="0" w:space="0" w:color="auto"/>
            <w:right w:val="none" w:sz="0" w:space="0" w:color="auto"/>
          </w:divBdr>
          <w:divsChild>
            <w:div w:id="1029142081">
              <w:marLeft w:val="0"/>
              <w:marRight w:val="0"/>
              <w:marTop w:val="0"/>
              <w:marBottom w:val="0"/>
              <w:divBdr>
                <w:top w:val="none" w:sz="0" w:space="0" w:color="auto"/>
                <w:left w:val="none" w:sz="0" w:space="0" w:color="auto"/>
                <w:bottom w:val="none" w:sz="0" w:space="0" w:color="auto"/>
                <w:right w:val="none" w:sz="0" w:space="0" w:color="auto"/>
              </w:divBdr>
              <w:divsChild>
                <w:div w:id="204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336951">
      <w:bodyDiv w:val="1"/>
      <w:marLeft w:val="0"/>
      <w:marRight w:val="0"/>
      <w:marTop w:val="0"/>
      <w:marBottom w:val="0"/>
      <w:divBdr>
        <w:top w:val="none" w:sz="0" w:space="0" w:color="auto"/>
        <w:left w:val="none" w:sz="0" w:space="0" w:color="auto"/>
        <w:bottom w:val="none" w:sz="0" w:space="0" w:color="auto"/>
        <w:right w:val="none" w:sz="0" w:space="0" w:color="auto"/>
      </w:divBdr>
      <w:divsChild>
        <w:div w:id="527643092">
          <w:marLeft w:val="0"/>
          <w:marRight w:val="0"/>
          <w:marTop w:val="0"/>
          <w:marBottom w:val="0"/>
          <w:divBdr>
            <w:top w:val="none" w:sz="0" w:space="0" w:color="auto"/>
            <w:left w:val="none" w:sz="0" w:space="0" w:color="auto"/>
            <w:bottom w:val="none" w:sz="0" w:space="0" w:color="auto"/>
            <w:right w:val="none" w:sz="0" w:space="0" w:color="auto"/>
          </w:divBdr>
          <w:divsChild>
            <w:div w:id="268632769">
              <w:marLeft w:val="0"/>
              <w:marRight w:val="0"/>
              <w:marTop w:val="0"/>
              <w:marBottom w:val="0"/>
              <w:divBdr>
                <w:top w:val="none" w:sz="0" w:space="0" w:color="auto"/>
                <w:left w:val="none" w:sz="0" w:space="0" w:color="auto"/>
                <w:bottom w:val="none" w:sz="0" w:space="0" w:color="auto"/>
                <w:right w:val="none" w:sz="0" w:space="0" w:color="auto"/>
              </w:divBdr>
              <w:divsChild>
                <w:div w:id="10174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620782">
      <w:bodyDiv w:val="1"/>
      <w:marLeft w:val="0"/>
      <w:marRight w:val="0"/>
      <w:marTop w:val="0"/>
      <w:marBottom w:val="0"/>
      <w:divBdr>
        <w:top w:val="none" w:sz="0" w:space="0" w:color="auto"/>
        <w:left w:val="none" w:sz="0" w:space="0" w:color="auto"/>
        <w:bottom w:val="none" w:sz="0" w:space="0" w:color="auto"/>
        <w:right w:val="none" w:sz="0" w:space="0" w:color="auto"/>
      </w:divBdr>
      <w:divsChild>
        <w:div w:id="726957052">
          <w:marLeft w:val="0"/>
          <w:marRight w:val="0"/>
          <w:marTop w:val="0"/>
          <w:marBottom w:val="0"/>
          <w:divBdr>
            <w:top w:val="none" w:sz="0" w:space="0" w:color="auto"/>
            <w:left w:val="none" w:sz="0" w:space="0" w:color="auto"/>
            <w:bottom w:val="none" w:sz="0" w:space="0" w:color="auto"/>
            <w:right w:val="none" w:sz="0" w:space="0" w:color="auto"/>
          </w:divBdr>
          <w:divsChild>
            <w:div w:id="767962606">
              <w:marLeft w:val="0"/>
              <w:marRight w:val="0"/>
              <w:marTop w:val="0"/>
              <w:marBottom w:val="0"/>
              <w:divBdr>
                <w:top w:val="none" w:sz="0" w:space="0" w:color="auto"/>
                <w:left w:val="none" w:sz="0" w:space="0" w:color="auto"/>
                <w:bottom w:val="none" w:sz="0" w:space="0" w:color="auto"/>
                <w:right w:val="none" w:sz="0" w:space="0" w:color="auto"/>
              </w:divBdr>
              <w:divsChild>
                <w:div w:id="211636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256281">
      <w:bodyDiv w:val="1"/>
      <w:marLeft w:val="0"/>
      <w:marRight w:val="0"/>
      <w:marTop w:val="0"/>
      <w:marBottom w:val="0"/>
      <w:divBdr>
        <w:top w:val="none" w:sz="0" w:space="0" w:color="auto"/>
        <w:left w:val="none" w:sz="0" w:space="0" w:color="auto"/>
        <w:bottom w:val="none" w:sz="0" w:space="0" w:color="auto"/>
        <w:right w:val="none" w:sz="0" w:space="0" w:color="auto"/>
      </w:divBdr>
      <w:divsChild>
        <w:div w:id="753623841">
          <w:marLeft w:val="0"/>
          <w:marRight w:val="0"/>
          <w:marTop w:val="0"/>
          <w:marBottom w:val="0"/>
          <w:divBdr>
            <w:top w:val="none" w:sz="0" w:space="0" w:color="auto"/>
            <w:left w:val="none" w:sz="0" w:space="0" w:color="auto"/>
            <w:bottom w:val="none" w:sz="0" w:space="0" w:color="auto"/>
            <w:right w:val="none" w:sz="0" w:space="0" w:color="auto"/>
          </w:divBdr>
          <w:divsChild>
            <w:div w:id="1109928117">
              <w:marLeft w:val="0"/>
              <w:marRight w:val="0"/>
              <w:marTop w:val="0"/>
              <w:marBottom w:val="0"/>
              <w:divBdr>
                <w:top w:val="none" w:sz="0" w:space="0" w:color="auto"/>
                <w:left w:val="none" w:sz="0" w:space="0" w:color="auto"/>
                <w:bottom w:val="none" w:sz="0" w:space="0" w:color="auto"/>
                <w:right w:val="none" w:sz="0" w:space="0" w:color="auto"/>
              </w:divBdr>
              <w:divsChild>
                <w:div w:id="72174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731159">
      <w:bodyDiv w:val="1"/>
      <w:marLeft w:val="0"/>
      <w:marRight w:val="0"/>
      <w:marTop w:val="0"/>
      <w:marBottom w:val="0"/>
      <w:divBdr>
        <w:top w:val="none" w:sz="0" w:space="0" w:color="auto"/>
        <w:left w:val="none" w:sz="0" w:space="0" w:color="auto"/>
        <w:bottom w:val="none" w:sz="0" w:space="0" w:color="auto"/>
        <w:right w:val="none" w:sz="0" w:space="0" w:color="auto"/>
      </w:divBdr>
      <w:divsChild>
        <w:div w:id="204949563">
          <w:marLeft w:val="0"/>
          <w:marRight w:val="0"/>
          <w:marTop w:val="0"/>
          <w:marBottom w:val="0"/>
          <w:divBdr>
            <w:top w:val="none" w:sz="0" w:space="0" w:color="auto"/>
            <w:left w:val="none" w:sz="0" w:space="0" w:color="auto"/>
            <w:bottom w:val="none" w:sz="0" w:space="0" w:color="auto"/>
            <w:right w:val="none" w:sz="0" w:space="0" w:color="auto"/>
          </w:divBdr>
          <w:divsChild>
            <w:div w:id="1460688649">
              <w:marLeft w:val="0"/>
              <w:marRight w:val="0"/>
              <w:marTop w:val="0"/>
              <w:marBottom w:val="0"/>
              <w:divBdr>
                <w:top w:val="none" w:sz="0" w:space="0" w:color="auto"/>
                <w:left w:val="none" w:sz="0" w:space="0" w:color="auto"/>
                <w:bottom w:val="none" w:sz="0" w:space="0" w:color="auto"/>
                <w:right w:val="none" w:sz="0" w:space="0" w:color="auto"/>
              </w:divBdr>
              <w:divsChild>
                <w:div w:id="2145658124">
                  <w:marLeft w:val="0"/>
                  <w:marRight w:val="0"/>
                  <w:marTop w:val="0"/>
                  <w:marBottom w:val="0"/>
                  <w:divBdr>
                    <w:top w:val="none" w:sz="0" w:space="0" w:color="auto"/>
                    <w:left w:val="none" w:sz="0" w:space="0" w:color="auto"/>
                    <w:bottom w:val="none" w:sz="0" w:space="0" w:color="auto"/>
                    <w:right w:val="none" w:sz="0" w:space="0" w:color="auto"/>
                  </w:divBdr>
                  <w:divsChild>
                    <w:div w:id="100455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652386">
      <w:bodyDiv w:val="1"/>
      <w:marLeft w:val="0"/>
      <w:marRight w:val="0"/>
      <w:marTop w:val="0"/>
      <w:marBottom w:val="0"/>
      <w:divBdr>
        <w:top w:val="none" w:sz="0" w:space="0" w:color="auto"/>
        <w:left w:val="none" w:sz="0" w:space="0" w:color="auto"/>
        <w:bottom w:val="none" w:sz="0" w:space="0" w:color="auto"/>
        <w:right w:val="none" w:sz="0" w:space="0" w:color="auto"/>
      </w:divBdr>
      <w:divsChild>
        <w:div w:id="483474520">
          <w:marLeft w:val="0"/>
          <w:marRight w:val="0"/>
          <w:marTop w:val="0"/>
          <w:marBottom w:val="0"/>
          <w:divBdr>
            <w:top w:val="none" w:sz="0" w:space="0" w:color="auto"/>
            <w:left w:val="none" w:sz="0" w:space="0" w:color="auto"/>
            <w:bottom w:val="none" w:sz="0" w:space="0" w:color="auto"/>
            <w:right w:val="none" w:sz="0" w:space="0" w:color="auto"/>
          </w:divBdr>
          <w:divsChild>
            <w:div w:id="1815758407">
              <w:marLeft w:val="0"/>
              <w:marRight w:val="0"/>
              <w:marTop w:val="0"/>
              <w:marBottom w:val="0"/>
              <w:divBdr>
                <w:top w:val="none" w:sz="0" w:space="0" w:color="auto"/>
                <w:left w:val="none" w:sz="0" w:space="0" w:color="auto"/>
                <w:bottom w:val="none" w:sz="0" w:space="0" w:color="auto"/>
                <w:right w:val="none" w:sz="0" w:space="0" w:color="auto"/>
              </w:divBdr>
              <w:divsChild>
                <w:div w:id="20566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935">
      <w:bodyDiv w:val="1"/>
      <w:marLeft w:val="0"/>
      <w:marRight w:val="0"/>
      <w:marTop w:val="0"/>
      <w:marBottom w:val="0"/>
      <w:divBdr>
        <w:top w:val="none" w:sz="0" w:space="0" w:color="auto"/>
        <w:left w:val="none" w:sz="0" w:space="0" w:color="auto"/>
        <w:bottom w:val="none" w:sz="0" w:space="0" w:color="auto"/>
        <w:right w:val="none" w:sz="0" w:space="0" w:color="auto"/>
      </w:divBdr>
      <w:divsChild>
        <w:div w:id="729037595">
          <w:marLeft w:val="0"/>
          <w:marRight w:val="0"/>
          <w:marTop w:val="0"/>
          <w:marBottom w:val="0"/>
          <w:divBdr>
            <w:top w:val="none" w:sz="0" w:space="0" w:color="auto"/>
            <w:left w:val="none" w:sz="0" w:space="0" w:color="auto"/>
            <w:bottom w:val="none" w:sz="0" w:space="0" w:color="auto"/>
            <w:right w:val="none" w:sz="0" w:space="0" w:color="auto"/>
          </w:divBdr>
          <w:divsChild>
            <w:div w:id="1869021382">
              <w:marLeft w:val="0"/>
              <w:marRight w:val="0"/>
              <w:marTop w:val="0"/>
              <w:marBottom w:val="0"/>
              <w:divBdr>
                <w:top w:val="none" w:sz="0" w:space="0" w:color="auto"/>
                <w:left w:val="none" w:sz="0" w:space="0" w:color="auto"/>
                <w:bottom w:val="none" w:sz="0" w:space="0" w:color="auto"/>
                <w:right w:val="none" w:sz="0" w:space="0" w:color="auto"/>
              </w:divBdr>
              <w:divsChild>
                <w:div w:id="11309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573489">
      <w:bodyDiv w:val="1"/>
      <w:marLeft w:val="0"/>
      <w:marRight w:val="0"/>
      <w:marTop w:val="0"/>
      <w:marBottom w:val="0"/>
      <w:divBdr>
        <w:top w:val="none" w:sz="0" w:space="0" w:color="auto"/>
        <w:left w:val="none" w:sz="0" w:space="0" w:color="auto"/>
        <w:bottom w:val="none" w:sz="0" w:space="0" w:color="auto"/>
        <w:right w:val="none" w:sz="0" w:space="0" w:color="auto"/>
      </w:divBdr>
      <w:divsChild>
        <w:div w:id="1372342451">
          <w:marLeft w:val="0"/>
          <w:marRight w:val="0"/>
          <w:marTop w:val="0"/>
          <w:marBottom w:val="0"/>
          <w:divBdr>
            <w:top w:val="none" w:sz="0" w:space="0" w:color="auto"/>
            <w:left w:val="none" w:sz="0" w:space="0" w:color="auto"/>
            <w:bottom w:val="none" w:sz="0" w:space="0" w:color="auto"/>
            <w:right w:val="none" w:sz="0" w:space="0" w:color="auto"/>
          </w:divBdr>
          <w:divsChild>
            <w:div w:id="982127009">
              <w:marLeft w:val="0"/>
              <w:marRight w:val="0"/>
              <w:marTop w:val="0"/>
              <w:marBottom w:val="0"/>
              <w:divBdr>
                <w:top w:val="none" w:sz="0" w:space="0" w:color="auto"/>
                <w:left w:val="none" w:sz="0" w:space="0" w:color="auto"/>
                <w:bottom w:val="none" w:sz="0" w:space="0" w:color="auto"/>
                <w:right w:val="none" w:sz="0" w:space="0" w:color="auto"/>
              </w:divBdr>
              <w:divsChild>
                <w:div w:id="1749231920">
                  <w:marLeft w:val="0"/>
                  <w:marRight w:val="0"/>
                  <w:marTop w:val="0"/>
                  <w:marBottom w:val="0"/>
                  <w:divBdr>
                    <w:top w:val="none" w:sz="0" w:space="0" w:color="auto"/>
                    <w:left w:val="none" w:sz="0" w:space="0" w:color="auto"/>
                    <w:bottom w:val="none" w:sz="0" w:space="0" w:color="auto"/>
                    <w:right w:val="none" w:sz="0" w:space="0" w:color="auto"/>
                  </w:divBdr>
                  <w:divsChild>
                    <w:div w:id="94380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003622">
      <w:bodyDiv w:val="1"/>
      <w:marLeft w:val="0"/>
      <w:marRight w:val="0"/>
      <w:marTop w:val="0"/>
      <w:marBottom w:val="0"/>
      <w:divBdr>
        <w:top w:val="none" w:sz="0" w:space="0" w:color="auto"/>
        <w:left w:val="none" w:sz="0" w:space="0" w:color="auto"/>
        <w:bottom w:val="none" w:sz="0" w:space="0" w:color="auto"/>
        <w:right w:val="none" w:sz="0" w:space="0" w:color="auto"/>
      </w:divBdr>
      <w:divsChild>
        <w:div w:id="2127042272">
          <w:marLeft w:val="0"/>
          <w:marRight w:val="0"/>
          <w:marTop w:val="0"/>
          <w:marBottom w:val="0"/>
          <w:divBdr>
            <w:top w:val="none" w:sz="0" w:space="0" w:color="auto"/>
            <w:left w:val="none" w:sz="0" w:space="0" w:color="auto"/>
            <w:bottom w:val="none" w:sz="0" w:space="0" w:color="auto"/>
            <w:right w:val="none" w:sz="0" w:space="0" w:color="auto"/>
          </w:divBdr>
          <w:divsChild>
            <w:div w:id="1165822536">
              <w:marLeft w:val="0"/>
              <w:marRight w:val="0"/>
              <w:marTop w:val="0"/>
              <w:marBottom w:val="0"/>
              <w:divBdr>
                <w:top w:val="none" w:sz="0" w:space="0" w:color="auto"/>
                <w:left w:val="none" w:sz="0" w:space="0" w:color="auto"/>
                <w:bottom w:val="none" w:sz="0" w:space="0" w:color="auto"/>
                <w:right w:val="none" w:sz="0" w:space="0" w:color="auto"/>
              </w:divBdr>
              <w:divsChild>
                <w:div w:id="124676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887355">
      <w:bodyDiv w:val="1"/>
      <w:marLeft w:val="0"/>
      <w:marRight w:val="0"/>
      <w:marTop w:val="0"/>
      <w:marBottom w:val="0"/>
      <w:divBdr>
        <w:top w:val="none" w:sz="0" w:space="0" w:color="auto"/>
        <w:left w:val="none" w:sz="0" w:space="0" w:color="auto"/>
        <w:bottom w:val="none" w:sz="0" w:space="0" w:color="auto"/>
        <w:right w:val="none" w:sz="0" w:space="0" w:color="auto"/>
      </w:divBdr>
    </w:div>
    <w:div w:id="787162882">
      <w:bodyDiv w:val="1"/>
      <w:marLeft w:val="0"/>
      <w:marRight w:val="0"/>
      <w:marTop w:val="0"/>
      <w:marBottom w:val="0"/>
      <w:divBdr>
        <w:top w:val="none" w:sz="0" w:space="0" w:color="auto"/>
        <w:left w:val="none" w:sz="0" w:space="0" w:color="auto"/>
        <w:bottom w:val="none" w:sz="0" w:space="0" w:color="auto"/>
        <w:right w:val="none" w:sz="0" w:space="0" w:color="auto"/>
      </w:divBdr>
      <w:divsChild>
        <w:div w:id="160045723">
          <w:marLeft w:val="0"/>
          <w:marRight w:val="0"/>
          <w:marTop w:val="0"/>
          <w:marBottom w:val="0"/>
          <w:divBdr>
            <w:top w:val="none" w:sz="0" w:space="0" w:color="auto"/>
            <w:left w:val="none" w:sz="0" w:space="0" w:color="auto"/>
            <w:bottom w:val="none" w:sz="0" w:space="0" w:color="auto"/>
            <w:right w:val="none" w:sz="0" w:space="0" w:color="auto"/>
          </w:divBdr>
          <w:divsChild>
            <w:div w:id="1232043521">
              <w:marLeft w:val="0"/>
              <w:marRight w:val="0"/>
              <w:marTop w:val="0"/>
              <w:marBottom w:val="0"/>
              <w:divBdr>
                <w:top w:val="none" w:sz="0" w:space="0" w:color="auto"/>
                <w:left w:val="none" w:sz="0" w:space="0" w:color="auto"/>
                <w:bottom w:val="none" w:sz="0" w:space="0" w:color="auto"/>
                <w:right w:val="none" w:sz="0" w:space="0" w:color="auto"/>
              </w:divBdr>
              <w:divsChild>
                <w:div w:id="1869491221">
                  <w:marLeft w:val="0"/>
                  <w:marRight w:val="0"/>
                  <w:marTop w:val="0"/>
                  <w:marBottom w:val="0"/>
                  <w:divBdr>
                    <w:top w:val="none" w:sz="0" w:space="0" w:color="auto"/>
                    <w:left w:val="none" w:sz="0" w:space="0" w:color="auto"/>
                    <w:bottom w:val="none" w:sz="0" w:space="0" w:color="auto"/>
                    <w:right w:val="none" w:sz="0" w:space="0" w:color="auto"/>
                  </w:divBdr>
                  <w:divsChild>
                    <w:div w:id="8206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318547">
      <w:bodyDiv w:val="1"/>
      <w:marLeft w:val="0"/>
      <w:marRight w:val="0"/>
      <w:marTop w:val="0"/>
      <w:marBottom w:val="0"/>
      <w:divBdr>
        <w:top w:val="none" w:sz="0" w:space="0" w:color="auto"/>
        <w:left w:val="none" w:sz="0" w:space="0" w:color="auto"/>
        <w:bottom w:val="none" w:sz="0" w:space="0" w:color="auto"/>
        <w:right w:val="none" w:sz="0" w:space="0" w:color="auto"/>
      </w:divBdr>
      <w:divsChild>
        <w:div w:id="1031302913">
          <w:marLeft w:val="0"/>
          <w:marRight w:val="0"/>
          <w:marTop w:val="0"/>
          <w:marBottom w:val="0"/>
          <w:divBdr>
            <w:top w:val="none" w:sz="0" w:space="0" w:color="auto"/>
            <w:left w:val="none" w:sz="0" w:space="0" w:color="auto"/>
            <w:bottom w:val="none" w:sz="0" w:space="0" w:color="auto"/>
            <w:right w:val="none" w:sz="0" w:space="0" w:color="auto"/>
          </w:divBdr>
          <w:divsChild>
            <w:div w:id="1523938784">
              <w:marLeft w:val="0"/>
              <w:marRight w:val="0"/>
              <w:marTop w:val="0"/>
              <w:marBottom w:val="0"/>
              <w:divBdr>
                <w:top w:val="none" w:sz="0" w:space="0" w:color="auto"/>
                <w:left w:val="none" w:sz="0" w:space="0" w:color="auto"/>
                <w:bottom w:val="none" w:sz="0" w:space="0" w:color="auto"/>
                <w:right w:val="none" w:sz="0" w:space="0" w:color="auto"/>
              </w:divBdr>
              <w:divsChild>
                <w:div w:id="2066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453744">
      <w:bodyDiv w:val="1"/>
      <w:marLeft w:val="0"/>
      <w:marRight w:val="0"/>
      <w:marTop w:val="0"/>
      <w:marBottom w:val="0"/>
      <w:divBdr>
        <w:top w:val="none" w:sz="0" w:space="0" w:color="auto"/>
        <w:left w:val="none" w:sz="0" w:space="0" w:color="auto"/>
        <w:bottom w:val="none" w:sz="0" w:space="0" w:color="auto"/>
        <w:right w:val="none" w:sz="0" w:space="0" w:color="auto"/>
      </w:divBdr>
      <w:divsChild>
        <w:div w:id="929125175">
          <w:marLeft w:val="0"/>
          <w:marRight w:val="0"/>
          <w:marTop w:val="0"/>
          <w:marBottom w:val="0"/>
          <w:divBdr>
            <w:top w:val="none" w:sz="0" w:space="0" w:color="auto"/>
            <w:left w:val="none" w:sz="0" w:space="0" w:color="auto"/>
            <w:bottom w:val="none" w:sz="0" w:space="0" w:color="auto"/>
            <w:right w:val="none" w:sz="0" w:space="0" w:color="auto"/>
          </w:divBdr>
          <w:divsChild>
            <w:div w:id="2040549137">
              <w:marLeft w:val="0"/>
              <w:marRight w:val="0"/>
              <w:marTop w:val="0"/>
              <w:marBottom w:val="0"/>
              <w:divBdr>
                <w:top w:val="none" w:sz="0" w:space="0" w:color="auto"/>
                <w:left w:val="none" w:sz="0" w:space="0" w:color="auto"/>
                <w:bottom w:val="none" w:sz="0" w:space="0" w:color="auto"/>
                <w:right w:val="none" w:sz="0" w:space="0" w:color="auto"/>
              </w:divBdr>
              <w:divsChild>
                <w:div w:id="998197363">
                  <w:marLeft w:val="0"/>
                  <w:marRight w:val="0"/>
                  <w:marTop w:val="0"/>
                  <w:marBottom w:val="0"/>
                  <w:divBdr>
                    <w:top w:val="none" w:sz="0" w:space="0" w:color="auto"/>
                    <w:left w:val="none" w:sz="0" w:space="0" w:color="auto"/>
                    <w:bottom w:val="none" w:sz="0" w:space="0" w:color="auto"/>
                    <w:right w:val="none" w:sz="0" w:space="0" w:color="auto"/>
                  </w:divBdr>
                </w:div>
              </w:divsChild>
            </w:div>
            <w:div w:id="637804600">
              <w:marLeft w:val="0"/>
              <w:marRight w:val="0"/>
              <w:marTop w:val="0"/>
              <w:marBottom w:val="0"/>
              <w:divBdr>
                <w:top w:val="none" w:sz="0" w:space="0" w:color="auto"/>
                <w:left w:val="none" w:sz="0" w:space="0" w:color="auto"/>
                <w:bottom w:val="none" w:sz="0" w:space="0" w:color="auto"/>
                <w:right w:val="none" w:sz="0" w:space="0" w:color="auto"/>
              </w:divBdr>
              <w:divsChild>
                <w:div w:id="1458454834">
                  <w:marLeft w:val="0"/>
                  <w:marRight w:val="0"/>
                  <w:marTop w:val="0"/>
                  <w:marBottom w:val="0"/>
                  <w:divBdr>
                    <w:top w:val="none" w:sz="0" w:space="0" w:color="auto"/>
                    <w:left w:val="none" w:sz="0" w:space="0" w:color="auto"/>
                    <w:bottom w:val="none" w:sz="0" w:space="0" w:color="auto"/>
                    <w:right w:val="none" w:sz="0" w:space="0" w:color="auto"/>
                  </w:divBdr>
                </w:div>
              </w:divsChild>
            </w:div>
            <w:div w:id="583299767">
              <w:marLeft w:val="0"/>
              <w:marRight w:val="0"/>
              <w:marTop w:val="0"/>
              <w:marBottom w:val="0"/>
              <w:divBdr>
                <w:top w:val="none" w:sz="0" w:space="0" w:color="auto"/>
                <w:left w:val="none" w:sz="0" w:space="0" w:color="auto"/>
                <w:bottom w:val="none" w:sz="0" w:space="0" w:color="auto"/>
                <w:right w:val="none" w:sz="0" w:space="0" w:color="auto"/>
              </w:divBdr>
              <w:divsChild>
                <w:div w:id="352000847">
                  <w:marLeft w:val="0"/>
                  <w:marRight w:val="0"/>
                  <w:marTop w:val="0"/>
                  <w:marBottom w:val="0"/>
                  <w:divBdr>
                    <w:top w:val="none" w:sz="0" w:space="0" w:color="auto"/>
                    <w:left w:val="none" w:sz="0" w:space="0" w:color="auto"/>
                    <w:bottom w:val="none" w:sz="0" w:space="0" w:color="auto"/>
                    <w:right w:val="none" w:sz="0" w:space="0" w:color="auto"/>
                  </w:divBdr>
                </w:div>
              </w:divsChild>
            </w:div>
            <w:div w:id="456073583">
              <w:marLeft w:val="0"/>
              <w:marRight w:val="0"/>
              <w:marTop w:val="0"/>
              <w:marBottom w:val="0"/>
              <w:divBdr>
                <w:top w:val="none" w:sz="0" w:space="0" w:color="auto"/>
                <w:left w:val="none" w:sz="0" w:space="0" w:color="auto"/>
                <w:bottom w:val="none" w:sz="0" w:space="0" w:color="auto"/>
                <w:right w:val="none" w:sz="0" w:space="0" w:color="auto"/>
              </w:divBdr>
              <w:divsChild>
                <w:div w:id="2054234165">
                  <w:marLeft w:val="0"/>
                  <w:marRight w:val="0"/>
                  <w:marTop w:val="0"/>
                  <w:marBottom w:val="0"/>
                  <w:divBdr>
                    <w:top w:val="none" w:sz="0" w:space="0" w:color="auto"/>
                    <w:left w:val="none" w:sz="0" w:space="0" w:color="auto"/>
                    <w:bottom w:val="none" w:sz="0" w:space="0" w:color="auto"/>
                    <w:right w:val="none" w:sz="0" w:space="0" w:color="auto"/>
                  </w:divBdr>
                </w:div>
              </w:divsChild>
            </w:div>
            <w:div w:id="2060007116">
              <w:marLeft w:val="0"/>
              <w:marRight w:val="0"/>
              <w:marTop w:val="0"/>
              <w:marBottom w:val="0"/>
              <w:divBdr>
                <w:top w:val="none" w:sz="0" w:space="0" w:color="auto"/>
                <w:left w:val="none" w:sz="0" w:space="0" w:color="auto"/>
                <w:bottom w:val="none" w:sz="0" w:space="0" w:color="auto"/>
                <w:right w:val="none" w:sz="0" w:space="0" w:color="auto"/>
              </w:divBdr>
              <w:divsChild>
                <w:div w:id="758525148">
                  <w:marLeft w:val="0"/>
                  <w:marRight w:val="0"/>
                  <w:marTop w:val="0"/>
                  <w:marBottom w:val="0"/>
                  <w:divBdr>
                    <w:top w:val="none" w:sz="0" w:space="0" w:color="auto"/>
                    <w:left w:val="none" w:sz="0" w:space="0" w:color="auto"/>
                    <w:bottom w:val="none" w:sz="0" w:space="0" w:color="auto"/>
                    <w:right w:val="none" w:sz="0" w:space="0" w:color="auto"/>
                  </w:divBdr>
                </w:div>
              </w:divsChild>
            </w:div>
            <w:div w:id="370807178">
              <w:marLeft w:val="0"/>
              <w:marRight w:val="0"/>
              <w:marTop w:val="0"/>
              <w:marBottom w:val="0"/>
              <w:divBdr>
                <w:top w:val="none" w:sz="0" w:space="0" w:color="auto"/>
                <w:left w:val="none" w:sz="0" w:space="0" w:color="auto"/>
                <w:bottom w:val="none" w:sz="0" w:space="0" w:color="auto"/>
                <w:right w:val="none" w:sz="0" w:space="0" w:color="auto"/>
              </w:divBdr>
              <w:divsChild>
                <w:div w:id="1347370489">
                  <w:marLeft w:val="0"/>
                  <w:marRight w:val="0"/>
                  <w:marTop w:val="0"/>
                  <w:marBottom w:val="0"/>
                  <w:divBdr>
                    <w:top w:val="none" w:sz="0" w:space="0" w:color="auto"/>
                    <w:left w:val="none" w:sz="0" w:space="0" w:color="auto"/>
                    <w:bottom w:val="none" w:sz="0" w:space="0" w:color="auto"/>
                    <w:right w:val="none" w:sz="0" w:space="0" w:color="auto"/>
                  </w:divBdr>
                </w:div>
              </w:divsChild>
            </w:div>
            <w:div w:id="1725136826">
              <w:marLeft w:val="0"/>
              <w:marRight w:val="0"/>
              <w:marTop w:val="0"/>
              <w:marBottom w:val="0"/>
              <w:divBdr>
                <w:top w:val="none" w:sz="0" w:space="0" w:color="auto"/>
                <w:left w:val="none" w:sz="0" w:space="0" w:color="auto"/>
                <w:bottom w:val="none" w:sz="0" w:space="0" w:color="auto"/>
                <w:right w:val="none" w:sz="0" w:space="0" w:color="auto"/>
              </w:divBdr>
              <w:divsChild>
                <w:div w:id="1532300311">
                  <w:marLeft w:val="0"/>
                  <w:marRight w:val="0"/>
                  <w:marTop w:val="0"/>
                  <w:marBottom w:val="0"/>
                  <w:divBdr>
                    <w:top w:val="none" w:sz="0" w:space="0" w:color="auto"/>
                    <w:left w:val="none" w:sz="0" w:space="0" w:color="auto"/>
                    <w:bottom w:val="none" w:sz="0" w:space="0" w:color="auto"/>
                    <w:right w:val="none" w:sz="0" w:space="0" w:color="auto"/>
                  </w:divBdr>
                </w:div>
              </w:divsChild>
            </w:div>
            <w:div w:id="1867981419">
              <w:marLeft w:val="0"/>
              <w:marRight w:val="0"/>
              <w:marTop w:val="0"/>
              <w:marBottom w:val="0"/>
              <w:divBdr>
                <w:top w:val="none" w:sz="0" w:space="0" w:color="auto"/>
                <w:left w:val="none" w:sz="0" w:space="0" w:color="auto"/>
                <w:bottom w:val="none" w:sz="0" w:space="0" w:color="auto"/>
                <w:right w:val="none" w:sz="0" w:space="0" w:color="auto"/>
              </w:divBdr>
              <w:divsChild>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 w:id="1946420465">
              <w:marLeft w:val="0"/>
              <w:marRight w:val="0"/>
              <w:marTop w:val="0"/>
              <w:marBottom w:val="0"/>
              <w:divBdr>
                <w:top w:val="none" w:sz="0" w:space="0" w:color="auto"/>
                <w:left w:val="none" w:sz="0" w:space="0" w:color="auto"/>
                <w:bottom w:val="none" w:sz="0" w:space="0" w:color="auto"/>
                <w:right w:val="none" w:sz="0" w:space="0" w:color="auto"/>
              </w:divBdr>
              <w:divsChild>
                <w:div w:id="2058043036">
                  <w:marLeft w:val="0"/>
                  <w:marRight w:val="0"/>
                  <w:marTop w:val="0"/>
                  <w:marBottom w:val="0"/>
                  <w:divBdr>
                    <w:top w:val="none" w:sz="0" w:space="0" w:color="auto"/>
                    <w:left w:val="none" w:sz="0" w:space="0" w:color="auto"/>
                    <w:bottom w:val="none" w:sz="0" w:space="0" w:color="auto"/>
                    <w:right w:val="none" w:sz="0" w:space="0" w:color="auto"/>
                  </w:divBdr>
                </w:div>
              </w:divsChild>
            </w:div>
            <w:div w:id="2061706292">
              <w:marLeft w:val="0"/>
              <w:marRight w:val="0"/>
              <w:marTop w:val="0"/>
              <w:marBottom w:val="0"/>
              <w:divBdr>
                <w:top w:val="none" w:sz="0" w:space="0" w:color="auto"/>
                <w:left w:val="none" w:sz="0" w:space="0" w:color="auto"/>
                <w:bottom w:val="none" w:sz="0" w:space="0" w:color="auto"/>
                <w:right w:val="none" w:sz="0" w:space="0" w:color="auto"/>
              </w:divBdr>
              <w:divsChild>
                <w:div w:id="189150912">
                  <w:marLeft w:val="0"/>
                  <w:marRight w:val="0"/>
                  <w:marTop w:val="0"/>
                  <w:marBottom w:val="0"/>
                  <w:divBdr>
                    <w:top w:val="none" w:sz="0" w:space="0" w:color="auto"/>
                    <w:left w:val="none" w:sz="0" w:space="0" w:color="auto"/>
                    <w:bottom w:val="none" w:sz="0" w:space="0" w:color="auto"/>
                    <w:right w:val="none" w:sz="0" w:space="0" w:color="auto"/>
                  </w:divBdr>
                </w:div>
              </w:divsChild>
            </w:div>
            <w:div w:id="1199931266">
              <w:marLeft w:val="0"/>
              <w:marRight w:val="0"/>
              <w:marTop w:val="0"/>
              <w:marBottom w:val="0"/>
              <w:divBdr>
                <w:top w:val="none" w:sz="0" w:space="0" w:color="auto"/>
                <w:left w:val="none" w:sz="0" w:space="0" w:color="auto"/>
                <w:bottom w:val="none" w:sz="0" w:space="0" w:color="auto"/>
                <w:right w:val="none" w:sz="0" w:space="0" w:color="auto"/>
              </w:divBdr>
              <w:divsChild>
                <w:div w:id="2064870569">
                  <w:marLeft w:val="0"/>
                  <w:marRight w:val="0"/>
                  <w:marTop w:val="0"/>
                  <w:marBottom w:val="0"/>
                  <w:divBdr>
                    <w:top w:val="none" w:sz="0" w:space="0" w:color="auto"/>
                    <w:left w:val="none" w:sz="0" w:space="0" w:color="auto"/>
                    <w:bottom w:val="none" w:sz="0" w:space="0" w:color="auto"/>
                    <w:right w:val="none" w:sz="0" w:space="0" w:color="auto"/>
                  </w:divBdr>
                </w:div>
              </w:divsChild>
            </w:div>
            <w:div w:id="1282878316">
              <w:marLeft w:val="0"/>
              <w:marRight w:val="0"/>
              <w:marTop w:val="0"/>
              <w:marBottom w:val="0"/>
              <w:divBdr>
                <w:top w:val="none" w:sz="0" w:space="0" w:color="auto"/>
                <w:left w:val="none" w:sz="0" w:space="0" w:color="auto"/>
                <w:bottom w:val="none" w:sz="0" w:space="0" w:color="auto"/>
                <w:right w:val="none" w:sz="0" w:space="0" w:color="auto"/>
              </w:divBdr>
              <w:divsChild>
                <w:div w:id="1340036114">
                  <w:marLeft w:val="0"/>
                  <w:marRight w:val="0"/>
                  <w:marTop w:val="0"/>
                  <w:marBottom w:val="0"/>
                  <w:divBdr>
                    <w:top w:val="none" w:sz="0" w:space="0" w:color="auto"/>
                    <w:left w:val="none" w:sz="0" w:space="0" w:color="auto"/>
                    <w:bottom w:val="none" w:sz="0" w:space="0" w:color="auto"/>
                    <w:right w:val="none" w:sz="0" w:space="0" w:color="auto"/>
                  </w:divBdr>
                </w:div>
              </w:divsChild>
            </w:div>
            <w:div w:id="1840390211">
              <w:marLeft w:val="0"/>
              <w:marRight w:val="0"/>
              <w:marTop w:val="0"/>
              <w:marBottom w:val="0"/>
              <w:divBdr>
                <w:top w:val="none" w:sz="0" w:space="0" w:color="auto"/>
                <w:left w:val="none" w:sz="0" w:space="0" w:color="auto"/>
                <w:bottom w:val="none" w:sz="0" w:space="0" w:color="auto"/>
                <w:right w:val="none" w:sz="0" w:space="0" w:color="auto"/>
              </w:divBdr>
              <w:divsChild>
                <w:div w:id="1665088632">
                  <w:marLeft w:val="0"/>
                  <w:marRight w:val="0"/>
                  <w:marTop w:val="0"/>
                  <w:marBottom w:val="0"/>
                  <w:divBdr>
                    <w:top w:val="none" w:sz="0" w:space="0" w:color="auto"/>
                    <w:left w:val="none" w:sz="0" w:space="0" w:color="auto"/>
                    <w:bottom w:val="none" w:sz="0" w:space="0" w:color="auto"/>
                    <w:right w:val="none" w:sz="0" w:space="0" w:color="auto"/>
                  </w:divBdr>
                </w:div>
              </w:divsChild>
            </w:div>
            <w:div w:id="855728302">
              <w:marLeft w:val="0"/>
              <w:marRight w:val="0"/>
              <w:marTop w:val="0"/>
              <w:marBottom w:val="0"/>
              <w:divBdr>
                <w:top w:val="none" w:sz="0" w:space="0" w:color="auto"/>
                <w:left w:val="none" w:sz="0" w:space="0" w:color="auto"/>
                <w:bottom w:val="none" w:sz="0" w:space="0" w:color="auto"/>
                <w:right w:val="none" w:sz="0" w:space="0" w:color="auto"/>
              </w:divBdr>
              <w:divsChild>
                <w:div w:id="866910766">
                  <w:marLeft w:val="0"/>
                  <w:marRight w:val="0"/>
                  <w:marTop w:val="0"/>
                  <w:marBottom w:val="0"/>
                  <w:divBdr>
                    <w:top w:val="none" w:sz="0" w:space="0" w:color="auto"/>
                    <w:left w:val="none" w:sz="0" w:space="0" w:color="auto"/>
                    <w:bottom w:val="none" w:sz="0" w:space="0" w:color="auto"/>
                    <w:right w:val="none" w:sz="0" w:space="0" w:color="auto"/>
                  </w:divBdr>
                </w:div>
              </w:divsChild>
            </w:div>
            <w:div w:id="292370152">
              <w:marLeft w:val="0"/>
              <w:marRight w:val="0"/>
              <w:marTop w:val="0"/>
              <w:marBottom w:val="0"/>
              <w:divBdr>
                <w:top w:val="none" w:sz="0" w:space="0" w:color="auto"/>
                <w:left w:val="none" w:sz="0" w:space="0" w:color="auto"/>
                <w:bottom w:val="none" w:sz="0" w:space="0" w:color="auto"/>
                <w:right w:val="none" w:sz="0" w:space="0" w:color="auto"/>
              </w:divBdr>
              <w:divsChild>
                <w:div w:id="556549842">
                  <w:marLeft w:val="0"/>
                  <w:marRight w:val="0"/>
                  <w:marTop w:val="0"/>
                  <w:marBottom w:val="0"/>
                  <w:divBdr>
                    <w:top w:val="none" w:sz="0" w:space="0" w:color="auto"/>
                    <w:left w:val="none" w:sz="0" w:space="0" w:color="auto"/>
                    <w:bottom w:val="none" w:sz="0" w:space="0" w:color="auto"/>
                    <w:right w:val="none" w:sz="0" w:space="0" w:color="auto"/>
                  </w:divBdr>
                </w:div>
              </w:divsChild>
            </w:div>
            <w:div w:id="1460763667">
              <w:marLeft w:val="0"/>
              <w:marRight w:val="0"/>
              <w:marTop w:val="0"/>
              <w:marBottom w:val="0"/>
              <w:divBdr>
                <w:top w:val="none" w:sz="0" w:space="0" w:color="auto"/>
                <w:left w:val="none" w:sz="0" w:space="0" w:color="auto"/>
                <w:bottom w:val="none" w:sz="0" w:space="0" w:color="auto"/>
                <w:right w:val="none" w:sz="0" w:space="0" w:color="auto"/>
              </w:divBdr>
              <w:divsChild>
                <w:div w:id="2072269218">
                  <w:marLeft w:val="0"/>
                  <w:marRight w:val="0"/>
                  <w:marTop w:val="0"/>
                  <w:marBottom w:val="0"/>
                  <w:divBdr>
                    <w:top w:val="none" w:sz="0" w:space="0" w:color="auto"/>
                    <w:left w:val="none" w:sz="0" w:space="0" w:color="auto"/>
                    <w:bottom w:val="none" w:sz="0" w:space="0" w:color="auto"/>
                    <w:right w:val="none" w:sz="0" w:space="0" w:color="auto"/>
                  </w:divBdr>
                </w:div>
              </w:divsChild>
            </w:div>
            <w:div w:id="1479423610">
              <w:marLeft w:val="0"/>
              <w:marRight w:val="0"/>
              <w:marTop w:val="0"/>
              <w:marBottom w:val="0"/>
              <w:divBdr>
                <w:top w:val="none" w:sz="0" w:space="0" w:color="auto"/>
                <w:left w:val="none" w:sz="0" w:space="0" w:color="auto"/>
                <w:bottom w:val="none" w:sz="0" w:space="0" w:color="auto"/>
                <w:right w:val="none" w:sz="0" w:space="0" w:color="auto"/>
              </w:divBdr>
              <w:divsChild>
                <w:div w:id="115099445">
                  <w:marLeft w:val="0"/>
                  <w:marRight w:val="0"/>
                  <w:marTop w:val="0"/>
                  <w:marBottom w:val="0"/>
                  <w:divBdr>
                    <w:top w:val="none" w:sz="0" w:space="0" w:color="auto"/>
                    <w:left w:val="none" w:sz="0" w:space="0" w:color="auto"/>
                    <w:bottom w:val="none" w:sz="0" w:space="0" w:color="auto"/>
                    <w:right w:val="none" w:sz="0" w:space="0" w:color="auto"/>
                  </w:divBdr>
                </w:div>
              </w:divsChild>
            </w:div>
            <w:div w:id="1109008119">
              <w:marLeft w:val="0"/>
              <w:marRight w:val="0"/>
              <w:marTop w:val="0"/>
              <w:marBottom w:val="0"/>
              <w:divBdr>
                <w:top w:val="none" w:sz="0" w:space="0" w:color="auto"/>
                <w:left w:val="none" w:sz="0" w:space="0" w:color="auto"/>
                <w:bottom w:val="none" w:sz="0" w:space="0" w:color="auto"/>
                <w:right w:val="none" w:sz="0" w:space="0" w:color="auto"/>
              </w:divBdr>
              <w:divsChild>
                <w:div w:id="1876574561">
                  <w:marLeft w:val="0"/>
                  <w:marRight w:val="0"/>
                  <w:marTop w:val="0"/>
                  <w:marBottom w:val="0"/>
                  <w:divBdr>
                    <w:top w:val="none" w:sz="0" w:space="0" w:color="auto"/>
                    <w:left w:val="none" w:sz="0" w:space="0" w:color="auto"/>
                    <w:bottom w:val="none" w:sz="0" w:space="0" w:color="auto"/>
                    <w:right w:val="none" w:sz="0" w:space="0" w:color="auto"/>
                  </w:divBdr>
                </w:div>
              </w:divsChild>
            </w:div>
            <w:div w:id="1151484658">
              <w:marLeft w:val="0"/>
              <w:marRight w:val="0"/>
              <w:marTop w:val="0"/>
              <w:marBottom w:val="0"/>
              <w:divBdr>
                <w:top w:val="none" w:sz="0" w:space="0" w:color="auto"/>
                <w:left w:val="none" w:sz="0" w:space="0" w:color="auto"/>
                <w:bottom w:val="none" w:sz="0" w:space="0" w:color="auto"/>
                <w:right w:val="none" w:sz="0" w:space="0" w:color="auto"/>
              </w:divBdr>
              <w:divsChild>
                <w:div w:id="2044285382">
                  <w:marLeft w:val="0"/>
                  <w:marRight w:val="0"/>
                  <w:marTop w:val="0"/>
                  <w:marBottom w:val="0"/>
                  <w:divBdr>
                    <w:top w:val="none" w:sz="0" w:space="0" w:color="auto"/>
                    <w:left w:val="none" w:sz="0" w:space="0" w:color="auto"/>
                    <w:bottom w:val="none" w:sz="0" w:space="0" w:color="auto"/>
                    <w:right w:val="none" w:sz="0" w:space="0" w:color="auto"/>
                  </w:divBdr>
                </w:div>
              </w:divsChild>
            </w:div>
            <w:div w:id="1030380603">
              <w:marLeft w:val="0"/>
              <w:marRight w:val="0"/>
              <w:marTop w:val="0"/>
              <w:marBottom w:val="0"/>
              <w:divBdr>
                <w:top w:val="none" w:sz="0" w:space="0" w:color="auto"/>
                <w:left w:val="none" w:sz="0" w:space="0" w:color="auto"/>
                <w:bottom w:val="none" w:sz="0" w:space="0" w:color="auto"/>
                <w:right w:val="none" w:sz="0" w:space="0" w:color="auto"/>
              </w:divBdr>
              <w:divsChild>
                <w:div w:id="1279070034">
                  <w:marLeft w:val="0"/>
                  <w:marRight w:val="0"/>
                  <w:marTop w:val="0"/>
                  <w:marBottom w:val="0"/>
                  <w:divBdr>
                    <w:top w:val="none" w:sz="0" w:space="0" w:color="auto"/>
                    <w:left w:val="none" w:sz="0" w:space="0" w:color="auto"/>
                    <w:bottom w:val="none" w:sz="0" w:space="0" w:color="auto"/>
                    <w:right w:val="none" w:sz="0" w:space="0" w:color="auto"/>
                  </w:divBdr>
                </w:div>
              </w:divsChild>
            </w:div>
            <w:div w:id="734863554">
              <w:marLeft w:val="0"/>
              <w:marRight w:val="0"/>
              <w:marTop w:val="0"/>
              <w:marBottom w:val="0"/>
              <w:divBdr>
                <w:top w:val="none" w:sz="0" w:space="0" w:color="auto"/>
                <w:left w:val="none" w:sz="0" w:space="0" w:color="auto"/>
                <w:bottom w:val="none" w:sz="0" w:space="0" w:color="auto"/>
                <w:right w:val="none" w:sz="0" w:space="0" w:color="auto"/>
              </w:divBdr>
              <w:divsChild>
                <w:div w:id="18908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67718">
          <w:marLeft w:val="0"/>
          <w:marRight w:val="0"/>
          <w:marTop w:val="0"/>
          <w:marBottom w:val="0"/>
          <w:divBdr>
            <w:top w:val="none" w:sz="0" w:space="0" w:color="auto"/>
            <w:left w:val="none" w:sz="0" w:space="0" w:color="auto"/>
            <w:bottom w:val="none" w:sz="0" w:space="0" w:color="auto"/>
            <w:right w:val="none" w:sz="0" w:space="0" w:color="auto"/>
          </w:divBdr>
          <w:divsChild>
            <w:div w:id="1502113601">
              <w:marLeft w:val="0"/>
              <w:marRight w:val="0"/>
              <w:marTop w:val="0"/>
              <w:marBottom w:val="0"/>
              <w:divBdr>
                <w:top w:val="none" w:sz="0" w:space="0" w:color="auto"/>
                <w:left w:val="none" w:sz="0" w:space="0" w:color="auto"/>
                <w:bottom w:val="none" w:sz="0" w:space="0" w:color="auto"/>
                <w:right w:val="none" w:sz="0" w:space="0" w:color="auto"/>
              </w:divBdr>
              <w:divsChild>
                <w:div w:id="270863817">
                  <w:marLeft w:val="0"/>
                  <w:marRight w:val="0"/>
                  <w:marTop w:val="0"/>
                  <w:marBottom w:val="0"/>
                  <w:divBdr>
                    <w:top w:val="none" w:sz="0" w:space="0" w:color="auto"/>
                    <w:left w:val="none" w:sz="0" w:space="0" w:color="auto"/>
                    <w:bottom w:val="none" w:sz="0" w:space="0" w:color="auto"/>
                    <w:right w:val="none" w:sz="0" w:space="0" w:color="auto"/>
                  </w:divBdr>
                </w:div>
              </w:divsChild>
            </w:div>
            <w:div w:id="457261676">
              <w:marLeft w:val="0"/>
              <w:marRight w:val="0"/>
              <w:marTop w:val="0"/>
              <w:marBottom w:val="0"/>
              <w:divBdr>
                <w:top w:val="none" w:sz="0" w:space="0" w:color="auto"/>
                <w:left w:val="none" w:sz="0" w:space="0" w:color="auto"/>
                <w:bottom w:val="none" w:sz="0" w:space="0" w:color="auto"/>
                <w:right w:val="none" w:sz="0" w:space="0" w:color="auto"/>
              </w:divBdr>
              <w:divsChild>
                <w:div w:id="783840632">
                  <w:marLeft w:val="0"/>
                  <w:marRight w:val="0"/>
                  <w:marTop w:val="0"/>
                  <w:marBottom w:val="0"/>
                  <w:divBdr>
                    <w:top w:val="none" w:sz="0" w:space="0" w:color="auto"/>
                    <w:left w:val="none" w:sz="0" w:space="0" w:color="auto"/>
                    <w:bottom w:val="none" w:sz="0" w:space="0" w:color="auto"/>
                    <w:right w:val="none" w:sz="0" w:space="0" w:color="auto"/>
                  </w:divBdr>
                </w:div>
              </w:divsChild>
            </w:div>
            <w:div w:id="519441002">
              <w:marLeft w:val="0"/>
              <w:marRight w:val="0"/>
              <w:marTop w:val="0"/>
              <w:marBottom w:val="0"/>
              <w:divBdr>
                <w:top w:val="none" w:sz="0" w:space="0" w:color="auto"/>
                <w:left w:val="none" w:sz="0" w:space="0" w:color="auto"/>
                <w:bottom w:val="none" w:sz="0" w:space="0" w:color="auto"/>
                <w:right w:val="none" w:sz="0" w:space="0" w:color="auto"/>
              </w:divBdr>
              <w:divsChild>
                <w:div w:id="96215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075914">
      <w:bodyDiv w:val="1"/>
      <w:marLeft w:val="0"/>
      <w:marRight w:val="0"/>
      <w:marTop w:val="0"/>
      <w:marBottom w:val="0"/>
      <w:divBdr>
        <w:top w:val="none" w:sz="0" w:space="0" w:color="auto"/>
        <w:left w:val="none" w:sz="0" w:space="0" w:color="auto"/>
        <w:bottom w:val="none" w:sz="0" w:space="0" w:color="auto"/>
        <w:right w:val="none" w:sz="0" w:space="0" w:color="auto"/>
      </w:divBdr>
      <w:divsChild>
        <w:div w:id="294330915">
          <w:marLeft w:val="0"/>
          <w:marRight w:val="0"/>
          <w:marTop w:val="0"/>
          <w:marBottom w:val="0"/>
          <w:divBdr>
            <w:top w:val="none" w:sz="0" w:space="0" w:color="auto"/>
            <w:left w:val="none" w:sz="0" w:space="0" w:color="auto"/>
            <w:bottom w:val="none" w:sz="0" w:space="0" w:color="auto"/>
            <w:right w:val="none" w:sz="0" w:space="0" w:color="auto"/>
          </w:divBdr>
        </w:div>
      </w:divsChild>
    </w:div>
    <w:div w:id="904293631">
      <w:bodyDiv w:val="1"/>
      <w:marLeft w:val="0"/>
      <w:marRight w:val="0"/>
      <w:marTop w:val="0"/>
      <w:marBottom w:val="0"/>
      <w:divBdr>
        <w:top w:val="none" w:sz="0" w:space="0" w:color="auto"/>
        <w:left w:val="none" w:sz="0" w:space="0" w:color="auto"/>
        <w:bottom w:val="none" w:sz="0" w:space="0" w:color="auto"/>
        <w:right w:val="none" w:sz="0" w:space="0" w:color="auto"/>
      </w:divBdr>
      <w:divsChild>
        <w:div w:id="270552931">
          <w:marLeft w:val="0"/>
          <w:marRight w:val="0"/>
          <w:marTop w:val="0"/>
          <w:marBottom w:val="0"/>
          <w:divBdr>
            <w:top w:val="none" w:sz="0" w:space="0" w:color="auto"/>
            <w:left w:val="none" w:sz="0" w:space="0" w:color="auto"/>
            <w:bottom w:val="none" w:sz="0" w:space="0" w:color="auto"/>
            <w:right w:val="none" w:sz="0" w:space="0" w:color="auto"/>
          </w:divBdr>
          <w:divsChild>
            <w:div w:id="679936878">
              <w:marLeft w:val="0"/>
              <w:marRight w:val="0"/>
              <w:marTop w:val="0"/>
              <w:marBottom w:val="0"/>
              <w:divBdr>
                <w:top w:val="none" w:sz="0" w:space="0" w:color="auto"/>
                <w:left w:val="none" w:sz="0" w:space="0" w:color="auto"/>
                <w:bottom w:val="none" w:sz="0" w:space="0" w:color="auto"/>
                <w:right w:val="none" w:sz="0" w:space="0" w:color="auto"/>
              </w:divBdr>
              <w:divsChild>
                <w:div w:id="130357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137269">
      <w:bodyDiv w:val="1"/>
      <w:marLeft w:val="0"/>
      <w:marRight w:val="0"/>
      <w:marTop w:val="0"/>
      <w:marBottom w:val="0"/>
      <w:divBdr>
        <w:top w:val="none" w:sz="0" w:space="0" w:color="auto"/>
        <w:left w:val="none" w:sz="0" w:space="0" w:color="auto"/>
        <w:bottom w:val="none" w:sz="0" w:space="0" w:color="auto"/>
        <w:right w:val="none" w:sz="0" w:space="0" w:color="auto"/>
      </w:divBdr>
      <w:divsChild>
        <w:div w:id="1603489379">
          <w:marLeft w:val="0"/>
          <w:marRight w:val="0"/>
          <w:marTop w:val="0"/>
          <w:marBottom w:val="0"/>
          <w:divBdr>
            <w:top w:val="none" w:sz="0" w:space="0" w:color="auto"/>
            <w:left w:val="none" w:sz="0" w:space="0" w:color="auto"/>
            <w:bottom w:val="none" w:sz="0" w:space="0" w:color="auto"/>
            <w:right w:val="none" w:sz="0" w:space="0" w:color="auto"/>
          </w:divBdr>
          <w:divsChild>
            <w:div w:id="545457171">
              <w:marLeft w:val="0"/>
              <w:marRight w:val="0"/>
              <w:marTop w:val="0"/>
              <w:marBottom w:val="0"/>
              <w:divBdr>
                <w:top w:val="none" w:sz="0" w:space="0" w:color="auto"/>
                <w:left w:val="none" w:sz="0" w:space="0" w:color="auto"/>
                <w:bottom w:val="none" w:sz="0" w:space="0" w:color="auto"/>
                <w:right w:val="none" w:sz="0" w:space="0" w:color="auto"/>
              </w:divBdr>
              <w:divsChild>
                <w:div w:id="195929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14477">
      <w:bodyDiv w:val="1"/>
      <w:marLeft w:val="0"/>
      <w:marRight w:val="0"/>
      <w:marTop w:val="0"/>
      <w:marBottom w:val="0"/>
      <w:divBdr>
        <w:top w:val="none" w:sz="0" w:space="0" w:color="auto"/>
        <w:left w:val="none" w:sz="0" w:space="0" w:color="auto"/>
        <w:bottom w:val="none" w:sz="0" w:space="0" w:color="auto"/>
        <w:right w:val="none" w:sz="0" w:space="0" w:color="auto"/>
      </w:divBdr>
      <w:divsChild>
        <w:div w:id="1500846170">
          <w:marLeft w:val="0"/>
          <w:marRight w:val="0"/>
          <w:marTop w:val="0"/>
          <w:marBottom w:val="0"/>
          <w:divBdr>
            <w:top w:val="none" w:sz="0" w:space="0" w:color="auto"/>
            <w:left w:val="none" w:sz="0" w:space="0" w:color="auto"/>
            <w:bottom w:val="none" w:sz="0" w:space="0" w:color="auto"/>
            <w:right w:val="none" w:sz="0" w:space="0" w:color="auto"/>
          </w:divBdr>
          <w:divsChild>
            <w:div w:id="1791431650">
              <w:marLeft w:val="0"/>
              <w:marRight w:val="0"/>
              <w:marTop w:val="0"/>
              <w:marBottom w:val="0"/>
              <w:divBdr>
                <w:top w:val="none" w:sz="0" w:space="0" w:color="auto"/>
                <w:left w:val="none" w:sz="0" w:space="0" w:color="auto"/>
                <w:bottom w:val="none" w:sz="0" w:space="0" w:color="auto"/>
                <w:right w:val="none" w:sz="0" w:space="0" w:color="auto"/>
              </w:divBdr>
              <w:divsChild>
                <w:div w:id="65360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568096">
      <w:bodyDiv w:val="1"/>
      <w:marLeft w:val="0"/>
      <w:marRight w:val="0"/>
      <w:marTop w:val="0"/>
      <w:marBottom w:val="0"/>
      <w:divBdr>
        <w:top w:val="none" w:sz="0" w:space="0" w:color="auto"/>
        <w:left w:val="none" w:sz="0" w:space="0" w:color="auto"/>
        <w:bottom w:val="none" w:sz="0" w:space="0" w:color="auto"/>
        <w:right w:val="none" w:sz="0" w:space="0" w:color="auto"/>
      </w:divBdr>
      <w:divsChild>
        <w:div w:id="920605877">
          <w:marLeft w:val="0"/>
          <w:marRight w:val="0"/>
          <w:marTop w:val="0"/>
          <w:marBottom w:val="0"/>
          <w:divBdr>
            <w:top w:val="none" w:sz="0" w:space="0" w:color="auto"/>
            <w:left w:val="none" w:sz="0" w:space="0" w:color="auto"/>
            <w:bottom w:val="none" w:sz="0" w:space="0" w:color="auto"/>
            <w:right w:val="none" w:sz="0" w:space="0" w:color="auto"/>
          </w:divBdr>
          <w:divsChild>
            <w:div w:id="951744842">
              <w:marLeft w:val="0"/>
              <w:marRight w:val="0"/>
              <w:marTop w:val="0"/>
              <w:marBottom w:val="0"/>
              <w:divBdr>
                <w:top w:val="none" w:sz="0" w:space="0" w:color="auto"/>
                <w:left w:val="none" w:sz="0" w:space="0" w:color="auto"/>
                <w:bottom w:val="none" w:sz="0" w:space="0" w:color="auto"/>
                <w:right w:val="none" w:sz="0" w:space="0" w:color="auto"/>
              </w:divBdr>
              <w:divsChild>
                <w:div w:id="11032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19">
      <w:bodyDiv w:val="1"/>
      <w:marLeft w:val="0"/>
      <w:marRight w:val="0"/>
      <w:marTop w:val="0"/>
      <w:marBottom w:val="0"/>
      <w:divBdr>
        <w:top w:val="none" w:sz="0" w:space="0" w:color="auto"/>
        <w:left w:val="none" w:sz="0" w:space="0" w:color="auto"/>
        <w:bottom w:val="none" w:sz="0" w:space="0" w:color="auto"/>
        <w:right w:val="none" w:sz="0" w:space="0" w:color="auto"/>
      </w:divBdr>
      <w:divsChild>
        <w:div w:id="1503204408">
          <w:marLeft w:val="0"/>
          <w:marRight w:val="0"/>
          <w:marTop w:val="0"/>
          <w:marBottom w:val="0"/>
          <w:divBdr>
            <w:top w:val="none" w:sz="0" w:space="0" w:color="auto"/>
            <w:left w:val="none" w:sz="0" w:space="0" w:color="auto"/>
            <w:bottom w:val="none" w:sz="0" w:space="0" w:color="auto"/>
            <w:right w:val="none" w:sz="0" w:space="0" w:color="auto"/>
          </w:divBdr>
          <w:divsChild>
            <w:div w:id="717972696">
              <w:marLeft w:val="0"/>
              <w:marRight w:val="0"/>
              <w:marTop w:val="0"/>
              <w:marBottom w:val="0"/>
              <w:divBdr>
                <w:top w:val="none" w:sz="0" w:space="0" w:color="auto"/>
                <w:left w:val="none" w:sz="0" w:space="0" w:color="auto"/>
                <w:bottom w:val="none" w:sz="0" w:space="0" w:color="auto"/>
                <w:right w:val="none" w:sz="0" w:space="0" w:color="auto"/>
              </w:divBdr>
              <w:divsChild>
                <w:div w:id="1320844301">
                  <w:marLeft w:val="0"/>
                  <w:marRight w:val="0"/>
                  <w:marTop w:val="0"/>
                  <w:marBottom w:val="0"/>
                  <w:divBdr>
                    <w:top w:val="none" w:sz="0" w:space="0" w:color="auto"/>
                    <w:left w:val="none" w:sz="0" w:space="0" w:color="auto"/>
                    <w:bottom w:val="none" w:sz="0" w:space="0" w:color="auto"/>
                    <w:right w:val="none" w:sz="0" w:space="0" w:color="auto"/>
                  </w:divBdr>
                  <w:divsChild>
                    <w:div w:id="153094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561577">
      <w:bodyDiv w:val="1"/>
      <w:marLeft w:val="0"/>
      <w:marRight w:val="0"/>
      <w:marTop w:val="0"/>
      <w:marBottom w:val="0"/>
      <w:divBdr>
        <w:top w:val="none" w:sz="0" w:space="0" w:color="auto"/>
        <w:left w:val="none" w:sz="0" w:space="0" w:color="auto"/>
        <w:bottom w:val="none" w:sz="0" w:space="0" w:color="auto"/>
        <w:right w:val="none" w:sz="0" w:space="0" w:color="auto"/>
      </w:divBdr>
      <w:divsChild>
        <w:div w:id="1589804963">
          <w:marLeft w:val="0"/>
          <w:marRight w:val="0"/>
          <w:marTop w:val="0"/>
          <w:marBottom w:val="0"/>
          <w:divBdr>
            <w:top w:val="none" w:sz="0" w:space="0" w:color="auto"/>
            <w:left w:val="none" w:sz="0" w:space="0" w:color="auto"/>
            <w:bottom w:val="none" w:sz="0" w:space="0" w:color="auto"/>
            <w:right w:val="none" w:sz="0" w:space="0" w:color="auto"/>
          </w:divBdr>
          <w:divsChild>
            <w:div w:id="1431925901">
              <w:marLeft w:val="0"/>
              <w:marRight w:val="0"/>
              <w:marTop w:val="0"/>
              <w:marBottom w:val="0"/>
              <w:divBdr>
                <w:top w:val="none" w:sz="0" w:space="0" w:color="auto"/>
                <w:left w:val="none" w:sz="0" w:space="0" w:color="auto"/>
                <w:bottom w:val="none" w:sz="0" w:space="0" w:color="auto"/>
                <w:right w:val="none" w:sz="0" w:space="0" w:color="auto"/>
              </w:divBdr>
              <w:divsChild>
                <w:div w:id="103307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212503">
      <w:bodyDiv w:val="1"/>
      <w:marLeft w:val="0"/>
      <w:marRight w:val="0"/>
      <w:marTop w:val="0"/>
      <w:marBottom w:val="0"/>
      <w:divBdr>
        <w:top w:val="none" w:sz="0" w:space="0" w:color="auto"/>
        <w:left w:val="none" w:sz="0" w:space="0" w:color="auto"/>
        <w:bottom w:val="none" w:sz="0" w:space="0" w:color="auto"/>
        <w:right w:val="none" w:sz="0" w:space="0" w:color="auto"/>
      </w:divBdr>
      <w:divsChild>
        <w:div w:id="1832523459">
          <w:marLeft w:val="0"/>
          <w:marRight w:val="0"/>
          <w:marTop w:val="0"/>
          <w:marBottom w:val="0"/>
          <w:divBdr>
            <w:top w:val="none" w:sz="0" w:space="0" w:color="auto"/>
            <w:left w:val="none" w:sz="0" w:space="0" w:color="auto"/>
            <w:bottom w:val="none" w:sz="0" w:space="0" w:color="auto"/>
            <w:right w:val="none" w:sz="0" w:space="0" w:color="auto"/>
          </w:divBdr>
          <w:divsChild>
            <w:div w:id="590436488">
              <w:marLeft w:val="0"/>
              <w:marRight w:val="0"/>
              <w:marTop w:val="0"/>
              <w:marBottom w:val="0"/>
              <w:divBdr>
                <w:top w:val="none" w:sz="0" w:space="0" w:color="auto"/>
                <w:left w:val="none" w:sz="0" w:space="0" w:color="auto"/>
                <w:bottom w:val="none" w:sz="0" w:space="0" w:color="auto"/>
                <w:right w:val="none" w:sz="0" w:space="0" w:color="auto"/>
              </w:divBdr>
              <w:divsChild>
                <w:div w:id="105955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563783">
      <w:bodyDiv w:val="1"/>
      <w:marLeft w:val="0"/>
      <w:marRight w:val="0"/>
      <w:marTop w:val="0"/>
      <w:marBottom w:val="0"/>
      <w:divBdr>
        <w:top w:val="none" w:sz="0" w:space="0" w:color="auto"/>
        <w:left w:val="none" w:sz="0" w:space="0" w:color="auto"/>
        <w:bottom w:val="none" w:sz="0" w:space="0" w:color="auto"/>
        <w:right w:val="none" w:sz="0" w:space="0" w:color="auto"/>
      </w:divBdr>
      <w:divsChild>
        <w:div w:id="614874162">
          <w:marLeft w:val="0"/>
          <w:marRight w:val="0"/>
          <w:marTop w:val="0"/>
          <w:marBottom w:val="0"/>
          <w:divBdr>
            <w:top w:val="none" w:sz="0" w:space="0" w:color="auto"/>
            <w:left w:val="none" w:sz="0" w:space="0" w:color="auto"/>
            <w:bottom w:val="none" w:sz="0" w:space="0" w:color="auto"/>
            <w:right w:val="none" w:sz="0" w:space="0" w:color="auto"/>
          </w:divBdr>
          <w:divsChild>
            <w:div w:id="1193804091">
              <w:marLeft w:val="0"/>
              <w:marRight w:val="0"/>
              <w:marTop w:val="0"/>
              <w:marBottom w:val="0"/>
              <w:divBdr>
                <w:top w:val="none" w:sz="0" w:space="0" w:color="auto"/>
                <w:left w:val="none" w:sz="0" w:space="0" w:color="auto"/>
                <w:bottom w:val="none" w:sz="0" w:space="0" w:color="auto"/>
                <w:right w:val="none" w:sz="0" w:space="0" w:color="auto"/>
              </w:divBdr>
              <w:divsChild>
                <w:div w:id="1169752526">
                  <w:marLeft w:val="0"/>
                  <w:marRight w:val="0"/>
                  <w:marTop w:val="0"/>
                  <w:marBottom w:val="0"/>
                  <w:divBdr>
                    <w:top w:val="none" w:sz="0" w:space="0" w:color="auto"/>
                    <w:left w:val="none" w:sz="0" w:space="0" w:color="auto"/>
                    <w:bottom w:val="none" w:sz="0" w:space="0" w:color="auto"/>
                    <w:right w:val="none" w:sz="0" w:space="0" w:color="auto"/>
                  </w:divBdr>
                </w:div>
              </w:divsChild>
            </w:div>
            <w:div w:id="877205757">
              <w:marLeft w:val="0"/>
              <w:marRight w:val="0"/>
              <w:marTop w:val="0"/>
              <w:marBottom w:val="0"/>
              <w:divBdr>
                <w:top w:val="none" w:sz="0" w:space="0" w:color="auto"/>
                <w:left w:val="none" w:sz="0" w:space="0" w:color="auto"/>
                <w:bottom w:val="none" w:sz="0" w:space="0" w:color="auto"/>
                <w:right w:val="none" w:sz="0" w:space="0" w:color="auto"/>
              </w:divBdr>
              <w:divsChild>
                <w:div w:id="1032415978">
                  <w:marLeft w:val="0"/>
                  <w:marRight w:val="0"/>
                  <w:marTop w:val="0"/>
                  <w:marBottom w:val="0"/>
                  <w:divBdr>
                    <w:top w:val="none" w:sz="0" w:space="0" w:color="auto"/>
                    <w:left w:val="none" w:sz="0" w:space="0" w:color="auto"/>
                    <w:bottom w:val="none" w:sz="0" w:space="0" w:color="auto"/>
                    <w:right w:val="none" w:sz="0" w:space="0" w:color="auto"/>
                  </w:divBdr>
                </w:div>
              </w:divsChild>
            </w:div>
            <w:div w:id="1039627590">
              <w:marLeft w:val="0"/>
              <w:marRight w:val="0"/>
              <w:marTop w:val="0"/>
              <w:marBottom w:val="0"/>
              <w:divBdr>
                <w:top w:val="none" w:sz="0" w:space="0" w:color="auto"/>
                <w:left w:val="none" w:sz="0" w:space="0" w:color="auto"/>
                <w:bottom w:val="none" w:sz="0" w:space="0" w:color="auto"/>
                <w:right w:val="none" w:sz="0" w:space="0" w:color="auto"/>
              </w:divBdr>
              <w:divsChild>
                <w:div w:id="111182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19937">
          <w:marLeft w:val="0"/>
          <w:marRight w:val="0"/>
          <w:marTop w:val="0"/>
          <w:marBottom w:val="0"/>
          <w:divBdr>
            <w:top w:val="none" w:sz="0" w:space="0" w:color="auto"/>
            <w:left w:val="none" w:sz="0" w:space="0" w:color="auto"/>
            <w:bottom w:val="none" w:sz="0" w:space="0" w:color="auto"/>
            <w:right w:val="none" w:sz="0" w:space="0" w:color="auto"/>
          </w:divBdr>
          <w:divsChild>
            <w:div w:id="1721369019">
              <w:marLeft w:val="0"/>
              <w:marRight w:val="0"/>
              <w:marTop w:val="0"/>
              <w:marBottom w:val="0"/>
              <w:divBdr>
                <w:top w:val="none" w:sz="0" w:space="0" w:color="auto"/>
                <w:left w:val="none" w:sz="0" w:space="0" w:color="auto"/>
                <w:bottom w:val="none" w:sz="0" w:space="0" w:color="auto"/>
                <w:right w:val="none" w:sz="0" w:space="0" w:color="auto"/>
              </w:divBdr>
              <w:divsChild>
                <w:div w:id="1756122056">
                  <w:marLeft w:val="0"/>
                  <w:marRight w:val="0"/>
                  <w:marTop w:val="0"/>
                  <w:marBottom w:val="0"/>
                  <w:divBdr>
                    <w:top w:val="none" w:sz="0" w:space="0" w:color="auto"/>
                    <w:left w:val="none" w:sz="0" w:space="0" w:color="auto"/>
                    <w:bottom w:val="none" w:sz="0" w:space="0" w:color="auto"/>
                    <w:right w:val="none" w:sz="0" w:space="0" w:color="auto"/>
                  </w:divBdr>
                </w:div>
              </w:divsChild>
            </w:div>
            <w:div w:id="1127891786">
              <w:marLeft w:val="0"/>
              <w:marRight w:val="0"/>
              <w:marTop w:val="0"/>
              <w:marBottom w:val="0"/>
              <w:divBdr>
                <w:top w:val="none" w:sz="0" w:space="0" w:color="auto"/>
                <w:left w:val="none" w:sz="0" w:space="0" w:color="auto"/>
                <w:bottom w:val="none" w:sz="0" w:space="0" w:color="auto"/>
                <w:right w:val="none" w:sz="0" w:space="0" w:color="auto"/>
              </w:divBdr>
              <w:divsChild>
                <w:div w:id="1322386154">
                  <w:marLeft w:val="0"/>
                  <w:marRight w:val="0"/>
                  <w:marTop w:val="0"/>
                  <w:marBottom w:val="0"/>
                  <w:divBdr>
                    <w:top w:val="none" w:sz="0" w:space="0" w:color="auto"/>
                    <w:left w:val="none" w:sz="0" w:space="0" w:color="auto"/>
                    <w:bottom w:val="none" w:sz="0" w:space="0" w:color="auto"/>
                    <w:right w:val="none" w:sz="0" w:space="0" w:color="auto"/>
                  </w:divBdr>
                </w:div>
              </w:divsChild>
            </w:div>
            <w:div w:id="53699188">
              <w:marLeft w:val="0"/>
              <w:marRight w:val="0"/>
              <w:marTop w:val="0"/>
              <w:marBottom w:val="0"/>
              <w:divBdr>
                <w:top w:val="none" w:sz="0" w:space="0" w:color="auto"/>
                <w:left w:val="none" w:sz="0" w:space="0" w:color="auto"/>
                <w:bottom w:val="none" w:sz="0" w:space="0" w:color="auto"/>
                <w:right w:val="none" w:sz="0" w:space="0" w:color="auto"/>
              </w:divBdr>
              <w:divsChild>
                <w:div w:id="304891215">
                  <w:marLeft w:val="0"/>
                  <w:marRight w:val="0"/>
                  <w:marTop w:val="0"/>
                  <w:marBottom w:val="0"/>
                  <w:divBdr>
                    <w:top w:val="none" w:sz="0" w:space="0" w:color="auto"/>
                    <w:left w:val="none" w:sz="0" w:space="0" w:color="auto"/>
                    <w:bottom w:val="none" w:sz="0" w:space="0" w:color="auto"/>
                    <w:right w:val="none" w:sz="0" w:space="0" w:color="auto"/>
                  </w:divBdr>
                </w:div>
              </w:divsChild>
            </w:div>
            <w:div w:id="222763847">
              <w:marLeft w:val="0"/>
              <w:marRight w:val="0"/>
              <w:marTop w:val="0"/>
              <w:marBottom w:val="0"/>
              <w:divBdr>
                <w:top w:val="none" w:sz="0" w:space="0" w:color="auto"/>
                <w:left w:val="none" w:sz="0" w:space="0" w:color="auto"/>
                <w:bottom w:val="none" w:sz="0" w:space="0" w:color="auto"/>
                <w:right w:val="none" w:sz="0" w:space="0" w:color="auto"/>
              </w:divBdr>
              <w:divsChild>
                <w:div w:id="446432036">
                  <w:marLeft w:val="0"/>
                  <w:marRight w:val="0"/>
                  <w:marTop w:val="0"/>
                  <w:marBottom w:val="0"/>
                  <w:divBdr>
                    <w:top w:val="none" w:sz="0" w:space="0" w:color="auto"/>
                    <w:left w:val="none" w:sz="0" w:space="0" w:color="auto"/>
                    <w:bottom w:val="none" w:sz="0" w:space="0" w:color="auto"/>
                    <w:right w:val="none" w:sz="0" w:space="0" w:color="auto"/>
                  </w:divBdr>
                </w:div>
              </w:divsChild>
            </w:div>
            <w:div w:id="479076371">
              <w:marLeft w:val="0"/>
              <w:marRight w:val="0"/>
              <w:marTop w:val="0"/>
              <w:marBottom w:val="0"/>
              <w:divBdr>
                <w:top w:val="none" w:sz="0" w:space="0" w:color="auto"/>
                <w:left w:val="none" w:sz="0" w:space="0" w:color="auto"/>
                <w:bottom w:val="none" w:sz="0" w:space="0" w:color="auto"/>
                <w:right w:val="none" w:sz="0" w:space="0" w:color="auto"/>
              </w:divBdr>
              <w:divsChild>
                <w:div w:id="2991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3030">
          <w:marLeft w:val="0"/>
          <w:marRight w:val="0"/>
          <w:marTop w:val="0"/>
          <w:marBottom w:val="0"/>
          <w:divBdr>
            <w:top w:val="none" w:sz="0" w:space="0" w:color="auto"/>
            <w:left w:val="none" w:sz="0" w:space="0" w:color="auto"/>
            <w:bottom w:val="none" w:sz="0" w:space="0" w:color="auto"/>
            <w:right w:val="none" w:sz="0" w:space="0" w:color="auto"/>
          </w:divBdr>
          <w:divsChild>
            <w:div w:id="1853031790">
              <w:marLeft w:val="0"/>
              <w:marRight w:val="0"/>
              <w:marTop w:val="0"/>
              <w:marBottom w:val="0"/>
              <w:divBdr>
                <w:top w:val="none" w:sz="0" w:space="0" w:color="auto"/>
                <w:left w:val="none" w:sz="0" w:space="0" w:color="auto"/>
                <w:bottom w:val="none" w:sz="0" w:space="0" w:color="auto"/>
                <w:right w:val="none" w:sz="0" w:space="0" w:color="auto"/>
              </w:divBdr>
              <w:divsChild>
                <w:div w:id="396321695">
                  <w:marLeft w:val="0"/>
                  <w:marRight w:val="0"/>
                  <w:marTop w:val="0"/>
                  <w:marBottom w:val="0"/>
                  <w:divBdr>
                    <w:top w:val="none" w:sz="0" w:space="0" w:color="auto"/>
                    <w:left w:val="none" w:sz="0" w:space="0" w:color="auto"/>
                    <w:bottom w:val="none" w:sz="0" w:space="0" w:color="auto"/>
                    <w:right w:val="none" w:sz="0" w:space="0" w:color="auto"/>
                  </w:divBdr>
                </w:div>
              </w:divsChild>
            </w:div>
            <w:div w:id="1740404474">
              <w:marLeft w:val="0"/>
              <w:marRight w:val="0"/>
              <w:marTop w:val="0"/>
              <w:marBottom w:val="0"/>
              <w:divBdr>
                <w:top w:val="none" w:sz="0" w:space="0" w:color="auto"/>
                <w:left w:val="none" w:sz="0" w:space="0" w:color="auto"/>
                <w:bottom w:val="none" w:sz="0" w:space="0" w:color="auto"/>
                <w:right w:val="none" w:sz="0" w:space="0" w:color="auto"/>
              </w:divBdr>
              <w:divsChild>
                <w:div w:id="1554075880">
                  <w:marLeft w:val="0"/>
                  <w:marRight w:val="0"/>
                  <w:marTop w:val="0"/>
                  <w:marBottom w:val="0"/>
                  <w:divBdr>
                    <w:top w:val="none" w:sz="0" w:space="0" w:color="auto"/>
                    <w:left w:val="none" w:sz="0" w:space="0" w:color="auto"/>
                    <w:bottom w:val="none" w:sz="0" w:space="0" w:color="auto"/>
                    <w:right w:val="none" w:sz="0" w:space="0" w:color="auto"/>
                  </w:divBdr>
                </w:div>
              </w:divsChild>
            </w:div>
            <w:div w:id="1408116051">
              <w:marLeft w:val="0"/>
              <w:marRight w:val="0"/>
              <w:marTop w:val="0"/>
              <w:marBottom w:val="0"/>
              <w:divBdr>
                <w:top w:val="none" w:sz="0" w:space="0" w:color="auto"/>
                <w:left w:val="none" w:sz="0" w:space="0" w:color="auto"/>
                <w:bottom w:val="none" w:sz="0" w:space="0" w:color="auto"/>
                <w:right w:val="none" w:sz="0" w:space="0" w:color="auto"/>
              </w:divBdr>
              <w:divsChild>
                <w:div w:id="26739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88384">
          <w:marLeft w:val="0"/>
          <w:marRight w:val="0"/>
          <w:marTop w:val="0"/>
          <w:marBottom w:val="0"/>
          <w:divBdr>
            <w:top w:val="none" w:sz="0" w:space="0" w:color="auto"/>
            <w:left w:val="none" w:sz="0" w:space="0" w:color="auto"/>
            <w:bottom w:val="none" w:sz="0" w:space="0" w:color="auto"/>
            <w:right w:val="none" w:sz="0" w:space="0" w:color="auto"/>
          </w:divBdr>
          <w:divsChild>
            <w:div w:id="576015486">
              <w:marLeft w:val="0"/>
              <w:marRight w:val="0"/>
              <w:marTop w:val="0"/>
              <w:marBottom w:val="0"/>
              <w:divBdr>
                <w:top w:val="none" w:sz="0" w:space="0" w:color="auto"/>
                <w:left w:val="none" w:sz="0" w:space="0" w:color="auto"/>
                <w:bottom w:val="none" w:sz="0" w:space="0" w:color="auto"/>
                <w:right w:val="none" w:sz="0" w:space="0" w:color="auto"/>
              </w:divBdr>
              <w:divsChild>
                <w:div w:id="1320302904">
                  <w:marLeft w:val="0"/>
                  <w:marRight w:val="0"/>
                  <w:marTop w:val="0"/>
                  <w:marBottom w:val="0"/>
                  <w:divBdr>
                    <w:top w:val="none" w:sz="0" w:space="0" w:color="auto"/>
                    <w:left w:val="none" w:sz="0" w:space="0" w:color="auto"/>
                    <w:bottom w:val="none" w:sz="0" w:space="0" w:color="auto"/>
                    <w:right w:val="none" w:sz="0" w:space="0" w:color="auto"/>
                  </w:divBdr>
                </w:div>
              </w:divsChild>
            </w:div>
            <w:div w:id="609511037">
              <w:marLeft w:val="0"/>
              <w:marRight w:val="0"/>
              <w:marTop w:val="0"/>
              <w:marBottom w:val="0"/>
              <w:divBdr>
                <w:top w:val="none" w:sz="0" w:space="0" w:color="auto"/>
                <w:left w:val="none" w:sz="0" w:space="0" w:color="auto"/>
                <w:bottom w:val="none" w:sz="0" w:space="0" w:color="auto"/>
                <w:right w:val="none" w:sz="0" w:space="0" w:color="auto"/>
              </w:divBdr>
              <w:divsChild>
                <w:div w:id="445540470">
                  <w:marLeft w:val="0"/>
                  <w:marRight w:val="0"/>
                  <w:marTop w:val="0"/>
                  <w:marBottom w:val="0"/>
                  <w:divBdr>
                    <w:top w:val="none" w:sz="0" w:space="0" w:color="auto"/>
                    <w:left w:val="none" w:sz="0" w:space="0" w:color="auto"/>
                    <w:bottom w:val="none" w:sz="0" w:space="0" w:color="auto"/>
                    <w:right w:val="none" w:sz="0" w:space="0" w:color="auto"/>
                  </w:divBdr>
                </w:div>
              </w:divsChild>
            </w:div>
            <w:div w:id="1438214076">
              <w:marLeft w:val="0"/>
              <w:marRight w:val="0"/>
              <w:marTop w:val="0"/>
              <w:marBottom w:val="0"/>
              <w:divBdr>
                <w:top w:val="none" w:sz="0" w:space="0" w:color="auto"/>
                <w:left w:val="none" w:sz="0" w:space="0" w:color="auto"/>
                <w:bottom w:val="none" w:sz="0" w:space="0" w:color="auto"/>
                <w:right w:val="none" w:sz="0" w:space="0" w:color="auto"/>
              </w:divBdr>
              <w:divsChild>
                <w:div w:id="209774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3">
          <w:marLeft w:val="0"/>
          <w:marRight w:val="0"/>
          <w:marTop w:val="0"/>
          <w:marBottom w:val="0"/>
          <w:divBdr>
            <w:top w:val="none" w:sz="0" w:space="0" w:color="auto"/>
            <w:left w:val="none" w:sz="0" w:space="0" w:color="auto"/>
            <w:bottom w:val="none" w:sz="0" w:space="0" w:color="auto"/>
            <w:right w:val="none" w:sz="0" w:space="0" w:color="auto"/>
          </w:divBdr>
          <w:divsChild>
            <w:div w:id="710879111">
              <w:marLeft w:val="0"/>
              <w:marRight w:val="0"/>
              <w:marTop w:val="0"/>
              <w:marBottom w:val="0"/>
              <w:divBdr>
                <w:top w:val="none" w:sz="0" w:space="0" w:color="auto"/>
                <w:left w:val="none" w:sz="0" w:space="0" w:color="auto"/>
                <w:bottom w:val="none" w:sz="0" w:space="0" w:color="auto"/>
                <w:right w:val="none" w:sz="0" w:space="0" w:color="auto"/>
              </w:divBdr>
              <w:divsChild>
                <w:div w:id="205391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172657">
          <w:marLeft w:val="0"/>
          <w:marRight w:val="0"/>
          <w:marTop w:val="0"/>
          <w:marBottom w:val="0"/>
          <w:divBdr>
            <w:top w:val="none" w:sz="0" w:space="0" w:color="auto"/>
            <w:left w:val="none" w:sz="0" w:space="0" w:color="auto"/>
            <w:bottom w:val="none" w:sz="0" w:space="0" w:color="auto"/>
            <w:right w:val="none" w:sz="0" w:space="0" w:color="auto"/>
          </w:divBdr>
          <w:divsChild>
            <w:div w:id="1595556658">
              <w:marLeft w:val="0"/>
              <w:marRight w:val="0"/>
              <w:marTop w:val="0"/>
              <w:marBottom w:val="0"/>
              <w:divBdr>
                <w:top w:val="none" w:sz="0" w:space="0" w:color="auto"/>
                <w:left w:val="none" w:sz="0" w:space="0" w:color="auto"/>
                <w:bottom w:val="none" w:sz="0" w:space="0" w:color="auto"/>
                <w:right w:val="none" w:sz="0" w:space="0" w:color="auto"/>
              </w:divBdr>
              <w:divsChild>
                <w:div w:id="1308315022">
                  <w:marLeft w:val="0"/>
                  <w:marRight w:val="0"/>
                  <w:marTop w:val="0"/>
                  <w:marBottom w:val="0"/>
                  <w:divBdr>
                    <w:top w:val="none" w:sz="0" w:space="0" w:color="auto"/>
                    <w:left w:val="none" w:sz="0" w:space="0" w:color="auto"/>
                    <w:bottom w:val="none" w:sz="0" w:space="0" w:color="auto"/>
                    <w:right w:val="none" w:sz="0" w:space="0" w:color="auto"/>
                  </w:divBdr>
                </w:div>
              </w:divsChild>
            </w:div>
            <w:div w:id="1738356835">
              <w:marLeft w:val="0"/>
              <w:marRight w:val="0"/>
              <w:marTop w:val="0"/>
              <w:marBottom w:val="0"/>
              <w:divBdr>
                <w:top w:val="none" w:sz="0" w:space="0" w:color="auto"/>
                <w:left w:val="none" w:sz="0" w:space="0" w:color="auto"/>
                <w:bottom w:val="none" w:sz="0" w:space="0" w:color="auto"/>
                <w:right w:val="none" w:sz="0" w:space="0" w:color="auto"/>
              </w:divBdr>
              <w:divsChild>
                <w:div w:id="1669748">
                  <w:marLeft w:val="0"/>
                  <w:marRight w:val="0"/>
                  <w:marTop w:val="0"/>
                  <w:marBottom w:val="0"/>
                  <w:divBdr>
                    <w:top w:val="none" w:sz="0" w:space="0" w:color="auto"/>
                    <w:left w:val="none" w:sz="0" w:space="0" w:color="auto"/>
                    <w:bottom w:val="none" w:sz="0" w:space="0" w:color="auto"/>
                    <w:right w:val="none" w:sz="0" w:space="0" w:color="auto"/>
                  </w:divBdr>
                </w:div>
              </w:divsChild>
            </w:div>
            <w:div w:id="1869904302">
              <w:marLeft w:val="0"/>
              <w:marRight w:val="0"/>
              <w:marTop w:val="0"/>
              <w:marBottom w:val="0"/>
              <w:divBdr>
                <w:top w:val="none" w:sz="0" w:space="0" w:color="auto"/>
                <w:left w:val="none" w:sz="0" w:space="0" w:color="auto"/>
                <w:bottom w:val="none" w:sz="0" w:space="0" w:color="auto"/>
                <w:right w:val="none" w:sz="0" w:space="0" w:color="auto"/>
              </w:divBdr>
              <w:divsChild>
                <w:div w:id="117403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9978">
          <w:marLeft w:val="0"/>
          <w:marRight w:val="0"/>
          <w:marTop w:val="0"/>
          <w:marBottom w:val="0"/>
          <w:divBdr>
            <w:top w:val="none" w:sz="0" w:space="0" w:color="auto"/>
            <w:left w:val="none" w:sz="0" w:space="0" w:color="auto"/>
            <w:bottom w:val="none" w:sz="0" w:space="0" w:color="auto"/>
            <w:right w:val="none" w:sz="0" w:space="0" w:color="auto"/>
          </w:divBdr>
          <w:divsChild>
            <w:div w:id="1394814216">
              <w:marLeft w:val="0"/>
              <w:marRight w:val="0"/>
              <w:marTop w:val="0"/>
              <w:marBottom w:val="0"/>
              <w:divBdr>
                <w:top w:val="none" w:sz="0" w:space="0" w:color="auto"/>
                <w:left w:val="none" w:sz="0" w:space="0" w:color="auto"/>
                <w:bottom w:val="none" w:sz="0" w:space="0" w:color="auto"/>
                <w:right w:val="none" w:sz="0" w:space="0" w:color="auto"/>
              </w:divBdr>
              <w:divsChild>
                <w:div w:id="8384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836575">
      <w:bodyDiv w:val="1"/>
      <w:marLeft w:val="0"/>
      <w:marRight w:val="0"/>
      <w:marTop w:val="0"/>
      <w:marBottom w:val="0"/>
      <w:divBdr>
        <w:top w:val="none" w:sz="0" w:space="0" w:color="auto"/>
        <w:left w:val="none" w:sz="0" w:space="0" w:color="auto"/>
        <w:bottom w:val="none" w:sz="0" w:space="0" w:color="auto"/>
        <w:right w:val="none" w:sz="0" w:space="0" w:color="auto"/>
      </w:divBdr>
      <w:divsChild>
        <w:div w:id="1292247481">
          <w:marLeft w:val="0"/>
          <w:marRight w:val="0"/>
          <w:marTop w:val="0"/>
          <w:marBottom w:val="0"/>
          <w:divBdr>
            <w:top w:val="none" w:sz="0" w:space="0" w:color="auto"/>
            <w:left w:val="none" w:sz="0" w:space="0" w:color="auto"/>
            <w:bottom w:val="none" w:sz="0" w:space="0" w:color="auto"/>
            <w:right w:val="none" w:sz="0" w:space="0" w:color="auto"/>
          </w:divBdr>
          <w:divsChild>
            <w:div w:id="2072540300">
              <w:marLeft w:val="0"/>
              <w:marRight w:val="0"/>
              <w:marTop w:val="0"/>
              <w:marBottom w:val="0"/>
              <w:divBdr>
                <w:top w:val="none" w:sz="0" w:space="0" w:color="auto"/>
                <w:left w:val="none" w:sz="0" w:space="0" w:color="auto"/>
                <w:bottom w:val="none" w:sz="0" w:space="0" w:color="auto"/>
                <w:right w:val="none" w:sz="0" w:space="0" w:color="auto"/>
              </w:divBdr>
              <w:divsChild>
                <w:div w:id="210025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199490">
      <w:bodyDiv w:val="1"/>
      <w:marLeft w:val="0"/>
      <w:marRight w:val="0"/>
      <w:marTop w:val="0"/>
      <w:marBottom w:val="0"/>
      <w:divBdr>
        <w:top w:val="none" w:sz="0" w:space="0" w:color="auto"/>
        <w:left w:val="none" w:sz="0" w:space="0" w:color="auto"/>
        <w:bottom w:val="none" w:sz="0" w:space="0" w:color="auto"/>
        <w:right w:val="none" w:sz="0" w:space="0" w:color="auto"/>
      </w:divBdr>
      <w:divsChild>
        <w:div w:id="1666980651">
          <w:marLeft w:val="0"/>
          <w:marRight w:val="0"/>
          <w:marTop w:val="0"/>
          <w:marBottom w:val="0"/>
          <w:divBdr>
            <w:top w:val="none" w:sz="0" w:space="0" w:color="auto"/>
            <w:left w:val="none" w:sz="0" w:space="0" w:color="auto"/>
            <w:bottom w:val="none" w:sz="0" w:space="0" w:color="auto"/>
            <w:right w:val="none" w:sz="0" w:space="0" w:color="auto"/>
          </w:divBdr>
          <w:divsChild>
            <w:div w:id="1779786841">
              <w:marLeft w:val="0"/>
              <w:marRight w:val="0"/>
              <w:marTop w:val="0"/>
              <w:marBottom w:val="0"/>
              <w:divBdr>
                <w:top w:val="none" w:sz="0" w:space="0" w:color="auto"/>
                <w:left w:val="none" w:sz="0" w:space="0" w:color="auto"/>
                <w:bottom w:val="none" w:sz="0" w:space="0" w:color="auto"/>
                <w:right w:val="none" w:sz="0" w:space="0" w:color="auto"/>
              </w:divBdr>
              <w:divsChild>
                <w:div w:id="60176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53195">
      <w:bodyDiv w:val="1"/>
      <w:marLeft w:val="0"/>
      <w:marRight w:val="0"/>
      <w:marTop w:val="0"/>
      <w:marBottom w:val="0"/>
      <w:divBdr>
        <w:top w:val="none" w:sz="0" w:space="0" w:color="auto"/>
        <w:left w:val="none" w:sz="0" w:space="0" w:color="auto"/>
        <w:bottom w:val="none" w:sz="0" w:space="0" w:color="auto"/>
        <w:right w:val="none" w:sz="0" w:space="0" w:color="auto"/>
      </w:divBdr>
    </w:div>
    <w:div w:id="1481654104">
      <w:bodyDiv w:val="1"/>
      <w:marLeft w:val="0"/>
      <w:marRight w:val="0"/>
      <w:marTop w:val="0"/>
      <w:marBottom w:val="0"/>
      <w:divBdr>
        <w:top w:val="none" w:sz="0" w:space="0" w:color="auto"/>
        <w:left w:val="none" w:sz="0" w:space="0" w:color="auto"/>
        <w:bottom w:val="none" w:sz="0" w:space="0" w:color="auto"/>
        <w:right w:val="none" w:sz="0" w:space="0" w:color="auto"/>
      </w:divBdr>
      <w:divsChild>
        <w:div w:id="331765708">
          <w:marLeft w:val="0"/>
          <w:marRight w:val="0"/>
          <w:marTop w:val="0"/>
          <w:marBottom w:val="0"/>
          <w:divBdr>
            <w:top w:val="none" w:sz="0" w:space="0" w:color="auto"/>
            <w:left w:val="none" w:sz="0" w:space="0" w:color="auto"/>
            <w:bottom w:val="none" w:sz="0" w:space="0" w:color="auto"/>
            <w:right w:val="none" w:sz="0" w:space="0" w:color="auto"/>
          </w:divBdr>
          <w:divsChild>
            <w:div w:id="1897937574">
              <w:marLeft w:val="0"/>
              <w:marRight w:val="0"/>
              <w:marTop w:val="0"/>
              <w:marBottom w:val="0"/>
              <w:divBdr>
                <w:top w:val="none" w:sz="0" w:space="0" w:color="auto"/>
                <w:left w:val="none" w:sz="0" w:space="0" w:color="auto"/>
                <w:bottom w:val="none" w:sz="0" w:space="0" w:color="auto"/>
                <w:right w:val="none" w:sz="0" w:space="0" w:color="auto"/>
              </w:divBdr>
              <w:divsChild>
                <w:div w:id="5969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41516">
      <w:bodyDiv w:val="1"/>
      <w:marLeft w:val="0"/>
      <w:marRight w:val="0"/>
      <w:marTop w:val="0"/>
      <w:marBottom w:val="0"/>
      <w:divBdr>
        <w:top w:val="none" w:sz="0" w:space="0" w:color="auto"/>
        <w:left w:val="none" w:sz="0" w:space="0" w:color="auto"/>
        <w:bottom w:val="none" w:sz="0" w:space="0" w:color="auto"/>
        <w:right w:val="none" w:sz="0" w:space="0" w:color="auto"/>
      </w:divBdr>
      <w:divsChild>
        <w:div w:id="1037198282">
          <w:marLeft w:val="0"/>
          <w:marRight w:val="0"/>
          <w:marTop w:val="0"/>
          <w:marBottom w:val="0"/>
          <w:divBdr>
            <w:top w:val="none" w:sz="0" w:space="0" w:color="auto"/>
            <w:left w:val="none" w:sz="0" w:space="0" w:color="auto"/>
            <w:bottom w:val="none" w:sz="0" w:space="0" w:color="auto"/>
            <w:right w:val="none" w:sz="0" w:space="0" w:color="auto"/>
          </w:divBdr>
          <w:divsChild>
            <w:div w:id="1194921930">
              <w:marLeft w:val="0"/>
              <w:marRight w:val="0"/>
              <w:marTop w:val="0"/>
              <w:marBottom w:val="0"/>
              <w:divBdr>
                <w:top w:val="none" w:sz="0" w:space="0" w:color="auto"/>
                <w:left w:val="none" w:sz="0" w:space="0" w:color="auto"/>
                <w:bottom w:val="none" w:sz="0" w:space="0" w:color="auto"/>
                <w:right w:val="none" w:sz="0" w:space="0" w:color="auto"/>
              </w:divBdr>
              <w:divsChild>
                <w:div w:id="54102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061073">
      <w:bodyDiv w:val="1"/>
      <w:marLeft w:val="0"/>
      <w:marRight w:val="0"/>
      <w:marTop w:val="0"/>
      <w:marBottom w:val="0"/>
      <w:divBdr>
        <w:top w:val="none" w:sz="0" w:space="0" w:color="auto"/>
        <w:left w:val="none" w:sz="0" w:space="0" w:color="auto"/>
        <w:bottom w:val="none" w:sz="0" w:space="0" w:color="auto"/>
        <w:right w:val="none" w:sz="0" w:space="0" w:color="auto"/>
      </w:divBdr>
    </w:div>
    <w:div w:id="1628196581">
      <w:bodyDiv w:val="1"/>
      <w:marLeft w:val="0"/>
      <w:marRight w:val="0"/>
      <w:marTop w:val="0"/>
      <w:marBottom w:val="0"/>
      <w:divBdr>
        <w:top w:val="none" w:sz="0" w:space="0" w:color="auto"/>
        <w:left w:val="none" w:sz="0" w:space="0" w:color="auto"/>
        <w:bottom w:val="none" w:sz="0" w:space="0" w:color="auto"/>
        <w:right w:val="none" w:sz="0" w:space="0" w:color="auto"/>
      </w:divBdr>
      <w:divsChild>
        <w:div w:id="2100172107">
          <w:marLeft w:val="0"/>
          <w:marRight w:val="0"/>
          <w:marTop w:val="0"/>
          <w:marBottom w:val="0"/>
          <w:divBdr>
            <w:top w:val="none" w:sz="0" w:space="0" w:color="auto"/>
            <w:left w:val="none" w:sz="0" w:space="0" w:color="auto"/>
            <w:bottom w:val="none" w:sz="0" w:space="0" w:color="auto"/>
            <w:right w:val="none" w:sz="0" w:space="0" w:color="auto"/>
          </w:divBdr>
          <w:divsChild>
            <w:div w:id="1067190603">
              <w:marLeft w:val="0"/>
              <w:marRight w:val="0"/>
              <w:marTop w:val="0"/>
              <w:marBottom w:val="0"/>
              <w:divBdr>
                <w:top w:val="none" w:sz="0" w:space="0" w:color="auto"/>
                <w:left w:val="none" w:sz="0" w:space="0" w:color="auto"/>
                <w:bottom w:val="none" w:sz="0" w:space="0" w:color="auto"/>
                <w:right w:val="none" w:sz="0" w:space="0" w:color="auto"/>
              </w:divBdr>
              <w:divsChild>
                <w:div w:id="75047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15038">
      <w:bodyDiv w:val="1"/>
      <w:marLeft w:val="0"/>
      <w:marRight w:val="0"/>
      <w:marTop w:val="0"/>
      <w:marBottom w:val="0"/>
      <w:divBdr>
        <w:top w:val="none" w:sz="0" w:space="0" w:color="auto"/>
        <w:left w:val="none" w:sz="0" w:space="0" w:color="auto"/>
        <w:bottom w:val="none" w:sz="0" w:space="0" w:color="auto"/>
        <w:right w:val="none" w:sz="0" w:space="0" w:color="auto"/>
      </w:divBdr>
      <w:divsChild>
        <w:div w:id="299649352">
          <w:marLeft w:val="0"/>
          <w:marRight w:val="0"/>
          <w:marTop w:val="0"/>
          <w:marBottom w:val="0"/>
          <w:divBdr>
            <w:top w:val="none" w:sz="0" w:space="0" w:color="auto"/>
            <w:left w:val="none" w:sz="0" w:space="0" w:color="auto"/>
            <w:bottom w:val="none" w:sz="0" w:space="0" w:color="auto"/>
            <w:right w:val="none" w:sz="0" w:space="0" w:color="auto"/>
          </w:divBdr>
          <w:divsChild>
            <w:div w:id="1705401077">
              <w:marLeft w:val="0"/>
              <w:marRight w:val="0"/>
              <w:marTop w:val="0"/>
              <w:marBottom w:val="0"/>
              <w:divBdr>
                <w:top w:val="none" w:sz="0" w:space="0" w:color="auto"/>
                <w:left w:val="none" w:sz="0" w:space="0" w:color="auto"/>
                <w:bottom w:val="none" w:sz="0" w:space="0" w:color="auto"/>
                <w:right w:val="none" w:sz="0" w:space="0" w:color="auto"/>
              </w:divBdr>
              <w:divsChild>
                <w:div w:id="54440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497176">
      <w:bodyDiv w:val="1"/>
      <w:marLeft w:val="0"/>
      <w:marRight w:val="0"/>
      <w:marTop w:val="0"/>
      <w:marBottom w:val="0"/>
      <w:divBdr>
        <w:top w:val="none" w:sz="0" w:space="0" w:color="auto"/>
        <w:left w:val="none" w:sz="0" w:space="0" w:color="auto"/>
        <w:bottom w:val="none" w:sz="0" w:space="0" w:color="auto"/>
        <w:right w:val="none" w:sz="0" w:space="0" w:color="auto"/>
      </w:divBdr>
    </w:div>
    <w:div w:id="1854144980">
      <w:bodyDiv w:val="1"/>
      <w:marLeft w:val="0"/>
      <w:marRight w:val="0"/>
      <w:marTop w:val="0"/>
      <w:marBottom w:val="0"/>
      <w:divBdr>
        <w:top w:val="none" w:sz="0" w:space="0" w:color="auto"/>
        <w:left w:val="none" w:sz="0" w:space="0" w:color="auto"/>
        <w:bottom w:val="none" w:sz="0" w:space="0" w:color="auto"/>
        <w:right w:val="none" w:sz="0" w:space="0" w:color="auto"/>
      </w:divBdr>
      <w:divsChild>
        <w:div w:id="1754745180">
          <w:marLeft w:val="0"/>
          <w:marRight w:val="0"/>
          <w:marTop w:val="0"/>
          <w:marBottom w:val="0"/>
          <w:divBdr>
            <w:top w:val="none" w:sz="0" w:space="0" w:color="auto"/>
            <w:left w:val="none" w:sz="0" w:space="0" w:color="auto"/>
            <w:bottom w:val="none" w:sz="0" w:space="0" w:color="auto"/>
            <w:right w:val="none" w:sz="0" w:space="0" w:color="auto"/>
          </w:divBdr>
          <w:divsChild>
            <w:div w:id="1941987985">
              <w:marLeft w:val="0"/>
              <w:marRight w:val="0"/>
              <w:marTop w:val="0"/>
              <w:marBottom w:val="0"/>
              <w:divBdr>
                <w:top w:val="none" w:sz="0" w:space="0" w:color="auto"/>
                <w:left w:val="none" w:sz="0" w:space="0" w:color="auto"/>
                <w:bottom w:val="none" w:sz="0" w:space="0" w:color="auto"/>
                <w:right w:val="none" w:sz="0" w:space="0" w:color="auto"/>
              </w:divBdr>
              <w:divsChild>
                <w:div w:id="15545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684809">
      <w:bodyDiv w:val="1"/>
      <w:marLeft w:val="0"/>
      <w:marRight w:val="0"/>
      <w:marTop w:val="0"/>
      <w:marBottom w:val="0"/>
      <w:divBdr>
        <w:top w:val="none" w:sz="0" w:space="0" w:color="auto"/>
        <w:left w:val="none" w:sz="0" w:space="0" w:color="auto"/>
        <w:bottom w:val="none" w:sz="0" w:space="0" w:color="auto"/>
        <w:right w:val="none" w:sz="0" w:space="0" w:color="auto"/>
      </w:divBdr>
      <w:divsChild>
        <w:div w:id="273175260">
          <w:marLeft w:val="0"/>
          <w:marRight w:val="0"/>
          <w:marTop w:val="0"/>
          <w:marBottom w:val="0"/>
          <w:divBdr>
            <w:top w:val="none" w:sz="0" w:space="0" w:color="auto"/>
            <w:left w:val="none" w:sz="0" w:space="0" w:color="auto"/>
            <w:bottom w:val="none" w:sz="0" w:space="0" w:color="auto"/>
            <w:right w:val="none" w:sz="0" w:space="0" w:color="auto"/>
          </w:divBdr>
          <w:divsChild>
            <w:div w:id="1732852413">
              <w:marLeft w:val="0"/>
              <w:marRight w:val="0"/>
              <w:marTop w:val="0"/>
              <w:marBottom w:val="0"/>
              <w:divBdr>
                <w:top w:val="none" w:sz="0" w:space="0" w:color="auto"/>
                <w:left w:val="none" w:sz="0" w:space="0" w:color="auto"/>
                <w:bottom w:val="none" w:sz="0" w:space="0" w:color="auto"/>
                <w:right w:val="none" w:sz="0" w:space="0" w:color="auto"/>
              </w:divBdr>
              <w:divsChild>
                <w:div w:id="373237292">
                  <w:marLeft w:val="0"/>
                  <w:marRight w:val="0"/>
                  <w:marTop w:val="0"/>
                  <w:marBottom w:val="0"/>
                  <w:divBdr>
                    <w:top w:val="none" w:sz="0" w:space="0" w:color="auto"/>
                    <w:left w:val="none" w:sz="0" w:space="0" w:color="auto"/>
                    <w:bottom w:val="none" w:sz="0" w:space="0" w:color="auto"/>
                    <w:right w:val="none" w:sz="0" w:space="0" w:color="auto"/>
                  </w:divBdr>
                  <w:divsChild>
                    <w:div w:id="43479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1281528">
      <w:bodyDiv w:val="1"/>
      <w:marLeft w:val="0"/>
      <w:marRight w:val="0"/>
      <w:marTop w:val="0"/>
      <w:marBottom w:val="0"/>
      <w:divBdr>
        <w:top w:val="none" w:sz="0" w:space="0" w:color="auto"/>
        <w:left w:val="none" w:sz="0" w:space="0" w:color="auto"/>
        <w:bottom w:val="none" w:sz="0" w:space="0" w:color="auto"/>
        <w:right w:val="none" w:sz="0" w:space="0" w:color="auto"/>
      </w:divBdr>
      <w:divsChild>
        <w:div w:id="1976639013">
          <w:marLeft w:val="0"/>
          <w:marRight w:val="0"/>
          <w:marTop w:val="0"/>
          <w:marBottom w:val="0"/>
          <w:divBdr>
            <w:top w:val="none" w:sz="0" w:space="0" w:color="auto"/>
            <w:left w:val="none" w:sz="0" w:space="0" w:color="auto"/>
            <w:bottom w:val="none" w:sz="0" w:space="0" w:color="auto"/>
            <w:right w:val="none" w:sz="0" w:space="0" w:color="auto"/>
          </w:divBdr>
          <w:divsChild>
            <w:div w:id="882252565">
              <w:marLeft w:val="0"/>
              <w:marRight w:val="0"/>
              <w:marTop w:val="0"/>
              <w:marBottom w:val="0"/>
              <w:divBdr>
                <w:top w:val="none" w:sz="0" w:space="0" w:color="auto"/>
                <w:left w:val="none" w:sz="0" w:space="0" w:color="auto"/>
                <w:bottom w:val="none" w:sz="0" w:space="0" w:color="auto"/>
                <w:right w:val="none" w:sz="0" w:space="0" w:color="auto"/>
              </w:divBdr>
              <w:divsChild>
                <w:div w:id="466703180">
                  <w:marLeft w:val="0"/>
                  <w:marRight w:val="0"/>
                  <w:marTop w:val="0"/>
                  <w:marBottom w:val="0"/>
                  <w:divBdr>
                    <w:top w:val="none" w:sz="0" w:space="0" w:color="auto"/>
                    <w:left w:val="none" w:sz="0" w:space="0" w:color="auto"/>
                    <w:bottom w:val="none" w:sz="0" w:space="0" w:color="auto"/>
                    <w:right w:val="none" w:sz="0" w:space="0" w:color="auto"/>
                  </w:divBdr>
                  <w:divsChild>
                    <w:div w:id="19866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18881">
      <w:bodyDiv w:val="1"/>
      <w:marLeft w:val="0"/>
      <w:marRight w:val="0"/>
      <w:marTop w:val="0"/>
      <w:marBottom w:val="0"/>
      <w:divBdr>
        <w:top w:val="none" w:sz="0" w:space="0" w:color="auto"/>
        <w:left w:val="none" w:sz="0" w:space="0" w:color="auto"/>
        <w:bottom w:val="none" w:sz="0" w:space="0" w:color="auto"/>
        <w:right w:val="none" w:sz="0" w:space="0" w:color="auto"/>
      </w:divBdr>
      <w:divsChild>
        <w:div w:id="2092197885">
          <w:marLeft w:val="0"/>
          <w:marRight w:val="0"/>
          <w:marTop w:val="0"/>
          <w:marBottom w:val="0"/>
          <w:divBdr>
            <w:top w:val="none" w:sz="0" w:space="0" w:color="auto"/>
            <w:left w:val="none" w:sz="0" w:space="0" w:color="auto"/>
            <w:bottom w:val="none" w:sz="0" w:space="0" w:color="auto"/>
            <w:right w:val="none" w:sz="0" w:space="0" w:color="auto"/>
          </w:divBdr>
          <w:divsChild>
            <w:div w:id="620504006">
              <w:marLeft w:val="0"/>
              <w:marRight w:val="0"/>
              <w:marTop w:val="0"/>
              <w:marBottom w:val="0"/>
              <w:divBdr>
                <w:top w:val="none" w:sz="0" w:space="0" w:color="auto"/>
                <w:left w:val="none" w:sz="0" w:space="0" w:color="auto"/>
                <w:bottom w:val="none" w:sz="0" w:space="0" w:color="auto"/>
                <w:right w:val="none" w:sz="0" w:space="0" w:color="auto"/>
              </w:divBdr>
              <w:divsChild>
                <w:div w:id="164773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901115">
      <w:bodyDiv w:val="1"/>
      <w:marLeft w:val="0"/>
      <w:marRight w:val="0"/>
      <w:marTop w:val="0"/>
      <w:marBottom w:val="0"/>
      <w:divBdr>
        <w:top w:val="none" w:sz="0" w:space="0" w:color="auto"/>
        <w:left w:val="none" w:sz="0" w:space="0" w:color="auto"/>
        <w:bottom w:val="none" w:sz="0" w:space="0" w:color="auto"/>
        <w:right w:val="none" w:sz="0" w:space="0" w:color="auto"/>
      </w:divBdr>
      <w:divsChild>
        <w:div w:id="427775295">
          <w:marLeft w:val="0"/>
          <w:marRight w:val="0"/>
          <w:marTop w:val="0"/>
          <w:marBottom w:val="0"/>
          <w:divBdr>
            <w:top w:val="none" w:sz="0" w:space="0" w:color="auto"/>
            <w:left w:val="none" w:sz="0" w:space="0" w:color="auto"/>
            <w:bottom w:val="none" w:sz="0" w:space="0" w:color="auto"/>
            <w:right w:val="none" w:sz="0" w:space="0" w:color="auto"/>
          </w:divBdr>
          <w:divsChild>
            <w:div w:id="1551649764">
              <w:marLeft w:val="0"/>
              <w:marRight w:val="0"/>
              <w:marTop w:val="0"/>
              <w:marBottom w:val="0"/>
              <w:divBdr>
                <w:top w:val="none" w:sz="0" w:space="0" w:color="auto"/>
                <w:left w:val="none" w:sz="0" w:space="0" w:color="auto"/>
                <w:bottom w:val="none" w:sz="0" w:space="0" w:color="auto"/>
                <w:right w:val="none" w:sz="0" w:space="0" w:color="auto"/>
              </w:divBdr>
              <w:divsChild>
                <w:div w:id="4850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9908">
      <w:bodyDiv w:val="1"/>
      <w:marLeft w:val="0"/>
      <w:marRight w:val="0"/>
      <w:marTop w:val="0"/>
      <w:marBottom w:val="0"/>
      <w:divBdr>
        <w:top w:val="none" w:sz="0" w:space="0" w:color="auto"/>
        <w:left w:val="none" w:sz="0" w:space="0" w:color="auto"/>
        <w:bottom w:val="none" w:sz="0" w:space="0" w:color="auto"/>
        <w:right w:val="none" w:sz="0" w:space="0" w:color="auto"/>
      </w:divBdr>
      <w:divsChild>
        <w:div w:id="1201090837">
          <w:marLeft w:val="0"/>
          <w:marRight w:val="0"/>
          <w:marTop w:val="0"/>
          <w:marBottom w:val="0"/>
          <w:divBdr>
            <w:top w:val="none" w:sz="0" w:space="0" w:color="auto"/>
            <w:left w:val="none" w:sz="0" w:space="0" w:color="auto"/>
            <w:bottom w:val="none" w:sz="0" w:space="0" w:color="auto"/>
            <w:right w:val="none" w:sz="0" w:space="0" w:color="auto"/>
          </w:divBdr>
          <w:divsChild>
            <w:div w:id="1406955256">
              <w:marLeft w:val="0"/>
              <w:marRight w:val="0"/>
              <w:marTop w:val="0"/>
              <w:marBottom w:val="0"/>
              <w:divBdr>
                <w:top w:val="none" w:sz="0" w:space="0" w:color="auto"/>
                <w:left w:val="none" w:sz="0" w:space="0" w:color="auto"/>
                <w:bottom w:val="none" w:sz="0" w:space="0" w:color="auto"/>
                <w:right w:val="none" w:sz="0" w:space="0" w:color="auto"/>
              </w:divBdr>
              <w:divsChild>
                <w:div w:id="170887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071883">
      <w:bodyDiv w:val="1"/>
      <w:marLeft w:val="0"/>
      <w:marRight w:val="0"/>
      <w:marTop w:val="0"/>
      <w:marBottom w:val="0"/>
      <w:divBdr>
        <w:top w:val="none" w:sz="0" w:space="0" w:color="auto"/>
        <w:left w:val="none" w:sz="0" w:space="0" w:color="auto"/>
        <w:bottom w:val="none" w:sz="0" w:space="0" w:color="auto"/>
        <w:right w:val="none" w:sz="0" w:space="0" w:color="auto"/>
      </w:divBdr>
      <w:divsChild>
        <w:div w:id="154886211">
          <w:marLeft w:val="0"/>
          <w:marRight w:val="0"/>
          <w:marTop w:val="0"/>
          <w:marBottom w:val="0"/>
          <w:divBdr>
            <w:top w:val="none" w:sz="0" w:space="0" w:color="auto"/>
            <w:left w:val="none" w:sz="0" w:space="0" w:color="auto"/>
            <w:bottom w:val="none" w:sz="0" w:space="0" w:color="auto"/>
            <w:right w:val="none" w:sz="0" w:space="0" w:color="auto"/>
          </w:divBdr>
          <w:divsChild>
            <w:div w:id="1247962866">
              <w:marLeft w:val="0"/>
              <w:marRight w:val="0"/>
              <w:marTop w:val="0"/>
              <w:marBottom w:val="0"/>
              <w:divBdr>
                <w:top w:val="none" w:sz="0" w:space="0" w:color="auto"/>
                <w:left w:val="none" w:sz="0" w:space="0" w:color="auto"/>
                <w:bottom w:val="none" w:sz="0" w:space="0" w:color="auto"/>
                <w:right w:val="none" w:sz="0" w:space="0" w:color="auto"/>
              </w:divBdr>
              <w:divsChild>
                <w:div w:id="54684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A5493-CB9D-49A1-83CD-1F46274E0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12</Pages>
  <Words>5018</Words>
  <Characters>27604</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GP</dc:creator>
  <cp:keywords/>
  <dc:description/>
  <cp:lastModifiedBy>Larissa BAHLOU KOULOU</cp:lastModifiedBy>
  <cp:revision>29</cp:revision>
  <dcterms:created xsi:type="dcterms:W3CDTF">2023-11-03T10:52:00Z</dcterms:created>
  <dcterms:modified xsi:type="dcterms:W3CDTF">2023-11-03T12:33:00Z</dcterms:modified>
</cp:coreProperties>
</file>