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BF017" w14:textId="77777777" w:rsidR="001C2762" w:rsidRPr="0025566E" w:rsidRDefault="001C2762" w:rsidP="001C2762">
      <w:p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t xml:space="preserve">Union </w:t>
      </w:r>
      <w:proofErr w:type="spellStart"/>
      <w:r w:rsidRPr="0025566E">
        <w:rPr>
          <w:rFonts w:asciiTheme="minorHAnsi" w:hAnsiTheme="minorHAnsi" w:cstheme="minorHAnsi"/>
          <w:sz w:val="22"/>
          <w:szCs w:val="22"/>
        </w:rPr>
        <w:t>Monétaire</w:t>
      </w:r>
      <w:proofErr w:type="spellEnd"/>
      <w:r w:rsidRPr="0025566E">
        <w:rPr>
          <w:rFonts w:asciiTheme="minorHAnsi" w:hAnsiTheme="minorHAnsi" w:cstheme="minorHAnsi"/>
          <w:sz w:val="22"/>
          <w:szCs w:val="22"/>
        </w:rPr>
        <w:t xml:space="preserve"> de l'Afrique Centrale </w:t>
      </w:r>
    </w:p>
    <w:p w14:paraId="6D564C76" w14:textId="77777777" w:rsidR="001C2762" w:rsidRPr="0025566E" w:rsidRDefault="001C2762" w:rsidP="001C2762">
      <w:p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t xml:space="preserve">Commission de Surveillance du Marché </w:t>
      </w:r>
    </w:p>
    <w:p w14:paraId="22C04E38" w14:textId="77777777" w:rsidR="001C2762" w:rsidRPr="0025566E" w:rsidRDefault="001C2762" w:rsidP="001C2762">
      <w:pPr>
        <w:spacing w:before="100" w:beforeAutospacing="1" w:after="100" w:afterAutospacing="1"/>
        <w:ind w:left="284"/>
        <w:rPr>
          <w:rFonts w:asciiTheme="minorHAnsi" w:hAnsiTheme="minorHAnsi" w:cstheme="minorHAnsi"/>
          <w:sz w:val="22"/>
          <w:szCs w:val="22"/>
        </w:rPr>
      </w:pPr>
      <w:r w:rsidRPr="0025566E">
        <w:rPr>
          <w:rFonts w:asciiTheme="minorHAnsi" w:hAnsiTheme="minorHAnsi" w:cstheme="minorHAnsi"/>
          <w:sz w:val="22"/>
          <w:szCs w:val="22"/>
        </w:rPr>
        <w:t xml:space="preserve">Financier de l'Afrique centrale </w:t>
      </w:r>
    </w:p>
    <w:p w14:paraId="46857DDB" w14:textId="77777777" w:rsidR="001C2762" w:rsidRPr="0025566E" w:rsidRDefault="001C2762" w:rsidP="001C2762">
      <w:pPr>
        <w:spacing w:before="100" w:beforeAutospacing="1" w:after="100" w:afterAutospacing="1"/>
        <w:ind w:left="709"/>
        <w:rPr>
          <w:rFonts w:asciiTheme="minorHAnsi" w:hAnsiTheme="minorHAnsi" w:cstheme="minorHAnsi"/>
          <w:sz w:val="22"/>
          <w:szCs w:val="22"/>
        </w:rPr>
      </w:pPr>
      <w:r w:rsidRPr="0025566E">
        <w:rPr>
          <w:rFonts w:asciiTheme="minorHAnsi" w:hAnsiTheme="minorHAnsi" w:cstheme="minorHAnsi"/>
          <w:sz w:val="22"/>
          <w:szCs w:val="22"/>
        </w:rPr>
        <w:t xml:space="preserve">COSUMAF </w:t>
      </w:r>
    </w:p>
    <w:p w14:paraId="0A3A074A" w14:textId="77777777" w:rsidR="001C2762" w:rsidRPr="0025566E" w:rsidRDefault="001C2762" w:rsidP="001C2762">
      <w:pPr>
        <w:pStyle w:val="NormalWeb"/>
        <w:jc w:val="center"/>
        <w:rPr>
          <w:rFonts w:asciiTheme="minorHAnsi" w:hAnsiTheme="minorHAnsi" w:cstheme="minorHAnsi"/>
          <w:sz w:val="22"/>
          <w:szCs w:val="22"/>
        </w:rPr>
      </w:pPr>
    </w:p>
    <w:p w14:paraId="6F36555B" w14:textId="4D0D1112" w:rsidR="001C2762" w:rsidRPr="0025566E" w:rsidRDefault="001C2762" w:rsidP="001C2762">
      <w:pPr>
        <w:pStyle w:val="NormalWeb"/>
        <w:jc w:val="center"/>
        <w:rPr>
          <w:rFonts w:asciiTheme="minorHAnsi" w:hAnsiTheme="minorHAnsi" w:cstheme="minorHAnsi"/>
          <w:b/>
          <w:sz w:val="22"/>
          <w:szCs w:val="22"/>
        </w:rPr>
      </w:pPr>
      <w:r w:rsidRPr="0025566E">
        <w:rPr>
          <w:rFonts w:asciiTheme="minorHAnsi" w:hAnsiTheme="minorHAnsi" w:cstheme="minorHAnsi"/>
          <w:b/>
          <w:sz w:val="22"/>
          <w:szCs w:val="22"/>
        </w:rPr>
        <w:t xml:space="preserve">INSTRUCTION COSUMAF n° </w:t>
      </w:r>
      <w:r w:rsidR="0025566E" w:rsidRPr="0025566E">
        <w:rPr>
          <w:rFonts w:asciiTheme="minorHAnsi" w:hAnsiTheme="minorHAnsi" w:cstheme="minorHAnsi"/>
          <w:b/>
          <w:sz w:val="22"/>
          <w:szCs w:val="22"/>
        </w:rPr>
        <w:t>XX</w:t>
      </w:r>
      <w:r w:rsidRPr="0025566E">
        <w:rPr>
          <w:rFonts w:asciiTheme="minorHAnsi" w:hAnsiTheme="minorHAnsi" w:cstheme="minorHAnsi"/>
          <w:b/>
          <w:sz w:val="22"/>
          <w:szCs w:val="22"/>
        </w:rPr>
        <w:t xml:space="preserve"> du X</w:t>
      </w:r>
      <w:r w:rsidR="0025566E" w:rsidRPr="0025566E">
        <w:rPr>
          <w:rFonts w:asciiTheme="minorHAnsi" w:hAnsiTheme="minorHAnsi" w:cstheme="minorHAnsi"/>
          <w:b/>
          <w:sz w:val="22"/>
          <w:szCs w:val="22"/>
        </w:rPr>
        <w:t>X</w:t>
      </w:r>
      <w:r w:rsidRPr="0025566E">
        <w:rPr>
          <w:rFonts w:asciiTheme="minorHAnsi" w:hAnsiTheme="minorHAnsi" w:cstheme="minorHAnsi"/>
          <w:b/>
          <w:sz w:val="22"/>
          <w:szCs w:val="22"/>
        </w:rPr>
        <w:t>/XX/202</w:t>
      </w:r>
      <w:r w:rsidR="00E635BE" w:rsidRPr="0025566E">
        <w:rPr>
          <w:rFonts w:asciiTheme="minorHAnsi" w:hAnsiTheme="minorHAnsi" w:cstheme="minorHAnsi"/>
          <w:b/>
          <w:sz w:val="22"/>
          <w:szCs w:val="22"/>
        </w:rPr>
        <w:t>4</w:t>
      </w:r>
      <w:r w:rsidRPr="0025566E">
        <w:rPr>
          <w:rFonts w:asciiTheme="minorHAnsi" w:hAnsiTheme="minorHAnsi" w:cstheme="minorHAnsi"/>
          <w:b/>
          <w:sz w:val="22"/>
          <w:szCs w:val="22"/>
        </w:rPr>
        <w:t xml:space="preserve"> </w:t>
      </w:r>
    </w:p>
    <w:p w14:paraId="12757C19" w14:textId="0B5E5B27" w:rsidR="001C2762" w:rsidRPr="0025566E" w:rsidRDefault="001C2762" w:rsidP="001C2762">
      <w:pPr>
        <w:pStyle w:val="NormalWeb"/>
        <w:jc w:val="center"/>
        <w:rPr>
          <w:rFonts w:asciiTheme="minorHAnsi" w:hAnsiTheme="minorHAnsi" w:cstheme="minorHAnsi"/>
          <w:b/>
          <w:sz w:val="22"/>
          <w:szCs w:val="22"/>
        </w:rPr>
      </w:pPr>
      <w:r w:rsidRPr="0025566E">
        <w:rPr>
          <w:rFonts w:asciiTheme="minorHAnsi" w:hAnsiTheme="minorHAnsi" w:cstheme="minorHAnsi"/>
          <w:b/>
          <w:sz w:val="22"/>
          <w:szCs w:val="22"/>
        </w:rPr>
        <w:t>RELATIVE AU CONTENU ET FORMAT DU DOCUMENT D’INFORMATION SIMPLIFIE DES OPC</w:t>
      </w:r>
    </w:p>
    <w:p w14:paraId="40267E42" w14:textId="77777777" w:rsidR="001C2762" w:rsidRPr="0025566E" w:rsidRDefault="001C2762" w:rsidP="001C2762">
      <w:pPr>
        <w:pStyle w:val="NormalWeb"/>
        <w:jc w:val="center"/>
        <w:rPr>
          <w:rFonts w:asciiTheme="minorHAnsi" w:hAnsiTheme="minorHAnsi" w:cstheme="minorHAnsi"/>
          <w:sz w:val="22"/>
          <w:szCs w:val="22"/>
        </w:rPr>
      </w:pPr>
      <w:r w:rsidRPr="0025566E">
        <w:rPr>
          <w:rFonts w:asciiTheme="minorHAnsi" w:hAnsiTheme="minorHAnsi" w:cstheme="minorHAnsi"/>
          <w:sz w:val="22"/>
          <w:szCs w:val="22"/>
        </w:rPr>
        <w:t>***</w:t>
      </w:r>
    </w:p>
    <w:p w14:paraId="1FC68624" w14:textId="77777777" w:rsidR="001C2762" w:rsidRPr="0025566E" w:rsidRDefault="001C2762" w:rsidP="001C2762">
      <w:pPr>
        <w:pStyle w:val="NormalWeb"/>
        <w:jc w:val="both"/>
        <w:rPr>
          <w:rFonts w:asciiTheme="minorHAnsi" w:hAnsiTheme="minorHAnsi" w:cstheme="minorHAnsi"/>
          <w:sz w:val="22"/>
          <w:szCs w:val="22"/>
        </w:rPr>
      </w:pPr>
      <w:r w:rsidRPr="0025566E">
        <w:rPr>
          <w:rFonts w:asciiTheme="minorHAnsi" w:hAnsiTheme="minorHAnsi" w:cstheme="minorHAnsi"/>
          <w:sz w:val="22"/>
          <w:szCs w:val="22"/>
        </w:rPr>
        <w:t xml:space="preserve">LA COMMISSION DE SURVEILLANCE DU MARCHE FINANCIER DE L'AFRIQUE CENTRALE </w:t>
      </w:r>
    </w:p>
    <w:p w14:paraId="1E14D697" w14:textId="18225880" w:rsidR="001C2762" w:rsidRPr="0025566E" w:rsidRDefault="0025566E" w:rsidP="001C2762">
      <w:pPr>
        <w:pStyle w:val="NormalWeb"/>
        <w:jc w:val="both"/>
        <w:rPr>
          <w:rFonts w:asciiTheme="minorHAnsi" w:hAnsiTheme="minorHAnsi" w:cstheme="minorHAnsi"/>
          <w:sz w:val="22"/>
          <w:szCs w:val="22"/>
        </w:rPr>
      </w:pPr>
      <w:r w:rsidRPr="0025566E">
        <w:rPr>
          <w:rFonts w:asciiTheme="minorHAnsi" w:hAnsiTheme="minorHAnsi" w:cstheme="minorHAnsi"/>
          <w:sz w:val="22"/>
          <w:szCs w:val="22"/>
        </w:rPr>
        <w:t xml:space="preserve">Vu l'Acte Additionnel n° </w:t>
      </w:r>
      <w:r w:rsidR="001C2762" w:rsidRPr="0025566E">
        <w:rPr>
          <w:rFonts w:asciiTheme="minorHAnsi" w:hAnsiTheme="minorHAnsi" w:cstheme="minorHAnsi"/>
          <w:sz w:val="22"/>
          <w:szCs w:val="22"/>
        </w:rPr>
        <w:t xml:space="preserve">03/01-CEMAC-CE 03 en date du 8 décembre 2001 portant création de la Commission de Surveillance du Marché Financier de l'Afrique Centrale (COSUMAF) </w:t>
      </w:r>
      <w:r w:rsidR="001C2762" w:rsidRPr="0025566E">
        <w:rPr>
          <w:rFonts w:asciiTheme="minorHAnsi" w:hAnsiTheme="minorHAnsi" w:cstheme="minorHAnsi"/>
          <w:position w:val="-4"/>
          <w:sz w:val="22"/>
          <w:szCs w:val="22"/>
        </w:rPr>
        <w:t xml:space="preserve">; </w:t>
      </w:r>
    </w:p>
    <w:p w14:paraId="20792B96" w14:textId="6997E1C4" w:rsidR="001C2762" w:rsidRPr="0025566E" w:rsidRDefault="001C2762" w:rsidP="001C2762">
      <w:pPr>
        <w:pStyle w:val="NormalWeb"/>
        <w:jc w:val="both"/>
        <w:rPr>
          <w:rFonts w:asciiTheme="minorHAnsi" w:hAnsiTheme="minorHAnsi" w:cstheme="minorHAnsi"/>
          <w:sz w:val="22"/>
          <w:szCs w:val="22"/>
        </w:rPr>
      </w:pPr>
      <w:r w:rsidRPr="0025566E">
        <w:rPr>
          <w:rFonts w:asciiTheme="minorHAnsi" w:hAnsiTheme="minorHAnsi" w:cstheme="minorHAnsi"/>
          <w:sz w:val="22"/>
          <w:szCs w:val="22"/>
        </w:rPr>
        <w:t>Vu le Règlement n</w:t>
      </w:r>
      <w:r w:rsidR="00E635BE" w:rsidRPr="0025566E">
        <w:rPr>
          <w:rFonts w:asciiTheme="minorHAnsi" w:hAnsiTheme="minorHAnsi" w:cstheme="minorHAnsi"/>
          <w:sz w:val="22"/>
          <w:szCs w:val="22"/>
        </w:rPr>
        <w:t>° 01/22</w:t>
      </w:r>
      <w:r w:rsidR="0025566E" w:rsidRPr="0025566E">
        <w:rPr>
          <w:rFonts w:asciiTheme="minorHAnsi" w:hAnsiTheme="minorHAnsi" w:cstheme="minorHAnsi"/>
          <w:sz w:val="22"/>
          <w:szCs w:val="22"/>
        </w:rPr>
        <w:t> /</w:t>
      </w:r>
      <w:r w:rsidRPr="00E0206E">
        <w:rPr>
          <w:rFonts w:asciiTheme="minorHAnsi" w:hAnsiTheme="minorHAnsi" w:cstheme="minorHAnsi"/>
          <w:sz w:val="22"/>
          <w:szCs w:val="22"/>
        </w:rPr>
        <w:t xml:space="preserve">CEMAC-UMAC du </w:t>
      </w:r>
      <w:r w:rsidR="00E635BE" w:rsidRPr="00E0206E">
        <w:rPr>
          <w:rFonts w:asciiTheme="minorHAnsi" w:hAnsiTheme="minorHAnsi" w:cstheme="minorHAnsi"/>
          <w:sz w:val="22"/>
          <w:szCs w:val="22"/>
        </w:rPr>
        <w:t>21 juillet 2022</w:t>
      </w:r>
      <w:r w:rsidRPr="0025566E">
        <w:rPr>
          <w:rFonts w:asciiTheme="minorHAnsi" w:hAnsiTheme="minorHAnsi" w:cstheme="minorHAnsi"/>
          <w:sz w:val="22"/>
          <w:szCs w:val="22"/>
        </w:rPr>
        <w:t xml:space="preserve"> portant Organisation</w:t>
      </w:r>
      <w:r w:rsidR="00E635BE" w:rsidRPr="0025566E">
        <w:rPr>
          <w:rFonts w:asciiTheme="minorHAnsi" w:hAnsiTheme="minorHAnsi" w:cstheme="minorHAnsi"/>
          <w:sz w:val="22"/>
          <w:szCs w:val="22"/>
        </w:rPr>
        <w:t xml:space="preserve"> et</w:t>
      </w:r>
      <w:r w:rsidRPr="0025566E">
        <w:rPr>
          <w:rFonts w:asciiTheme="minorHAnsi" w:hAnsiTheme="minorHAnsi" w:cstheme="minorHAnsi"/>
          <w:sz w:val="22"/>
          <w:szCs w:val="22"/>
        </w:rPr>
        <w:t xml:space="preserve"> Fonction</w:t>
      </w:r>
      <w:r w:rsidR="00E0206E">
        <w:rPr>
          <w:rFonts w:asciiTheme="minorHAnsi" w:hAnsiTheme="minorHAnsi" w:cstheme="minorHAnsi"/>
          <w:sz w:val="22"/>
          <w:szCs w:val="22"/>
        </w:rPr>
        <w:t>nement du Marché Financier de l</w:t>
      </w:r>
      <w:bookmarkStart w:id="0" w:name="_GoBack"/>
      <w:bookmarkEnd w:id="0"/>
      <w:r w:rsidRPr="0025566E">
        <w:rPr>
          <w:rFonts w:asciiTheme="minorHAnsi" w:hAnsiTheme="minorHAnsi" w:cstheme="minorHAnsi"/>
          <w:sz w:val="22"/>
          <w:szCs w:val="22"/>
        </w:rPr>
        <w:t xml:space="preserve">'Afrique Centrale, </w:t>
      </w:r>
    </w:p>
    <w:p w14:paraId="6389CCF7" w14:textId="5494B052" w:rsidR="001C2762" w:rsidRPr="0025566E" w:rsidRDefault="001C2762" w:rsidP="001C2762">
      <w:pPr>
        <w:pStyle w:val="NormalWeb"/>
        <w:jc w:val="both"/>
        <w:rPr>
          <w:rFonts w:asciiTheme="minorHAnsi" w:hAnsiTheme="minorHAnsi" w:cstheme="minorHAnsi"/>
          <w:sz w:val="22"/>
          <w:szCs w:val="22"/>
        </w:rPr>
      </w:pPr>
      <w:r w:rsidRPr="0025566E">
        <w:rPr>
          <w:rFonts w:asciiTheme="minorHAnsi" w:hAnsiTheme="minorHAnsi" w:cstheme="minorHAnsi"/>
          <w:sz w:val="22"/>
          <w:szCs w:val="22"/>
        </w:rPr>
        <w:t xml:space="preserve">Vu le </w:t>
      </w:r>
      <w:r w:rsidR="00C4256A" w:rsidRPr="0025566E">
        <w:rPr>
          <w:rFonts w:asciiTheme="minorHAnsi" w:hAnsiTheme="minorHAnsi" w:cstheme="minorHAnsi"/>
          <w:sz w:val="22"/>
          <w:szCs w:val="22"/>
        </w:rPr>
        <w:t>Règlement</w:t>
      </w:r>
      <w:r w:rsidRPr="0025566E">
        <w:rPr>
          <w:rFonts w:asciiTheme="minorHAnsi" w:hAnsiTheme="minorHAnsi" w:cstheme="minorHAnsi"/>
          <w:sz w:val="22"/>
          <w:szCs w:val="22"/>
        </w:rPr>
        <w:t xml:space="preserve"> </w:t>
      </w:r>
      <w:r w:rsidR="00C4256A" w:rsidRPr="0025566E">
        <w:rPr>
          <w:rFonts w:asciiTheme="minorHAnsi" w:hAnsiTheme="minorHAnsi" w:cstheme="minorHAnsi"/>
          <w:sz w:val="22"/>
          <w:szCs w:val="22"/>
        </w:rPr>
        <w:t>Général</w:t>
      </w:r>
      <w:r w:rsidRPr="0025566E">
        <w:rPr>
          <w:rFonts w:asciiTheme="minorHAnsi" w:hAnsiTheme="minorHAnsi" w:cstheme="minorHAnsi"/>
          <w:sz w:val="22"/>
          <w:szCs w:val="22"/>
        </w:rPr>
        <w:t xml:space="preserve"> de la Commission de Surveillance du Marché Financier de l'Afrique Centrale, </w:t>
      </w:r>
    </w:p>
    <w:p w14:paraId="388917C4" w14:textId="77777777" w:rsidR="001C2762" w:rsidRPr="0025566E" w:rsidRDefault="001C2762" w:rsidP="001C2762">
      <w:pPr>
        <w:pStyle w:val="NormalWeb"/>
        <w:jc w:val="both"/>
        <w:rPr>
          <w:rFonts w:asciiTheme="minorHAnsi" w:hAnsiTheme="minorHAnsi" w:cstheme="minorHAnsi"/>
          <w:sz w:val="22"/>
          <w:szCs w:val="22"/>
        </w:rPr>
      </w:pPr>
      <w:r w:rsidRPr="0025566E">
        <w:rPr>
          <w:rFonts w:asciiTheme="minorHAnsi" w:hAnsiTheme="minorHAnsi" w:cstheme="minorHAnsi"/>
          <w:sz w:val="22"/>
          <w:szCs w:val="22"/>
        </w:rPr>
        <w:t>En sa séance du X ;</w:t>
      </w:r>
    </w:p>
    <w:p w14:paraId="0954B0EA" w14:textId="77777777" w:rsidR="0025566E" w:rsidRPr="0025566E" w:rsidRDefault="0025566E" w:rsidP="001C2762">
      <w:pPr>
        <w:pStyle w:val="NormalWeb"/>
        <w:jc w:val="both"/>
        <w:rPr>
          <w:rFonts w:asciiTheme="minorHAnsi" w:hAnsiTheme="minorHAnsi" w:cstheme="minorHAnsi"/>
          <w:sz w:val="22"/>
          <w:szCs w:val="22"/>
        </w:rPr>
      </w:pPr>
    </w:p>
    <w:p w14:paraId="1113BE87" w14:textId="77777777" w:rsidR="0025566E" w:rsidRPr="0025566E" w:rsidRDefault="0025566E" w:rsidP="001C2762">
      <w:pPr>
        <w:pStyle w:val="NormalWeb"/>
        <w:jc w:val="both"/>
        <w:rPr>
          <w:rFonts w:asciiTheme="minorHAnsi" w:hAnsiTheme="minorHAnsi" w:cstheme="minorHAnsi"/>
          <w:sz w:val="22"/>
          <w:szCs w:val="22"/>
        </w:rPr>
      </w:pPr>
    </w:p>
    <w:p w14:paraId="3D80F964" w14:textId="77777777" w:rsidR="0025566E" w:rsidRPr="0025566E" w:rsidRDefault="0025566E" w:rsidP="001C2762">
      <w:pPr>
        <w:pStyle w:val="NormalWeb"/>
        <w:jc w:val="both"/>
        <w:rPr>
          <w:rFonts w:asciiTheme="minorHAnsi" w:hAnsiTheme="minorHAnsi" w:cstheme="minorHAnsi"/>
          <w:sz w:val="22"/>
          <w:szCs w:val="22"/>
        </w:rPr>
      </w:pPr>
    </w:p>
    <w:p w14:paraId="17EC3B96" w14:textId="77777777" w:rsidR="0025566E" w:rsidRPr="0025566E" w:rsidRDefault="0025566E" w:rsidP="001C2762">
      <w:pPr>
        <w:pStyle w:val="NormalWeb"/>
        <w:jc w:val="both"/>
        <w:rPr>
          <w:rFonts w:asciiTheme="minorHAnsi" w:hAnsiTheme="minorHAnsi" w:cstheme="minorHAnsi"/>
          <w:sz w:val="22"/>
          <w:szCs w:val="22"/>
        </w:rPr>
      </w:pPr>
    </w:p>
    <w:p w14:paraId="7E619397" w14:textId="77777777" w:rsidR="001C2762" w:rsidRPr="0025566E" w:rsidRDefault="001C2762" w:rsidP="001C2762">
      <w:pPr>
        <w:pStyle w:val="NormalWeb"/>
        <w:jc w:val="center"/>
        <w:rPr>
          <w:rFonts w:asciiTheme="minorHAnsi" w:hAnsiTheme="minorHAnsi" w:cstheme="minorHAnsi"/>
          <w:sz w:val="22"/>
          <w:szCs w:val="22"/>
        </w:rPr>
      </w:pPr>
      <w:r w:rsidRPr="0025566E">
        <w:rPr>
          <w:rFonts w:asciiTheme="minorHAnsi" w:hAnsiTheme="minorHAnsi" w:cstheme="minorHAnsi"/>
          <w:sz w:val="22"/>
          <w:szCs w:val="22"/>
        </w:rPr>
        <w:t>ADOPTE L'INSTRUCTION DONT LA TENEUR SUIT :</w:t>
      </w:r>
    </w:p>
    <w:p w14:paraId="0067FC73" w14:textId="77777777" w:rsidR="001C2762" w:rsidRPr="0025566E" w:rsidRDefault="001C2762" w:rsidP="001C2762">
      <w:pPr>
        <w:rPr>
          <w:rFonts w:asciiTheme="minorHAnsi" w:hAnsiTheme="minorHAnsi" w:cstheme="minorHAnsi"/>
          <w:sz w:val="22"/>
          <w:szCs w:val="22"/>
        </w:rPr>
      </w:pPr>
      <w:r w:rsidRPr="0025566E">
        <w:rPr>
          <w:rFonts w:asciiTheme="minorHAnsi" w:hAnsiTheme="minorHAnsi" w:cstheme="minorHAnsi"/>
          <w:sz w:val="22"/>
          <w:szCs w:val="22"/>
        </w:rPr>
        <w:br w:type="page"/>
      </w:r>
    </w:p>
    <w:p w14:paraId="77A99AD9" w14:textId="7EF171CD" w:rsidR="001C2762" w:rsidRPr="0025566E" w:rsidRDefault="001C2762" w:rsidP="00C4256A">
      <w:pPr>
        <w:pStyle w:val="NormalWeb"/>
        <w:numPr>
          <w:ilvl w:val="0"/>
          <w:numId w:val="3"/>
        </w:numPr>
        <w:shd w:val="clear" w:color="auto" w:fill="FFFFFF" w:themeFill="background1"/>
        <w:spacing w:before="360" w:beforeAutospacing="0" w:after="240" w:afterAutospacing="0"/>
        <w:ind w:left="426" w:hanging="284"/>
        <w:rPr>
          <w:rFonts w:asciiTheme="minorHAnsi" w:hAnsiTheme="minorHAnsi" w:cstheme="minorHAnsi"/>
          <w:b/>
          <w:bCs/>
          <w:sz w:val="22"/>
          <w:szCs w:val="22"/>
        </w:rPr>
      </w:pPr>
      <w:r w:rsidRPr="0025566E">
        <w:rPr>
          <w:rFonts w:asciiTheme="minorHAnsi" w:hAnsiTheme="minorHAnsi" w:cstheme="minorHAnsi"/>
          <w:b/>
          <w:bCs/>
          <w:sz w:val="22"/>
          <w:szCs w:val="22"/>
          <w:u w:val="single"/>
        </w:rPr>
        <w:lastRenderedPageBreak/>
        <w:t>SECTION 1 –</w:t>
      </w:r>
      <w:r w:rsidRPr="0025566E">
        <w:rPr>
          <w:rFonts w:asciiTheme="minorHAnsi" w:hAnsiTheme="minorHAnsi" w:cstheme="minorHAnsi"/>
          <w:b/>
          <w:bCs/>
          <w:sz w:val="22"/>
          <w:szCs w:val="22"/>
        </w:rPr>
        <w:t xml:space="preserve"> </w:t>
      </w:r>
      <w:r w:rsidR="00134666" w:rsidRPr="0025566E">
        <w:rPr>
          <w:rFonts w:asciiTheme="minorHAnsi" w:hAnsiTheme="minorHAnsi" w:cstheme="minorHAnsi"/>
          <w:b/>
          <w:bCs/>
          <w:sz w:val="22"/>
          <w:szCs w:val="22"/>
        </w:rPr>
        <w:t>CONTENU ET PRESENTATION DU DOCUMENT D’INFORMATION SIMPLIFIE</w:t>
      </w:r>
    </w:p>
    <w:p w14:paraId="21E10D6D" w14:textId="7C84EACA" w:rsidR="00134666" w:rsidRPr="0025566E" w:rsidRDefault="00134666" w:rsidP="001C2762">
      <w:pPr>
        <w:spacing w:before="100" w:beforeAutospacing="1" w:after="100" w:afterAutospacing="1"/>
        <w:jc w:val="both"/>
        <w:rPr>
          <w:rFonts w:asciiTheme="minorHAnsi" w:hAnsiTheme="minorHAnsi" w:cstheme="minorHAnsi"/>
          <w:b/>
          <w:sz w:val="22"/>
          <w:szCs w:val="22"/>
        </w:rPr>
      </w:pPr>
      <w:r w:rsidRPr="0025566E">
        <w:rPr>
          <w:rFonts w:asciiTheme="minorHAnsi" w:hAnsiTheme="minorHAnsi" w:cstheme="minorHAnsi"/>
          <w:b/>
          <w:sz w:val="22"/>
          <w:szCs w:val="22"/>
        </w:rPr>
        <w:t>ARTICLE PREMIER – SECTION « INFORMATIONS GENERALES »</w:t>
      </w:r>
    </w:p>
    <w:p w14:paraId="0CC8F0FA" w14:textId="24BAC46D" w:rsidR="00134666" w:rsidRPr="0025566E" w:rsidRDefault="00134666" w:rsidP="00134666">
      <w:pPr>
        <w:pStyle w:val="NormalWeb"/>
        <w:jc w:val="both"/>
        <w:rPr>
          <w:rFonts w:asciiTheme="minorHAnsi" w:hAnsiTheme="minorHAnsi" w:cstheme="minorHAnsi"/>
          <w:sz w:val="22"/>
          <w:szCs w:val="22"/>
        </w:rPr>
      </w:pPr>
      <w:r w:rsidRPr="0025566E">
        <w:rPr>
          <w:rFonts w:asciiTheme="minorHAnsi" w:hAnsiTheme="minorHAnsi" w:cstheme="minorHAnsi"/>
          <w:sz w:val="22"/>
          <w:szCs w:val="22"/>
        </w:rPr>
        <w:t xml:space="preserve">La section </w:t>
      </w:r>
      <w:r w:rsidR="00E635BE" w:rsidRPr="0025566E">
        <w:rPr>
          <w:rFonts w:asciiTheme="minorHAnsi" w:hAnsiTheme="minorHAnsi" w:cstheme="minorHAnsi"/>
          <w:sz w:val="22"/>
          <w:szCs w:val="22"/>
        </w:rPr>
        <w:t>« Informations générales »</w:t>
      </w:r>
      <w:r w:rsidRPr="0025566E">
        <w:rPr>
          <w:rFonts w:asciiTheme="minorHAnsi" w:hAnsiTheme="minorHAnsi" w:cstheme="minorHAnsi"/>
          <w:sz w:val="22"/>
          <w:szCs w:val="22"/>
        </w:rPr>
        <w:t>du document d'information simplifié contient l'ensemble des informations suivantes</w:t>
      </w:r>
      <w:r w:rsidR="0073386F" w:rsidRPr="0025566E">
        <w:rPr>
          <w:rFonts w:asciiTheme="minorHAnsi" w:hAnsiTheme="minorHAnsi" w:cstheme="minorHAnsi"/>
          <w:sz w:val="22"/>
          <w:szCs w:val="22"/>
        </w:rPr>
        <w:t xml:space="preserve"> </w:t>
      </w:r>
      <w:r w:rsidRPr="0025566E">
        <w:rPr>
          <w:rFonts w:asciiTheme="minorHAnsi" w:hAnsiTheme="minorHAnsi" w:cstheme="minorHAnsi"/>
          <w:sz w:val="22"/>
          <w:szCs w:val="22"/>
        </w:rPr>
        <w:t xml:space="preserve">: </w:t>
      </w:r>
    </w:p>
    <w:p w14:paraId="703BB453" w14:textId="2031333F" w:rsidR="00134666" w:rsidRPr="0025566E" w:rsidRDefault="00134666" w:rsidP="00C4256A">
      <w:pPr>
        <w:pStyle w:val="NormalWeb"/>
        <w:numPr>
          <w:ilvl w:val="0"/>
          <w:numId w:val="6"/>
        </w:numPr>
        <w:jc w:val="both"/>
        <w:rPr>
          <w:rFonts w:asciiTheme="minorHAnsi" w:hAnsiTheme="minorHAnsi" w:cstheme="minorHAnsi"/>
          <w:sz w:val="22"/>
          <w:szCs w:val="22"/>
        </w:rPr>
      </w:pPr>
      <w:r w:rsidRPr="0025566E">
        <w:rPr>
          <w:rFonts w:asciiTheme="minorHAnsi" w:hAnsiTheme="minorHAnsi" w:cstheme="minorHAnsi"/>
          <w:sz w:val="22"/>
          <w:szCs w:val="22"/>
        </w:rPr>
        <w:t>le nom donné à l’OPC</w:t>
      </w:r>
      <w:r w:rsidR="003D51A6" w:rsidRPr="0025566E">
        <w:rPr>
          <w:rFonts w:asciiTheme="minorHAnsi" w:hAnsiTheme="minorHAnsi" w:cstheme="minorHAnsi"/>
          <w:sz w:val="22"/>
          <w:szCs w:val="22"/>
        </w:rPr>
        <w:t>,</w:t>
      </w:r>
      <w:r w:rsidR="00686CAE" w:rsidRPr="0025566E">
        <w:rPr>
          <w:rFonts w:asciiTheme="minorHAnsi" w:hAnsiTheme="minorHAnsi" w:cstheme="minorHAnsi"/>
          <w:sz w:val="22"/>
          <w:szCs w:val="22"/>
        </w:rPr>
        <w:t xml:space="preserve"> </w:t>
      </w:r>
      <w:r w:rsidR="00EB7A36" w:rsidRPr="0025566E">
        <w:rPr>
          <w:rFonts w:asciiTheme="minorHAnsi" w:hAnsiTheme="minorHAnsi" w:cstheme="minorHAnsi"/>
          <w:sz w:val="22"/>
          <w:szCs w:val="22"/>
        </w:rPr>
        <w:t>le cas échéant</w:t>
      </w:r>
      <w:r w:rsidR="00686CAE" w:rsidRPr="0025566E">
        <w:rPr>
          <w:rFonts w:asciiTheme="minorHAnsi" w:hAnsiTheme="minorHAnsi" w:cstheme="minorHAnsi"/>
          <w:sz w:val="22"/>
          <w:szCs w:val="22"/>
        </w:rPr>
        <w:t xml:space="preserve"> son compartiment </w:t>
      </w:r>
      <w:r w:rsidRPr="0025566E">
        <w:rPr>
          <w:rFonts w:asciiTheme="minorHAnsi" w:hAnsiTheme="minorHAnsi" w:cstheme="minorHAnsi"/>
          <w:sz w:val="22"/>
          <w:szCs w:val="22"/>
        </w:rPr>
        <w:t>et</w:t>
      </w:r>
      <w:r w:rsidR="00EB7A36" w:rsidRPr="0025566E">
        <w:rPr>
          <w:rFonts w:asciiTheme="minorHAnsi" w:hAnsiTheme="minorHAnsi" w:cstheme="minorHAnsi"/>
          <w:sz w:val="22"/>
          <w:szCs w:val="22"/>
        </w:rPr>
        <w:t xml:space="preserve"> </w:t>
      </w:r>
      <w:r w:rsidRPr="0025566E">
        <w:rPr>
          <w:rFonts w:asciiTheme="minorHAnsi" w:hAnsiTheme="minorHAnsi" w:cstheme="minorHAnsi"/>
          <w:sz w:val="22"/>
          <w:szCs w:val="22"/>
        </w:rPr>
        <w:t xml:space="preserve">le </w:t>
      </w:r>
      <w:r w:rsidR="003D51A6" w:rsidRPr="0025566E">
        <w:rPr>
          <w:rFonts w:asciiTheme="minorHAnsi" w:hAnsiTheme="minorHAnsi" w:cstheme="minorHAnsi"/>
          <w:sz w:val="22"/>
          <w:szCs w:val="22"/>
        </w:rPr>
        <w:t>numéro</w:t>
      </w:r>
      <w:r w:rsidRPr="0025566E">
        <w:rPr>
          <w:rFonts w:asciiTheme="minorHAnsi" w:hAnsiTheme="minorHAnsi" w:cstheme="minorHAnsi"/>
          <w:sz w:val="22"/>
          <w:szCs w:val="22"/>
        </w:rPr>
        <w:t xml:space="preserve"> international d'identification des valeurs </w:t>
      </w:r>
      <w:r w:rsidR="003D51A6" w:rsidRPr="0025566E">
        <w:rPr>
          <w:rFonts w:asciiTheme="minorHAnsi" w:hAnsiTheme="minorHAnsi" w:cstheme="minorHAnsi"/>
          <w:sz w:val="22"/>
          <w:szCs w:val="22"/>
        </w:rPr>
        <w:t>mobilières</w:t>
      </w:r>
      <w:r w:rsidRPr="0025566E">
        <w:rPr>
          <w:rFonts w:asciiTheme="minorHAnsi" w:hAnsiTheme="minorHAnsi" w:cstheme="minorHAnsi"/>
          <w:sz w:val="22"/>
          <w:szCs w:val="22"/>
        </w:rPr>
        <w:t xml:space="preserve"> ou l'identifiant unique de l’OPC; </w:t>
      </w:r>
    </w:p>
    <w:p w14:paraId="2206BE8C" w14:textId="37C50290" w:rsidR="00686CAE" w:rsidRPr="0025566E" w:rsidRDefault="00EB7A36" w:rsidP="00C4256A">
      <w:pPr>
        <w:pStyle w:val="NormalWeb"/>
        <w:numPr>
          <w:ilvl w:val="0"/>
          <w:numId w:val="6"/>
        </w:numPr>
        <w:jc w:val="both"/>
        <w:rPr>
          <w:rFonts w:asciiTheme="minorHAnsi" w:hAnsiTheme="minorHAnsi" w:cstheme="minorHAnsi"/>
          <w:sz w:val="22"/>
          <w:szCs w:val="22"/>
        </w:rPr>
      </w:pPr>
      <w:r w:rsidRPr="0025566E">
        <w:rPr>
          <w:rFonts w:asciiTheme="minorHAnsi" w:hAnsiTheme="minorHAnsi" w:cstheme="minorHAnsi"/>
          <w:sz w:val="22"/>
          <w:szCs w:val="22"/>
        </w:rPr>
        <w:t>La catégorie de parts ;</w:t>
      </w:r>
    </w:p>
    <w:p w14:paraId="1C002A54" w14:textId="480AC6A3" w:rsidR="00EB7A36" w:rsidRPr="0025566E" w:rsidRDefault="00EB7A36" w:rsidP="00C4256A">
      <w:pPr>
        <w:pStyle w:val="NormalWeb"/>
        <w:numPr>
          <w:ilvl w:val="0"/>
          <w:numId w:val="6"/>
        </w:numPr>
        <w:jc w:val="both"/>
        <w:rPr>
          <w:rFonts w:asciiTheme="minorHAnsi" w:hAnsiTheme="minorHAnsi" w:cstheme="minorHAnsi"/>
          <w:sz w:val="22"/>
          <w:szCs w:val="22"/>
        </w:rPr>
      </w:pPr>
      <w:r w:rsidRPr="0025566E">
        <w:rPr>
          <w:rFonts w:asciiTheme="minorHAnsi" w:hAnsiTheme="minorHAnsi" w:cstheme="minorHAnsi"/>
          <w:sz w:val="22"/>
          <w:szCs w:val="22"/>
        </w:rPr>
        <w:t>Pour les OPC nourriciers, le nom de l’OPC maître ;</w:t>
      </w:r>
    </w:p>
    <w:p w14:paraId="6AF2578E" w14:textId="7A13F283" w:rsidR="00A71A19" w:rsidRPr="0025566E" w:rsidRDefault="00134666" w:rsidP="00C4256A">
      <w:pPr>
        <w:pStyle w:val="NormalWeb"/>
        <w:numPr>
          <w:ilvl w:val="0"/>
          <w:numId w:val="6"/>
        </w:numPr>
        <w:jc w:val="both"/>
        <w:rPr>
          <w:rFonts w:asciiTheme="minorHAnsi" w:hAnsiTheme="minorHAnsi" w:cstheme="minorHAnsi"/>
          <w:sz w:val="22"/>
          <w:szCs w:val="22"/>
        </w:rPr>
      </w:pPr>
      <w:r w:rsidRPr="0025566E">
        <w:rPr>
          <w:rFonts w:asciiTheme="minorHAnsi" w:hAnsiTheme="minorHAnsi" w:cstheme="minorHAnsi"/>
          <w:sz w:val="22"/>
          <w:szCs w:val="22"/>
        </w:rPr>
        <w:t xml:space="preserve">la raison sociale de la </w:t>
      </w:r>
      <w:r w:rsidR="003D51A6" w:rsidRPr="0025566E">
        <w:rPr>
          <w:rFonts w:asciiTheme="minorHAnsi" w:hAnsiTheme="minorHAnsi" w:cstheme="minorHAnsi"/>
          <w:sz w:val="22"/>
          <w:szCs w:val="22"/>
        </w:rPr>
        <w:t>Société de Gestion</w:t>
      </w:r>
      <w:r w:rsidRPr="0025566E">
        <w:rPr>
          <w:rFonts w:asciiTheme="minorHAnsi" w:hAnsiTheme="minorHAnsi" w:cstheme="minorHAnsi"/>
          <w:sz w:val="22"/>
          <w:szCs w:val="22"/>
        </w:rPr>
        <w:t xml:space="preserve"> de l’OPC</w:t>
      </w:r>
      <w:r w:rsidR="00EB7A36" w:rsidRPr="0025566E">
        <w:rPr>
          <w:rFonts w:asciiTheme="minorHAnsi" w:hAnsiTheme="minorHAnsi" w:cstheme="minorHAnsi"/>
          <w:sz w:val="22"/>
          <w:szCs w:val="22"/>
        </w:rPr>
        <w:t> ;</w:t>
      </w:r>
    </w:p>
    <w:p w14:paraId="75F79C75" w14:textId="7107C801" w:rsidR="00A71A19" w:rsidRPr="0025566E" w:rsidRDefault="00134666" w:rsidP="00C4256A">
      <w:pPr>
        <w:pStyle w:val="NormalWeb"/>
        <w:numPr>
          <w:ilvl w:val="0"/>
          <w:numId w:val="6"/>
        </w:numPr>
        <w:jc w:val="both"/>
        <w:rPr>
          <w:rFonts w:asciiTheme="minorHAnsi" w:hAnsiTheme="minorHAnsi" w:cstheme="minorHAnsi"/>
          <w:sz w:val="22"/>
          <w:szCs w:val="22"/>
        </w:rPr>
      </w:pPr>
      <w:r w:rsidRPr="0025566E">
        <w:rPr>
          <w:rFonts w:asciiTheme="minorHAnsi" w:hAnsiTheme="minorHAnsi" w:cstheme="minorHAnsi"/>
          <w:sz w:val="22"/>
          <w:szCs w:val="22"/>
        </w:rPr>
        <w:t xml:space="preserve">le site web fournissant aux investisseurs des informations sur la </w:t>
      </w:r>
      <w:r w:rsidR="003D51A6" w:rsidRPr="0025566E">
        <w:rPr>
          <w:rFonts w:asciiTheme="minorHAnsi" w:hAnsiTheme="minorHAnsi" w:cstheme="minorHAnsi"/>
          <w:sz w:val="22"/>
          <w:szCs w:val="22"/>
        </w:rPr>
        <w:t>manière</w:t>
      </w:r>
      <w:r w:rsidRPr="0025566E">
        <w:rPr>
          <w:rFonts w:asciiTheme="minorHAnsi" w:hAnsiTheme="minorHAnsi" w:cstheme="minorHAnsi"/>
          <w:sz w:val="22"/>
          <w:szCs w:val="22"/>
        </w:rPr>
        <w:t xml:space="preserve"> d'entrer en contact avec </w:t>
      </w:r>
      <w:r w:rsidR="00A71A19" w:rsidRPr="0025566E">
        <w:rPr>
          <w:rFonts w:asciiTheme="minorHAnsi" w:hAnsiTheme="minorHAnsi" w:cstheme="minorHAnsi"/>
          <w:sz w:val="22"/>
          <w:szCs w:val="22"/>
        </w:rPr>
        <w:t xml:space="preserve">la </w:t>
      </w:r>
      <w:r w:rsidR="003D51A6" w:rsidRPr="0025566E">
        <w:rPr>
          <w:rFonts w:asciiTheme="minorHAnsi" w:hAnsiTheme="minorHAnsi" w:cstheme="minorHAnsi"/>
          <w:sz w:val="22"/>
          <w:szCs w:val="22"/>
        </w:rPr>
        <w:t>Société de Gestion</w:t>
      </w:r>
      <w:r w:rsidR="00A71A19" w:rsidRPr="0025566E">
        <w:rPr>
          <w:rFonts w:asciiTheme="minorHAnsi" w:hAnsiTheme="minorHAnsi" w:cstheme="minorHAnsi"/>
          <w:sz w:val="22"/>
          <w:szCs w:val="22"/>
        </w:rPr>
        <w:t xml:space="preserve"> d’OPC</w:t>
      </w:r>
      <w:r w:rsidRPr="0025566E">
        <w:rPr>
          <w:rFonts w:asciiTheme="minorHAnsi" w:hAnsiTheme="minorHAnsi" w:cstheme="minorHAnsi"/>
          <w:sz w:val="22"/>
          <w:szCs w:val="22"/>
        </w:rPr>
        <w:t xml:space="preserve"> ainsi qu'un </w:t>
      </w:r>
      <w:r w:rsidR="003D51A6" w:rsidRPr="0025566E">
        <w:rPr>
          <w:rFonts w:asciiTheme="minorHAnsi" w:hAnsiTheme="minorHAnsi" w:cstheme="minorHAnsi"/>
          <w:sz w:val="22"/>
          <w:szCs w:val="22"/>
        </w:rPr>
        <w:t>numéro</w:t>
      </w:r>
      <w:r w:rsidRPr="0025566E">
        <w:rPr>
          <w:rFonts w:asciiTheme="minorHAnsi" w:hAnsiTheme="minorHAnsi" w:cstheme="minorHAnsi"/>
          <w:sz w:val="22"/>
          <w:szCs w:val="22"/>
        </w:rPr>
        <w:t xml:space="preserve"> de </w:t>
      </w:r>
      <w:r w:rsidR="003D51A6" w:rsidRPr="0025566E">
        <w:rPr>
          <w:rFonts w:asciiTheme="minorHAnsi" w:hAnsiTheme="minorHAnsi" w:cstheme="minorHAnsi"/>
          <w:sz w:val="22"/>
          <w:szCs w:val="22"/>
        </w:rPr>
        <w:t>téléphone</w:t>
      </w:r>
      <w:r w:rsidRPr="0025566E">
        <w:rPr>
          <w:rFonts w:asciiTheme="minorHAnsi" w:hAnsiTheme="minorHAnsi" w:cstheme="minorHAnsi"/>
          <w:sz w:val="22"/>
          <w:szCs w:val="22"/>
        </w:rPr>
        <w:t xml:space="preserve">; </w:t>
      </w:r>
    </w:p>
    <w:p w14:paraId="0C7929B0" w14:textId="34513454" w:rsidR="00A71A19" w:rsidRPr="0025566E" w:rsidRDefault="00134666" w:rsidP="00C4256A">
      <w:pPr>
        <w:pStyle w:val="NormalWeb"/>
        <w:numPr>
          <w:ilvl w:val="0"/>
          <w:numId w:val="6"/>
        </w:numPr>
        <w:jc w:val="both"/>
        <w:rPr>
          <w:rFonts w:asciiTheme="minorHAnsi" w:hAnsiTheme="minorHAnsi" w:cstheme="minorHAnsi"/>
          <w:sz w:val="22"/>
          <w:szCs w:val="22"/>
        </w:rPr>
      </w:pPr>
      <w:r w:rsidRPr="0025566E">
        <w:rPr>
          <w:rFonts w:asciiTheme="minorHAnsi" w:hAnsiTheme="minorHAnsi" w:cstheme="minorHAnsi"/>
          <w:sz w:val="22"/>
          <w:szCs w:val="22"/>
        </w:rPr>
        <w:t>le</w:t>
      </w:r>
      <w:r w:rsidR="00E635BE" w:rsidRPr="0025566E">
        <w:rPr>
          <w:rFonts w:asciiTheme="minorHAnsi" w:hAnsiTheme="minorHAnsi" w:cstheme="minorHAnsi"/>
          <w:sz w:val="22"/>
          <w:szCs w:val="22"/>
        </w:rPr>
        <w:t xml:space="preserve"> numéro et la date d’agrément</w:t>
      </w:r>
      <w:r w:rsidRPr="0025566E">
        <w:rPr>
          <w:rFonts w:asciiTheme="minorHAnsi" w:hAnsiTheme="minorHAnsi" w:cstheme="minorHAnsi"/>
          <w:sz w:val="22"/>
          <w:szCs w:val="22"/>
        </w:rPr>
        <w:t xml:space="preserve"> </w:t>
      </w:r>
      <w:r w:rsidR="00E635BE" w:rsidRPr="0025566E">
        <w:rPr>
          <w:rFonts w:asciiTheme="minorHAnsi" w:hAnsiTheme="minorHAnsi" w:cstheme="minorHAnsi"/>
          <w:sz w:val="22"/>
          <w:szCs w:val="22"/>
        </w:rPr>
        <w:t xml:space="preserve">de </w:t>
      </w:r>
      <w:r w:rsidR="00A71A19" w:rsidRPr="0025566E">
        <w:rPr>
          <w:rFonts w:asciiTheme="minorHAnsi" w:hAnsiTheme="minorHAnsi" w:cstheme="minorHAnsi"/>
          <w:sz w:val="22"/>
          <w:szCs w:val="22"/>
        </w:rPr>
        <w:t>l’OPC</w:t>
      </w:r>
      <w:r w:rsidRPr="0025566E">
        <w:rPr>
          <w:rFonts w:asciiTheme="minorHAnsi" w:hAnsiTheme="minorHAnsi" w:cstheme="minorHAnsi"/>
          <w:sz w:val="22"/>
          <w:szCs w:val="22"/>
        </w:rPr>
        <w:t xml:space="preserve">; </w:t>
      </w:r>
    </w:p>
    <w:p w14:paraId="455EE185" w14:textId="377D18BA" w:rsidR="003D7C7C" w:rsidRPr="0025566E" w:rsidRDefault="003D7C7C" w:rsidP="00C4256A">
      <w:pPr>
        <w:pStyle w:val="NormalWeb"/>
        <w:numPr>
          <w:ilvl w:val="0"/>
          <w:numId w:val="6"/>
        </w:numPr>
        <w:jc w:val="both"/>
        <w:rPr>
          <w:rFonts w:asciiTheme="minorHAnsi" w:hAnsiTheme="minorHAnsi" w:cstheme="minorHAnsi"/>
          <w:sz w:val="22"/>
          <w:szCs w:val="22"/>
        </w:rPr>
      </w:pPr>
      <w:r w:rsidRPr="0025566E">
        <w:rPr>
          <w:rFonts w:asciiTheme="minorHAnsi" w:hAnsiTheme="minorHAnsi" w:cstheme="minorHAnsi"/>
          <w:sz w:val="22"/>
          <w:szCs w:val="22"/>
        </w:rPr>
        <w:t>le numéro et la date de visa de la COSUMAF ;</w:t>
      </w:r>
    </w:p>
    <w:p w14:paraId="3F3DA6FE" w14:textId="5AACFD0D" w:rsidR="00134666" w:rsidRPr="0025566E" w:rsidRDefault="00134666" w:rsidP="00C4256A">
      <w:pPr>
        <w:pStyle w:val="NormalWeb"/>
        <w:numPr>
          <w:ilvl w:val="0"/>
          <w:numId w:val="6"/>
        </w:numPr>
        <w:jc w:val="both"/>
        <w:rPr>
          <w:rFonts w:asciiTheme="minorHAnsi" w:hAnsiTheme="minorHAnsi" w:cstheme="minorHAnsi"/>
          <w:sz w:val="22"/>
          <w:szCs w:val="22"/>
        </w:rPr>
      </w:pPr>
      <w:r w:rsidRPr="0025566E">
        <w:rPr>
          <w:rFonts w:asciiTheme="minorHAnsi" w:hAnsiTheme="minorHAnsi" w:cstheme="minorHAnsi"/>
          <w:sz w:val="22"/>
          <w:szCs w:val="22"/>
        </w:rPr>
        <w:t xml:space="preserve">la date de production ou, lorsque le document d'informations </w:t>
      </w:r>
      <w:r w:rsidR="003D51A6" w:rsidRPr="0025566E">
        <w:rPr>
          <w:rFonts w:asciiTheme="minorHAnsi" w:hAnsiTheme="minorHAnsi" w:cstheme="minorHAnsi"/>
          <w:sz w:val="22"/>
          <w:szCs w:val="22"/>
        </w:rPr>
        <w:t xml:space="preserve">simplifié </w:t>
      </w:r>
      <w:r w:rsidRPr="0025566E">
        <w:rPr>
          <w:rFonts w:asciiTheme="minorHAnsi" w:hAnsiTheme="minorHAnsi" w:cstheme="minorHAnsi"/>
          <w:sz w:val="22"/>
          <w:szCs w:val="22"/>
        </w:rPr>
        <w:t xml:space="preserve">a </w:t>
      </w:r>
      <w:r w:rsidR="001B12F9" w:rsidRPr="0025566E">
        <w:rPr>
          <w:rFonts w:asciiTheme="minorHAnsi" w:hAnsiTheme="minorHAnsi" w:cstheme="minorHAnsi"/>
          <w:sz w:val="22"/>
          <w:szCs w:val="22"/>
        </w:rPr>
        <w:t>été</w:t>
      </w:r>
      <w:r w:rsidRPr="0025566E">
        <w:rPr>
          <w:rFonts w:asciiTheme="minorHAnsi" w:hAnsiTheme="minorHAnsi" w:cstheme="minorHAnsi"/>
          <w:sz w:val="22"/>
          <w:szCs w:val="22"/>
        </w:rPr>
        <w:t xml:space="preserve">́ </w:t>
      </w:r>
      <w:r w:rsidR="001B12F9" w:rsidRPr="0025566E">
        <w:rPr>
          <w:rFonts w:asciiTheme="minorHAnsi" w:hAnsiTheme="minorHAnsi" w:cstheme="minorHAnsi"/>
          <w:sz w:val="22"/>
          <w:szCs w:val="22"/>
        </w:rPr>
        <w:t>révisé</w:t>
      </w:r>
      <w:r w:rsidRPr="0025566E">
        <w:rPr>
          <w:rFonts w:asciiTheme="minorHAnsi" w:hAnsiTheme="minorHAnsi" w:cstheme="minorHAnsi"/>
          <w:sz w:val="22"/>
          <w:szCs w:val="22"/>
        </w:rPr>
        <w:t xml:space="preserve">́ par la suite, la date de la </w:t>
      </w:r>
      <w:r w:rsidR="0025566E" w:rsidRPr="0025566E">
        <w:rPr>
          <w:rFonts w:asciiTheme="minorHAnsi" w:hAnsiTheme="minorHAnsi" w:cstheme="minorHAnsi"/>
          <w:sz w:val="22"/>
          <w:szCs w:val="22"/>
        </w:rPr>
        <w:t>dernière</w:t>
      </w:r>
      <w:r w:rsidRPr="0025566E">
        <w:rPr>
          <w:rFonts w:asciiTheme="minorHAnsi" w:hAnsiTheme="minorHAnsi" w:cstheme="minorHAnsi"/>
          <w:sz w:val="22"/>
          <w:szCs w:val="22"/>
        </w:rPr>
        <w:t xml:space="preserve"> </w:t>
      </w:r>
      <w:r w:rsidR="0025566E" w:rsidRPr="0025566E">
        <w:rPr>
          <w:rFonts w:asciiTheme="minorHAnsi" w:hAnsiTheme="minorHAnsi" w:cstheme="minorHAnsi"/>
          <w:sz w:val="22"/>
          <w:szCs w:val="22"/>
        </w:rPr>
        <w:t>révision</w:t>
      </w:r>
      <w:r w:rsidRPr="0025566E">
        <w:rPr>
          <w:rFonts w:asciiTheme="minorHAnsi" w:hAnsiTheme="minorHAnsi" w:cstheme="minorHAnsi"/>
          <w:sz w:val="22"/>
          <w:szCs w:val="22"/>
        </w:rPr>
        <w:t xml:space="preserve"> de ce document. </w:t>
      </w:r>
    </w:p>
    <w:p w14:paraId="40A66CFF" w14:textId="1908424D" w:rsidR="001C2762" w:rsidRPr="0025566E" w:rsidRDefault="001C2762" w:rsidP="001C2762">
      <w:pPr>
        <w:spacing w:before="100" w:beforeAutospacing="1" w:after="100" w:afterAutospacing="1"/>
        <w:jc w:val="both"/>
        <w:rPr>
          <w:rFonts w:asciiTheme="minorHAnsi" w:hAnsiTheme="minorHAnsi" w:cstheme="minorHAnsi"/>
          <w:b/>
          <w:sz w:val="22"/>
          <w:szCs w:val="22"/>
        </w:rPr>
      </w:pPr>
      <w:r w:rsidRPr="0025566E">
        <w:rPr>
          <w:rFonts w:asciiTheme="minorHAnsi" w:hAnsiTheme="minorHAnsi" w:cstheme="minorHAnsi"/>
          <w:b/>
          <w:sz w:val="22"/>
          <w:szCs w:val="22"/>
        </w:rPr>
        <w:t xml:space="preserve">ARTICLE 2 </w:t>
      </w:r>
      <w:r w:rsidR="00A71A19" w:rsidRPr="0025566E">
        <w:rPr>
          <w:rFonts w:asciiTheme="minorHAnsi" w:hAnsiTheme="minorHAnsi" w:cstheme="minorHAnsi"/>
          <w:b/>
          <w:sz w:val="22"/>
          <w:szCs w:val="22"/>
        </w:rPr>
        <w:t>– SECTION « En quoi consiste cet OPC ? »</w:t>
      </w:r>
    </w:p>
    <w:p w14:paraId="28774515" w14:textId="31C9173F" w:rsidR="00A71A19" w:rsidRPr="0025566E" w:rsidRDefault="00A71A19" w:rsidP="00C4256A">
      <w:pPr>
        <w:pStyle w:val="Paragraphedeliste"/>
        <w:numPr>
          <w:ilvl w:val="0"/>
          <w:numId w:val="4"/>
        </w:numPr>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t>Les informations contenues dans la section intitu</w:t>
      </w:r>
      <w:r w:rsidR="0073386F" w:rsidRPr="0025566E">
        <w:rPr>
          <w:rFonts w:asciiTheme="minorHAnsi" w:hAnsiTheme="minorHAnsi" w:cstheme="minorHAnsi"/>
          <w:sz w:val="22"/>
          <w:szCs w:val="22"/>
        </w:rPr>
        <w:t>lée « En quoi consiste cet OPC ? » du document d’information simplifié décrivent la forme juridique de l’OPC concerné.</w:t>
      </w:r>
    </w:p>
    <w:p w14:paraId="0A8D9878" w14:textId="77777777" w:rsidR="0073386F" w:rsidRPr="0025566E" w:rsidRDefault="0073386F" w:rsidP="00AF5EFF">
      <w:pPr>
        <w:pStyle w:val="Paragraphedeliste"/>
        <w:spacing w:before="100" w:beforeAutospacing="1" w:after="100" w:afterAutospacing="1"/>
        <w:jc w:val="both"/>
        <w:rPr>
          <w:rFonts w:asciiTheme="minorHAnsi" w:hAnsiTheme="minorHAnsi" w:cstheme="minorHAnsi"/>
          <w:sz w:val="22"/>
          <w:szCs w:val="22"/>
        </w:rPr>
      </w:pPr>
    </w:p>
    <w:p w14:paraId="137F89D8" w14:textId="37481CEE" w:rsidR="00CB70FE" w:rsidRPr="0025566E" w:rsidRDefault="0073386F" w:rsidP="00C4256A">
      <w:pPr>
        <w:pStyle w:val="Paragraphedeliste"/>
        <w:numPr>
          <w:ilvl w:val="0"/>
          <w:numId w:val="4"/>
        </w:numPr>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t xml:space="preserve">Les informations </w:t>
      </w:r>
      <w:r w:rsidR="00CB70FE" w:rsidRPr="0025566E">
        <w:rPr>
          <w:rFonts w:asciiTheme="minorHAnsi" w:hAnsiTheme="minorHAnsi" w:cstheme="minorHAnsi"/>
          <w:sz w:val="22"/>
          <w:szCs w:val="22"/>
        </w:rPr>
        <w:t>présentant</w:t>
      </w:r>
      <w:r w:rsidRPr="0025566E">
        <w:rPr>
          <w:rFonts w:asciiTheme="minorHAnsi" w:hAnsiTheme="minorHAnsi" w:cstheme="minorHAnsi"/>
          <w:sz w:val="22"/>
          <w:szCs w:val="22"/>
        </w:rPr>
        <w:t xml:space="preserve"> les objectifs </w:t>
      </w:r>
      <w:r w:rsidR="00AF5EFF" w:rsidRPr="0025566E">
        <w:rPr>
          <w:rFonts w:asciiTheme="minorHAnsi" w:hAnsiTheme="minorHAnsi" w:cstheme="minorHAnsi"/>
          <w:sz w:val="22"/>
          <w:szCs w:val="22"/>
        </w:rPr>
        <w:t>de l’OPC</w:t>
      </w:r>
      <w:r w:rsidRPr="0025566E">
        <w:rPr>
          <w:rFonts w:asciiTheme="minorHAnsi" w:hAnsiTheme="minorHAnsi" w:cstheme="minorHAnsi"/>
          <w:sz w:val="22"/>
          <w:szCs w:val="22"/>
        </w:rPr>
        <w:t xml:space="preserve"> ainsi que les moyens </w:t>
      </w:r>
      <w:r w:rsidR="00CB70FE" w:rsidRPr="0025566E">
        <w:rPr>
          <w:rFonts w:asciiTheme="minorHAnsi" w:hAnsiTheme="minorHAnsi" w:cstheme="minorHAnsi"/>
          <w:sz w:val="22"/>
          <w:szCs w:val="22"/>
        </w:rPr>
        <w:t>employés</w:t>
      </w:r>
      <w:r w:rsidRPr="0025566E">
        <w:rPr>
          <w:rFonts w:asciiTheme="minorHAnsi" w:hAnsiTheme="minorHAnsi" w:cstheme="minorHAnsi"/>
          <w:sz w:val="22"/>
          <w:szCs w:val="22"/>
        </w:rPr>
        <w:t xml:space="preserve"> pour atteindre </w:t>
      </w:r>
      <w:r w:rsidR="00CB70FE" w:rsidRPr="0025566E">
        <w:rPr>
          <w:rFonts w:asciiTheme="minorHAnsi" w:hAnsiTheme="minorHAnsi" w:cstheme="minorHAnsi"/>
          <w:sz w:val="22"/>
          <w:szCs w:val="22"/>
        </w:rPr>
        <w:t>ces objectifs contenus</w:t>
      </w:r>
      <w:r w:rsidRPr="0025566E">
        <w:rPr>
          <w:rFonts w:asciiTheme="minorHAnsi" w:hAnsiTheme="minorHAnsi" w:cstheme="minorHAnsi"/>
          <w:sz w:val="22"/>
          <w:szCs w:val="22"/>
        </w:rPr>
        <w:t xml:space="preserve"> dans la section </w:t>
      </w:r>
      <w:r w:rsidR="00CB70FE" w:rsidRPr="0025566E">
        <w:rPr>
          <w:rFonts w:asciiTheme="minorHAnsi" w:hAnsiTheme="minorHAnsi" w:cstheme="minorHAnsi"/>
          <w:sz w:val="22"/>
          <w:szCs w:val="22"/>
        </w:rPr>
        <w:t>intitulée</w:t>
      </w:r>
      <w:r w:rsidRPr="0025566E">
        <w:rPr>
          <w:rFonts w:asciiTheme="minorHAnsi" w:hAnsiTheme="minorHAnsi" w:cstheme="minorHAnsi"/>
          <w:sz w:val="22"/>
          <w:szCs w:val="22"/>
        </w:rPr>
        <w:t xml:space="preserve"> «</w:t>
      </w:r>
      <w:r w:rsidR="00CB70FE" w:rsidRPr="0025566E">
        <w:rPr>
          <w:rFonts w:asciiTheme="minorHAnsi" w:hAnsiTheme="minorHAnsi" w:cstheme="minorHAnsi"/>
          <w:sz w:val="22"/>
          <w:szCs w:val="22"/>
        </w:rPr>
        <w:t xml:space="preserve"> </w:t>
      </w:r>
      <w:r w:rsidRPr="0025566E">
        <w:rPr>
          <w:rFonts w:asciiTheme="minorHAnsi" w:hAnsiTheme="minorHAnsi" w:cstheme="minorHAnsi"/>
          <w:sz w:val="22"/>
          <w:szCs w:val="22"/>
        </w:rPr>
        <w:t>En quoi consiste ce produit</w:t>
      </w:r>
      <w:r w:rsidR="00CB70FE" w:rsidRPr="0025566E">
        <w:rPr>
          <w:rFonts w:asciiTheme="minorHAnsi" w:hAnsiTheme="minorHAnsi" w:cstheme="minorHAnsi"/>
          <w:sz w:val="22"/>
          <w:szCs w:val="22"/>
        </w:rPr>
        <w:t xml:space="preserve"> </w:t>
      </w:r>
      <w:r w:rsidRPr="0025566E">
        <w:rPr>
          <w:rFonts w:asciiTheme="minorHAnsi" w:hAnsiTheme="minorHAnsi" w:cstheme="minorHAnsi"/>
          <w:sz w:val="22"/>
          <w:szCs w:val="22"/>
        </w:rPr>
        <w:t xml:space="preserve">?» du document d'information </w:t>
      </w:r>
      <w:r w:rsidR="00AF5EFF" w:rsidRPr="0025566E">
        <w:rPr>
          <w:rFonts w:asciiTheme="minorHAnsi" w:hAnsiTheme="minorHAnsi" w:cstheme="minorHAnsi"/>
          <w:sz w:val="22"/>
          <w:szCs w:val="22"/>
        </w:rPr>
        <w:t>simplifié</w:t>
      </w:r>
      <w:r w:rsidRPr="0025566E">
        <w:rPr>
          <w:rFonts w:asciiTheme="minorHAnsi" w:hAnsiTheme="minorHAnsi" w:cstheme="minorHAnsi"/>
          <w:sz w:val="22"/>
          <w:szCs w:val="22"/>
        </w:rPr>
        <w:t xml:space="preserve"> sont </w:t>
      </w:r>
      <w:r w:rsidR="00CB70FE" w:rsidRPr="0025566E">
        <w:rPr>
          <w:rFonts w:asciiTheme="minorHAnsi" w:hAnsiTheme="minorHAnsi" w:cstheme="minorHAnsi"/>
          <w:sz w:val="22"/>
          <w:szCs w:val="22"/>
        </w:rPr>
        <w:t>résumées</w:t>
      </w:r>
      <w:r w:rsidRPr="0025566E">
        <w:rPr>
          <w:rFonts w:asciiTheme="minorHAnsi" w:hAnsiTheme="minorHAnsi" w:cstheme="minorHAnsi"/>
          <w:sz w:val="22"/>
          <w:szCs w:val="22"/>
        </w:rPr>
        <w:t xml:space="preserve"> dans un langage concis, clair et </w:t>
      </w:r>
      <w:r w:rsidR="00CB70FE" w:rsidRPr="0025566E">
        <w:rPr>
          <w:rFonts w:asciiTheme="minorHAnsi" w:hAnsiTheme="minorHAnsi" w:cstheme="minorHAnsi"/>
          <w:sz w:val="22"/>
          <w:szCs w:val="22"/>
        </w:rPr>
        <w:t>aisément</w:t>
      </w:r>
      <w:r w:rsidRPr="0025566E">
        <w:rPr>
          <w:rFonts w:asciiTheme="minorHAnsi" w:hAnsiTheme="minorHAnsi" w:cstheme="minorHAnsi"/>
          <w:sz w:val="22"/>
          <w:szCs w:val="22"/>
        </w:rPr>
        <w:t xml:space="preserve"> </w:t>
      </w:r>
      <w:r w:rsidR="00CB70FE" w:rsidRPr="0025566E">
        <w:rPr>
          <w:rFonts w:asciiTheme="minorHAnsi" w:hAnsiTheme="minorHAnsi" w:cstheme="minorHAnsi"/>
          <w:sz w:val="22"/>
          <w:szCs w:val="22"/>
        </w:rPr>
        <w:t>compréhensible</w:t>
      </w:r>
      <w:r w:rsidRPr="0025566E">
        <w:rPr>
          <w:rFonts w:asciiTheme="minorHAnsi" w:hAnsiTheme="minorHAnsi" w:cstheme="minorHAnsi"/>
          <w:sz w:val="22"/>
          <w:szCs w:val="22"/>
        </w:rPr>
        <w:t xml:space="preserve">. Ces informations indiquent les principaux facteurs dont </w:t>
      </w:r>
      <w:r w:rsidR="0025566E" w:rsidRPr="0025566E">
        <w:rPr>
          <w:rFonts w:asciiTheme="minorHAnsi" w:hAnsiTheme="minorHAnsi" w:cstheme="minorHAnsi"/>
          <w:sz w:val="22"/>
          <w:szCs w:val="22"/>
        </w:rPr>
        <w:t>dépendent</w:t>
      </w:r>
      <w:r w:rsidRPr="0025566E">
        <w:rPr>
          <w:rFonts w:asciiTheme="minorHAnsi" w:hAnsiTheme="minorHAnsi" w:cstheme="minorHAnsi"/>
          <w:sz w:val="22"/>
          <w:szCs w:val="22"/>
        </w:rPr>
        <w:t xml:space="preserve"> le rendement, les actifs d'investissement sous-jacents ou les valeurs de </w:t>
      </w:r>
      <w:r w:rsidR="00CB70FE" w:rsidRPr="0025566E">
        <w:rPr>
          <w:rFonts w:asciiTheme="minorHAnsi" w:hAnsiTheme="minorHAnsi" w:cstheme="minorHAnsi"/>
          <w:sz w:val="22"/>
          <w:szCs w:val="22"/>
        </w:rPr>
        <w:t>référence</w:t>
      </w:r>
      <w:r w:rsidRPr="0025566E">
        <w:rPr>
          <w:rFonts w:asciiTheme="minorHAnsi" w:hAnsiTheme="minorHAnsi" w:cstheme="minorHAnsi"/>
          <w:sz w:val="22"/>
          <w:szCs w:val="22"/>
        </w:rPr>
        <w:t xml:space="preserve"> et la </w:t>
      </w:r>
      <w:r w:rsidR="00CB70FE" w:rsidRPr="0025566E">
        <w:rPr>
          <w:rFonts w:asciiTheme="minorHAnsi" w:hAnsiTheme="minorHAnsi" w:cstheme="minorHAnsi"/>
          <w:sz w:val="22"/>
          <w:szCs w:val="22"/>
        </w:rPr>
        <w:t>façon</w:t>
      </w:r>
      <w:r w:rsidRPr="0025566E">
        <w:rPr>
          <w:rFonts w:asciiTheme="minorHAnsi" w:hAnsiTheme="minorHAnsi" w:cstheme="minorHAnsi"/>
          <w:sz w:val="22"/>
          <w:szCs w:val="22"/>
        </w:rPr>
        <w:t xml:space="preserve"> dont le rendement est </w:t>
      </w:r>
      <w:r w:rsidR="00CB70FE" w:rsidRPr="0025566E">
        <w:rPr>
          <w:rFonts w:asciiTheme="minorHAnsi" w:hAnsiTheme="minorHAnsi" w:cstheme="minorHAnsi"/>
          <w:sz w:val="22"/>
          <w:szCs w:val="22"/>
        </w:rPr>
        <w:t>déterminé</w:t>
      </w:r>
      <w:r w:rsidRPr="0025566E">
        <w:rPr>
          <w:rFonts w:asciiTheme="minorHAnsi" w:hAnsiTheme="minorHAnsi" w:cstheme="minorHAnsi"/>
          <w:sz w:val="22"/>
          <w:szCs w:val="22"/>
        </w:rPr>
        <w:t xml:space="preserve">́, ainsi que le lien entre le rendement </w:t>
      </w:r>
      <w:r w:rsidR="00AF5EFF" w:rsidRPr="0025566E">
        <w:rPr>
          <w:rFonts w:asciiTheme="minorHAnsi" w:hAnsiTheme="minorHAnsi" w:cstheme="minorHAnsi"/>
          <w:sz w:val="22"/>
          <w:szCs w:val="22"/>
        </w:rPr>
        <w:t>de l’OPC</w:t>
      </w:r>
      <w:r w:rsidRPr="0025566E">
        <w:rPr>
          <w:rFonts w:asciiTheme="minorHAnsi" w:hAnsiTheme="minorHAnsi" w:cstheme="minorHAnsi"/>
          <w:sz w:val="22"/>
          <w:szCs w:val="22"/>
        </w:rPr>
        <w:t xml:space="preserve"> et celui des actifs d'investissement sous-jacents ou des valeurs de </w:t>
      </w:r>
      <w:r w:rsidR="00CB70FE" w:rsidRPr="0025566E">
        <w:rPr>
          <w:rFonts w:asciiTheme="minorHAnsi" w:hAnsiTheme="minorHAnsi" w:cstheme="minorHAnsi"/>
          <w:sz w:val="22"/>
          <w:szCs w:val="22"/>
        </w:rPr>
        <w:t>référence</w:t>
      </w:r>
      <w:r w:rsidRPr="0025566E">
        <w:rPr>
          <w:rFonts w:asciiTheme="minorHAnsi" w:hAnsiTheme="minorHAnsi" w:cstheme="minorHAnsi"/>
          <w:sz w:val="22"/>
          <w:szCs w:val="22"/>
        </w:rPr>
        <w:t xml:space="preserve">. Ces informations rendent compte du lien entre la </w:t>
      </w:r>
      <w:r w:rsidR="00CB70FE" w:rsidRPr="0025566E">
        <w:rPr>
          <w:rFonts w:asciiTheme="minorHAnsi" w:hAnsiTheme="minorHAnsi" w:cstheme="minorHAnsi"/>
          <w:sz w:val="22"/>
          <w:szCs w:val="22"/>
        </w:rPr>
        <w:t>période</w:t>
      </w:r>
      <w:r w:rsidRPr="0025566E">
        <w:rPr>
          <w:rFonts w:asciiTheme="minorHAnsi" w:hAnsiTheme="minorHAnsi" w:cstheme="minorHAnsi"/>
          <w:sz w:val="22"/>
          <w:szCs w:val="22"/>
        </w:rPr>
        <w:t xml:space="preserve"> de </w:t>
      </w:r>
      <w:r w:rsidR="00CB70FE" w:rsidRPr="0025566E">
        <w:rPr>
          <w:rFonts w:asciiTheme="minorHAnsi" w:hAnsiTheme="minorHAnsi" w:cstheme="minorHAnsi"/>
          <w:sz w:val="22"/>
          <w:szCs w:val="22"/>
        </w:rPr>
        <w:t>détention</w:t>
      </w:r>
      <w:r w:rsidRPr="0025566E">
        <w:rPr>
          <w:rFonts w:asciiTheme="minorHAnsi" w:hAnsiTheme="minorHAnsi" w:cstheme="minorHAnsi"/>
          <w:sz w:val="22"/>
          <w:szCs w:val="22"/>
        </w:rPr>
        <w:t xml:space="preserve"> </w:t>
      </w:r>
      <w:r w:rsidR="00CB70FE" w:rsidRPr="0025566E">
        <w:rPr>
          <w:rFonts w:asciiTheme="minorHAnsi" w:hAnsiTheme="minorHAnsi" w:cstheme="minorHAnsi"/>
          <w:sz w:val="22"/>
          <w:szCs w:val="22"/>
        </w:rPr>
        <w:t>recommandée</w:t>
      </w:r>
      <w:r w:rsidRPr="0025566E">
        <w:rPr>
          <w:rFonts w:asciiTheme="minorHAnsi" w:hAnsiTheme="minorHAnsi" w:cstheme="minorHAnsi"/>
          <w:sz w:val="22"/>
          <w:szCs w:val="22"/>
        </w:rPr>
        <w:t xml:space="preserve"> et le profil de risque et de </w:t>
      </w:r>
      <w:r w:rsidR="00CB70FE" w:rsidRPr="0025566E">
        <w:rPr>
          <w:rFonts w:asciiTheme="minorHAnsi" w:hAnsiTheme="minorHAnsi" w:cstheme="minorHAnsi"/>
          <w:sz w:val="22"/>
          <w:szCs w:val="22"/>
        </w:rPr>
        <w:t>rémunération</w:t>
      </w:r>
      <w:r w:rsidRPr="0025566E">
        <w:rPr>
          <w:rFonts w:asciiTheme="minorHAnsi" w:hAnsiTheme="minorHAnsi" w:cstheme="minorHAnsi"/>
          <w:sz w:val="22"/>
          <w:szCs w:val="22"/>
        </w:rPr>
        <w:t xml:space="preserve"> d</w:t>
      </w:r>
      <w:r w:rsidR="00AF5EFF" w:rsidRPr="0025566E">
        <w:rPr>
          <w:rFonts w:asciiTheme="minorHAnsi" w:hAnsiTheme="minorHAnsi" w:cstheme="minorHAnsi"/>
          <w:sz w:val="22"/>
          <w:szCs w:val="22"/>
        </w:rPr>
        <w:t>e l’OPC</w:t>
      </w:r>
      <w:r w:rsidRPr="0025566E">
        <w:rPr>
          <w:rFonts w:asciiTheme="minorHAnsi" w:hAnsiTheme="minorHAnsi" w:cstheme="minorHAnsi"/>
          <w:sz w:val="22"/>
          <w:szCs w:val="22"/>
        </w:rPr>
        <w:t xml:space="preserve">. </w:t>
      </w:r>
    </w:p>
    <w:p w14:paraId="1ED7D958" w14:textId="77777777" w:rsidR="00CB70FE" w:rsidRPr="0025566E" w:rsidRDefault="00CB70FE" w:rsidP="00CB70FE">
      <w:pPr>
        <w:pStyle w:val="Paragraphedeliste"/>
        <w:rPr>
          <w:rFonts w:asciiTheme="minorHAnsi" w:hAnsiTheme="minorHAnsi" w:cstheme="minorHAnsi"/>
          <w:sz w:val="22"/>
          <w:szCs w:val="22"/>
        </w:rPr>
      </w:pPr>
    </w:p>
    <w:p w14:paraId="0405B125" w14:textId="04C46C3A" w:rsidR="00CB70FE" w:rsidRPr="0025566E" w:rsidRDefault="00CB70FE" w:rsidP="00CB70FE">
      <w:pPr>
        <w:pStyle w:val="Paragraphedeliste"/>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t xml:space="preserve">Lorsque le nombre d'actifs ou de valeurs de référence visés au premier alinéa est tel que des références spécifiques à l'ensemble de ceux-ci ne peuvent être fournies dans un document d'informations simplifiés, seuls les segments de marché ou types d'instruments concernant les actifs d'investissement sous-jacents ou valeurs de référence doivent être indiqués. </w:t>
      </w:r>
    </w:p>
    <w:p w14:paraId="133D501F" w14:textId="77777777" w:rsidR="00CB70FE" w:rsidRPr="0025566E" w:rsidRDefault="00CB70FE" w:rsidP="00CB70FE">
      <w:pPr>
        <w:pStyle w:val="Paragraphedeliste"/>
        <w:spacing w:before="100" w:beforeAutospacing="1" w:after="100" w:afterAutospacing="1"/>
        <w:jc w:val="both"/>
        <w:rPr>
          <w:rFonts w:asciiTheme="minorHAnsi" w:hAnsiTheme="minorHAnsi" w:cstheme="minorHAnsi"/>
          <w:sz w:val="22"/>
          <w:szCs w:val="22"/>
        </w:rPr>
      </w:pPr>
    </w:p>
    <w:p w14:paraId="130427EA" w14:textId="601DA6A4" w:rsidR="002F6490" w:rsidRPr="0025566E" w:rsidRDefault="00CB70FE" w:rsidP="00C4256A">
      <w:pPr>
        <w:pStyle w:val="Paragraphedeliste"/>
        <w:numPr>
          <w:ilvl w:val="0"/>
          <w:numId w:val="4"/>
        </w:numPr>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t xml:space="preserve">La description du type d'investisseur auprès duquel l’OPC est </w:t>
      </w:r>
      <w:r w:rsidR="003D51A6" w:rsidRPr="0025566E">
        <w:rPr>
          <w:rFonts w:asciiTheme="minorHAnsi" w:hAnsiTheme="minorHAnsi" w:cstheme="minorHAnsi"/>
          <w:sz w:val="22"/>
          <w:szCs w:val="22"/>
        </w:rPr>
        <w:t>destiné</w:t>
      </w:r>
      <w:r w:rsidRPr="0025566E">
        <w:rPr>
          <w:rFonts w:asciiTheme="minorHAnsi" w:hAnsiTheme="minorHAnsi" w:cstheme="minorHAnsi"/>
          <w:sz w:val="22"/>
          <w:szCs w:val="22"/>
        </w:rPr>
        <w:t xml:space="preserve"> </w:t>
      </w:r>
      <w:proofErr w:type="spellStart"/>
      <w:r w:rsidRPr="0025566E">
        <w:rPr>
          <w:rFonts w:asciiTheme="minorHAnsi" w:hAnsiTheme="minorHAnsi" w:cstheme="minorHAnsi"/>
          <w:sz w:val="22"/>
          <w:szCs w:val="22"/>
        </w:rPr>
        <w:t>a</w:t>
      </w:r>
      <w:proofErr w:type="spellEnd"/>
      <w:r w:rsidRPr="0025566E">
        <w:rPr>
          <w:rFonts w:asciiTheme="minorHAnsi" w:hAnsiTheme="minorHAnsi" w:cstheme="minorHAnsi"/>
          <w:sz w:val="22"/>
          <w:szCs w:val="22"/>
        </w:rPr>
        <w:t xml:space="preserve">̀ être commercialisé, figurant dans la section intitulée « En quoi consiste ce produit ?» du document d'informations simplifiés, comprend des informations sur les investisseurs cibles définis par la </w:t>
      </w:r>
      <w:r w:rsidR="003D51A6" w:rsidRPr="0025566E">
        <w:rPr>
          <w:rFonts w:asciiTheme="minorHAnsi" w:hAnsiTheme="minorHAnsi" w:cstheme="minorHAnsi"/>
          <w:sz w:val="22"/>
          <w:szCs w:val="22"/>
        </w:rPr>
        <w:t>Société de Gestion</w:t>
      </w:r>
      <w:r w:rsidRPr="0025566E">
        <w:rPr>
          <w:rFonts w:asciiTheme="minorHAnsi" w:hAnsiTheme="minorHAnsi" w:cstheme="minorHAnsi"/>
          <w:sz w:val="22"/>
          <w:szCs w:val="22"/>
        </w:rPr>
        <w:t xml:space="preserve"> de l’OPC concerné, en particulier en fonction des besoins, caractéristiques et objectifs du type de client avec lequel l’OPC est compatible. Cette définition se fonde sur la capacité des investisseurs à supporter des pertes d'investissement, ainsi que sur leurs </w:t>
      </w:r>
      <w:r w:rsidR="002F6490" w:rsidRPr="0025566E">
        <w:rPr>
          <w:rFonts w:asciiTheme="minorHAnsi" w:hAnsiTheme="minorHAnsi" w:cstheme="minorHAnsi"/>
          <w:sz w:val="22"/>
          <w:szCs w:val="22"/>
        </w:rPr>
        <w:t>préférences</w:t>
      </w:r>
      <w:r w:rsidRPr="0025566E">
        <w:rPr>
          <w:rFonts w:asciiTheme="minorHAnsi" w:hAnsiTheme="minorHAnsi" w:cstheme="minorHAnsi"/>
          <w:sz w:val="22"/>
          <w:szCs w:val="22"/>
        </w:rPr>
        <w:t xml:space="preserve"> en termes d'horizon d'investissement, de durabilité, leur connaissance </w:t>
      </w:r>
      <w:r w:rsidR="002F6490" w:rsidRPr="0025566E">
        <w:rPr>
          <w:rFonts w:asciiTheme="minorHAnsi" w:hAnsiTheme="minorHAnsi" w:cstheme="minorHAnsi"/>
          <w:sz w:val="22"/>
          <w:szCs w:val="22"/>
        </w:rPr>
        <w:t>théorique</w:t>
      </w:r>
      <w:r w:rsidRPr="0025566E">
        <w:rPr>
          <w:rFonts w:asciiTheme="minorHAnsi" w:hAnsiTheme="minorHAnsi" w:cstheme="minorHAnsi"/>
          <w:sz w:val="22"/>
          <w:szCs w:val="22"/>
        </w:rPr>
        <w:t xml:space="preserve"> et leur </w:t>
      </w:r>
      <w:r w:rsidR="002F6490" w:rsidRPr="0025566E">
        <w:rPr>
          <w:rFonts w:asciiTheme="minorHAnsi" w:hAnsiTheme="minorHAnsi" w:cstheme="minorHAnsi"/>
          <w:sz w:val="22"/>
          <w:szCs w:val="22"/>
        </w:rPr>
        <w:t>expérience</w:t>
      </w:r>
      <w:r w:rsidRPr="0025566E">
        <w:rPr>
          <w:rFonts w:asciiTheme="minorHAnsi" w:hAnsiTheme="minorHAnsi" w:cstheme="minorHAnsi"/>
          <w:sz w:val="22"/>
          <w:szCs w:val="22"/>
        </w:rPr>
        <w:t xml:space="preserve"> </w:t>
      </w:r>
      <w:r w:rsidR="002F6490" w:rsidRPr="0025566E">
        <w:rPr>
          <w:rFonts w:asciiTheme="minorHAnsi" w:hAnsiTheme="minorHAnsi" w:cstheme="minorHAnsi"/>
          <w:sz w:val="22"/>
          <w:szCs w:val="22"/>
        </w:rPr>
        <w:t>des OPC</w:t>
      </w:r>
      <w:r w:rsidRPr="0025566E">
        <w:rPr>
          <w:rFonts w:asciiTheme="minorHAnsi" w:hAnsiTheme="minorHAnsi" w:cstheme="minorHAnsi"/>
          <w:sz w:val="22"/>
          <w:szCs w:val="22"/>
        </w:rPr>
        <w:t xml:space="preserve"> et des </w:t>
      </w:r>
      <w:r w:rsidR="002F6490" w:rsidRPr="0025566E">
        <w:rPr>
          <w:rFonts w:asciiTheme="minorHAnsi" w:hAnsiTheme="minorHAnsi" w:cstheme="minorHAnsi"/>
          <w:sz w:val="22"/>
          <w:szCs w:val="22"/>
        </w:rPr>
        <w:t>marchés</w:t>
      </w:r>
      <w:r w:rsidRPr="0025566E">
        <w:rPr>
          <w:rFonts w:asciiTheme="minorHAnsi" w:hAnsiTheme="minorHAnsi" w:cstheme="minorHAnsi"/>
          <w:sz w:val="22"/>
          <w:szCs w:val="22"/>
        </w:rPr>
        <w:t xml:space="preserve"> financiers et sur les besoins, </w:t>
      </w:r>
      <w:r w:rsidR="002F6490" w:rsidRPr="0025566E">
        <w:rPr>
          <w:rFonts w:asciiTheme="minorHAnsi" w:hAnsiTheme="minorHAnsi" w:cstheme="minorHAnsi"/>
          <w:sz w:val="22"/>
          <w:szCs w:val="22"/>
        </w:rPr>
        <w:t>caractéristiques</w:t>
      </w:r>
      <w:r w:rsidRPr="0025566E">
        <w:rPr>
          <w:rFonts w:asciiTheme="minorHAnsi" w:hAnsiTheme="minorHAnsi" w:cstheme="minorHAnsi"/>
          <w:sz w:val="22"/>
          <w:szCs w:val="22"/>
        </w:rPr>
        <w:t xml:space="preserve"> et objectifs des clients finaux potentiels. </w:t>
      </w:r>
    </w:p>
    <w:p w14:paraId="2A405DFD" w14:textId="77777777" w:rsidR="002F6490" w:rsidRPr="0025566E" w:rsidRDefault="002F6490" w:rsidP="002F6490">
      <w:pPr>
        <w:pStyle w:val="Paragraphedeliste"/>
        <w:spacing w:before="100" w:beforeAutospacing="1" w:after="100" w:afterAutospacing="1"/>
        <w:jc w:val="both"/>
        <w:rPr>
          <w:rFonts w:asciiTheme="minorHAnsi" w:hAnsiTheme="minorHAnsi" w:cstheme="minorHAnsi"/>
          <w:sz w:val="22"/>
          <w:szCs w:val="22"/>
        </w:rPr>
      </w:pPr>
    </w:p>
    <w:p w14:paraId="4FF5FD3C" w14:textId="47AE681A" w:rsidR="002F6490" w:rsidRPr="0025566E" w:rsidRDefault="00CB70FE" w:rsidP="00C4256A">
      <w:pPr>
        <w:pStyle w:val="Paragraphedeliste"/>
        <w:numPr>
          <w:ilvl w:val="0"/>
          <w:numId w:val="4"/>
        </w:numPr>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lastRenderedPageBreak/>
        <w:t xml:space="preserve">Les informations relatives à la </w:t>
      </w:r>
      <w:r w:rsidR="002F6490" w:rsidRPr="0025566E">
        <w:rPr>
          <w:rFonts w:asciiTheme="minorHAnsi" w:hAnsiTheme="minorHAnsi" w:cstheme="minorHAnsi"/>
          <w:sz w:val="22"/>
          <w:szCs w:val="22"/>
        </w:rPr>
        <w:t>durée</w:t>
      </w:r>
      <w:r w:rsidRPr="0025566E">
        <w:rPr>
          <w:rFonts w:asciiTheme="minorHAnsi" w:hAnsiTheme="minorHAnsi" w:cstheme="minorHAnsi"/>
          <w:sz w:val="22"/>
          <w:szCs w:val="22"/>
        </w:rPr>
        <w:t xml:space="preserve"> de vie d</w:t>
      </w:r>
      <w:r w:rsidR="002F6490" w:rsidRPr="0025566E">
        <w:rPr>
          <w:rFonts w:asciiTheme="minorHAnsi" w:hAnsiTheme="minorHAnsi" w:cstheme="minorHAnsi"/>
          <w:sz w:val="22"/>
          <w:szCs w:val="22"/>
        </w:rPr>
        <w:t xml:space="preserve">e l’OPC </w:t>
      </w:r>
      <w:r w:rsidRPr="0025566E">
        <w:rPr>
          <w:rFonts w:asciiTheme="minorHAnsi" w:hAnsiTheme="minorHAnsi" w:cstheme="minorHAnsi"/>
          <w:sz w:val="22"/>
          <w:szCs w:val="22"/>
        </w:rPr>
        <w:t xml:space="preserve">contenues dans la section </w:t>
      </w:r>
      <w:r w:rsidR="002F6490" w:rsidRPr="0025566E">
        <w:rPr>
          <w:rFonts w:asciiTheme="minorHAnsi" w:hAnsiTheme="minorHAnsi" w:cstheme="minorHAnsi"/>
          <w:sz w:val="22"/>
          <w:szCs w:val="22"/>
        </w:rPr>
        <w:t>intitulée</w:t>
      </w:r>
      <w:r w:rsidRPr="0025566E">
        <w:rPr>
          <w:rFonts w:asciiTheme="minorHAnsi" w:hAnsiTheme="minorHAnsi" w:cstheme="minorHAnsi"/>
          <w:sz w:val="22"/>
          <w:szCs w:val="22"/>
        </w:rPr>
        <w:t xml:space="preserve"> «En quoi consiste ce produ</w:t>
      </w:r>
      <w:r w:rsidR="002470B6">
        <w:rPr>
          <w:rFonts w:asciiTheme="minorHAnsi" w:hAnsiTheme="minorHAnsi" w:cstheme="minorHAnsi"/>
          <w:sz w:val="22"/>
          <w:szCs w:val="22"/>
        </w:rPr>
        <w:t>it?» du document d'informations simplifié</w:t>
      </w:r>
      <w:r w:rsidRPr="0025566E">
        <w:rPr>
          <w:rFonts w:asciiTheme="minorHAnsi" w:hAnsiTheme="minorHAnsi" w:cstheme="minorHAnsi"/>
          <w:sz w:val="22"/>
          <w:szCs w:val="22"/>
        </w:rPr>
        <w:t xml:space="preserve"> contiennent l'ensemble des </w:t>
      </w:r>
      <w:r w:rsidR="002F6490" w:rsidRPr="0025566E">
        <w:rPr>
          <w:rFonts w:asciiTheme="minorHAnsi" w:hAnsiTheme="minorHAnsi" w:cstheme="minorHAnsi"/>
          <w:sz w:val="22"/>
          <w:szCs w:val="22"/>
        </w:rPr>
        <w:t>éléments</w:t>
      </w:r>
      <w:r w:rsidRPr="0025566E">
        <w:rPr>
          <w:rFonts w:asciiTheme="minorHAnsi" w:hAnsiTheme="minorHAnsi" w:cstheme="minorHAnsi"/>
          <w:sz w:val="22"/>
          <w:szCs w:val="22"/>
        </w:rPr>
        <w:t xml:space="preserve"> suivants: </w:t>
      </w:r>
    </w:p>
    <w:p w14:paraId="2B00D76A" w14:textId="77777777" w:rsidR="002F6490" w:rsidRPr="0025566E" w:rsidRDefault="002F6490" w:rsidP="002F6490">
      <w:pPr>
        <w:pStyle w:val="Paragraphedeliste"/>
        <w:rPr>
          <w:rFonts w:asciiTheme="minorHAnsi" w:hAnsiTheme="minorHAnsi" w:cstheme="minorHAnsi"/>
          <w:sz w:val="22"/>
          <w:szCs w:val="22"/>
        </w:rPr>
      </w:pPr>
    </w:p>
    <w:p w14:paraId="4009557A" w14:textId="7E18BF36" w:rsidR="002F6490" w:rsidRPr="0025566E" w:rsidRDefault="00CB70FE" w:rsidP="00C4256A">
      <w:pPr>
        <w:pStyle w:val="Paragraphedeliste"/>
        <w:numPr>
          <w:ilvl w:val="1"/>
          <w:numId w:val="5"/>
        </w:numPr>
        <w:spacing w:before="100" w:beforeAutospacing="1" w:after="100" w:afterAutospacing="1"/>
        <w:ind w:left="1134"/>
        <w:jc w:val="both"/>
        <w:rPr>
          <w:rFonts w:asciiTheme="minorHAnsi" w:hAnsiTheme="minorHAnsi" w:cstheme="minorHAnsi"/>
          <w:sz w:val="22"/>
          <w:szCs w:val="22"/>
        </w:rPr>
      </w:pPr>
      <w:r w:rsidRPr="0025566E">
        <w:rPr>
          <w:rFonts w:asciiTheme="minorHAnsi" w:hAnsiTheme="minorHAnsi" w:cstheme="minorHAnsi"/>
          <w:sz w:val="22"/>
          <w:szCs w:val="22"/>
        </w:rPr>
        <w:t>la date d'</w:t>
      </w:r>
      <w:r w:rsidR="002F6490" w:rsidRPr="0025566E">
        <w:rPr>
          <w:rFonts w:asciiTheme="minorHAnsi" w:hAnsiTheme="minorHAnsi" w:cstheme="minorHAnsi"/>
          <w:sz w:val="22"/>
          <w:szCs w:val="22"/>
        </w:rPr>
        <w:t>échéance</w:t>
      </w:r>
      <w:r w:rsidRPr="0025566E">
        <w:rPr>
          <w:rFonts w:asciiTheme="minorHAnsi" w:hAnsiTheme="minorHAnsi" w:cstheme="minorHAnsi"/>
          <w:sz w:val="22"/>
          <w:szCs w:val="22"/>
        </w:rPr>
        <w:t xml:space="preserve"> </w:t>
      </w:r>
      <w:r w:rsidR="002F6490" w:rsidRPr="0025566E">
        <w:rPr>
          <w:rFonts w:asciiTheme="minorHAnsi" w:hAnsiTheme="minorHAnsi" w:cstheme="minorHAnsi"/>
          <w:sz w:val="22"/>
          <w:szCs w:val="22"/>
        </w:rPr>
        <w:t>de l’OPC</w:t>
      </w:r>
      <w:r w:rsidRPr="0025566E">
        <w:rPr>
          <w:rFonts w:asciiTheme="minorHAnsi" w:hAnsiTheme="minorHAnsi" w:cstheme="minorHAnsi"/>
          <w:sz w:val="22"/>
          <w:szCs w:val="22"/>
        </w:rPr>
        <w:t xml:space="preserve"> ou une indication de l'absence de date d'</w:t>
      </w:r>
      <w:r w:rsidR="002F6490" w:rsidRPr="0025566E">
        <w:rPr>
          <w:rFonts w:asciiTheme="minorHAnsi" w:hAnsiTheme="minorHAnsi" w:cstheme="minorHAnsi"/>
          <w:sz w:val="22"/>
          <w:szCs w:val="22"/>
        </w:rPr>
        <w:t>échéance</w:t>
      </w:r>
      <w:r w:rsidRPr="0025566E">
        <w:rPr>
          <w:rFonts w:asciiTheme="minorHAnsi" w:hAnsiTheme="minorHAnsi" w:cstheme="minorHAnsi"/>
          <w:sz w:val="22"/>
          <w:szCs w:val="22"/>
        </w:rPr>
        <w:t xml:space="preserve">; </w:t>
      </w:r>
    </w:p>
    <w:p w14:paraId="634B245B" w14:textId="3F1CB6FA" w:rsidR="002F6490" w:rsidRPr="0025566E" w:rsidRDefault="00CB70FE" w:rsidP="00C4256A">
      <w:pPr>
        <w:pStyle w:val="Paragraphedeliste"/>
        <w:numPr>
          <w:ilvl w:val="1"/>
          <w:numId w:val="5"/>
        </w:numPr>
        <w:spacing w:before="100" w:beforeAutospacing="1" w:after="100" w:afterAutospacing="1"/>
        <w:ind w:left="1134"/>
        <w:jc w:val="both"/>
        <w:rPr>
          <w:rFonts w:asciiTheme="minorHAnsi" w:hAnsiTheme="minorHAnsi" w:cstheme="minorHAnsi"/>
          <w:sz w:val="22"/>
          <w:szCs w:val="22"/>
        </w:rPr>
      </w:pPr>
      <w:r w:rsidRPr="0025566E">
        <w:rPr>
          <w:rFonts w:asciiTheme="minorHAnsi" w:hAnsiTheme="minorHAnsi" w:cstheme="minorHAnsi"/>
          <w:sz w:val="22"/>
          <w:szCs w:val="22"/>
        </w:rPr>
        <w:t xml:space="preserve">des informations </w:t>
      </w:r>
      <w:r w:rsidR="002F6490" w:rsidRPr="0025566E">
        <w:rPr>
          <w:rFonts w:asciiTheme="minorHAnsi" w:hAnsiTheme="minorHAnsi" w:cstheme="minorHAnsi"/>
          <w:sz w:val="22"/>
          <w:szCs w:val="22"/>
        </w:rPr>
        <w:t>précisant</w:t>
      </w:r>
      <w:r w:rsidRPr="0025566E">
        <w:rPr>
          <w:rFonts w:asciiTheme="minorHAnsi" w:hAnsiTheme="minorHAnsi" w:cstheme="minorHAnsi"/>
          <w:sz w:val="22"/>
          <w:szCs w:val="22"/>
        </w:rPr>
        <w:t xml:space="preserve"> si l</w:t>
      </w:r>
      <w:r w:rsidR="002F6490" w:rsidRPr="0025566E">
        <w:rPr>
          <w:rFonts w:asciiTheme="minorHAnsi" w:hAnsiTheme="minorHAnsi" w:cstheme="minorHAnsi"/>
          <w:sz w:val="22"/>
          <w:szCs w:val="22"/>
        </w:rPr>
        <w:t xml:space="preserve">a </w:t>
      </w:r>
      <w:r w:rsidR="003D51A6" w:rsidRPr="0025566E">
        <w:rPr>
          <w:rFonts w:asciiTheme="minorHAnsi" w:hAnsiTheme="minorHAnsi" w:cstheme="minorHAnsi"/>
          <w:sz w:val="22"/>
          <w:szCs w:val="22"/>
        </w:rPr>
        <w:t>Société de Gestion</w:t>
      </w:r>
      <w:r w:rsidR="002F6490" w:rsidRPr="0025566E">
        <w:rPr>
          <w:rFonts w:asciiTheme="minorHAnsi" w:hAnsiTheme="minorHAnsi" w:cstheme="minorHAnsi"/>
          <w:sz w:val="22"/>
          <w:szCs w:val="22"/>
        </w:rPr>
        <w:t xml:space="preserve"> d’OPC</w:t>
      </w:r>
      <w:r w:rsidRPr="0025566E">
        <w:rPr>
          <w:rFonts w:asciiTheme="minorHAnsi" w:hAnsiTheme="minorHAnsi" w:cstheme="minorHAnsi"/>
          <w:sz w:val="22"/>
          <w:szCs w:val="22"/>
        </w:rPr>
        <w:t xml:space="preserve"> a le droit de </w:t>
      </w:r>
      <w:r w:rsidR="002F6490" w:rsidRPr="0025566E">
        <w:rPr>
          <w:rFonts w:asciiTheme="minorHAnsi" w:hAnsiTheme="minorHAnsi" w:cstheme="minorHAnsi"/>
          <w:sz w:val="22"/>
          <w:szCs w:val="22"/>
        </w:rPr>
        <w:t>résilier</w:t>
      </w:r>
      <w:r w:rsidRPr="0025566E">
        <w:rPr>
          <w:rFonts w:asciiTheme="minorHAnsi" w:hAnsiTheme="minorHAnsi" w:cstheme="minorHAnsi"/>
          <w:sz w:val="22"/>
          <w:szCs w:val="22"/>
        </w:rPr>
        <w:t xml:space="preserve"> </w:t>
      </w:r>
      <w:r w:rsidR="002F6490" w:rsidRPr="0025566E">
        <w:rPr>
          <w:rFonts w:asciiTheme="minorHAnsi" w:hAnsiTheme="minorHAnsi" w:cstheme="minorHAnsi"/>
          <w:sz w:val="22"/>
          <w:szCs w:val="22"/>
        </w:rPr>
        <w:t>unilatéralement</w:t>
      </w:r>
      <w:r w:rsidRPr="0025566E">
        <w:rPr>
          <w:rFonts w:asciiTheme="minorHAnsi" w:hAnsiTheme="minorHAnsi" w:cstheme="minorHAnsi"/>
          <w:sz w:val="22"/>
          <w:szCs w:val="22"/>
        </w:rPr>
        <w:t xml:space="preserve"> l</w:t>
      </w:r>
      <w:r w:rsidR="002F6490" w:rsidRPr="0025566E">
        <w:rPr>
          <w:rFonts w:asciiTheme="minorHAnsi" w:hAnsiTheme="minorHAnsi" w:cstheme="minorHAnsi"/>
          <w:sz w:val="22"/>
          <w:szCs w:val="22"/>
        </w:rPr>
        <w:t>’OPC</w:t>
      </w:r>
      <w:r w:rsidRPr="0025566E">
        <w:rPr>
          <w:rFonts w:asciiTheme="minorHAnsi" w:hAnsiTheme="minorHAnsi" w:cstheme="minorHAnsi"/>
          <w:sz w:val="22"/>
          <w:szCs w:val="22"/>
        </w:rPr>
        <w:t xml:space="preserve"> en question; </w:t>
      </w:r>
    </w:p>
    <w:p w14:paraId="22989D50" w14:textId="6CEDDFE0" w:rsidR="002F6490" w:rsidRPr="0025566E" w:rsidRDefault="00CB70FE" w:rsidP="002F6490">
      <w:pPr>
        <w:pStyle w:val="Paragraphedeliste"/>
        <w:numPr>
          <w:ilvl w:val="1"/>
          <w:numId w:val="5"/>
        </w:numPr>
        <w:spacing w:before="100" w:beforeAutospacing="1" w:after="100" w:afterAutospacing="1"/>
        <w:ind w:left="1134"/>
        <w:jc w:val="both"/>
        <w:rPr>
          <w:rFonts w:asciiTheme="minorHAnsi" w:hAnsiTheme="minorHAnsi" w:cstheme="minorHAnsi"/>
          <w:sz w:val="22"/>
          <w:szCs w:val="22"/>
        </w:rPr>
      </w:pPr>
      <w:r w:rsidRPr="0025566E">
        <w:rPr>
          <w:rFonts w:asciiTheme="minorHAnsi" w:hAnsiTheme="minorHAnsi" w:cstheme="minorHAnsi"/>
          <w:sz w:val="22"/>
          <w:szCs w:val="22"/>
        </w:rPr>
        <w:t xml:space="preserve">une description des circonstances dans lesquelles </w:t>
      </w:r>
      <w:r w:rsidR="002F6490" w:rsidRPr="0025566E">
        <w:rPr>
          <w:rFonts w:asciiTheme="minorHAnsi" w:hAnsiTheme="minorHAnsi" w:cstheme="minorHAnsi"/>
          <w:sz w:val="22"/>
          <w:szCs w:val="22"/>
        </w:rPr>
        <w:t>l’OPC</w:t>
      </w:r>
      <w:r w:rsidRPr="0025566E">
        <w:rPr>
          <w:rFonts w:asciiTheme="minorHAnsi" w:hAnsiTheme="minorHAnsi" w:cstheme="minorHAnsi"/>
          <w:sz w:val="22"/>
          <w:szCs w:val="22"/>
        </w:rPr>
        <w:t xml:space="preserve"> peut </w:t>
      </w:r>
      <w:r w:rsidR="002F6490" w:rsidRPr="0025566E">
        <w:rPr>
          <w:rFonts w:asciiTheme="minorHAnsi" w:hAnsiTheme="minorHAnsi" w:cstheme="minorHAnsi"/>
          <w:sz w:val="22"/>
          <w:szCs w:val="22"/>
        </w:rPr>
        <w:t>être</w:t>
      </w:r>
      <w:r w:rsidRPr="0025566E">
        <w:rPr>
          <w:rFonts w:asciiTheme="minorHAnsi" w:hAnsiTheme="minorHAnsi" w:cstheme="minorHAnsi"/>
          <w:sz w:val="22"/>
          <w:szCs w:val="22"/>
        </w:rPr>
        <w:t xml:space="preserve"> </w:t>
      </w:r>
      <w:r w:rsidR="002F6490" w:rsidRPr="0025566E">
        <w:rPr>
          <w:rFonts w:asciiTheme="minorHAnsi" w:hAnsiTheme="minorHAnsi" w:cstheme="minorHAnsi"/>
          <w:sz w:val="22"/>
          <w:szCs w:val="22"/>
        </w:rPr>
        <w:t>résilié</w:t>
      </w:r>
      <w:r w:rsidRPr="0025566E">
        <w:rPr>
          <w:rFonts w:asciiTheme="minorHAnsi" w:hAnsiTheme="minorHAnsi" w:cstheme="minorHAnsi"/>
          <w:sz w:val="22"/>
          <w:szCs w:val="22"/>
        </w:rPr>
        <w:t xml:space="preserve">́ automatiquement, et les dates de </w:t>
      </w:r>
      <w:r w:rsidR="002F6490" w:rsidRPr="0025566E">
        <w:rPr>
          <w:rFonts w:asciiTheme="minorHAnsi" w:hAnsiTheme="minorHAnsi" w:cstheme="minorHAnsi"/>
          <w:sz w:val="22"/>
          <w:szCs w:val="22"/>
        </w:rPr>
        <w:t>résiliation</w:t>
      </w:r>
      <w:r w:rsidRPr="0025566E">
        <w:rPr>
          <w:rFonts w:asciiTheme="minorHAnsi" w:hAnsiTheme="minorHAnsi" w:cstheme="minorHAnsi"/>
          <w:sz w:val="22"/>
          <w:szCs w:val="22"/>
        </w:rPr>
        <w:t xml:space="preserve">, si elles sont connues. </w:t>
      </w:r>
    </w:p>
    <w:p w14:paraId="3750BC79" w14:textId="752F596A" w:rsidR="002F6490" w:rsidRPr="008211E3" w:rsidRDefault="002F6490" w:rsidP="00B92D4A">
      <w:pPr>
        <w:pStyle w:val="NormalWeb"/>
        <w:rPr>
          <w:rFonts w:asciiTheme="minorHAnsi" w:hAnsiTheme="minorHAnsi" w:cstheme="minorHAnsi"/>
          <w:b/>
          <w:sz w:val="22"/>
          <w:szCs w:val="22"/>
        </w:rPr>
      </w:pPr>
      <w:r w:rsidRPr="008211E3">
        <w:rPr>
          <w:rFonts w:asciiTheme="minorHAnsi" w:hAnsiTheme="minorHAnsi" w:cstheme="minorHAnsi"/>
          <w:b/>
          <w:sz w:val="22"/>
          <w:szCs w:val="22"/>
        </w:rPr>
        <w:t>ARTICLE 3 – SECTION « </w:t>
      </w:r>
      <w:r w:rsidR="00B92D4A" w:rsidRPr="008211E3">
        <w:rPr>
          <w:rFonts w:asciiTheme="minorHAnsi" w:hAnsiTheme="minorHAnsi" w:cstheme="minorHAnsi"/>
          <w:b/>
          <w:sz w:val="22"/>
          <w:szCs w:val="22"/>
        </w:rPr>
        <w:t>Quels sont les risques et qu'est-ce que cela pourrait me rapporter</w:t>
      </w:r>
      <w:r w:rsidR="00686CAE" w:rsidRPr="008211E3">
        <w:rPr>
          <w:rFonts w:asciiTheme="minorHAnsi" w:hAnsiTheme="minorHAnsi" w:cstheme="minorHAnsi"/>
          <w:b/>
          <w:sz w:val="22"/>
          <w:szCs w:val="22"/>
        </w:rPr>
        <w:t xml:space="preserve"> </w:t>
      </w:r>
      <w:r w:rsidR="00B92D4A" w:rsidRPr="008211E3">
        <w:rPr>
          <w:rFonts w:asciiTheme="minorHAnsi" w:hAnsiTheme="minorHAnsi" w:cstheme="minorHAnsi"/>
          <w:b/>
          <w:sz w:val="22"/>
          <w:szCs w:val="22"/>
        </w:rPr>
        <w:t xml:space="preserve">?» </w:t>
      </w:r>
    </w:p>
    <w:p w14:paraId="14CE9CA0" w14:textId="49F42564" w:rsidR="00B92D4A" w:rsidRPr="0025566E" w:rsidRDefault="00B92D4A" w:rsidP="00C4256A">
      <w:pPr>
        <w:pStyle w:val="Paragraphedeliste"/>
        <w:numPr>
          <w:ilvl w:val="2"/>
          <w:numId w:val="5"/>
        </w:numPr>
        <w:spacing w:before="100" w:beforeAutospacing="1" w:after="100" w:afterAutospacing="1"/>
        <w:ind w:left="851"/>
        <w:jc w:val="both"/>
        <w:rPr>
          <w:rFonts w:asciiTheme="minorHAnsi" w:hAnsiTheme="minorHAnsi" w:cstheme="minorHAnsi"/>
          <w:sz w:val="22"/>
          <w:szCs w:val="22"/>
        </w:rPr>
      </w:pPr>
      <w:r w:rsidRPr="0025566E">
        <w:rPr>
          <w:rFonts w:asciiTheme="minorHAnsi" w:hAnsiTheme="minorHAnsi" w:cstheme="minorHAnsi"/>
          <w:sz w:val="22"/>
          <w:szCs w:val="22"/>
        </w:rPr>
        <w:t xml:space="preserve">Dans la section «Quels sont les risques et qu'est-ce que cela pourrait me rapporter?» du document d'informations simplifiés, 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appliquent la </w:t>
      </w:r>
      <w:r w:rsidR="003D51A6" w:rsidRPr="0025566E">
        <w:rPr>
          <w:rFonts w:asciiTheme="minorHAnsi" w:hAnsiTheme="minorHAnsi" w:cstheme="minorHAnsi"/>
          <w:sz w:val="22"/>
          <w:szCs w:val="22"/>
        </w:rPr>
        <w:t>méthode</w:t>
      </w:r>
      <w:r w:rsidRPr="0025566E">
        <w:rPr>
          <w:rFonts w:asciiTheme="minorHAnsi" w:hAnsiTheme="minorHAnsi" w:cstheme="minorHAnsi"/>
          <w:sz w:val="22"/>
          <w:szCs w:val="22"/>
        </w:rPr>
        <w:t xml:space="preserve"> à utiliser pour la </w:t>
      </w:r>
      <w:r w:rsidR="003D51A6" w:rsidRPr="0025566E">
        <w:rPr>
          <w:rFonts w:asciiTheme="minorHAnsi" w:hAnsiTheme="minorHAnsi" w:cstheme="minorHAnsi"/>
          <w:sz w:val="22"/>
          <w:szCs w:val="22"/>
        </w:rPr>
        <w:t>présentation</w:t>
      </w:r>
      <w:r w:rsidRPr="0025566E">
        <w:rPr>
          <w:rFonts w:asciiTheme="minorHAnsi" w:hAnsiTheme="minorHAnsi" w:cstheme="minorHAnsi"/>
          <w:sz w:val="22"/>
          <w:szCs w:val="22"/>
        </w:rPr>
        <w:t xml:space="preserve"> des risques </w:t>
      </w:r>
      <w:r w:rsidR="003D51A6" w:rsidRPr="0025566E">
        <w:rPr>
          <w:rFonts w:asciiTheme="minorHAnsi" w:hAnsiTheme="minorHAnsi" w:cstheme="minorHAnsi"/>
          <w:sz w:val="22"/>
          <w:szCs w:val="22"/>
        </w:rPr>
        <w:t>décrite</w:t>
      </w:r>
      <w:r w:rsidRPr="0025566E">
        <w:rPr>
          <w:rFonts w:asciiTheme="minorHAnsi" w:hAnsiTheme="minorHAnsi" w:cstheme="minorHAnsi"/>
          <w:sz w:val="22"/>
          <w:szCs w:val="22"/>
        </w:rPr>
        <w:t xml:space="preserve"> à l'annexe II, tiennent compte des aspects techniques de la </w:t>
      </w:r>
      <w:r w:rsidR="003D51A6" w:rsidRPr="0025566E">
        <w:rPr>
          <w:rFonts w:asciiTheme="minorHAnsi" w:hAnsiTheme="minorHAnsi" w:cstheme="minorHAnsi"/>
          <w:sz w:val="22"/>
          <w:szCs w:val="22"/>
        </w:rPr>
        <w:t>présentation</w:t>
      </w:r>
      <w:r w:rsidRPr="0025566E">
        <w:rPr>
          <w:rFonts w:asciiTheme="minorHAnsi" w:hAnsiTheme="minorHAnsi" w:cstheme="minorHAnsi"/>
          <w:sz w:val="22"/>
          <w:szCs w:val="22"/>
        </w:rPr>
        <w:t xml:space="preserve"> de l'indicateur </w:t>
      </w:r>
      <w:r w:rsidR="003D51A6" w:rsidRPr="0025566E">
        <w:rPr>
          <w:rFonts w:asciiTheme="minorHAnsi" w:hAnsiTheme="minorHAnsi" w:cstheme="minorHAnsi"/>
          <w:sz w:val="22"/>
          <w:szCs w:val="22"/>
        </w:rPr>
        <w:t>synthétique</w:t>
      </w:r>
      <w:r w:rsidRPr="0025566E">
        <w:rPr>
          <w:rFonts w:asciiTheme="minorHAnsi" w:hAnsiTheme="minorHAnsi" w:cstheme="minorHAnsi"/>
          <w:sz w:val="22"/>
          <w:szCs w:val="22"/>
        </w:rPr>
        <w:t xml:space="preserve"> de risque </w:t>
      </w:r>
      <w:r w:rsidR="003D51A6" w:rsidRPr="0025566E">
        <w:rPr>
          <w:rFonts w:asciiTheme="minorHAnsi" w:hAnsiTheme="minorHAnsi" w:cstheme="minorHAnsi"/>
          <w:sz w:val="22"/>
          <w:szCs w:val="22"/>
        </w:rPr>
        <w:t>décrit</w:t>
      </w:r>
      <w:r w:rsidRPr="0025566E">
        <w:rPr>
          <w:rFonts w:asciiTheme="minorHAnsi" w:hAnsiTheme="minorHAnsi" w:cstheme="minorHAnsi"/>
          <w:sz w:val="22"/>
          <w:szCs w:val="22"/>
        </w:rPr>
        <w:t xml:space="preserve"> à l'annexe III et respectent les orientations techniques, les formats et la </w:t>
      </w:r>
      <w:r w:rsidR="003D51A6" w:rsidRPr="0025566E">
        <w:rPr>
          <w:rFonts w:asciiTheme="minorHAnsi" w:hAnsiTheme="minorHAnsi" w:cstheme="minorHAnsi"/>
          <w:sz w:val="22"/>
          <w:szCs w:val="22"/>
        </w:rPr>
        <w:t>méthode</w:t>
      </w:r>
      <w:r w:rsidRPr="0025566E">
        <w:rPr>
          <w:rFonts w:asciiTheme="minorHAnsi" w:hAnsiTheme="minorHAnsi" w:cstheme="minorHAnsi"/>
          <w:sz w:val="22"/>
          <w:szCs w:val="22"/>
        </w:rPr>
        <w:t xml:space="preserve"> </w:t>
      </w:r>
      <w:r w:rsidR="003D51A6" w:rsidRPr="0025566E">
        <w:rPr>
          <w:rFonts w:asciiTheme="minorHAnsi" w:hAnsiTheme="minorHAnsi" w:cstheme="minorHAnsi"/>
          <w:sz w:val="22"/>
          <w:szCs w:val="22"/>
        </w:rPr>
        <w:t>décrits</w:t>
      </w:r>
      <w:r w:rsidRPr="0025566E">
        <w:rPr>
          <w:rFonts w:asciiTheme="minorHAnsi" w:hAnsiTheme="minorHAnsi" w:cstheme="minorHAnsi"/>
          <w:sz w:val="22"/>
          <w:szCs w:val="22"/>
        </w:rPr>
        <w:t xml:space="preserve"> aux annexes IV et V pour la </w:t>
      </w:r>
      <w:r w:rsidR="003D51A6" w:rsidRPr="0025566E">
        <w:rPr>
          <w:rFonts w:asciiTheme="minorHAnsi" w:hAnsiTheme="minorHAnsi" w:cstheme="minorHAnsi"/>
          <w:sz w:val="22"/>
          <w:szCs w:val="22"/>
        </w:rPr>
        <w:t>présentation</w:t>
      </w:r>
      <w:r w:rsidRPr="0025566E">
        <w:rPr>
          <w:rFonts w:asciiTheme="minorHAnsi" w:hAnsiTheme="minorHAnsi" w:cstheme="minorHAnsi"/>
          <w:sz w:val="22"/>
          <w:szCs w:val="22"/>
        </w:rPr>
        <w:t xml:space="preserve"> des </w:t>
      </w:r>
      <w:r w:rsidR="003D51A6" w:rsidRPr="0025566E">
        <w:rPr>
          <w:rFonts w:asciiTheme="minorHAnsi" w:hAnsiTheme="minorHAnsi" w:cstheme="minorHAnsi"/>
          <w:sz w:val="22"/>
          <w:szCs w:val="22"/>
        </w:rPr>
        <w:t>scenarios</w:t>
      </w:r>
      <w:r w:rsidRPr="0025566E">
        <w:rPr>
          <w:rFonts w:asciiTheme="minorHAnsi" w:hAnsiTheme="minorHAnsi" w:cstheme="minorHAnsi"/>
          <w:sz w:val="22"/>
          <w:szCs w:val="22"/>
        </w:rPr>
        <w:t xml:space="preserve"> de performances. </w:t>
      </w:r>
    </w:p>
    <w:p w14:paraId="2FC800BF" w14:textId="77777777" w:rsidR="00B92D4A" w:rsidRPr="0025566E" w:rsidRDefault="00B92D4A" w:rsidP="00B92D4A">
      <w:pPr>
        <w:pStyle w:val="Paragraphedeliste"/>
        <w:spacing w:before="100" w:beforeAutospacing="1" w:after="100" w:afterAutospacing="1"/>
        <w:ind w:left="851"/>
        <w:jc w:val="both"/>
        <w:rPr>
          <w:rFonts w:asciiTheme="minorHAnsi" w:hAnsiTheme="minorHAnsi" w:cstheme="minorHAnsi"/>
          <w:sz w:val="22"/>
          <w:szCs w:val="22"/>
        </w:rPr>
      </w:pPr>
    </w:p>
    <w:p w14:paraId="4B2F9BAD" w14:textId="3713BE27" w:rsidR="00B92D4A" w:rsidRPr="0025566E" w:rsidRDefault="00B92D4A" w:rsidP="00C4256A">
      <w:pPr>
        <w:pStyle w:val="Paragraphedeliste"/>
        <w:numPr>
          <w:ilvl w:val="2"/>
          <w:numId w:val="5"/>
        </w:numPr>
        <w:spacing w:before="100" w:beforeAutospacing="1" w:after="100" w:afterAutospacing="1"/>
        <w:ind w:left="851"/>
        <w:jc w:val="both"/>
        <w:rPr>
          <w:rFonts w:asciiTheme="minorHAnsi" w:hAnsiTheme="minorHAnsi" w:cstheme="minorHAnsi"/>
          <w:sz w:val="22"/>
          <w:szCs w:val="22"/>
        </w:rPr>
      </w:pPr>
      <w:r w:rsidRPr="0025566E">
        <w:rPr>
          <w:rFonts w:asciiTheme="minorHAnsi" w:hAnsiTheme="minorHAnsi" w:cstheme="minorHAnsi"/>
          <w:sz w:val="22"/>
          <w:szCs w:val="22"/>
        </w:rPr>
        <w:t>Dans la section «</w:t>
      </w:r>
      <w:r w:rsidR="003D51A6" w:rsidRPr="0025566E">
        <w:rPr>
          <w:rFonts w:asciiTheme="minorHAnsi" w:hAnsiTheme="minorHAnsi" w:cstheme="minorHAnsi"/>
          <w:sz w:val="22"/>
          <w:szCs w:val="22"/>
        </w:rPr>
        <w:t xml:space="preserve"> </w:t>
      </w:r>
      <w:r w:rsidRPr="0025566E">
        <w:rPr>
          <w:rFonts w:asciiTheme="minorHAnsi" w:hAnsiTheme="minorHAnsi" w:cstheme="minorHAnsi"/>
          <w:sz w:val="22"/>
          <w:szCs w:val="22"/>
        </w:rPr>
        <w:t>Quels sont les risques et qu'est-ce que cela pourrait me rapporter</w:t>
      </w:r>
      <w:r w:rsidR="003D51A6" w:rsidRPr="0025566E">
        <w:rPr>
          <w:rFonts w:asciiTheme="minorHAnsi" w:hAnsiTheme="minorHAnsi" w:cstheme="minorHAnsi"/>
          <w:sz w:val="22"/>
          <w:szCs w:val="22"/>
        </w:rPr>
        <w:t xml:space="preserve"> </w:t>
      </w:r>
      <w:r w:rsidRPr="0025566E">
        <w:rPr>
          <w:rFonts w:asciiTheme="minorHAnsi" w:hAnsiTheme="minorHAnsi" w:cstheme="minorHAnsi"/>
          <w:sz w:val="22"/>
          <w:szCs w:val="22"/>
        </w:rPr>
        <w:t xml:space="preserve">?» du document d'informations simplifié 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fournissent les informations suivantes</w:t>
      </w:r>
      <w:r w:rsidR="003D51A6" w:rsidRPr="0025566E">
        <w:rPr>
          <w:rFonts w:asciiTheme="minorHAnsi" w:hAnsiTheme="minorHAnsi" w:cstheme="minorHAnsi"/>
          <w:sz w:val="22"/>
          <w:szCs w:val="22"/>
        </w:rPr>
        <w:t xml:space="preserve"> </w:t>
      </w:r>
      <w:r w:rsidRPr="0025566E">
        <w:rPr>
          <w:rFonts w:asciiTheme="minorHAnsi" w:hAnsiTheme="minorHAnsi" w:cstheme="minorHAnsi"/>
          <w:sz w:val="22"/>
          <w:szCs w:val="22"/>
        </w:rPr>
        <w:t xml:space="preserve">: </w:t>
      </w:r>
    </w:p>
    <w:p w14:paraId="7C7418FB" w14:textId="77777777" w:rsidR="00B92D4A" w:rsidRPr="0025566E" w:rsidRDefault="00B92D4A" w:rsidP="00B92D4A">
      <w:pPr>
        <w:pStyle w:val="Paragraphedeliste"/>
        <w:rPr>
          <w:rFonts w:asciiTheme="minorHAnsi" w:hAnsiTheme="minorHAnsi" w:cstheme="minorHAnsi"/>
          <w:sz w:val="22"/>
          <w:szCs w:val="22"/>
        </w:rPr>
      </w:pPr>
    </w:p>
    <w:p w14:paraId="07559608" w14:textId="4A5D8350" w:rsidR="00B92D4A" w:rsidRPr="0025566E" w:rsidRDefault="00B92D4A" w:rsidP="00C4256A">
      <w:pPr>
        <w:pStyle w:val="Paragraphedeliste"/>
        <w:numPr>
          <w:ilvl w:val="1"/>
          <w:numId w:val="7"/>
        </w:numPr>
        <w:spacing w:before="100" w:beforeAutospacing="1" w:after="100" w:afterAutospacing="1"/>
        <w:ind w:left="1276"/>
        <w:jc w:val="both"/>
        <w:rPr>
          <w:rFonts w:asciiTheme="minorHAnsi" w:hAnsiTheme="minorHAnsi" w:cstheme="minorHAnsi"/>
          <w:sz w:val="22"/>
          <w:szCs w:val="22"/>
        </w:rPr>
      </w:pPr>
      <w:r w:rsidRPr="0025566E">
        <w:rPr>
          <w:rFonts w:asciiTheme="minorHAnsi" w:hAnsiTheme="minorHAnsi" w:cstheme="minorHAnsi"/>
          <w:sz w:val="22"/>
          <w:szCs w:val="22"/>
        </w:rPr>
        <w:t xml:space="preserve">le niveau de risque de l’OPC sous la forme d'une classe de risque en utilisant un indicateur </w:t>
      </w:r>
      <w:r w:rsidR="003565E9" w:rsidRPr="0025566E">
        <w:rPr>
          <w:rFonts w:asciiTheme="minorHAnsi" w:hAnsiTheme="minorHAnsi" w:cstheme="minorHAnsi"/>
          <w:sz w:val="22"/>
          <w:szCs w:val="22"/>
        </w:rPr>
        <w:t>synthétique</w:t>
      </w:r>
      <w:r w:rsidRPr="0025566E">
        <w:rPr>
          <w:rFonts w:asciiTheme="minorHAnsi" w:hAnsiTheme="minorHAnsi" w:cstheme="minorHAnsi"/>
          <w:sz w:val="22"/>
          <w:szCs w:val="22"/>
        </w:rPr>
        <w:t xml:space="preserve"> de risque exprimé selon une </w:t>
      </w:r>
      <w:r w:rsidR="003565E9" w:rsidRPr="0025566E">
        <w:rPr>
          <w:rFonts w:asciiTheme="minorHAnsi" w:hAnsiTheme="minorHAnsi" w:cstheme="minorHAnsi"/>
          <w:sz w:val="22"/>
          <w:szCs w:val="22"/>
        </w:rPr>
        <w:t>échelle</w:t>
      </w:r>
      <w:r w:rsidRPr="0025566E">
        <w:rPr>
          <w:rFonts w:asciiTheme="minorHAnsi" w:hAnsiTheme="minorHAnsi" w:cstheme="minorHAnsi"/>
          <w:sz w:val="22"/>
          <w:szCs w:val="22"/>
        </w:rPr>
        <w:t xml:space="preserve"> </w:t>
      </w:r>
      <w:r w:rsidR="003565E9" w:rsidRPr="0025566E">
        <w:rPr>
          <w:rFonts w:asciiTheme="minorHAnsi" w:hAnsiTheme="minorHAnsi" w:cstheme="minorHAnsi"/>
          <w:sz w:val="22"/>
          <w:szCs w:val="22"/>
        </w:rPr>
        <w:t>numérique</w:t>
      </w:r>
      <w:r w:rsidRPr="0025566E">
        <w:rPr>
          <w:rFonts w:asciiTheme="minorHAnsi" w:hAnsiTheme="minorHAnsi" w:cstheme="minorHAnsi"/>
          <w:sz w:val="22"/>
          <w:szCs w:val="22"/>
        </w:rPr>
        <w:t xml:space="preserve"> de 1 à 7; </w:t>
      </w:r>
    </w:p>
    <w:p w14:paraId="49D4B911" w14:textId="77777777" w:rsidR="00B92D4A" w:rsidRPr="0025566E" w:rsidRDefault="00B92D4A" w:rsidP="00B92D4A">
      <w:pPr>
        <w:pStyle w:val="Paragraphedeliste"/>
        <w:spacing w:before="100" w:beforeAutospacing="1" w:after="100" w:afterAutospacing="1"/>
        <w:ind w:left="1276"/>
        <w:jc w:val="both"/>
        <w:rPr>
          <w:rFonts w:asciiTheme="minorHAnsi" w:hAnsiTheme="minorHAnsi" w:cstheme="minorHAnsi"/>
          <w:sz w:val="22"/>
          <w:szCs w:val="22"/>
        </w:rPr>
      </w:pPr>
    </w:p>
    <w:p w14:paraId="34D77D99" w14:textId="74E9AE9C" w:rsidR="00B92D4A" w:rsidRPr="0025566E" w:rsidRDefault="00B92D4A" w:rsidP="00C4256A">
      <w:pPr>
        <w:pStyle w:val="Paragraphedeliste"/>
        <w:numPr>
          <w:ilvl w:val="1"/>
          <w:numId w:val="7"/>
        </w:numPr>
        <w:spacing w:before="100" w:beforeAutospacing="1" w:after="100" w:afterAutospacing="1"/>
        <w:ind w:left="1276"/>
        <w:jc w:val="both"/>
        <w:rPr>
          <w:rFonts w:asciiTheme="minorHAnsi" w:hAnsiTheme="minorHAnsi" w:cstheme="minorHAnsi"/>
          <w:sz w:val="22"/>
          <w:szCs w:val="22"/>
        </w:rPr>
      </w:pPr>
      <w:r w:rsidRPr="0025566E">
        <w:rPr>
          <w:rFonts w:asciiTheme="minorHAnsi" w:hAnsiTheme="minorHAnsi" w:cstheme="minorHAnsi"/>
          <w:sz w:val="22"/>
          <w:szCs w:val="22"/>
        </w:rPr>
        <w:t xml:space="preserve">une </w:t>
      </w:r>
      <w:r w:rsidR="003565E9" w:rsidRPr="0025566E">
        <w:rPr>
          <w:rFonts w:asciiTheme="minorHAnsi" w:hAnsiTheme="minorHAnsi" w:cstheme="minorHAnsi"/>
          <w:sz w:val="22"/>
          <w:szCs w:val="22"/>
        </w:rPr>
        <w:t>référence</w:t>
      </w:r>
      <w:r w:rsidRPr="0025566E">
        <w:rPr>
          <w:rFonts w:asciiTheme="minorHAnsi" w:hAnsiTheme="minorHAnsi" w:cstheme="minorHAnsi"/>
          <w:sz w:val="22"/>
          <w:szCs w:val="22"/>
        </w:rPr>
        <w:t xml:space="preserve"> explicite </w:t>
      </w:r>
      <w:proofErr w:type="spellStart"/>
      <w:r w:rsidRPr="0025566E">
        <w:rPr>
          <w:rFonts w:asciiTheme="minorHAnsi" w:hAnsiTheme="minorHAnsi" w:cstheme="minorHAnsi"/>
          <w:sz w:val="22"/>
          <w:szCs w:val="22"/>
        </w:rPr>
        <w:t>a</w:t>
      </w:r>
      <w:proofErr w:type="spellEnd"/>
      <w:r w:rsidRPr="0025566E">
        <w:rPr>
          <w:rFonts w:asciiTheme="minorHAnsi" w:hAnsiTheme="minorHAnsi" w:cstheme="minorHAnsi"/>
          <w:sz w:val="22"/>
          <w:szCs w:val="22"/>
        </w:rPr>
        <w:t xml:space="preserve">̀ tout </w:t>
      </w:r>
      <w:r w:rsidR="000F7474" w:rsidRPr="0025566E">
        <w:rPr>
          <w:rFonts w:asciiTheme="minorHAnsi" w:hAnsiTheme="minorHAnsi" w:cstheme="minorHAnsi"/>
          <w:sz w:val="22"/>
          <w:szCs w:val="22"/>
        </w:rPr>
        <w:t>OPC</w:t>
      </w:r>
      <w:r w:rsidRPr="0025566E">
        <w:rPr>
          <w:rFonts w:asciiTheme="minorHAnsi" w:hAnsiTheme="minorHAnsi" w:cstheme="minorHAnsi"/>
          <w:sz w:val="22"/>
          <w:szCs w:val="22"/>
        </w:rPr>
        <w:t xml:space="preserve"> </w:t>
      </w:r>
      <w:proofErr w:type="spellStart"/>
      <w:r w:rsidRPr="0025566E">
        <w:rPr>
          <w:rFonts w:asciiTheme="minorHAnsi" w:hAnsiTheme="minorHAnsi" w:cstheme="minorHAnsi"/>
          <w:sz w:val="22"/>
          <w:szCs w:val="22"/>
        </w:rPr>
        <w:t>illiquide</w:t>
      </w:r>
      <w:proofErr w:type="spellEnd"/>
      <w:r w:rsidRPr="0025566E">
        <w:rPr>
          <w:rFonts w:asciiTheme="minorHAnsi" w:hAnsiTheme="minorHAnsi" w:cstheme="minorHAnsi"/>
          <w:sz w:val="22"/>
          <w:szCs w:val="22"/>
        </w:rPr>
        <w:t xml:space="preserve"> ou </w:t>
      </w:r>
      <w:r w:rsidR="003565E9" w:rsidRPr="0025566E">
        <w:rPr>
          <w:rFonts w:asciiTheme="minorHAnsi" w:hAnsiTheme="minorHAnsi" w:cstheme="minorHAnsi"/>
          <w:sz w:val="22"/>
          <w:szCs w:val="22"/>
        </w:rPr>
        <w:t>présentant</w:t>
      </w:r>
      <w:r w:rsidRPr="0025566E">
        <w:rPr>
          <w:rFonts w:asciiTheme="minorHAnsi" w:hAnsiTheme="minorHAnsi" w:cstheme="minorHAnsi"/>
          <w:sz w:val="22"/>
          <w:szCs w:val="22"/>
        </w:rPr>
        <w:t xml:space="preserve"> un risque de </w:t>
      </w:r>
      <w:r w:rsidR="003565E9" w:rsidRPr="0025566E">
        <w:rPr>
          <w:rFonts w:asciiTheme="minorHAnsi" w:hAnsiTheme="minorHAnsi" w:cstheme="minorHAnsi"/>
          <w:sz w:val="22"/>
          <w:szCs w:val="22"/>
        </w:rPr>
        <w:t>liquidité</w:t>
      </w:r>
      <w:r w:rsidRPr="0025566E">
        <w:rPr>
          <w:rFonts w:asciiTheme="minorHAnsi" w:hAnsiTheme="minorHAnsi" w:cstheme="minorHAnsi"/>
          <w:sz w:val="22"/>
          <w:szCs w:val="22"/>
        </w:rPr>
        <w:t xml:space="preserve">́ </w:t>
      </w:r>
      <w:r w:rsidR="003565E9" w:rsidRPr="0025566E">
        <w:rPr>
          <w:rFonts w:asciiTheme="minorHAnsi" w:hAnsiTheme="minorHAnsi" w:cstheme="minorHAnsi"/>
          <w:sz w:val="22"/>
          <w:szCs w:val="22"/>
        </w:rPr>
        <w:t>matériellement</w:t>
      </w:r>
      <w:r w:rsidRPr="0025566E">
        <w:rPr>
          <w:rFonts w:asciiTheme="minorHAnsi" w:hAnsiTheme="minorHAnsi" w:cstheme="minorHAnsi"/>
          <w:sz w:val="22"/>
          <w:szCs w:val="22"/>
        </w:rPr>
        <w:t xml:space="preserve"> pertinent, tel que </w:t>
      </w:r>
      <w:r w:rsidR="003565E9" w:rsidRPr="0025566E">
        <w:rPr>
          <w:rFonts w:asciiTheme="minorHAnsi" w:hAnsiTheme="minorHAnsi" w:cstheme="minorHAnsi"/>
          <w:sz w:val="22"/>
          <w:szCs w:val="22"/>
        </w:rPr>
        <w:t>défini</w:t>
      </w:r>
      <w:r w:rsidRPr="0025566E">
        <w:rPr>
          <w:rFonts w:asciiTheme="minorHAnsi" w:hAnsiTheme="minorHAnsi" w:cstheme="minorHAnsi"/>
          <w:sz w:val="22"/>
          <w:szCs w:val="22"/>
        </w:rPr>
        <w:t xml:space="preserve"> dans la </w:t>
      </w:r>
      <w:r w:rsidRPr="008211E3">
        <w:rPr>
          <w:rFonts w:asciiTheme="minorHAnsi" w:hAnsiTheme="minorHAnsi" w:cstheme="minorHAnsi"/>
          <w:sz w:val="22"/>
          <w:szCs w:val="22"/>
        </w:rPr>
        <w:t>partie 4 de l'annexe II,</w:t>
      </w:r>
      <w:r w:rsidRPr="0025566E">
        <w:rPr>
          <w:rFonts w:asciiTheme="minorHAnsi" w:hAnsiTheme="minorHAnsi" w:cstheme="minorHAnsi"/>
          <w:sz w:val="22"/>
          <w:szCs w:val="22"/>
        </w:rPr>
        <w:t xml:space="preserve"> sous la forme d'un avertissement à cet effet dans la </w:t>
      </w:r>
      <w:r w:rsidR="003565E9" w:rsidRPr="0025566E">
        <w:rPr>
          <w:rFonts w:asciiTheme="minorHAnsi" w:hAnsiTheme="minorHAnsi" w:cstheme="minorHAnsi"/>
          <w:sz w:val="22"/>
          <w:szCs w:val="22"/>
        </w:rPr>
        <w:t>présentation</w:t>
      </w:r>
      <w:r w:rsidRPr="0025566E">
        <w:rPr>
          <w:rFonts w:asciiTheme="minorHAnsi" w:hAnsiTheme="minorHAnsi" w:cstheme="minorHAnsi"/>
          <w:sz w:val="22"/>
          <w:szCs w:val="22"/>
        </w:rPr>
        <w:t xml:space="preserve"> de l'indicateur </w:t>
      </w:r>
      <w:r w:rsidR="003565E9" w:rsidRPr="0025566E">
        <w:rPr>
          <w:rFonts w:asciiTheme="minorHAnsi" w:hAnsiTheme="minorHAnsi" w:cstheme="minorHAnsi"/>
          <w:sz w:val="22"/>
          <w:szCs w:val="22"/>
        </w:rPr>
        <w:t>synthétique</w:t>
      </w:r>
      <w:r w:rsidRPr="0025566E">
        <w:rPr>
          <w:rFonts w:asciiTheme="minorHAnsi" w:hAnsiTheme="minorHAnsi" w:cstheme="minorHAnsi"/>
          <w:sz w:val="22"/>
          <w:szCs w:val="22"/>
        </w:rPr>
        <w:t xml:space="preserve"> de risque; </w:t>
      </w:r>
    </w:p>
    <w:p w14:paraId="49FA23C2" w14:textId="77777777" w:rsidR="00B92D4A" w:rsidRPr="0025566E" w:rsidRDefault="00B92D4A" w:rsidP="00B92D4A">
      <w:pPr>
        <w:pStyle w:val="Paragraphedeliste"/>
        <w:rPr>
          <w:rFonts w:asciiTheme="minorHAnsi" w:hAnsiTheme="minorHAnsi" w:cstheme="minorHAnsi"/>
          <w:sz w:val="22"/>
          <w:szCs w:val="22"/>
        </w:rPr>
      </w:pPr>
    </w:p>
    <w:p w14:paraId="35D3536F" w14:textId="5F542416" w:rsidR="00B92D4A" w:rsidRPr="0025566E" w:rsidRDefault="00B92D4A" w:rsidP="00C4256A">
      <w:pPr>
        <w:pStyle w:val="Paragraphedeliste"/>
        <w:numPr>
          <w:ilvl w:val="1"/>
          <w:numId w:val="7"/>
        </w:numPr>
        <w:spacing w:before="100" w:beforeAutospacing="1" w:after="100" w:afterAutospacing="1"/>
        <w:ind w:left="1276"/>
        <w:jc w:val="both"/>
        <w:rPr>
          <w:rFonts w:asciiTheme="minorHAnsi" w:hAnsiTheme="minorHAnsi" w:cstheme="minorHAnsi"/>
          <w:sz w:val="22"/>
          <w:szCs w:val="22"/>
        </w:rPr>
      </w:pPr>
      <w:r w:rsidRPr="0025566E">
        <w:rPr>
          <w:rFonts w:asciiTheme="minorHAnsi" w:hAnsiTheme="minorHAnsi" w:cstheme="minorHAnsi"/>
          <w:sz w:val="22"/>
          <w:szCs w:val="22"/>
        </w:rPr>
        <w:t xml:space="preserve">un texte explicatif figurant sous l'indicateur </w:t>
      </w:r>
      <w:r w:rsidR="003565E9" w:rsidRPr="0025566E">
        <w:rPr>
          <w:rFonts w:asciiTheme="minorHAnsi" w:hAnsiTheme="minorHAnsi" w:cstheme="minorHAnsi"/>
          <w:sz w:val="22"/>
          <w:szCs w:val="22"/>
        </w:rPr>
        <w:t>synthétique</w:t>
      </w:r>
      <w:r w:rsidRPr="0025566E">
        <w:rPr>
          <w:rFonts w:asciiTheme="minorHAnsi" w:hAnsiTheme="minorHAnsi" w:cstheme="minorHAnsi"/>
          <w:sz w:val="22"/>
          <w:szCs w:val="22"/>
        </w:rPr>
        <w:t xml:space="preserve"> de risque et expliquant que, si un </w:t>
      </w:r>
      <w:r w:rsidR="000F7474" w:rsidRPr="0025566E">
        <w:rPr>
          <w:rFonts w:asciiTheme="minorHAnsi" w:hAnsiTheme="minorHAnsi" w:cstheme="minorHAnsi"/>
          <w:sz w:val="22"/>
          <w:szCs w:val="22"/>
        </w:rPr>
        <w:t>OPC</w:t>
      </w:r>
      <w:r w:rsidRPr="0025566E">
        <w:rPr>
          <w:rFonts w:asciiTheme="minorHAnsi" w:hAnsiTheme="minorHAnsi" w:cstheme="minorHAnsi"/>
          <w:sz w:val="22"/>
          <w:szCs w:val="22"/>
        </w:rPr>
        <w:t xml:space="preserve"> est libellé dans une monnaie autre que la monnaie officielle </w:t>
      </w:r>
      <w:r w:rsidR="000F7474" w:rsidRPr="0025566E">
        <w:rPr>
          <w:rFonts w:asciiTheme="minorHAnsi" w:hAnsiTheme="minorHAnsi" w:cstheme="minorHAnsi"/>
          <w:sz w:val="22"/>
          <w:szCs w:val="22"/>
        </w:rPr>
        <w:t>de la CEMAC</w:t>
      </w:r>
      <w:r w:rsidRPr="0025566E">
        <w:rPr>
          <w:rFonts w:asciiTheme="minorHAnsi" w:hAnsiTheme="minorHAnsi" w:cstheme="minorHAnsi"/>
          <w:sz w:val="22"/>
          <w:szCs w:val="22"/>
        </w:rPr>
        <w:t xml:space="preserve"> dans lequel ce produit est commercialisé, le rendement, lorsqu'il est </w:t>
      </w:r>
      <w:r w:rsidR="003565E9" w:rsidRPr="0025566E">
        <w:rPr>
          <w:rFonts w:asciiTheme="minorHAnsi" w:hAnsiTheme="minorHAnsi" w:cstheme="minorHAnsi"/>
          <w:sz w:val="22"/>
          <w:szCs w:val="22"/>
        </w:rPr>
        <w:t>exprimé</w:t>
      </w:r>
      <w:r w:rsidRPr="0025566E">
        <w:rPr>
          <w:rFonts w:asciiTheme="minorHAnsi" w:hAnsiTheme="minorHAnsi" w:cstheme="minorHAnsi"/>
          <w:sz w:val="22"/>
          <w:szCs w:val="22"/>
        </w:rPr>
        <w:t xml:space="preserve"> dans la monnaie officielle </w:t>
      </w:r>
      <w:r w:rsidR="000F7474" w:rsidRPr="0025566E">
        <w:rPr>
          <w:rFonts w:asciiTheme="minorHAnsi" w:hAnsiTheme="minorHAnsi" w:cstheme="minorHAnsi"/>
          <w:sz w:val="22"/>
          <w:szCs w:val="22"/>
        </w:rPr>
        <w:t>de la CEMAC</w:t>
      </w:r>
      <w:r w:rsidRPr="0025566E">
        <w:rPr>
          <w:rFonts w:asciiTheme="minorHAnsi" w:hAnsiTheme="minorHAnsi" w:cstheme="minorHAnsi"/>
          <w:sz w:val="22"/>
          <w:szCs w:val="22"/>
        </w:rPr>
        <w:t xml:space="preserve"> où est commercialisé ce produit, peut varier selon les fluctuations </w:t>
      </w:r>
      <w:r w:rsidR="003565E9" w:rsidRPr="0025566E">
        <w:rPr>
          <w:rFonts w:asciiTheme="minorHAnsi" w:hAnsiTheme="minorHAnsi" w:cstheme="minorHAnsi"/>
          <w:sz w:val="22"/>
          <w:szCs w:val="22"/>
        </w:rPr>
        <w:t>monétaires</w:t>
      </w:r>
      <w:r w:rsidRPr="0025566E">
        <w:rPr>
          <w:rFonts w:asciiTheme="minorHAnsi" w:hAnsiTheme="minorHAnsi" w:cstheme="minorHAnsi"/>
          <w:sz w:val="22"/>
          <w:szCs w:val="22"/>
        </w:rPr>
        <w:t xml:space="preserve">; </w:t>
      </w:r>
    </w:p>
    <w:p w14:paraId="0734A7D0" w14:textId="77777777" w:rsidR="00B92D4A" w:rsidRPr="0025566E" w:rsidRDefault="00B92D4A" w:rsidP="00B92D4A">
      <w:pPr>
        <w:pStyle w:val="Paragraphedeliste"/>
        <w:rPr>
          <w:rFonts w:asciiTheme="minorHAnsi" w:hAnsiTheme="minorHAnsi" w:cstheme="minorHAnsi"/>
          <w:sz w:val="22"/>
          <w:szCs w:val="22"/>
        </w:rPr>
      </w:pPr>
    </w:p>
    <w:p w14:paraId="63DEB5DC" w14:textId="6B03D090" w:rsidR="00B92D4A" w:rsidRPr="0025566E" w:rsidRDefault="00B92D4A" w:rsidP="00C4256A">
      <w:pPr>
        <w:pStyle w:val="Paragraphedeliste"/>
        <w:numPr>
          <w:ilvl w:val="1"/>
          <w:numId w:val="7"/>
        </w:numPr>
        <w:spacing w:before="100" w:beforeAutospacing="1" w:after="100" w:afterAutospacing="1"/>
        <w:ind w:left="1276"/>
        <w:jc w:val="both"/>
        <w:rPr>
          <w:rFonts w:asciiTheme="minorHAnsi" w:hAnsiTheme="minorHAnsi" w:cstheme="minorHAnsi"/>
          <w:sz w:val="22"/>
          <w:szCs w:val="22"/>
        </w:rPr>
      </w:pPr>
      <w:r w:rsidRPr="0025566E">
        <w:rPr>
          <w:rFonts w:asciiTheme="minorHAnsi" w:hAnsiTheme="minorHAnsi" w:cstheme="minorHAnsi"/>
          <w:sz w:val="22"/>
          <w:szCs w:val="22"/>
        </w:rPr>
        <w:t xml:space="preserve">une </w:t>
      </w:r>
      <w:r w:rsidR="003565E9" w:rsidRPr="0025566E">
        <w:rPr>
          <w:rFonts w:asciiTheme="minorHAnsi" w:hAnsiTheme="minorHAnsi" w:cstheme="minorHAnsi"/>
          <w:sz w:val="22"/>
          <w:szCs w:val="22"/>
        </w:rPr>
        <w:t>brève</w:t>
      </w:r>
      <w:r w:rsidRPr="0025566E">
        <w:rPr>
          <w:rFonts w:asciiTheme="minorHAnsi" w:hAnsiTheme="minorHAnsi" w:cstheme="minorHAnsi"/>
          <w:sz w:val="22"/>
          <w:szCs w:val="22"/>
        </w:rPr>
        <w:t xml:space="preserve"> description du profil de risque et de </w:t>
      </w:r>
      <w:r w:rsidR="003565E9" w:rsidRPr="0025566E">
        <w:rPr>
          <w:rFonts w:asciiTheme="minorHAnsi" w:hAnsiTheme="minorHAnsi" w:cstheme="minorHAnsi"/>
          <w:sz w:val="22"/>
          <w:szCs w:val="22"/>
        </w:rPr>
        <w:t>rémunération</w:t>
      </w:r>
      <w:r w:rsidRPr="0025566E">
        <w:rPr>
          <w:rFonts w:asciiTheme="minorHAnsi" w:hAnsiTheme="minorHAnsi" w:cstheme="minorHAnsi"/>
          <w:sz w:val="22"/>
          <w:szCs w:val="22"/>
        </w:rPr>
        <w:t xml:space="preserve"> </w:t>
      </w:r>
      <w:r w:rsidR="000F7474" w:rsidRPr="0025566E">
        <w:rPr>
          <w:rFonts w:asciiTheme="minorHAnsi" w:hAnsiTheme="minorHAnsi" w:cstheme="minorHAnsi"/>
          <w:sz w:val="22"/>
          <w:szCs w:val="22"/>
        </w:rPr>
        <w:t>de l’OPC</w:t>
      </w:r>
      <w:r w:rsidRPr="0025566E">
        <w:rPr>
          <w:rFonts w:asciiTheme="minorHAnsi" w:hAnsiTheme="minorHAnsi" w:cstheme="minorHAnsi"/>
          <w:sz w:val="22"/>
          <w:szCs w:val="22"/>
        </w:rPr>
        <w:t xml:space="preserve"> et un avertissement signalant, le cas </w:t>
      </w:r>
      <w:r w:rsidR="003565E9" w:rsidRPr="0025566E">
        <w:rPr>
          <w:rFonts w:asciiTheme="minorHAnsi" w:hAnsiTheme="minorHAnsi" w:cstheme="minorHAnsi"/>
          <w:sz w:val="22"/>
          <w:szCs w:val="22"/>
        </w:rPr>
        <w:t>échéant</w:t>
      </w:r>
      <w:r w:rsidRPr="0025566E">
        <w:rPr>
          <w:rFonts w:asciiTheme="minorHAnsi" w:hAnsiTheme="minorHAnsi" w:cstheme="minorHAnsi"/>
          <w:sz w:val="22"/>
          <w:szCs w:val="22"/>
        </w:rPr>
        <w:t xml:space="preserve">, que le risque </w:t>
      </w:r>
      <w:r w:rsidR="003565E9" w:rsidRPr="0025566E">
        <w:rPr>
          <w:rFonts w:asciiTheme="minorHAnsi" w:hAnsiTheme="minorHAnsi" w:cstheme="minorHAnsi"/>
          <w:sz w:val="22"/>
          <w:szCs w:val="22"/>
        </w:rPr>
        <w:t>inhérent</w:t>
      </w:r>
      <w:r w:rsidRPr="0025566E">
        <w:rPr>
          <w:rFonts w:asciiTheme="minorHAnsi" w:hAnsiTheme="minorHAnsi" w:cstheme="minorHAnsi"/>
          <w:sz w:val="22"/>
          <w:szCs w:val="22"/>
        </w:rPr>
        <w:t xml:space="preserve"> </w:t>
      </w:r>
      <w:r w:rsidR="000F7474" w:rsidRPr="0025566E">
        <w:rPr>
          <w:rFonts w:asciiTheme="minorHAnsi" w:hAnsiTheme="minorHAnsi" w:cstheme="minorHAnsi"/>
          <w:sz w:val="22"/>
          <w:szCs w:val="22"/>
        </w:rPr>
        <w:t>à l’OPC</w:t>
      </w:r>
      <w:r w:rsidRPr="0025566E">
        <w:rPr>
          <w:rFonts w:asciiTheme="minorHAnsi" w:hAnsiTheme="minorHAnsi" w:cstheme="minorHAnsi"/>
          <w:sz w:val="22"/>
          <w:szCs w:val="22"/>
        </w:rPr>
        <w:t xml:space="preserve"> peut </w:t>
      </w:r>
      <w:r w:rsidR="003565E9" w:rsidRPr="0025566E">
        <w:rPr>
          <w:rFonts w:asciiTheme="minorHAnsi" w:hAnsiTheme="minorHAnsi" w:cstheme="minorHAnsi"/>
          <w:sz w:val="22"/>
          <w:szCs w:val="22"/>
        </w:rPr>
        <w:t>être</w:t>
      </w:r>
      <w:r w:rsidRPr="0025566E">
        <w:rPr>
          <w:rFonts w:asciiTheme="minorHAnsi" w:hAnsiTheme="minorHAnsi" w:cstheme="minorHAnsi"/>
          <w:sz w:val="22"/>
          <w:szCs w:val="22"/>
        </w:rPr>
        <w:t xml:space="preserve"> nettement plus </w:t>
      </w:r>
      <w:r w:rsidR="003565E9" w:rsidRPr="0025566E">
        <w:rPr>
          <w:rFonts w:asciiTheme="minorHAnsi" w:hAnsiTheme="minorHAnsi" w:cstheme="minorHAnsi"/>
          <w:sz w:val="22"/>
          <w:szCs w:val="22"/>
        </w:rPr>
        <w:t>élevé</w:t>
      </w:r>
      <w:r w:rsidRPr="0025566E">
        <w:rPr>
          <w:rFonts w:asciiTheme="minorHAnsi" w:hAnsiTheme="minorHAnsi" w:cstheme="minorHAnsi"/>
          <w:sz w:val="22"/>
          <w:szCs w:val="22"/>
        </w:rPr>
        <w:t xml:space="preserve"> que celui </w:t>
      </w:r>
      <w:r w:rsidR="003565E9" w:rsidRPr="0025566E">
        <w:rPr>
          <w:rFonts w:asciiTheme="minorHAnsi" w:hAnsiTheme="minorHAnsi" w:cstheme="minorHAnsi"/>
          <w:sz w:val="22"/>
          <w:szCs w:val="22"/>
        </w:rPr>
        <w:t>représente</w:t>
      </w:r>
      <w:r w:rsidRPr="0025566E">
        <w:rPr>
          <w:rFonts w:asciiTheme="minorHAnsi" w:hAnsiTheme="minorHAnsi" w:cstheme="minorHAnsi"/>
          <w:sz w:val="22"/>
          <w:szCs w:val="22"/>
        </w:rPr>
        <w:t xml:space="preserve">́ dans l'indicateur </w:t>
      </w:r>
      <w:r w:rsidR="003565E9" w:rsidRPr="0025566E">
        <w:rPr>
          <w:rFonts w:asciiTheme="minorHAnsi" w:hAnsiTheme="minorHAnsi" w:cstheme="minorHAnsi"/>
          <w:sz w:val="22"/>
          <w:szCs w:val="22"/>
        </w:rPr>
        <w:t>synthétique</w:t>
      </w:r>
      <w:r w:rsidRPr="0025566E">
        <w:rPr>
          <w:rFonts w:asciiTheme="minorHAnsi" w:hAnsiTheme="minorHAnsi" w:cstheme="minorHAnsi"/>
          <w:sz w:val="22"/>
          <w:szCs w:val="22"/>
        </w:rPr>
        <w:t xml:space="preserve"> de risque si </w:t>
      </w:r>
      <w:r w:rsidR="000F7474" w:rsidRPr="0025566E">
        <w:rPr>
          <w:rFonts w:asciiTheme="minorHAnsi" w:hAnsiTheme="minorHAnsi" w:cstheme="minorHAnsi"/>
          <w:sz w:val="22"/>
          <w:szCs w:val="22"/>
        </w:rPr>
        <w:t>l’OPC</w:t>
      </w:r>
      <w:r w:rsidRPr="0025566E">
        <w:rPr>
          <w:rFonts w:asciiTheme="minorHAnsi" w:hAnsiTheme="minorHAnsi" w:cstheme="minorHAnsi"/>
          <w:sz w:val="22"/>
          <w:szCs w:val="22"/>
        </w:rPr>
        <w:t xml:space="preserve"> n'est pas </w:t>
      </w:r>
      <w:r w:rsidR="003565E9" w:rsidRPr="0025566E">
        <w:rPr>
          <w:rFonts w:asciiTheme="minorHAnsi" w:hAnsiTheme="minorHAnsi" w:cstheme="minorHAnsi"/>
          <w:sz w:val="22"/>
          <w:szCs w:val="22"/>
        </w:rPr>
        <w:t>détenu</w:t>
      </w:r>
      <w:r w:rsidRPr="0025566E">
        <w:rPr>
          <w:rFonts w:asciiTheme="minorHAnsi" w:hAnsiTheme="minorHAnsi" w:cstheme="minorHAnsi"/>
          <w:sz w:val="22"/>
          <w:szCs w:val="22"/>
        </w:rPr>
        <w:t xml:space="preserve"> jusqu'</w:t>
      </w:r>
      <w:proofErr w:type="spellStart"/>
      <w:r w:rsidRPr="0025566E">
        <w:rPr>
          <w:rFonts w:asciiTheme="minorHAnsi" w:hAnsiTheme="minorHAnsi" w:cstheme="minorHAnsi"/>
          <w:sz w:val="22"/>
          <w:szCs w:val="22"/>
        </w:rPr>
        <w:t>a</w:t>
      </w:r>
      <w:proofErr w:type="spellEnd"/>
      <w:r w:rsidRPr="0025566E">
        <w:rPr>
          <w:rFonts w:asciiTheme="minorHAnsi" w:hAnsiTheme="minorHAnsi" w:cstheme="minorHAnsi"/>
          <w:sz w:val="22"/>
          <w:szCs w:val="22"/>
        </w:rPr>
        <w:t>̀ l'</w:t>
      </w:r>
      <w:r w:rsidR="003565E9" w:rsidRPr="0025566E">
        <w:rPr>
          <w:rFonts w:asciiTheme="minorHAnsi" w:hAnsiTheme="minorHAnsi" w:cstheme="minorHAnsi"/>
          <w:sz w:val="22"/>
          <w:szCs w:val="22"/>
        </w:rPr>
        <w:t>échéance</w:t>
      </w:r>
      <w:r w:rsidRPr="0025566E">
        <w:rPr>
          <w:rFonts w:asciiTheme="minorHAnsi" w:hAnsiTheme="minorHAnsi" w:cstheme="minorHAnsi"/>
          <w:sz w:val="22"/>
          <w:szCs w:val="22"/>
        </w:rPr>
        <w:t xml:space="preserve"> ou pendant toute la </w:t>
      </w:r>
      <w:r w:rsidR="003565E9" w:rsidRPr="0025566E">
        <w:rPr>
          <w:rFonts w:asciiTheme="minorHAnsi" w:hAnsiTheme="minorHAnsi" w:cstheme="minorHAnsi"/>
          <w:sz w:val="22"/>
          <w:szCs w:val="22"/>
        </w:rPr>
        <w:t>période</w:t>
      </w:r>
      <w:r w:rsidRPr="0025566E">
        <w:rPr>
          <w:rFonts w:asciiTheme="minorHAnsi" w:hAnsiTheme="minorHAnsi" w:cstheme="minorHAnsi"/>
          <w:sz w:val="22"/>
          <w:szCs w:val="22"/>
        </w:rPr>
        <w:t xml:space="preserve"> de </w:t>
      </w:r>
      <w:r w:rsidR="003565E9" w:rsidRPr="0025566E">
        <w:rPr>
          <w:rFonts w:asciiTheme="minorHAnsi" w:hAnsiTheme="minorHAnsi" w:cstheme="minorHAnsi"/>
          <w:sz w:val="22"/>
          <w:szCs w:val="22"/>
        </w:rPr>
        <w:t>détention</w:t>
      </w:r>
      <w:r w:rsidRPr="0025566E">
        <w:rPr>
          <w:rFonts w:asciiTheme="minorHAnsi" w:hAnsiTheme="minorHAnsi" w:cstheme="minorHAnsi"/>
          <w:sz w:val="22"/>
          <w:szCs w:val="22"/>
        </w:rPr>
        <w:t xml:space="preserve"> </w:t>
      </w:r>
      <w:r w:rsidR="003565E9" w:rsidRPr="0025566E">
        <w:rPr>
          <w:rFonts w:asciiTheme="minorHAnsi" w:hAnsiTheme="minorHAnsi" w:cstheme="minorHAnsi"/>
          <w:sz w:val="22"/>
          <w:szCs w:val="22"/>
        </w:rPr>
        <w:t>recommandée</w:t>
      </w:r>
      <w:r w:rsidRPr="0025566E">
        <w:rPr>
          <w:rFonts w:asciiTheme="minorHAnsi" w:hAnsiTheme="minorHAnsi" w:cstheme="minorHAnsi"/>
          <w:sz w:val="22"/>
          <w:szCs w:val="22"/>
        </w:rPr>
        <w:t xml:space="preserve">; </w:t>
      </w:r>
    </w:p>
    <w:p w14:paraId="71F3B779" w14:textId="77777777" w:rsidR="00B92D4A" w:rsidRPr="0025566E" w:rsidRDefault="00B92D4A" w:rsidP="00B92D4A">
      <w:pPr>
        <w:pStyle w:val="Paragraphedeliste"/>
        <w:rPr>
          <w:rFonts w:asciiTheme="minorHAnsi" w:hAnsiTheme="minorHAnsi" w:cstheme="minorHAnsi"/>
          <w:sz w:val="22"/>
          <w:szCs w:val="22"/>
        </w:rPr>
      </w:pPr>
    </w:p>
    <w:p w14:paraId="7831DE5B" w14:textId="70E1F205" w:rsidR="00B92D4A" w:rsidRPr="0025566E" w:rsidRDefault="00B92D4A" w:rsidP="00C4256A">
      <w:pPr>
        <w:pStyle w:val="Paragraphedeliste"/>
        <w:numPr>
          <w:ilvl w:val="1"/>
          <w:numId w:val="7"/>
        </w:numPr>
        <w:spacing w:before="100" w:beforeAutospacing="1" w:after="100" w:afterAutospacing="1"/>
        <w:ind w:left="1276"/>
        <w:jc w:val="both"/>
        <w:rPr>
          <w:rFonts w:asciiTheme="minorHAnsi" w:hAnsiTheme="minorHAnsi" w:cstheme="minorHAnsi"/>
          <w:sz w:val="22"/>
          <w:szCs w:val="22"/>
        </w:rPr>
      </w:pPr>
      <w:r w:rsidRPr="0025566E">
        <w:rPr>
          <w:rFonts w:asciiTheme="minorHAnsi" w:hAnsiTheme="minorHAnsi" w:cstheme="minorHAnsi"/>
          <w:sz w:val="22"/>
          <w:szCs w:val="22"/>
        </w:rPr>
        <w:t xml:space="preserve">en ce qui concerne les </w:t>
      </w:r>
      <w:r w:rsidR="000F7474" w:rsidRPr="0025566E">
        <w:rPr>
          <w:rFonts w:asciiTheme="minorHAnsi" w:hAnsiTheme="minorHAnsi" w:cstheme="minorHAnsi"/>
          <w:sz w:val="22"/>
          <w:szCs w:val="22"/>
        </w:rPr>
        <w:t>OPC</w:t>
      </w:r>
      <w:r w:rsidRPr="0025566E">
        <w:rPr>
          <w:rFonts w:asciiTheme="minorHAnsi" w:hAnsiTheme="minorHAnsi" w:cstheme="minorHAnsi"/>
          <w:sz w:val="22"/>
          <w:szCs w:val="22"/>
        </w:rPr>
        <w:t xml:space="preserve"> pour lesquels sont </w:t>
      </w:r>
      <w:r w:rsidR="003565E9" w:rsidRPr="0025566E">
        <w:rPr>
          <w:rFonts w:asciiTheme="minorHAnsi" w:hAnsiTheme="minorHAnsi" w:cstheme="minorHAnsi"/>
          <w:sz w:val="22"/>
          <w:szCs w:val="22"/>
        </w:rPr>
        <w:t>prévus</w:t>
      </w:r>
      <w:r w:rsidRPr="0025566E">
        <w:rPr>
          <w:rFonts w:asciiTheme="minorHAnsi" w:hAnsiTheme="minorHAnsi" w:cstheme="minorHAnsi"/>
          <w:sz w:val="22"/>
          <w:szCs w:val="22"/>
        </w:rPr>
        <w:t xml:space="preserve"> contractuellement des sanctions en cas de sortie </w:t>
      </w:r>
      <w:r w:rsidR="003565E9" w:rsidRPr="0025566E">
        <w:rPr>
          <w:rFonts w:asciiTheme="minorHAnsi" w:hAnsiTheme="minorHAnsi" w:cstheme="minorHAnsi"/>
          <w:sz w:val="22"/>
          <w:szCs w:val="22"/>
        </w:rPr>
        <w:t>précoce</w:t>
      </w:r>
      <w:r w:rsidRPr="0025566E">
        <w:rPr>
          <w:rFonts w:asciiTheme="minorHAnsi" w:hAnsiTheme="minorHAnsi" w:cstheme="minorHAnsi"/>
          <w:sz w:val="22"/>
          <w:szCs w:val="22"/>
        </w:rPr>
        <w:t xml:space="preserve"> ou de longs </w:t>
      </w:r>
      <w:r w:rsidR="003565E9" w:rsidRPr="0025566E">
        <w:rPr>
          <w:rFonts w:asciiTheme="minorHAnsi" w:hAnsiTheme="minorHAnsi" w:cstheme="minorHAnsi"/>
          <w:sz w:val="22"/>
          <w:szCs w:val="22"/>
        </w:rPr>
        <w:t>délais</w:t>
      </w:r>
      <w:r w:rsidRPr="0025566E">
        <w:rPr>
          <w:rFonts w:asciiTheme="minorHAnsi" w:hAnsiTheme="minorHAnsi" w:cstheme="minorHAnsi"/>
          <w:sz w:val="22"/>
          <w:szCs w:val="22"/>
        </w:rPr>
        <w:t xml:space="preserve"> de </w:t>
      </w:r>
      <w:r w:rsidR="003565E9" w:rsidRPr="0025566E">
        <w:rPr>
          <w:rFonts w:asciiTheme="minorHAnsi" w:hAnsiTheme="minorHAnsi" w:cstheme="minorHAnsi"/>
          <w:sz w:val="22"/>
          <w:szCs w:val="22"/>
        </w:rPr>
        <w:t>préavis</w:t>
      </w:r>
      <w:r w:rsidRPr="0025566E">
        <w:rPr>
          <w:rFonts w:asciiTheme="minorHAnsi" w:hAnsiTheme="minorHAnsi" w:cstheme="minorHAnsi"/>
          <w:sz w:val="22"/>
          <w:szCs w:val="22"/>
        </w:rPr>
        <w:t xml:space="preserve"> en cas de </w:t>
      </w:r>
      <w:r w:rsidR="003565E9" w:rsidRPr="0025566E">
        <w:rPr>
          <w:rFonts w:asciiTheme="minorHAnsi" w:hAnsiTheme="minorHAnsi" w:cstheme="minorHAnsi"/>
          <w:sz w:val="22"/>
          <w:szCs w:val="22"/>
        </w:rPr>
        <w:t>désinvestissement</w:t>
      </w:r>
      <w:r w:rsidRPr="0025566E">
        <w:rPr>
          <w:rFonts w:asciiTheme="minorHAnsi" w:hAnsiTheme="minorHAnsi" w:cstheme="minorHAnsi"/>
          <w:sz w:val="22"/>
          <w:szCs w:val="22"/>
        </w:rPr>
        <w:t xml:space="preserve">, une </w:t>
      </w:r>
      <w:r w:rsidR="003565E9" w:rsidRPr="0025566E">
        <w:rPr>
          <w:rFonts w:asciiTheme="minorHAnsi" w:hAnsiTheme="minorHAnsi" w:cstheme="minorHAnsi"/>
          <w:sz w:val="22"/>
          <w:szCs w:val="22"/>
        </w:rPr>
        <w:t>référence</w:t>
      </w:r>
      <w:r w:rsidRPr="0025566E">
        <w:rPr>
          <w:rFonts w:asciiTheme="minorHAnsi" w:hAnsiTheme="minorHAnsi" w:cstheme="minorHAnsi"/>
          <w:sz w:val="22"/>
          <w:szCs w:val="22"/>
        </w:rPr>
        <w:t xml:space="preserve"> aux conditions sous-jacentes applicables dans la section </w:t>
      </w:r>
      <w:r w:rsidR="003565E9" w:rsidRPr="0025566E">
        <w:rPr>
          <w:rFonts w:asciiTheme="minorHAnsi" w:hAnsiTheme="minorHAnsi" w:cstheme="minorHAnsi"/>
          <w:sz w:val="22"/>
          <w:szCs w:val="22"/>
        </w:rPr>
        <w:t>intitulée</w:t>
      </w:r>
      <w:r w:rsidRPr="0025566E">
        <w:rPr>
          <w:rFonts w:asciiTheme="minorHAnsi" w:hAnsiTheme="minorHAnsi" w:cstheme="minorHAnsi"/>
          <w:sz w:val="22"/>
          <w:szCs w:val="22"/>
        </w:rPr>
        <w:t xml:space="preserve"> «Combien de temps dois-je le conserver et puis-je retirer de l'argent de </w:t>
      </w:r>
      <w:r w:rsidR="003565E9" w:rsidRPr="0025566E">
        <w:rPr>
          <w:rFonts w:asciiTheme="minorHAnsi" w:hAnsiTheme="minorHAnsi" w:cstheme="minorHAnsi"/>
          <w:sz w:val="22"/>
          <w:szCs w:val="22"/>
        </w:rPr>
        <w:t>façon</w:t>
      </w:r>
      <w:r w:rsidRPr="0025566E">
        <w:rPr>
          <w:rFonts w:asciiTheme="minorHAnsi" w:hAnsiTheme="minorHAnsi" w:cstheme="minorHAnsi"/>
          <w:sz w:val="22"/>
          <w:szCs w:val="22"/>
        </w:rPr>
        <w:t xml:space="preserve"> </w:t>
      </w:r>
      <w:r w:rsidR="003565E9" w:rsidRPr="0025566E">
        <w:rPr>
          <w:rFonts w:asciiTheme="minorHAnsi" w:hAnsiTheme="minorHAnsi" w:cstheme="minorHAnsi"/>
          <w:sz w:val="22"/>
          <w:szCs w:val="22"/>
        </w:rPr>
        <w:t>anticipée</w:t>
      </w:r>
      <w:r w:rsidRPr="0025566E">
        <w:rPr>
          <w:rFonts w:asciiTheme="minorHAnsi" w:hAnsiTheme="minorHAnsi" w:cstheme="minorHAnsi"/>
          <w:sz w:val="22"/>
          <w:szCs w:val="22"/>
        </w:rPr>
        <w:t xml:space="preserve">?»; </w:t>
      </w:r>
    </w:p>
    <w:p w14:paraId="2C2C3995" w14:textId="77777777" w:rsidR="00B92D4A" w:rsidRPr="0025566E" w:rsidRDefault="00B92D4A" w:rsidP="00B92D4A">
      <w:pPr>
        <w:pStyle w:val="Paragraphedeliste"/>
        <w:rPr>
          <w:rFonts w:asciiTheme="minorHAnsi" w:hAnsiTheme="minorHAnsi" w:cstheme="minorHAnsi"/>
          <w:sz w:val="22"/>
          <w:szCs w:val="22"/>
        </w:rPr>
      </w:pPr>
    </w:p>
    <w:p w14:paraId="110BD99A" w14:textId="6C163EFE" w:rsidR="00B92D4A" w:rsidRPr="0025566E" w:rsidRDefault="00B92D4A" w:rsidP="00C4256A">
      <w:pPr>
        <w:pStyle w:val="Paragraphedeliste"/>
        <w:numPr>
          <w:ilvl w:val="1"/>
          <w:numId w:val="7"/>
        </w:numPr>
        <w:spacing w:before="100" w:beforeAutospacing="1" w:after="100" w:afterAutospacing="1"/>
        <w:ind w:left="1276"/>
        <w:jc w:val="both"/>
        <w:rPr>
          <w:rFonts w:asciiTheme="minorHAnsi" w:hAnsiTheme="minorHAnsi" w:cstheme="minorHAnsi"/>
          <w:sz w:val="22"/>
          <w:szCs w:val="22"/>
        </w:rPr>
      </w:pPr>
      <w:r w:rsidRPr="0025566E">
        <w:rPr>
          <w:rFonts w:asciiTheme="minorHAnsi" w:hAnsiTheme="minorHAnsi" w:cstheme="minorHAnsi"/>
          <w:sz w:val="22"/>
          <w:szCs w:val="22"/>
        </w:rPr>
        <w:t>une indication de la perte maximale possible et des informations indiquant que l'investissement risque d'</w:t>
      </w:r>
      <w:r w:rsidR="003565E9" w:rsidRPr="0025566E">
        <w:rPr>
          <w:rFonts w:asciiTheme="minorHAnsi" w:hAnsiTheme="minorHAnsi" w:cstheme="minorHAnsi"/>
          <w:sz w:val="22"/>
          <w:szCs w:val="22"/>
        </w:rPr>
        <w:t>être</w:t>
      </w:r>
      <w:r w:rsidRPr="0025566E">
        <w:rPr>
          <w:rFonts w:asciiTheme="minorHAnsi" w:hAnsiTheme="minorHAnsi" w:cstheme="minorHAnsi"/>
          <w:sz w:val="22"/>
          <w:szCs w:val="22"/>
        </w:rPr>
        <w:t xml:space="preserve"> perdu s'il n'est pas </w:t>
      </w:r>
      <w:r w:rsidR="003565E9" w:rsidRPr="0025566E">
        <w:rPr>
          <w:rFonts w:asciiTheme="minorHAnsi" w:hAnsiTheme="minorHAnsi" w:cstheme="minorHAnsi"/>
          <w:sz w:val="22"/>
          <w:szCs w:val="22"/>
        </w:rPr>
        <w:t>protégé</w:t>
      </w:r>
      <w:r w:rsidRPr="0025566E">
        <w:rPr>
          <w:rFonts w:asciiTheme="minorHAnsi" w:hAnsiTheme="minorHAnsi" w:cstheme="minorHAnsi"/>
          <w:sz w:val="22"/>
          <w:szCs w:val="22"/>
        </w:rPr>
        <w:t xml:space="preserve">́. </w:t>
      </w:r>
    </w:p>
    <w:p w14:paraId="032617B3" w14:textId="77777777" w:rsidR="00EA304F" w:rsidRPr="0025566E" w:rsidRDefault="00EA304F" w:rsidP="00EA304F">
      <w:pPr>
        <w:pStyle w:val="Paragraphedeliste"/>
        <w:rPr>
          <w:rFonts w:asciiTheme="minorHAnsi" w:hAnsiTheme="minorHAnsi" w:cstheme="minorHAnsi"/>
          <w:sz w:val="22"/>
          <w:szCs w:val="22"/>
        </w:rPr>
      </w:pPr>
    </w:p>
    <w:p w14:paraId="57235FFB" w14:textId="77777777" w:rsidR="00EA304F" w:rsidRPr="0025566E" w:rsidRDefault="00EA304F" w:rsidP="00EA304F">
      <w:pPr>
        <w:pStyle w:val="Paragraphedeliste"/>
        <w:spacing w:before="100" w:beforeAutospacing="1" w:after="100" w:afterAutospacing="1"/>
        <w:ind w:left="1276"/>
        <w:jc w:val="both"/>
        <w:rPr>
          <w:rFonts w:asciiTheme="minorHAnsi" w:hAnsiTheme="minorHAnsi" w:cstheme="minorHAnsi"/>
          <w:sz w:val="22"/>
          <w:szCs w:val="22"/>
        </w:rPr>
      </w:pPr>
    </w:p>
    <w:p w14:paraId="1246D529" w14:textId="0B72AC19" w:rsidR="00EA304F" w:rsidRPr="008211E3" w:rsidRDefault="00EA304F" w:rsidP="00C4256A">
      <w:pPr>
        <w:pStyle w:val="Paragraphedeliste"/>
        <w:numPr>
          <w:ilvl w:val="2"/>
          <w:numId w:val="5"/>
        </w:numPr>
        <w:spacing w:before="100" w:beforeAutospacing="1" w:after="100" w:afterAutospacing="1"/>
        <w:ind w:left="851"/>
        <w:jc w:val="both"/>
        <w:rPr>
          <w:rFonts w:asciiTheme="minorHAnsi" w:hAnsiTheme="minorHAnsi" w:cstheme="minorHAnsi"/>
          <w:sz w:val="22"/>
          <w:szCs w:val="22"/>
        </w:rPr>
      </w:pPr>
      <w:r w:rsidRPr="008211E3">
        <w:rPr>
          <w:rFonts w:asciiTheme="minorHAnsi" w:hAnsiTheme="minorHAnsi" w:cstheme="minorHAnsi"/>
          <w:sz w:val="22"/>
          <w:szCs w:val="22"/>
        </w:rPr>
        <w:lastRenderedPageBreak/>
        <w:t xml:space="preserve">Les </w:t>
      </w:r>
      <w:r w:rsidR="003D51A6" w:rsidRPr="008211E3">
        <w:rPr>
          <w:rFonts w:asciiTheme="minorHAnsi" w:hAnsiTheme="minorHAnsi" w:cstheme="minorHAnsi"/>
          <w:sz w:val="22"/>
          <w:szCs w:val="22"/>
        </w:rPr>
        <w:t>Sociétés de Gestion</w:t>
      </w:r>
      <w:r w:rsidRPr="008211E3">
        <w:rPr>
          <w:rFonts w:asciiTheme="minorHAnsi" w:hAnsiTheme="minorHAnsi" w:cstheme="minorHAnsi"/>
          <w:sz w:val="22"/>
          <w:szCs w:val="22"/>
        </w:rPr>
        <w:t xml:space="preserve"> d’OPC incluent trois </w:t>
      </w:r>
      <w:r w:rsidR="003565E9" w:rsidRPr="008211E3">
        <w:rPr>
          <w:rFonts w:asciiTheme="minorHAnsi" w:hAnsiTheme="minorHAnsi" w:cstheme="minorHAnsi"/>
          <w:sz w:val="22"/>
          <w:szCs w:val="22"/>
        </w:rPr>
        <w:t>scenarios</w:t>
      </w:r>
      <w:r w:rsidRPr="008211E3">
        <w:rPr>
          <w:rFonts w:asciiTheme="minorHAnsi" w:hAnsiTheme="minorHAnsi" w:cstheme="minorHAnsi"/>
          <w:sz w:val="22"/>
          <w:szCs w:val="22"/>
        </w:rPr>
        <w:t xml:space="preserve"> de performances </w:t>
      </w:r>
      <w:r w:rsidR="003565E9" w:rsidRPr="008211E3">
        <w:rPr>
          <w:rFonts w:asciiTheme="minorHAnsi" w:hAnsiTheme="minorHAnsi" w:cstheme="minorHAnsi"/>
          <w:sz w:val="22"/>
          <w:szCs w:val="22"/>
        </w:rPr>
        <w:t>appropriés</w:t>
      </w:r>
      <w:r w:rsidRPr="008211E3">
        <w:rPr>
          <w:rFonts w:asciiTheme="minorHAnsi" w:hAnsiTheme="minorHAnsi" w:cstheme="minorHAnsi"/>
          <w:sz w:val="22"/>
          <w:szCs w:val="22"/>
        </w:rPr>
        <w:t xml:space="preserve">, comme </w:t>
      </w:r>
      <w:r w:rsidR="003565E9" w:rsidRPr="008211E3">
        <w:rPr>
          <w:rFonts w:asciiTheme="minorHAnsi" w:hAnsiTheme="minorHAnsi" w:cstheme="minorHAnsi"/>
          <w:sz w:val="22"/>
          <w:szCs w:val="22"/>
        </w:rPr>
        <w:t>prévu</w:t>
      </w:r>
      <w:r w:rsidRPr="008211E3">
        <w:rPr>
          <w:rFonts w:asciiTheme="minorHAnsi" w:hAnsiTheme="minorHAnsi" w:cstheme="minorHAnsi"/>
          <w:sz w:val="22"/>
          <w:szCs w:val="22"/>
        </w:rPr>
        <w:t xml:space="preserve"> à l'annexe V, dans la section </w:t>
      </w:r>
      <w:r w:rsidR="003565E9" w:rsidRPr="008211E3">
        <w:rPr>
          <w:rFonts w:asciiTheme="minorHAnsi" w:hAnsiTheme="minorHAnsi" w:cstheme="minorHAnsi"/>
          <w:sz w:val="22"/>
          <w:szCs w:val="22"/>
        </w:rPr>
        <w:t>intitulée</w:t>
      </w:r>
      <w:r w:rsidRPr="008211E3">
        <w:rPr>
          <w:rFonts w:asciiTheme="minorHAnsi" w:hAnsiTheme="minorHAnsi" w:cstheme="minorHAnsi"/>
          <w:sz w:val="22"/>
          <w:szCs w:val="22"/>
        </w:rPr>
        <w:t xml:space="preserve"> «Quels sont les risques et qu'est-ce que cela pourrait me rapporter?» du document d'informations simplifié. Ces </w:t>
      </w:r>
      <w:r w:rsidR="002D0924" w:rsidRPr="008211E3">
        <w:rPr>
          <w:rFonts w:asciiTheme="minorHAnsi" w:hAnsiTheme="minorHAnsi" w:cstheme="minorHAnsi"/>
          <w:sz w:val="22"/>
          <w:szCs w:val="22"/>
        </w:rPr>
        <w:t>trois</w:t>
      </w:r>
      <w:r w:rsidRPr="008211E3">
        <w:rPr>
          <w:rFonts w:asciiTheme="minorHAnsi" w:hAnsiTheme="minorHAnsi" w:cstheme="minorHAnsi"/>
          <w:sz w:val="22"/>
          <w:szCs w:val="22"/>
        </w:rPr>
        <w:t xml:space="preserve"> </w:t>
      </w:r>
      <w:r w:rsidR="003565E9" w:rsidRPr="008211E3">
        <w:rPr>
          <w:rFonts w:asciiTheme="minorHAnsi" w:hAnsiTheme="minorHAnsi" w:cstheme="minorHAnsi"/>
          <w:sz w:val="22"/>
          <w:szCs w:val="22"/>
        </w:rPr>
        <w:t>scenarios</w:t>
      </w:r>
      <w:r w:rsidRPr="008211E3">
        <w:rPr>
          <w:rFonts w:asciiTheme="minorHAnsi" w:hAnsiTheme="minorHAnsi" w:cstheme="minorHAnsi"/>
          <w:sz w:val="22"/>
          <w:szCs w:val="22"/>
        </w:rPr>
        <w:t xml:space="preserve"> de performances sont un </w:t>
      </w:r>
      <w:r w:rsidR="003565E9" w:rsidRPr="008211E3">
        <w:rPr>
          <w:rFonts w:asciiTheme="minorHAnsi" w:hAnsiTheme="minorHAnsi" w:cstheme="minorHAnsi"/>
          <w:sz w:val="22"/>
          <w:szCs w:val="22"/>
        </w:rPr>
        <w:t>scenario</w:t>
      </w:r>
      <w:r w:rsidRPr="008211E3">
        <w:rPr>
          <w:rFonts w:asciiTheme="minorHAnsi" w:hAnsiTheme="minorHAnsi" w:cstheme="minorHAnsi"/>
          <w:sz w:val="22"/>
          <w:szCs w:val="22"/>
        </w:rPr>
        <w:t xml:space="preserve"> </w:t>
      </w:r>
      <w:r w:rsidR="003565E9" w:rsidRPr="008211E3">
        <w:rPr>
          <w:rFonts w:asciiTheme="minorHAnsi" w:hAnsiTheme="minorHAnsi" w:cstheme="minorHAnsi"/>
          <w:sz w:val="22"/>
          <w:szCs w:val="22"/>
        </w:rPr>
        <w:t>défavorable</w:t>
      </w:r>
      <w:r w:rsidRPr="008211E3">
        <w:rPr>
          <w:rFonts w:asciiTheme="minorHAnsi" w:hAnsiTheme="minorHAnsi" w:cstheme="minorHAnsi"/>
          <w:sz w:val="22"/>
          <w:szCs w:val="22"/>
        </w:rPr>
        <w:t xml:space="preserve">, un </w:t>
      </w:r>
      <w:r w:rsidR="003565E9" w:rsidRPr="008211E3">
        <w:rPr>
          <w:rFonts w:asciiTheme="minorHAnsi" w:hAnsiTheme="minorHAnsi" w:cstheme="minorHAnsi"/>
          <w:sz w:val="22"/>
          <w:szCs w:val="22"/>
        </w:rPr>
        <w:t>scenario</w:t>
      </w:r>
      <w:r w:rsidRPr="008211E3">
        <w:rPr>
          <w:rFonts w:asciiTheme="minorHAnsi" w:hAnsiTheme="minorHAnsi" w:cstheme="minorHAnsi"/>
          <w:sz w:val="22"/>
          <w:szCs w:val="22"/>
        </w:rPr>
        <w:t xml:space="preserve"> </w:t>
      </w:r>
      <w:r w:rsidR="003565E9" w:rsidRPr="008211E3">
        <w:rPr>
          <w:rFonts w:asciiTheme="minorHAnsi" w:hAnsiTheme="minorHAnsi" w:cstheme="minorHAnsi"/>
          <w:sz w:val="22"/>
          <w:szCs w:val="22"/>
        </w:rPr>
        <w:t>intermédiaire</w:t>
      </w:r>
      <w:r w:rsidR="002D0924" w:rsidRPr="008211E3">
        <w:rPr>
          <w:rFonts w:asciiTheme="minorHAnsi" w:hAnsiTheme="minorHAnsi" w:cstheme="minorHAnsi"/>
          <w:sz w:val="22"/>
          <w:szCs w:val="22"/>
        </w:rPr>
        <w:t xml:space="preserve"> et</w:t>
      </w:r>
      <w:r w:rsidRPr="008211E3">
        <w:rPr>
          <w:rFonts w:asciiTheme="minorHAnsi" w:hAnsiTheme="minorHAnsi" w:cstheme="minorHAnsi"/>
          <w:sz w:val="22"/>
          <w:szCs w:val="22"/>
        </w:rPr>
        <w:t xml:space="preserve"> un </w:t>
      </w:r>
      <w:r w:rsidR="003565E9" w:rsidRPr="008211E3">
        <w:rPr>
          <w:rFonts w:asciiTheme="minorHAnsi" w:hAnsiTheme="minorHAnsi" w:cstheme="minorHAnsi"/>
          <w:sz w:val="22"/>
          <w:szCs w:val="22"/>
        </w:rPr>
        <w:t>scenario</w:t>
      </w:r>
      <w:r w:rsidRPr="008211E3">
        <w:rPr>
          <w:rFonts w:asciiTheme="minorHAnsi" w:hAnsiTheme="minorHAnsi" w:cstheme="minorHAnsi"/>
          <w:sz w:val="22"/>
          <w:szCs w:val="22"/>
        </w:rPr>
        <w:t xml:space="preserve"> favorable. </w:t>
      </w:r>
    </w:p>
    <w:p w14:paraId="4ECA6D33" w14:textId="77777777" w:rsidR="00EA304F" w:rsidRPr="0025566E" w:rsidRDefault="00EA304F" w:rsidP="00EA304F">
      <w:pPr>
        <w:pStyle w:val="Paragraphedeliste"/>
        <w:spacing w:before="100" w:beforeAutospacing="1" w:after="100" w:afterAutospacing="1"/>
        <w:ind w:left="851"/>
        <w:jc w:val="both"/>
        <w:rPr>
          <w:rFonts w:asciiTheme="minorHAnsi" w:hAnsiTheme="minorHAnsi" w:cstheme="minorHAnsi"/>
          <w:sz w:val="22"/>
          <w:szCs w:val="22"/>
        </w:rPr>
      </w:pPr>
    </w:p>
    <w:p w14:paraId="170EEDA9" w14:textId="3D4872E9" w:rsidR="00EA304F" w:rsidRPr="008211E3" w:rsidRDefault="00EA304F" w:rsidP="00EA304F">
      <w:pPr>
        <w:pStyle w:val="NormalWeb"/>
        <w:rPr>
          <w:rFonts w:asciiTheme="minorHAnsi" w:hAnsiTheme="minorHAnsi" w:cstheme="minorHAnsi"/>
          <w:b/>
          <w:sz w:val="22"/>
          <w:szCs w:val="22"/>
        </w:rPr>
      </w:pPr>
      <w:r w:rsidRPr="008211E3">
        <w:rPr>
          <w:rFonts w:asciiTheme="minorHAnsi" w:hAnsiTheme="minorHAnsi" w:cstheme="minorHAnsi"/>
          <w:b/>
          <w:sz w:val="22"/>
          <w:szCs w:val="22"/>
        </w:rPr>
        <w:t>A</w:t>
      </w:r>
      <w:r w:rsidR="008E15EE" w:rsidRPr="008211E3">
        <w:rPr>
          <w:rFonts w:asciiTheme="minorHAnsi" w:hAnsiTheme="minorHAnsi" w:cstheme="minorHAnsi"/>
          <w:b/>
          <w:sz w:val="22"/>
          <w:szCs w:val="22"/>
        </w:rPr>
        <w:t>RTICLE</w:t>
      </w:r>
      <w:r w:rsidRPr="008211E3">
        <w:rPr>
          <w:rFonts w:asciiTheme="minorHAnsi" w:hAnsiTheme="minorHAnsi" w:cstheme="minorHAnsi"/>
          <w:b/>
          <w:sz w:val="22"/>
          <w:szCs w:val="22"/>
        </w:rPr>
        <w:t xml:space="preserve"> 4 - S</w:t>
      </w:r>
      <w:r w:rsidR="008E15EE" w:rsidRPr="008211E3">
        <w:rPr>
          <w:rFonts w:asciiTheme="minorHAnsi" w:hAnsiTheme="minorHAnsi" w:cstheme="minorHAnsi"/>
          <w:b/>
          <w:sz w:val="22"/>
          <w:szCs w:val="22"/>
        </w:rPr>
        <w:t>ECTION</w:t>
      </w:r>
      <w:r w:rsidRPr="008211E3">
        <w:rPr>
          <w:rFonts w:asciiTheme="minorHAnsi" w:hAnsiTheme="minorHAnsi" w:cstheme="minorHAnsi"/>
          <w:b/>
          <w:sz w:val="22"/>
          <w:szCs w:val="22"/>
        </w:rPr>
        <w:t xml:space="preserve"> «</w:t>
      </w:r>
      <w:r w:rsidR="003565E9" w:rsidRPr="008211E3">
        <w:rPr>
          <w:rFonts w:asciiTheme="minorHAnsi" w:hAnsiTheme="minorHAnsi" w:cstheme="minorHAnsi"/>
          <w:b/>
          <w:sz w:val="22"/>
          <w:szCs w:val="22"/>
        </w:rPr>
        <w:t xml:space="preserve"> </w:t>
      </w:r>
      <w:r w:rsidRPr="008211E3">
        <w:rPr>
          <w:rFonts w:asciiTheme="minorHAnsi" w:hAnsiTheme="minorHAnsi" w:cstheme="minorHAnsi"/>
          <w:b/>
          <w:sz w:val="22"/>
          <w:szCs w:val="22"/>
        </w:rPr>
        <w:t xml:space="preserve">Que se passe-t-il si [nom de la </w:t>
      </w:r>
      <w:r w:rsidR="003D51A6" w:rsidRPr="008211E3">
        <w:rPr>
          <w:rFonts w:asciiTheme="minorHAnsi" w:hAnsiTheme="minorHAnsi" w:cstheme="minorHAnsi"/>
          <w:b/>
          <w:sz w:val="22"/>
          <w:szCs w:val="22"/>
        </w:rPr>
        <w:t>Société de Gestion</w:t>
      </w:r>
      <w:r w:rsidRPr="008211E3">
        <w:rPr>
          <w:rFonts w:asciiTheme="minorHAnsi" w:hAnsiTheme="minorHAnsi" w:cstheme="minorHAnsi"/>
          <w:b/>
          <w:sz w:val="22"/>
          <w:szCs w:val="22"/>
        </w:rPr>
        <w:t xml:space="preserve"> d’OPC] n'est pas en mesure d'effectuer les versements</w:t>
      </w:r>
      <w:r w:rsidR="003565E9" w:rsidRPr="008211E3">
        <w:rPr>
          <w:rFonts w:asciiTheme="minorHAnsi" w:hAnsiTheme="minorHAnsi" w:cstheme="minorHAnsi"/>
          <w:b/>
          <w:sz w:val="22"/>
          <w:szCs w:val="22"/>
        </w:rPr>
        <w:t xml:space="preserve"> </w:t>
      </w:r>
      <w:r w:rsidRPr="008211E3">
        <w:rPr>
          <w:rFonts w:asciiTheme="minorHAnsi" w:hAnsiTheme="minorHAnsi" w:cstheme="minorHAnsi"/>
          <w:b/>
          <w:sz w:val="22"/>
          <w:szCs w:val="22"/>
        </w:rPr>
        <w:t xml:space="preserve">?» </w:t>
      </w:r>
    </w:p>
    <w:p w14:paraId="12E0B0AB" w14:textId="5DF53420" w:rsidR="00EA304F" w:rsidRPr="0025566E" w:rsidRDefault="00EA304F" w:rsidP="008211E3">
      <w:pPr>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fournissent les informations suivantes dans la section </w:t>
      </w:r>
      <w:r w:rsidR="003565E9" w:rsidRPr="0025566E">
        <w:rPr>
          <w:rFonts w:asciiTheme="minorHAnsi" w:hAnsiTheme="minorHAnsi" w:cstheme="minorHAnsi"/>
          <w:sz w:val="22"/>
          <w:szCs w:val="22"/>
        </w:rPr>
        <w:t>intitulée</w:t>
      </w:r>
      <w:r w:rsidRPr="0025566E">
        <w:rPr>
          <w:rFonts w:asciiTheme="minorHAnsi" w:hAnsiTheme="minorHAnsi" w:cstheme="minorHAnsi"/>
          <w:sz w:val="22"/>
          <w:szCs w:val="22"/>
        </w:rPr>
        <w:t xml:space="preserve"> «Que se passe-t-il si [nom de </w:t>
      </w:r>
      <w:r w:rsidR="008E15EE" w:rsidRPr="0025566E">
        <w:rPr>
          <w:rFonts w:asciiTheme="minorHAnsi" w:hAnsiTheme="minorHAnsi" w:cstheme="minorHAnsi"/>
          <w:sz w:val="22"/>
          <w:szCs w:val="22"/>
        </w:rPr>
        <w:t xml:space="preserve">la </w:t>
      </w:r>
      <w:r w:rsidR="003D51A6" w:rsidRPr="0025566E">
        <w:rPr>
          <w:rFonts w:asciiTheme="minorHAnsi" w:hAnsiTheme="minorHAnsi" w:cstheme="minorHAnsi"/>
          <w:sz w:val="22"/>
          <w:szCs w:val="22"/>
        </w:rPr>
        <w:t>Société de Gestion</w:t>
      </w:r>
      <w:r w:rsidR="008E15EE" w:rsidRPr="0025566E">
        <w:rPr>
          <w:rFonts w:asciiTheme="minorHAnsi" w:hAnsiTheme="minorHAnsi" w:cstheme="minorHAnsi"/>
          <w:sz w:val="22"/>
          <w:szCs w:val="22"/>
        </w:rPr>
        <w:t xml:space="preserve"> d’OPC</w:t>
      </w:r>
      <w:r w:rsidRPr="0025566E">
        <w:rPr>
          <w:rFonts w:asciiTheme="minorHAnsi" w:hAnsiTheme="minorHAnsi" w:cstheme="minorHAnsi"/>
          <w:sz w:val="22"/>
          <w:szCs w:val="22"/>
        </w:rPr>
        <w:t xml:space="preserve">] n'est pas en mesure d'effectuer les versements?» du document d'information </w:t>
      </w:r>
      <w:r w:rsidR="008E15EE" w:rsidRPr="0025566E">
        <w:rPr>
          <w:rFonts w:asciiTheme="minorHAnsi" w:hAnsiTheme="minorHAnsi" w:cstheme="minorHAnsi"/>
          <w:sz w:val="22"/>
          <w:szCs w:val="22"/>
        </w:rPr>
        <w:t>simplifié</w:t>
      </w:r>
      <w:r w:rsidRPr="0025566E">
        <w:rPr>
          <w:rFonts w:asciiTheme="minorHAnsi" w:hAnsiTheme="minorHAnsi" w:cstheme="minorHAnsi"/>
          <w:sz w:val="22"/>
          <w:szCs w:val="22"/>
        </w:rPr>
        <w:t xml:space="preserve">: </w:t>
      </w:r>
    </w:p>
    <w:p w14:paraId="6BCF9629" w14:textId="2A12BB0E" w:rsidR="008E15EE" w:rsidRPr="0025566E" w:rsidRDefault="00EA304F" w:rsidP="008211E3">
      <w:pPr>
        <w:pStyle w:val="Paragraphedeliste"/>
        <w:numPr>
          <w:ilvl w:val="0"/>
          <w:numId w:val="8"/>
        </w:numPr>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t xml:space="preserve">des informations </w:t>
      </w:r>
      <w:r w:rsidR="003565E9" w:rsidRPr="0025566E">
        <w:rPr>
          <w:rFonts w:asciiTheme="minorHAnsi" w:hAnsiTheme="minorHAnsi" w:cstheme="minorHAnsi"/>
          <w:sz w:val="22"/>
          <w:szCs w:val="22"/>
        </w:rPr>
        <w:t>précisant</w:t>
      </w:r>
      <w:r w:rsidRPr="0025566E">
        <w:rPr>
          <w:rFonts w:asciiTheme="minorHAnsi" w:hAnsiTheme="minorHAnsi" w:cstheme="minorHAnsi"/>
          <w:sz w:val="22"/>
          <w:szCs w:val="22"/>
        </w:rPr>
        <w:t xml:space="preserve"> si l'investisseur pourrait subir une perte </w:t>
      </w:r>
      <w:r w:rsidR="003565E9" w:rsidRPr="0025566E">
        <w:rPr>
          <w:rFonts w:asciiTheme="minorHAnsi" w:hAnsiTheme="minorHAnsi" w:cstheme="minorHAnsi"/>
          <w:sz w:val="22"/>
          <w:szCs w:val="22"/>
        </w:rPr>
        <w:t>financière</w:t>
      </w:r>
      <w:r w:rsidRPr="0025566E">
        <w:rPr>
          <w:rFonts w:asciiTheme="minorHAnsi" w:hAnsiTheme="minorHAnsi" w:cstheme="minorHAnsi"/>
          <w:sz w:val="22"/>
          <w:szCs w:val="22"/>
        </w:rPr>
        <w:t xml:space="preserve"> en raison de la </w:t>
      </w:r>
      <w:r w:rsidR="003565E9" w:rsidRPr="0025566E">
        <w:rPr>
          <w:rFonts w:asciiTheme="minorHAnsi" w:hAnsiTheme="minorHAnsi" w:cstheme="minorHAnsi"/>
          <w:sz w:val="22"/>
          <w:szCs w:val="22"/>
        </w:rPr>
        <w:t>défaillance</w:t>
      </w:r>
      <w:r w:rsidRPr="0025566E">
        <w:rPr>
          <w:rFonts w:asciiTheme="minorHAnsi" w:hAnsiTheme="minorHAnsi" w:cstheme="minorHAnsi"/>
          <w:sz w:val="22"/>
          <w:szCs w:val="22"/>
        </w:rPr>
        <w:t xml:space="preserve"> de l</w:t>
      </w:r>
      <w:r w:rsidR="008E15EE" w:rsidRPr="0025566E">
        <w:rPr>
          <w:rFonts w:asciiTheme="minorHAnsi" w:hAnsiTheme="minorHAnsi" w:cstheme="minorHAnsi"/>
          <w:sz w:val="22"/>
          <w:szCs w:val="22"/>
        </w:rPr>
        <w:t xml:space="preserve">a </w:t>
      </w:r>
      <w:r w:rsidR="003565E9" w:rsidRPr="0025566E">
        <w:rPr>
          <w:rFonts w:asciiTheme="minorHAnsi" w:hAnsiTheme="minorHAnsi" w:cstheme="minorHAnsi"/>
          <w:sz w:val="22"/>
          <w:szCs w:val="22"/>
        </w:rPr>
        <w:t>Société</w:t>
      </w:r>
      <w:r w:rsidR="008E15EE" w:rsidRPr="0025566E">
        <w:rPr>
          <w:rFonts w:asciiTheme="minorHAnsi" w:hAnsiTheme="minorHAnsi" w:cstheme="minorHAnsi"/>
          <w:sz w:val="22"/>
          <w:szCs w:val="22"/>
        </w:rPr>
        <w:t xml:space="preserve"> de </w:t>
      </w:r>
      <w:r w:rsidR="003565E9" w:rsidRPr="0025566E">
        <w:rPr>
          <w:rFonts w:asciiTheme="minorHAnsi" w:hAnsiTheme="minorHAnsi" w:cstheme="minorHAnsi"/>
          <w:sz w:val="22"/>
          <w:szCs w:val="22"/>
        </w:rPr>
        <w:t>G</w:t>
      </w:r>
      <w:r w:rsidR="008E15EE" w:rsidRPr="0025566E">
        <w:rPr>
          <w:rFonts w:asciiTheme="minorHAnsi" w:hAnsiTheme="minorHAnsi" w:cstheme="minorHAnsi"/>
          <w:sz w:val="22"/>
          <w:szCs w:val="22"/>
        </w:rPr>
        <w:t>estion d’OPC</w:t>
      </w:r>
      <w:r w:rsidRPr="0025566E">
        <w:rPr>
          <w:rFonts w:asciiTheme="minorHAnsi" w:hAnsiTheme="minorHAnsi" w:cstheme="minorHAnsi"/>
          <w:sz w:val="22"/>
          <w:szCs w:val="22"/>
        </w:rPr>
        <w:t xml:space="preserve"> ou d'une </w:t>
      </w:r>
      <w:r w:rsidR="003565E9" w:rsidRPr="0025566E">
        <w:rPr>
          <w:rFonts w:asciiTheme="minorHAnsi" w:hAnsiTheme="minorHAnsi" w:cstheme="minorHAnsi"/>
          <w:sz w:val="22"/>
          <w:szCs w:val="22"/>
        </w:rPr>
        <w:t>entité</w:t>
      </w:r>
      <w:r w:rsidRPr="0025566E">
        <w:rPr>
          <w:rFonts w:asciiTheme="minorHAnsi" w:hAnsiTheme="minorHAnsi" w:cstheme="minorHAnsi"/>
          <w:sz w:val="22"/>
          <w:szCs w:val="22"/>
        </w:rPr>
        <w:t xml:space="preserve"> autre que </w:t>
      </w:r>
      <w:r w:rsidR="008E15EE" w:rsidRPr="0025566E">
        <w:rPr>
          <w:rFonts w:asciiTheme="minorHAnsi" w:hAnsiTheme="minorHAnsi" w:cstheme="minorHAnsi"/>
          <w:sz w:val="22"/>
          <w:szCs w:val="22"/>
        </w:rPr>
        <w:t xml:space="preserve">la </w:t>
      </w:r>
      <w:r w:rsidR="003D51A6" w:rsidRPr="0025566E">
        <w:rPr>
          <w:rFonts w:asciiTheme="minorHAnsi" w:hAnsiTheme="minorHAnsi" w:cstheme="minorHAnsi"/>
          <w:sz w:val="22"/>
          <w:szCs w:val="22"/>
        </w:rPr>
        <w:t>Société de Gestion</w:t>
      </w:r>
      <w:r w:rsidR="008E15EE" w:rsidRPr="0025566E">
        <w:rPr>
          <w:rFonts w:asciiTheme="minorHAnsi" w:hAnsiTheme="minorHAnsi" w:cstheme="minorHAnsi"/>
          <w:sz w:val="22"/>
          <w:szCs w:val="22"/>
        </w:rPr>
        <w:t xml:space="preserve"> d’OPC</w:t>
      </w:r>
      <w:r w:rsidRPr="0025566E">
        <w:rPr>
          <w:rFonts w:asciiTheme="minorHAnsi" w:hAnsiTheme="minorHAnsi" w:cstheme="minorHAnsi"/>
          <w:sz w:val="22"/>
          <w:szCs w:val="22"/>
        </w:rPr>
        <w:t xml:space="preserve"> et l'</w:t>
      </w:r>
      <w:r w:rsidR="003565E9" w:rsidRPr="0025566E">
        <w:rPr>
          <w:rFonts w:asciiTheme="minorHAnsi" w:hAnsiTheme="minorHAnsi" w:cstheme="minorHAnsi"/>
          <w:sz w:val="22"/>
          <w:szCs w:val="22"/>
        </w:rPr>
        <w:t xml:space="preserve">identité </w:t>
      </w:r>
      <w:r w:rsidRPr="0025566E">
        <w:rPr>
          <w:rFonts w:asciiTheme="minorHAnsi" w:hAnsiTheme="minorHAnsi" w:cstheme="minorHAnsi"/>
          <w:sz w:val="22"/>
          <w:szCs w:val="22"/>
        </w:rPr>
        <w:t xml:space="preserve">de cette </w:t>
      </w:r>
      <w:r w:rsidR="003565E9" w:rsidRPr="0025566E">
        <w:rPr>
          <w:rFonts w:asciiTheme="minorHAnsi" w:hAnsiTheme="minorHAnsi" w:cstheme="minorHAnsi"/>
          <w:sz w:val="22"/>
          <w:szCs w:val="22"/>
        </w:rPr>
        <w:t>entité</w:t>
      </w:r>
      <w:r w:rsidRPr="0025566E">
        <w:rPr>
          <w:rFonts w:asciiTheme="minorHAnsi" w:hAnsiTheme="minorHAnsi" w:cstheme="minorHAnsi"/>
          <w:sz w:val="22"/>
          <w:szCs w:val="22"/>
        </w:rPr>
        <w:t>;</w:t>
      </w:r>
    </w:p>
    <w:p w14:paraId="15A78CB3" w14:textId="77777777" w:rsidR="008E15EE" w:rsidRPr="0025566E" w:rsidRDefault="008E15EE" w:rsidP="008211E3">
      <w:pPr>
        <w:pStyle w:val="Paragraphedeliste"/>
        <w:spacing w:before="100" w:beforeAutospacing="1" w:after="100" w:afterAutospacing="1"/>
        <w:jc w:val="both"/>
        <w:rPr>
          <w:rFonts w:asciiTheme="minorHAnsi" w:hAnsiTheme="minorHAnsi" w:cstheme="minorHAnsi"/>
          <w:sz w:val="22"/>
          <w:szCs w:val="22"/>
        </w:rPr>
      </w:pPr>
    </w:p>
    <w:p w14:paraId="2DB62B01" w14:textId="306484A0" w:rsidR="00EA304F" w:rsidRPr="0025566E" w:rsidRDefault="00EA304F" w:rsidP="008211E3">
      <w:pPr>
        <w:pStyle w:val="Paragraphedeliste"/>
        <w:numPr>
          <w:ilvl w:val="0"/>
          <w:numId w:val="8"/>
        </w:numPr>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t xml:space="preserve">des </w:t>
      </w:r>
      <w:r w:rsidR="003565E9" w:rsidRPr="0025566E">
        <w:rPr>
          <w:rFonts w:asciiTheme="minorHAnsi" w:hAnsiTheme="minorHAnsi" w:cstheme="minorHAnsi"/>
          <w:sz w:val="22"/>
          <w:szCs w:val="22"/>
        </w:rPr>
        <w:t>éclaircissements</w:t>
      </w:r>
      <w:r w:rsidRPr="0025566E">
        <w:rPr>
          <w:rFonts w:asciiTheme="minorHAnsi" w:hAnsiTheme="minorHAnsi" w:cstheme="minorHAnsi"/>
          <w:sz w:val="22"/>
          <w:szCs w:val="22"/>
        </w:rPr>
        <w:t xml:space="preserve"> sur la question de savoir si la perte </w:t>
      </w:r>
      <w:r w:rsidR="003565E9" w:rsidRPr="0025566E">
        <w:rPr>
          <w:rFonts w:asciiTheme="minorHAnsi" w:hAnsiTheme="minorHAnsi" w:cstheme="minorHAnsi"/>
          <w:sz w:val="22"/>
          <w:szCs w:val="22"/>
        </w:rPr>
        <w:t>visée</w:t>
      </w:r>
      <w:r w:rsidRPr="0025566E">
        <w:rPr>
          <w:rFonts w:asciiTheme="minorHAnsi" w:hAnsiTheme="minorHAnsi" w:cstheme="minorHAnsi"/>
          <w:sz w:val="22"/>
          <w:szCs w:val="22"/>
        </w:rPr>
        <w:t xml:space="preserve"> au point a) est couverte par un </w:t>
      </w:r>
      <w:r w:rsidR="003565E9" w:rsidRPr="0025566E">
        <w:rPr>
          <w:rFonts w:asciiTheme="minorHAnsi" w:hAnsiTheme="minorHAnsi" w:cstheme="minorHAnsi"/>
          <w:sz w:val="22"/>
          <w:szCs w:val="22"/>
        </w:rPr>
        <w:t>système</w:t>
      </w:r>
      <w:r w:rsidRPr="0025566E">
        <w:rPr>
          <w:rFonts w:asciiTheme="minorHAnsi" w:hAnsiTheme="minorHAnsi" w:cstheme="minorHAnsi"/>
          <w:sz w:val="22"/>
          <w:szCs w:val="22"/>
        </w:rPr>
        <w:t xml:space="preserve"> d'indemnisation des investisseurs ou de garantie et si des limites ou des conditions sont </w:t>
      </w:r>
      <w:r w:rsidR="003565E9" w:rsidRPr="0025566E">
        <w:rPr>
          <w:rFonts w:asciiTheme="minorHAnsi" w:hAnsiTheme="minorHAnsi" w:cstheme="minorHAnsi"/>
          <w:sz w:val="22"/>
          <w:szCs w:val="22"/>
        </w:rPr>
        <w:t>fixées</w:t>
      </w:r>
      <w:r w:rsidRPr="0025566E">
        <w:rPr>
          <w:rFonts w:asciiTheme="minorHAnsi" w:hAnsiTheme="minorHAnsi" w:cstheme="minorHAnsi"/>
          <w:sz w:val="22"/>
          <w:szCs w:val="22"/>
        </w:rPr>
        <w:t xml:space="preserve"> pour cette couverture. </w:t>
      </w:r>
    </w:p>
    <w:p w14:paraId="1D572474" w14:textId="77777777" w:rsidR="008E15EE" w:rsidRPr="0025566E" w:rsidRDefault="008E15EE" w:rsidP="008E15EE">
      <w:pPr>
        <w:pStyle w:val="Paragraphedeliste"/>
        <w:rPr>
          <w:rFonts w:asciiTheme="minorHAnsi" w:hAnsiTheme="minorHAnsi" w:cstheme="minorHAnsi"/>
          <w:sz w:val="22"/>
          <w:szCs w:val="22"/>
        </w:rPr>
      </w:pPr>
    </w:p>
    <w:p w14:paraId="368D7BDA" w14:textId="3476BAAA" w:rsidR="008E15EE" w:rsidRPr="008211E3" w:rsidRDefault="008E15EE" w:rsidP="008E15EE">
      <w:pPr>
        <w:pStyle w:val="NormalWeb"/>
        <w:rPr>
          <w:rFonts w:asciiTheme="minorHAnsi" w:hAnsiTheme="minorHAnsi" w:cstheme="minorHAnsi"/>
          <w:b/>
          <w:sz w:val="22"/>
          <w:szCs w:val="22"/>
        </w:rPr>
      </w:pPr>
      <w:r w:rsidRPr="008211E3">
        <w:rPr>
          <w:rFonts w:asciiTheme="minorHAnsi" w:hAnsiTheme="minorHAnsi" w:cstheme="minorHAnsi"/>
          <w:b/>
          <w:sz w:val="22"/>
          <w:szCs w:val="22"/>
        </w:rPr>
        <w:t xml:space="preserve">ARTICLE 5 - SECTION «Que va me coûter cet investissement?» </w:t>
      </w:r>
    </w:p>
    <w:p w14:paraId="1714A525" w14:textId="28E3C0E9" w:rsidR="0027489B" w:rsidRPr="0025566E" w:rsidRDefault="008E15EE" w:rsidP="008211E3">
      <w:pPr>
        <w:pStyle w:val="NormalWeb"/>
        <w:numPr>
          <w:ilvl w:val="0"/>
          <w:numId w:val="9"/>
        </w:numPr>
        <w:contextualSpacing/>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w:t>
      </w:r>
      <w:r w:rsidR="0027489B" w:rsidRPr="0025566E">
        <w:rPr>
          <w:rFonts w:asciiTheme="minorHAnsi" w:hAnsiTheme="minorHAnsi" w:cstheme="minorHAnsi"/>
          <w:sz w:val="22"/>
          <w:szCs w:val="22"/>
        </w:rPr>
        <w:t>présentent</w:t>
      </w:r>
      <w:r w:rsidRPr="0025566E">
        <w:rPr>
          <w:rFonts w:asciiTheme="minorHAnsi" w:hAnsiTheme="minorHAnsi" w:cstheme="minorHAnsi"/>
          <w:sz w:val="22"/>
          <w:szCs w:val="22"/>
        </w:rPr>
        <w:t>, dans la section intitulée « Que va me couter cet investissement ? » du document d’information simplifié</w:t>
      </w:r>
      <w:r w:rsidR="0027489B" w:rsidRPr="0025566E">
        <w:rPr>
          <w:rFonts w:asciiTheme="minorHAnsi" w:hAnsiTheme="minorHAnsi" w:cstheme="minorHAnsi"/>
          <w:sz w:val="22"/>
          <w:szCs w:val="22"/>
        </w:rPr>
        <w:t xml:space="preserve"> un tableau relatif aux frais figurant à l’annexe IV.</w:t>
      </w:r>
    </w:p>
    <w:p w14:paraId="509C98D6" w14:textId="77777777" w:rsidR="0027489B" w:rsidRPr="0025566E" w:rsidRDefault="0027489B" w:rsidP="008211E3">
      <w:pPr>
        <w:pStyle w:val="NormalWeb"/>
        <w:ind w:left="720"/>
        <w:contextualSpacing/>
        <w:jc w:val="both"/>
        <w:rPr>
          <w:rFonts w:asciiTheme="minorHAnsi" w:hAnsiTheme="minorHAnsi" w:cstheme="minorHAnsi"/>
          <w:sz w:val="22"/>
          <w:szCs w:val="22"/>
        </w:rPr>
      </w:pPr>
    </w:p>
    <w:p w14:paraId="7A32126F" w14:textId="1151842A" w:rsidR="0017325C" w:rsidRPr="0025566E" w:rsidRDefault="0017325C" w:rsidP="008211E3">
      <w:pPr>
        <w:pStyle w:val="NormalWeb"/>
        <w:numPr>
          <w:ilvl w:val="0"/>
          <w:numId w:val="9"/>
        </w:numPr>
        <w:ind w:left="714" w:hanging="357"/>
        <w:contextualSpacing/>
        <w:jc w:val="both"/>
        <w:rPr>
          <w:rFonts w:asciiTheme="minorHAnsi" w:hAnsiTheme="minorHAnsi" w:cstheme="minorHAnsi"/>
          <w:sz w:val="22"/>
          <w:szCs w:val="22"/>
        </w:rPr>
      </w:pPr>
      <w:r w:rsidRPr="0025566E">
        <w:rPr>
          <w:rFonts w:asciiTheme="minorHAnsi" w:hAnsiTheme="minorHAnsi" w:cstheme="minorHAnsi"/>
          <w:sz w:val="22"/>
          <w:szCs w:val="22"/>
        </w:rPr>
        <w:t>Dans le tableau «</w:t>
      </w:r>
      <w:r w:rsidR="003565E9" w:rsidRPr="0025566E">
        <w:rPr>
          <w:rFonts w:asciiTheme="minorHAnsi" w:hAnsiTheme="minorHAnsi" w:cstheme="minorHAnsi"/>
          <w:sz w:val="22"/>
          <w:szCs w:val="22"/>
        </w:rPr>
        <w:t xml:space="preserve"> </w:t>
      </w:r>
      <w:r w:rsidRPr="0025566E">
        <w:rPr>
          <w:rFonts w:asciiTheme="minorHAnsi" w:hAnsiTheme="minorHAnsi" w:cstheme="minorHAnsi"/>
          <w:sz w:val="22"/>
          <w:szCs w:val="22"/>
        </w:rPr>
        <w:t xml:space="preserve">Composition des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de la section </w:t>
      </w:r>
      <w:r w:rsidR="003565E9" w:rsidRPr="0025566E">
        <w:rPr>
          <w:rFonts w:asciiTheme="minorHAnsi" w:hAnsiTheme="minorHAnsi" w:cstheme="minorHAnsi"/>
          <w:sz w:val="22"/>
          <w:szCs w:val="22"/>
        </w:rPr>
        <w:t>intitulée</w:t>
      </w:r>
      <w:r w:rsidRPr="0025566E">
        <w:rPr>
          <w:rFonts w:asciiTheme="minorHAnsi" w:hAnsiTheme="minorHAnsi" w:cstheme="minorHAnsi"/>
          <w:sz w:val="22"/>
          <w:szCs w:val="22"/>
        </w:rPr>
        <w:t xml:space="preserve"> «Que va me </w:t>
      </w:r>
      <w:r w:rsidR="003565E9" w:rsidRPr="0025566E">
        <w:rPr>
          <w:rFonts w:asciiTheme="minorHAnsi" w:hAnsiTheme="minorHAnsi" w:cstheme="minorHAnsi"/>
          <w:sz w:val="22"/>
          <w:szCs w:val="22"/>
        </w:rPr>
        <w:t>coûter</w:t>
      </w:r>
      <w:r w:rsidRPr="0025566E">
        <w:rPr>
          <w:rFonts w:asciiTheme="minorHAnsi" w:hAnsiTheme="minorHAnsi" w:cstheme="minorHAnsi"/>
          <w:sz w:val="22"/>
          <w:szCs w:val="22"/>
        </w:rPr>
        <w:t xml:space="preserve"> cet investissement?» du document d'information simplifié, 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w:t>
      </w:r>
      <w:r w:rsidR="003565E9" w:rsidRPr="0025566E">
        <w:rPr>
          <w:rFonts w:asciiTheme="minorHAnsi" w:hAnsiTheme="minorHAnsi" w:cstheme="minorHAnsi"/>
          <w:sz w:val="22"/>
          <w:szCs w:val="22"/>
        </w:rPr>
        <w:t>précisent</w:t>
      </w:r>
      <w:r w:rsidRPr="0025566E">
        <w:rPr>
          <w:rFonts w:asciiTheme="minorHAnsi" w:hAnsiTheme="minorHAnsi" w:cstheme="minorHAnsi"/>
          <w:sz w:val="22"/>
          <w:szCs w:val="22"/>
        </w:rPr>
        <w:t xml:space="preserve">: </w:t>
      </w:r>
    </w:p>
    <w:p w14:paraId="6DFA2628" w14:textId="18A3DF78" w:rsidR="0017325C" w:rsidRPr="0025566E" w:rsidRDefault="0017325C" w:rsidP="008211E3">
      <w:pPr>
        <w:pStyle w:val="NormalWeb"/>
        <w:numPr>
          <w:ilvl w:val="1"/>
          <w:numId w:val="11"/>
        </w:numPr>
        <w:ind w:left="851"/>
        <w:contextualSpacing/>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ponctuels, comme les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d'</w:t>
      </w:r>
      <w:r w:rsidR="003565E9" w:rsidRPr="0025566E">
        <w:rPr>
          <w:rFonts w:asciiTheme="minorHAnsi" w:hAnsiTheme="minorHAnsi" w:cstheme="minorHAnsi"/>
          <w:sz w:val="22"/>
          <w:szCs w:val="22"/>
        </w:rPr>
        <w:t>entrée</w:t>
      </w:r>
      <w:r w:rsidRPr="0025566E">
        <w:rPr>
          <w:rFonts w:asciiTheme="minorHAnsi" w:hAnsiTheme="minorHAnsi" w:cstheme="minorHAnsi"/>
          <w:sz w:val="22"/>
          <w:szCs w:val="22"/>
        </w:rPr>
        <w:t xml:space="preserve"> et de sortie, </w:t>
      </w:r>
      <w:r w:rsidR="003565E9" w:rsidRPr="0025566E">
        <w:rPr>
          <w:rFonts w:asciiTheme="minorHAnsi" w:hAnsiTheme="minorHAnsi" w:cstheme="minorHAnsi"/>
          <w:sz w:val="22"/>
          <w:szCs w:val="22"/>
        </w:rPr>
        <w:t>exprimés</w:t>
      </w:r>
      <w:r w:rsidRPr="0025566E">
        <w:rPr>
          <w:rFonts w:asciiTheme="minorHAnsi" w:hAnsiTheme="minorHAnsi" w:cstheme="minorHAnsi"/>
          <w:sz w:val="22"/>
          <w:szCs w:val="22"/>
        </w:rPr>
        <w:t xml:space="preserve"> en pourcentage; </w:t>
      </w:r>
    </w:p>
    <w:p w14:paraId="3096B3DC" w14:textId="3888B790" w:rsidR="0017325C" w:rsidRPr="0025566E" w:rsidRDefault="0017325C" w:rsidP="008211E3">
      <w:pPr>
        <w:pStyle w:val="NormalWeb"/>
        <w:numPr>
          <w:ilvl w:val="1"/>
          <w:numId w:val="11"/>
        </w:numPr>
        <w:ind w:left="851"/>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w:t>
      </w:r>
      <w:r w:rsidR="003565E9" w:rsidRPr="0025566E">
        <w:rPr>
          <w:rFonts w:asciiTheme="minorHAnsi" w:hAnsiTheme="minorHAnsi" w:cstheme="minorHAnsi"/>
          <w:sz w:val="22"/>
          <w:szCs w:val="22"/>
        </w:rPr>
        <w:t>récurrents</w:t>
      </w:r>
      <w:r w:rsidRPr="0025566E">
        <w:rPr>
          <w:rFonts w:asciiTheme="minorHAnsi" w:hAnsiTheme="minorHAnsi" w:cstheme="minorHAnsi"/>
          <w:sz w:val="22"/>
          <w:szCs w:val="22"/>
        </w:rPr>
        <w:t xml:space="preserve">, comme les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annuels de transactions de portefeuille et les autres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w:t>
      </w:r>
      <w:r w:rsidR="003565E9" w:rsidRPr="0025566E">
        <w:rPr>
          <w:rFonts w:asciiTheme="minorHAnsi" w:hAnsiTheme="minorHAnsi" w:cstheme="minorHAnsi"/>
          <w:sz w:val="22"/>
          <w:szCs w:val="22"/>
        </w:rPr>
        <w:t>récurrents</w:t>
      </w:r>
      <w:r w:rsidRPr="0025566E">
        <w:rPr>
          <w:rFonts w:asciiTheme="minorHAnsi" w:hAnsiTheme="minorHAnsi" w:cstheme="minorHAnsi"/>
          <w:sz w:val="22"/>
          <w:szCs w:val="22"/>
        </w:rPr>
        <w:t xml:space="preserve">, par an, </w:t>
      </w:r>
      <w:r w:rsidR="003565E9" w:rsidRPr="0025566E">
        <w:rPr>
          <w:rFonts w:asciiTheme="minorHAnsi" w:hAnsiTheme="minorHAnsi" w:cstheme="minorHAnsi"/>
          <w:sz w:val="22"/>
          <w:szCs w:val="22"/>
        </w:rPr>
        <w:t>exprimés</w:t>
      </w:r>
      <w:r w:rsidRPr="0025566E">
        <w:rPr>
          <w:rFonts w:asciiTheme="minorHAnsi" w:hAnsiTheme="minorHAnsi" w:cstheme="minorHAnsi"/>
          <w:sz w:val="22"/>
          <w:szCs w:val="22"/>
        </w:rPr>
        <w:t xml:space="preserve"> en pourcentage; </w:t>
      </w:r>
    </w:p>
    <w:p w14:paraId="207EC4FB" w14:textId="73BA8669" w:rsidR="0017325C" w:rsidRPr="0025566E" w:rsidRDefault="0017325C" w:rsidP="008211E3">
      <w:pPr>
        <w:pStyle w:val="NormalWeb"/>
        <w:numPr>
          <w:ilvl w:val="1"/>
          <w:numId w:val="11"/>
        </w:numPr>
        <w:ind w:left="851"/>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accessoires, tels que les commissions </w:t>
      </w:r>
      <w:r w:rsidR="003565E9" w:rsidRPr="0025566E">
        <w:rPr>
          <w:rFonts w:asciiTheme="minorHAnsi" w:hAnsiTheme="minorHAnsi" w:cstheme="minorHAnsi"/>
          <w:sz w:val="22"/>
          <w:szCs w:val="22"/>
        </w:rPr>
        <w:t>liées</w:t>
      </w:r>
      <w:r w:rsidRPr="0025566E">
        <w:rPr>
          <w:rFonts w:asciiTheme="minorHAnsi" w:hAnsiTheme="minorHAnsi" w:cstheme="minorHAnsi"/>
          <w:sz w:val="22"/>
          <w:szCs w:val="22"/>
        </w:rPr>
        <w:t xml:space="preserve"> aux </w:t>
      </w:r>
      <w:r w:rsidR="003565E9" w:rsidRPr="0025566E">
        <w:rPr>
          <w:rFonts w:asciiTheme="minorHAnsi" w:hAnsiTheme="minorHAnsi" w:cstheme="minorHAnsi"/>
          <w:sz w:val="22"/>
          <w:szCs w:val="22"/>
        </w:rPr>
        <w:t>résultats</w:t>
      </w:r>
      <w:r w:rsidRPr="0025566E">
        <w:rPr>
          <w:rFonts w:asciiTheme="minorHAnsi" w:hAnsiTheme="minorHAnsi" w:cstheme="minorHAnsi"/>
          <w:sz w:val="22"/>
          <w:szCs w:val="22"/>
        </w:rPr>
        <w:t xml:space="preserve"> ou la commission d'</w:t>
      </w:r>
      <w:r w:rsidR="003565E9" w:rsidRPr="0025566E">
        <w:rPr>
          <w:rFonts w:asciiTheme="minorHAnsi" w:hAnsiTheme="minorHAnsi" w:cstheme="minorHAnsi"/>
          <w:sz w:val="22"/>
          <w:szCs w:val="22"/>
        </w:rPr>
        <w:t>intéressement</w:t>
      </w:r>
      <w:r w:rsidRPr="0025566E">
        <w:rPr>
          <w:rFonts w:asciiTheme="minorHAnsi" w:hAnsiTheme="minorHAnsi" w:cstheme="minorHAnsi"/>
          <w:sz w:val="22"/>
          <w:szCs w:val="22"/>
        </w:rPr>
        <w:t xml:space="preserve">, </w:t>
      </w:r>
      <w:r w:rsidR="003565E9" w:rsidRPr="0025566E">
        <w:rPr>
          <w:rFonts w:asciiTheme="minorHAnsi" w:hAnsiTheme="minorHAnsi" w:cstheme="minorHAnsi"/>
          <w:sz w:val="22"/>
          <w:szCs w:val="22"/>
        </w:rPr>
        <w:t>exprimés</w:t>
      </w:r>
      <w:r w:rsidRPr="0025566E">
        <w:rPr>
          <w:rFonts w:asciiTheme="minorHAnsi" w:hAnsiTheme="minorHAnsi" w:cstheme="minorHAnsi"/>
          <w:sz w:val="22"/>
          <w:szCs w:val="22"/>
        </w:rPr>
        <w:t xml:space="preserve"> en pourcentage. </w:t>
      </w:r>
    </w:p>
    <w:p w14:paraId="33269CBE" w14:textId="053DD339" w:rsidR="00F22DA5" w:rsidRPr="0025566E" w:rsidRDefault="0017325C" w:rsidP="008211E3">
      <w:pPr>
        <w:pStyle w:val="NormalWeb"/>
        <w:numPr>
          <w:ilvl w:val="0"/>
          <w:numId w:val="9"/>
        </w:numPr>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ajoutent un descriptif de chacun des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inclus dans le tableau «Composition des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de la section </w:t>
      </w:r>
      <w:r w:rsidR="003565E9" w:rsidRPr="0025566E">
        <w:rPr>
          <w:rFonts w:asciiTheme="minorHAnsi" w:hAnsiTheme="minorHAnsi" w:cstheme="minorHAnsi"/>
          <w:sz w:val="22"/>
          <w:szCs w:val="22"/>
        </w:rPr>
        <w:t>intitulée</w:t>
      </w:r>
      <w:r w:rsidRPr="0025566E">
        <w:rPr>
          <w:rFonts w:asciiTheme="minorHAnsi" w:hAnsiTheme="minorHAnsi" w:cstheme="minorHAnsi"/>
          <w:sz w:val="22"/>
          <w:szCs w:val="22"/>
        </w:rPr>
        <w:t xml:space="preserve"> «Que va me </w:t>
      </w:r>
      <w:r w:rsidR="003565E9" w:rsidRPr="0025566E">
        <w:rPr>
          <w:rFonts w:asciiTheme="minorHAnsi" w:hAnsiTheme="minorHAnsi" w:cstheme="minorHAnsi"/>
          <w:sz w:val="22"/>
          <w:szCs w:val="22"/>
        </w:rPr>
        <w:t>coûter</w:t>
      </w:r>
      <w:r w:rsidRPr="0025566E">
        <w:rPr>
          <w:rFonts w:asciiTheme="minorHAnsi" w:hAnsiTheme="minorHAnsi" w:cstheme="minorHAnsi"/>
          <w:sz w:val="22"/>
          <w:szCs w:val="22"/>
        </w:rPr>
        <w:t xml:space="preserve"> cet investissement?» du document d'information simplifié, en </w:t>
      </w:r>
      <w:r w:rsidR="003565E9" w:rsidRPr="0025566E">
        <w:rPr>
          <w:rFonts w:asciiTheme="minorHAnsi" w:hAnsiTheme="minorHAnsi" w:cstheme="minorHAnsi"/>
          <w:sz w:val="22"/>
          <w:szCs w:val="22"/>
        </w:rPr>
        <w:t>précisant</w:t>
      </w:r>
      <w:r w:rsidRPr="0025566E">
        <w:rPr>
          <w:rFonts w:asciiTheme="minorHAnsi" w:hAnsiTheme="minorHAnsi" w:cstheme="minorHAnsi"/>
          <w:sz w:val="22"/>
          <w:szCs w:val="22"/>
        </w:rPr>
        <w:t xml:space="preserve"> si, et en quoi, ces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peuvent </w:t>
      </w:r>
      <w:r w:rsidR="003565E9" w:rsidRPr="0025566E">
        <w:rPr>
          <w:rFonts w:asciiTheme="minorHAnsi" w:hAnsiTheme="minorHAnsi" w:cstheme="minorHAnsi"/>
          <w:sz w:val="22"/>
          <w:szCs w:val="22"/>
        </w:rPr>
        <w:t>différer</w:t>
      </w:r>
      <w:r w:rsidRPr="0025566E">
        <w:rPr>
          <w:rFonts w:asciiTheme="minorHAnsi" w:hAnsiTheme="minorHAnsi" w:cstheme="minorHAnsi"/>
          <w:sz w:val="22"/>
          <w:szCs w:val="22"/>
        </w:rPr>
        <w:t xml:space="preserve"> des </w:t>
      </w:r>
      <w:r w:rsidR="0027489B" w:rsidRPr="0025566E">
        <w:rPr>
          <w:rFonts w:asciiTheme="minorHAnsi" w:hAnsiTheme="minorHAnsi" w:cstheme="minorHAnsi"/>
          <w:sz w:val="22"/>
          <w:szCs w:val="22"/>
        </w:rPr>
        <w:t>frais</w:t>
      </w:r>
      <w:r w:rsidRPr="0025566E">
        <w:rPr>
          <w:rFonts w:asciiTheme="minorHAnsi" w:hAnsiTheme="minorHAnsi" w:cstheme="minorHAnsi"/>
          <w:sz w:val="22"/>
          <w:szCs w:val="22"/>
        </w:rPr>
        <w:t xml:space="preserve"> </w:t>
      </w:r>
      <w:r w:rsidR="003565E9" w:rsidRPr="0025566E">
        <w:rPr>
          <w:rFonts w:asciiTheme="minorHAnsi" w:hAnsiTheme="minorHAnsi" w:cstheme="minorHAnsi"/>
          <w:sz w:val="22"/>
          <w:szCs w:val="22"/>
        </w:rPr>
        <w:t>réels</w:t>
      </w:r>
      <w:r w:rsidRPr="0025566E">
        <w:rPr>
          <w:rFonts w:asciiTheme="minorHAnsi" w:hAnsiTheme="minorHAnsi" w:cstheme="minorHAnsi"/>
          <w:sz w:val="22"/>
          <w:szCs w:val="22"/>
        </w:rPr>
        <w:t xml:space="preserve"> que l'investisseur peut devoir supporter, ou peuvent </w:t>
      </w:r>
      <w:r w:rsidR="003565E9" w:rsidRPr="0025566E">
        <w:rPr>
          <w:rFonts w:asciiTheme="minorHAnsi" w:hAnsiTheme="minorHAnsi" w:cstheme="minorHAnsi"/>
          <w:sz w:val="22"/>
          <w:szCs w:val="22"/>
        </w:rPr>
        <w:t>dépendre</w:t>
      </w:r>
      <w:r w:rsidRPr="0025566E">
        <w:rPr>
          <w:rFonts w:asciiTheme="minorHAnsi" w:hAnsiTheme="minorHAnsi" w:cstheme="minorHAnsi"/>
          <w:sz w:val="22"/>
          <w:szCs w:val="22"/>
        </w:rPr>
        <w:t xml:space="preserve"> du choix de l'investisseur d'exercer ou non certaines options. </w:t>
      </w:r>
    </w:p>
    <w:p w14:paraId="0071C84B" w14:textId="4DC9ECC4" w:rsidR="00F22DA5" w:rsidRPr="008211E3" w:rsidRDefault="00F22DA5" w:rsidP="00F22DA5">
      <w:pPr>
        <w:pStyle w:val="NormalWeb"/>
        <w:rPr>
          <w:rFonts w:asciiTheme="minorHAnsi" w:hAnsiTheme="minorHAnsi" w:cstheme="minorHAnsi"/>
          <w:b/>
          <w:sz w:val="22"/>
          <w:szCs w:val="22"/>
        </w:rPr>
      </w:pPr>
      <w:r w:rsidRPr="008211E3">
        <w:rPr>
          <w:rFonts w:asciiTheme="minorHAnsi" w:hAnsiTheme="minorHAnsi" w:cstheme="minorHAnsi"/>
          <w:b/>
          <w:sz w:val="22"/>
          <w:szCs w:val="22"/>
        </w:rPr>
        <w:t xml:space="preserve">ARTICLE 6 - SECTION « Combien de temps dois-je le conserver et puis-je retirer de l'argent de </w:t>
      </w:r>
      <w:r w:rsidR="003565E9" w:rsidRPr="008211E3">
        <w:rPr>
          <w:rFonts w:asciiTheme="minorHAnsi" w:hAnsiTheme="minorHAnsi" w:cstheme="minorHAnsi"/>
          <w:b/>
          <w:sz w:val="22"/>
          <w:szCs w:val="22"/>
        </w:rPr>
        <w:t>façon</w:t>
      </w:r>
      <w:r w:rsidRPr="008211E3">
        <w:rPr>
          <w:rFonts w:asciiTheme="minorHAnsi" w:hAnsiTheme="minorHAnsi" w:cstheme="minorHAnsi"/>
          <w:b/>
          <w:sz w:val="22"/>
          <w:szCs w:val="22"/>
        </w:rPr>
        <w:t xml:space="preserve"> </w:t>
      </w:r>
      <w:r w:rsidR="003565E9" w:rsidRPr="008211E3">
        <w:rPr>
          <w:rFonts w:asciiTheme="minorHAnsi" w:hAnsiTheme="minorHAnsi" w:cstheme="minorHAnsi"/>
          <w:b/>
          <w:sz w:val="22"/>
          <w:szCs w:val="22"/>
        </w:rPr>
        <w:t>anticipée</w:t>
      </w:r>
      <w:r w:rsidRPr="008211E3">
        <w:rPr>
          <w:rFonts w:asciiTheme="minorHAnsi" w:hAnsiTheme="minorHAnsi" w:cstheme="minorHAnsi"/>
          <w:b/>
          <w:sz w:val="22"/>
          <w:szCs w:val="22"/>
        </w:rPr>
        <w:t xml:space="preserve"> ? » </w:t>
      </w:r>
    </w:p>
    <w:p w14:paraId="32C39242" w14:textId="4A3F7780" w:rsidR="00F22DA5" w:rsidRPr="0025566E" w:rsidRDefault="00F22DA5" w:rsidP="008211E3">
      <w:pPr>
        <w:pStyle w:val="NormalWeb"/>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fournissent les informations suivantes dans la section </w:t>
      </w:r>
      <w:r w:rsidR="003565E9" w:rsidRPr="0025566E">
        <w:rPr>
          <w:rFonts w:asciiTheme="minorHAnsi" w:hAnsiTheme="minorHAnsi" w:cstheme="minorHAnsi"/>
          <w:sz w:val="22"/>
          <w:szCs w:val="22"/>
        </w:rPr>
        <w:t>intitulée</w:t>
      </w:r>
      <w:r w:rsidRPr="0025566E">
        <w:rPr>
          <w:rFonts w:asciiTheme="minorHAnsi" w:hAnsiTheme="minorHAnsi" w:cstheme="minorHAnsi"/>
          <w:sz w:val="22"/>
          <w:szCs w:val="22"/>
        </w:rPr>
        <w:t xml:space="preserve"> «</w:t>
      </w:r>
      <w:r w:rsidR="00B50070" w:rsidRPr="0025566E">
        <w:rPr>
          <w:rFonts w:asciiTheme="minorHAnsi" w:hAnsiTheme="minorHAnsi" w:cstheme="minorHAnsi"/>
          <w:sz w:val="22"/>
          <w:szCs w:val="22"/>
        </w:rPr>
        <w:t xml:space="preserve"> </w:t>
      </w:r>
      <w:r w:rsidRPr="0025566E">
        <w:rPr>
          <w:rFonts w:asciiTheme="minorHAnsi" w:hAnsiTheme="minorHAnsi" w:cstheme="minorHAnsi"/>
          <w:sz w:val="22"/>
          <w:szCs w:val="22"/>
        </w:rPr>
        <w:t xml:space="preserve">Combien de temps dois-je le conserver et puis-je retirer de l'argent de </w:t>
      </w:r>
      <w:r w:rsidR="003565E9" w:rsidRPr="0025566E">
        <w:rPr>
          <w:rFonts w:asciiTheme="minorHAnsi" w:hAnsiTheme="minorHAnsi" w:cstheme="minorHAnsi"/>
          <w:sz w:val="22"/>
          <w:szCs w:val="22"/>
        </w:rPr>
        <w:t>façon</w:t>
      </w:r>
      <w:r w:rsidRPr="0025566E">
        <w:rPr>
          <w:rFonts w:asciiTheme="minorHAnsi" w:hAnsiTheme="minorHAnsi" w:cstheme="minorHAnsi"/>
          <w:sz w:val="22"/>
          <w:szCs w:val="22"/>
        </w:rPr>
        <w:t xml:space="preserve"> </w:t>
      </w:r>
      <w:r w:rsidR="003565E9" w:rsidRPr="0025566E">
        <w:rPr>
          <w:rFonts w:asciiTheme="minorHAnsi" w:hAnsiTheme="minorHAnsi" w:cstheme="minorHAnsi"/>
          <w:sz w:val="22"/>
          <w:szCs w:val="22"/>
        </w:rPr>
        <w:t>anticipée</w:t>
      </w:r>
      <w:r w:rsidRPr="0025566E">
        <w:rPr>
          <w:rFonts w:asciiTheme="minorHAnsi" w:hAnsiTheme="minorHAnsi" w:cstheme="minorHAnsi"/>
          <w:sz w:val="22"/>
          <w:szCs w:val="22"/>
        </w:rPr>
        <w:t xml:space="preserve">?» du document d'information simplifié: </w:t>
      </w:r>
    </w:p>
    <w:p w14:paraId="13CECF29" w14:textId="3F7F8AD4" w:rsidR="00F22DA5" w:rsidRPr="0025566E" w:rsidRDefault="00F22DA5" w:rsidP="008211E3">
      <w:pPr>
        <w:pStyle w:val="NormalWeb"/>
        <w:numPr>
          <w:ilvl w:val="0"/>
          <w:numId w:val="12"/>
        </w:numPr>
        <w:jc w:val="both"/>
        <w:rPr>
          <w:rFonts w:asciiTheme="minorHAnsi" w:hAnsiTheme="minorHAnsi" w:cstheme="minorHAnsi"/>
          <w:sz w:val="22"/>
          <w:szCs w:val="22"/>
        </w:rPr>
      </w:pPr>
      <w:r w:rsidRPr="0025566E">
        <w:rPr>
          <w:rFonts w:asciiTheme="minorHAnsi" w:hAnsiTheme="minorHAnsi" w:cstheme="minorHAnsi"/>
          <w:sz w:val="22"/>
          <w:szCs w:val="22"/>
        </w:rPr>
        <w:lastRenderedPageBreak/>
        <w:t xml:space="preserve">une </w:t>
      </w:r>
      <w:r w:rsidR="00B50070" w:rsidRPr="0025566E">
        <w:rPr>
          <w:rFonts w:asciiTheme="minorHAnsi" w:hAnsiTheme="minorHAnsi" w:cstheme="minorHAnsi"/>
          <w:sz w:val="22"/>
          <w:szCs w:val="22"/>
        </w:rPr>
        <w:t>brève</w:t>
      </w:r>
      <w:r w:rsidRPr="0025566E">
        <w:rPr>
          <w:rFonts w:asciiTheme="minorHAnsi" w:hAnsiTheme="minorHAnsi" w:cstheme="minorHAnsi"/>
          <w:sz w:val="22"/>
          <w:szCs w:val="22"/>
        </w:rPr>
        <w:t xml:space="preserve"> description des raisons ayant </w:t>
      </w:r>
      <w:r w:rsidR="00B50070" w:rsidRPr="0025566E">
        <w:rPr>
          <w:rFonts w:asciiTheme="minorHAnsi" w:hAnsiTheme="minorHAnsi" w:cstheme="minorHAnsi"/>
          <w:sz w:val="22"/>
          <w:szCs w:val="22"/>
        </w:rPr>
        <w:t>motivée</w:t>
      </w:r>
      <w:r w:rsidRPr="0025566E">
        <w:rPr>
          <w:rFonts w:asciiTheme="minorHAnsi" w:hAnsiTheme="minorHAnsi" w:cstheme="minorHAnsi"/>
          <w:sz w:val="22"/>
          <w:szCs w:val="22"/>
        </w:rPr>
        <w:t xml:space="preserve"> le choix de la </w:t>
      </w:r>
      <w:r w:rsidR="003565E9" w:rsidRPr="0025566E">
        <w:rPr>
          <w:rFonts w:asciiTheme="minorHAnsi" w:hAnsiTheme="minorHAnsi" w:cstheme="minorHAnsi"/>
          <w:sz w:val="22"/>
          <w:szCs w:val="22"/>
        </w:rPr>
        <w:t>période</w:t>
      </w:r>
      <w:r w:rsidRPr="0025566E">
        <w:rPr>
          <w:rFonts w:asciiTheme="minorHAnsi" w:hAnsiTheme="minorHAnsi" w:cstheme="minorHAnsi"/>
          <w:sz w:val="22"/>
          <w:szCs w:val="22"/>
        </w:rPr>
        <w:t xml:space="preserve"> de </w:t>
      </w:r>
      <w:r w:rsidR="00B50070" w:rsidRPr="0025566E">
        <w:rPr>
          <w:rFonts w:asciiTheme="minorHAnsi" w:hAnsiTheme="minorHAnsi" w:cstheme="minorHAnsi"/>
          <w:sz w:val="22"/>
          <w:szCs w:val="22"/>
        </w:rPr>
        <w:t>détention</w:t>
      </w:r>
      <w:r w:rsidRPr="0025566E">
        <w:rPr>
          <w:rFonts w:asciiTheme="minorHAnsi" w:hAnsiTheme="minorHAnsi" w:cstheme="minorHAnsi"/>
          <w:sz w:val="22"/>
          <w:szCs w:val="22"/>
        </w:rPr>
        <w:t xml:space="preserve"> </w:t>
      </w:r>
      <w:r w:rsidR="00B50070" w:rsidRPr="0025566E">
        <w:rPr>
          <w:rFonts w:asciiTheme="minorHAnsi" w:hAnsiTheme="minorHAnsi" w:cstheme="minorHAnsi"/>
          <w:sz w:val="22"/>
          <w:szCs w:val="22"/>
        </w:rPr>
        <w:t>recommandée</w:t>
      </w:r>
      <w:r w:rsidRPr="0025566E">
        <w:rPr>
          <w:rFonts w:asciiTheme="minorHAnsi" w:hAnsiTheme="minorHAnsi" w:cstheme="minorHAnsi"/>
          <w:sz w:val="22"/>
          <w:szCs w:val="22"/>
        </w:rPr>
        <w:t xml:space="preserve"> ou de la </w:t>
      </w:r>
      <w:r w:rsidR="00B50070" w:rsidRPr="0025566E">
        <w:rPr>
          <w:rFonts w:asciiTheme="minorHAnsi" w:hAnsiTheme="minorHAnsi" w:cstheme="minorHAnsi"/>
          <w:sz w:val="22"/>
          <w:szCs w:val="22"/>
        </w:rPr>
        <w:t>période</w:t>
      </w:r>
      <w:r w:rsidRPr="0025566E">
        <w:rPr>
          <w:rFonts w:asciiTheme="minorHAnsi" w:hAnsiTheme="minorHAnsi" w:cstheme="minorHAnsi"/>
          <w:sz w:val="22"/>
          <w:szCs w:val="22"/>
        </w:rPr>
        <w:t xml:space="preserve"> de </w:t>
      </w:r>
      <w:r w:rsidR="00B50070" w:rsidRPr="0025566E">
        <w:rPr>
          <w:rFonts w:asciiTheme="minorHAnsi" w:hAnsiTheme="minorHAnsi" w:cstheme="minorHAnsi"/>
          <w:sz w:val="22"/>
          <w:szCs w:val="22"/>
        </w:rPr>
        <w:t>détention</w:t>
      </w:r>
      <w:r w:rsidRPr="0025566E">
        <w:rPr>
          <w:rFonts w:asciiTheme="minorHAnsi" w:hAnsiTheme="minorHAnsi" w:cstheme="minorHAnsi"/>
          <w:sz w:val="22"/>
          <w:szCs w:val="22"/>
        </w:rPr>
        <w:t xml:space="preserve"> minimale requise; </w:t>
      </w:r>
    </w:p>
    <w:p w14:paraId="7FEE21EC" w14:textId="1BB18EB3" w:rsidR="00F22DA5" w:rsidRPr="0025566E" w:rsidRDefault="00F22DA5" w:rsidP="008211E3">
      <w:pPr>
        <w:pStyle w:val="NormalWeb"/>
        <w:numPr>
          <w:ilvl w:val="0"/>
          <w:numId w:val="12"/>
        </w:numPr>
        <w:jc w:val="both"/>
        <w:rPr>
          <w:rFonts w:asciiTheme="minorHAnsi" w:hAnsiTheme="minorHAnsi" w:cstheme="minorHAnsi"/>
          <w:sz w:val="22"/>
          <w:szCs w:val="22"/>
        </w:rPr>
      </w:pPr>
      <w:r w:rsidRPr="0025566E">
        <w:rPr>
          <w:rFonts w:asciiTheme="minorHAnsi" w:hAnsiTheme="minorHAnsi" w:cstheme="minorHAnsi"/>
          <w:sz w:val="22"/>
          <w:szCs w:val="22"/>
        </w:rPr>
        <w:t xml:space="preserve">une description des </w:t>
      </w:r>
      <w:r w:rsidR="00B50070" w:rsidRPr="0025566E">
        <w:rPr>
          <w:rFonts w:asciiTheme="minorHAnsi" w:hAnsiTheme="minorHAnsi" w:cstheme="minorHAnsi"/>
          <w:sz w:val="22"/>
          <w:szCs w:val="22"/>
        </w:rPr>
        <w:t>caractéristiques</w:t>
      </w:r>
      <w:r w:rsidRPr="0025566E">
        <w:rPr>
          <w:rFonts w:asciiTheme="minorHAnsi" w:hAnsiTheme="minorHAnsi" w:cstheme="minorHAnsi"/>
          <w:sz w:val="22"/>
          <w:szCs w:val="22"/>
        </w:rPr>
        <w:t xml:space="preserve"> de la </w:t>
      </w:r>
      <w:r w:rsidR="00B50070" w:rsidRPr="0025566E">
        <w:rPr>
          <w:rFonts w:asciiTheme="minorHAnsi" w:hAnsiTheme="minorHAnsi" w:cstheme="minorHAnsi"/>
          <w:sz w:val="22"/>
          <w:szCs w:val="22"/>
        </w:rPr>
        <w:t>procédure</w:t>
      </w:r>
      <w:r w:rsidRPr="0025566E">
        <w:rPr>
          <w:rFonts w:asciiTheme="minorHAnsi" w:hAnsiTheme="minorHAnsi" w:cstheme="minorHAnsi"/>
          <w:sz w:val="22"/>
          <w:szCs w:val="22"/>
        </w:rPr>
        <w:t xml:space="preserve"> de </w:t>
      </w:r>
      <w:r w:rsidR="00B50070" w:rsidRPr="0025566E">
        <w:rPr>
          <w:rFonts w:asciiTheme="minorHAnsi" w:hAnsiTheme="minorHAnsi" w:cstheme="minorHAnsi"/>
          <w:sz w:val="22"/>
          <w:szCs w:val="22"/>
        </w:rPr>
        <w:t>désinvestissement</w:t>
      </w:r>
      <w:r w:rsidRPr="0025566E">
        <w:rPr>
          <w:rFonts w:asciiTheme="minorHAnsi" w:hAnsiTheme="minorHAnsi" w:cstheme="minorHAnsi"/>
          <w:sz w:val="22"/>
          <w:szCs w:val="22"/>
        </w:rPr>
        <w:t xml:space="preserve"> et, lorsqu'un </w:t>
      </w:r>
      <w:r w:rsidR="00B50070" w:rsidRPr="0025566E">
        <w:rPr>
          <w:rFonts w:asciiTheme="minorHAnsi" w:hAnsiTheme="minorHAnsi" w:cstheme="minorHAnsi"/>
          <w:sz w:val="22"/>
          <w:szCs w:val="22"/>
        </w:rPr>
        <w:t>désinvestissement</w:t>
      </w:r>
      <w:r w:rsidRPr="0025566E">
        <w:rPr>
          <w:rFonts w:asciiTheme="minorHAnsi" w:hAnsiTheme="minorHAnsi" w:cstheme="minorHAnsi"/>
          <w:sz w:val="22"/>
          <w:szCs w:val="22"/>
        </w:rPr>
        <w:t xml:space="preserve"> est possible, des informations sur l'impact d'une sortie avant l'</w:t>
      </w:r>
      <w:r w:rsidR="00B50070" w:rsidRPr="0025566E">
        <w:rPr>
          <w:rFonts w:asciiTheme="minorHAnsi" w:hAnsiTheme="minorHAnsi" w:cstheme="minorHAnsi"/>
          <w:sz w:val="22"/>
          <w:szCs w:val="22"/>
        </w:rPr>
        <w:t>échéance</w:t>
      </w:r>
      <w:r w:rsidRPr="0025566E">
        <w:rPr>
          <w:rFonts w:asciiTheme="minorHAnsi" w:hAnsiTheme="minorHAnsi" w:cstheme="minorHAnsi"/>
          <w:sz w:val="22"/>
          <w:szCs w:val="22"/>
        </w:rPr>
        <w:t xml:space="preserve"> sur le profil de risque ou de performance de l’OPC ou sur l'</w:t>
      </w:r>
      <w:r w:rsidR="00B50070" w:rsidRPr="0025566E">
        <w:rPr>
          <w:rFonts w:asciiTheme="minorHAnsi" w:hAnsiTheme="minorHAnsi" w:cstheme="minorHAnsi"/>
          <w:sz w:val="22"/>
          <w:szCs w:val="22"/>
        </w:rPr>
        <w:t>applicabilité</w:t>
      </w:r>
      <w:r w:rsidRPr="0025566E">
        <w:rPr>
          <w:rFonts w:asciiTheme="minorHAnsi" w:hAnsiTheme="minorHAnsi" w:cstheme="minorHAnsi"/>
          <w:sz w:val="22"/>
          <w:szCs w:val="22"/>
        </w:rPr>
        <w:t xml:space="preserve">́ de garanties du capital; </w:t>
      </w:r>
    </w:p>
    <w:p w14:paraId="324DF008" w14:textId="298D5065" w:rsidR="00B84618" w:rsidRPr="0025566E" w:rsidRDefault="00F22DA5" w:rsidP="008211E3">
      <w:pPr>
        <w:pStyle w:val="NormalWeb"/>
        <w:numPr>
          <w:ilvl w:val="0"/>
          <w:numId w:val="12"/>
        </w:numPr>
        <w:jc w:val="both"/>
        <w:rPr>
          <w:rFonts w:asciiTheme="minorHAnsi" w:hAnsiTheme="minorHAnsi" w:cstheme="minorHAnsi"/>
          <w:sz w:val="22"/>
          <w:szCs w:val="22"/>
        </w:rPr>
      </w:pPr>
      <w:r w:rsidRPr="0025566E">
        <w:rPr>
          <w:rFonts w:asciiTheme="minorHAnsi" w:hAnsiTheme="minorHAnsi" w:cstheme="minorHAnsi"/>
          <w:sz w:val="22"/>
          <w:szCs w:val="22"/>
        </w:rPr>
        <w:t xml:space="preserve">des informations sur les </w:t>
      </w:r>
      <w:r w:rsidR="00B50070" w:rsidRPr="0025566E">
        <w:rPr>
          <w:rFonts w:asciiTheme="minorHAnsi" w:hAnsiTheme="minorHAnsi" w:cstheme="minorHAnsi"/>
          <w:sz w:val="22"/>
          <w:szCs w:val="22"/>
        </w:rPr>
        <w:t>éventuels</w:t>
      </w:r>
      <w:r w:rsidRPr="0025566E">
        <w:rPr>
          <w:rFonts w:asciiTheme="minorHAnsi" w:hAnsiTheme="minorHAnsi" w:cstheme="minorHAnsi"/>
          <w:sz w:val="22"/>
          <w:szCs w:val="22"/>
        </w:rPr>
        <w:t xml:space="preserve"> frais et </w:t>
      </w:r>
      <w:r w:rsidR="00B50070" w:rsidRPr="0025566E">
        <w:rPr>
          <w:rFonts w:asciiTheme="minorHAnsi" w:hAnsiTheme="minorHAnsi" w:cstheme="minorHAnsi"/>
          <w:sz w:val="22"/>
          <w:szCs w:val="22"/>
        </w:rPr>
        <w:t>pénalités</w:t>
      </w:r>
      <w:r w:rsidRPr="0025566E">
        <w:rPr>
          <w:rFonts w:asciiTheme="minorHAnsi" w:hAnsiTheme="minorHAnsi" w:cstheme="minorHAnsi"/>
          <w:sz w:val="22"/>
          <w:szCs w:val="22"/>
        </w:rPr>
        <w:t xml:space="preserve"> </w:t>
      </w:r>
      <w:r w:rsidR="00B50070" w:rsidRPr="0025566E">
        <w:rPr>
          <w:rFonts w:asciiTheme="minorHAnsi" w:hAnsiTheme="minorHAnsi" w:cstheme="minorHAnsi"/>
          <w:sz w:val="22"/>
          <w:szCs w:val="22"/>
        </w:rPr>
        <w:t>appliqués</w:t>
      </w:r>
      <w:r w:rsidRPr="0025566E">
        <w:rPr>
          <w:rFonts w:asciiTheme="minorHAnsi" w:hAnsiTheme="minorHAnsi" w:cstheme="minorHAnsi"/>
          <w:sz w:val="22"/>
          <w:szCs w:val="22"/>
        </w:rPr>
        <w:t xml:space="preserve"> en cas de </w:t>
      </w:r>
      <w:r w:rsidR="00B50070" w:rsidRPr="0025566E">
        <w:rPr>
          <w:rFonts w:asciiTheme="minorHAnsi" w:hAnsiTheme="minorHAnsi" w:cstheme="minorHAnsi"/>
          <w:sz w:val="22"/>
          <w:szCs w:val="22"/>
        </w:rPr>
        <w:t>désinvestissement</w:t>
      </w:r>
      <w:r w:rsidRPr="0025566E">
        <w:rPr>
          <w:rFonts w:asciiTheme="minorHAnsi" w:hAnsiTheme="minorHAnsi" w:cstheme="minorHAnsi"/>
          <w:sz w:val="22"/>
          <w:szCs w:val="22"/>
        </w:rPr>
        <w:t xml:space="preserve"> avant l'</w:t>
      </w:r>
      <w:r w:rsidR="00B50070" w:rsidRPr="0025566E">
        <w:rPr>
          <w:rFonts w:asciiTheme="minorHAnsi" w:hAnsiTheme="minorHAnsi" w:cstheme="minorHAnsi"/>
          <w:sz w:val="22"/>
          <w:szCs w:val="22"/>
        </w:rPr>
        <w:t>échéance</w:t>
      </w:r>
      <w:r w:rsidRPr="0025566E">
        <w:rPr>
          <w:rFonts w:asciiTheme="minorHAnsi" w:hAnsiTheme="minorHAnsi" w:cstheme="minorHAnsi"/>
          <w:sz w:val="22"/>
          <w:szCs w:val="22"/>
        </w:rPr>
        <w:t xml:space="preserve"> ou toute autre date </w:t>
      </w:r>
      <w:r w:rsidR="00B50070" w:rsidRPr="0025566E">
        <w:rPr>
          <w:rFonts w:asciiTheme="minorHAnsi" w:hAnsiTheme="minorHAnsi" w:cstheme="minorHAnsi"/>
          <w:sz w:val="22"/>
          <w:szCs w:val="22"/>
        </w:rPr>
        <w:t>précisée</w:t>
      </w:r>
      <w:r w:rsidRPr="0025566E">
        <w:rPr>
          <w:rFonts w:asciiTheme="minorHAnsi" w:hAnsiTheme="minorHAnsi" w:cstheme="minorHAnsi"/>
          <w:sz w:val="22"/>
          <w:szCs w:val="22"/>
        </w:rPr>
        <w:t xml:space="preserve">, autre que la </w:t>
      </w:r>
      <w:r w:rsidR="00B50070" w:rsidRPr="0025566E">
        <w:rPr>
          <w:rFonts w:asciiTheme="minorHAnsi" w:hAnsiTheme="minorHAnsi" w:cstheme="minorHAnsi"/>
          <w:sz w:val="22"/>
          <w:szCs w:val="22"/>
        </w:rPr>
        <w:t>période</w:t>
      </w:r>
      <w:r w:rsidRPr="0025566E">
        <w:rPr>
          <w:rFonts w:asciiTheme="minorHAnsi" w:hAnsiTheme="minorHAnsi" w:cstheme="minorHAnsi"/>
          <w:sz w:val="22"/>
          <w:szCs w:val="22"/>
        </w:rPr>
        <w:t xml:space="preserve"> de </w:t>
      </w:r>
      <w:r w:rsidR="00B50070" w:rsidRPr="0025566E">
        <w:rPr>
          <w:rFonts w:asciiTheme="minorHAnsi" w:hAnsiTheme="minorHAnsi" w:cstheme="minorHAnsi"/>
          <w:sz w:val="22"/>
          <w:szCs w:val="22"/>
        </w:rPr>
        <w:t>détention</w:t>
      </w:r>
      <w:r w:rsidRPr="0025566E">
        <w:rPr>
          <w:rFonts w:asciiTheme="minorHAnsi" w:hAnsiTheme="minorHAnsi" w:cstheme="minorHAnsi"/>
          <w:sz w:val="22"/>
          <w:szCs w:val="22"/>
        </w:rPr>
        <w:t xml:space="preserve"> recommandée, y compris une référence croisée aux informations sur les coûts à inclure dans le document d'information simplifié en vertu de l'article 5 et une explication de l'incidence de ces frais et pénalités pour différentes périodes de détention. </w:t>
      </w:r>
    </w:p>
    <w:p w14:paraId="2FF4DFA9" w14:textId="6265CD1D" w:rsidR="00B84618" w:rsidRPr="008211E3" w:rsidRDefault="00B84618" w:rsidP="00B84618">
      <w:pPr>
        <w:pStyle w:val="NormalWeb"/>
        <w:rPr>
          <w:rFonts w:asciiTheme="minorHAnsi" w:hAnsiTheme="minorHAnsi" w:cstheme="minorHAnsi"/>
          <w:b/>
          <w:sz w:val="22"/>
          <w:szCs w:val="22"/>
        </w:rPr>
      </w:pPr>
      <w:r w:rsidRPr="008211E3">
        <w:rPr>
          <w:rFonts w:asciiTheme="minorHAnsi" w:hAnsiTheme="minorHAnsi" w:cstheme="minorHAnsi"/>
          <w:b/>
          <w:sz w:val="22"/>
          <w:szCs w:val="22"/>
        </w:rPr>
        <w:t xml:space="preserve">ARTICLE 7 - SECTION « Comment puis-je formuler une réclamation ? » </w:t>
      </w:r>
    </w:p>
    <w:p w14:paraId="0304274B" w14:textId="3ED1996D" w:rsidR="00B84618" w:rsidRPr="0025566E" w:rsidRDefault="00B84618" w:rsidP="008211E3">
      <w:pPr>
        <w:pStyle w:val="NormalWeb"/>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fournissent, dans la section </w:t>
      </w:r>
      <w:r w:rsidR="00B50070" w:rsidRPr="0025566E">
        <w:rPr>
          <w:rFonts w:asciiTheme="minorHAnsi" w:hAnsiTheme="minorHAnsi" w:cstheme="minorHAnsi"/>
          <w:sz w:val="22"/>
          <w:szCs w:val="22"/>
        </w:rPr>
        <w:t>intitulée</w:t>
      </w:r>
      <w:r w:rsidRPr="0025566E">
        <w:rPr>
          <w:rFonts w:asciiTheme="minorHAnsi" w:hAnsiTheme="minorHAnsi" w:cstheme="minorHAnsi"/>
          <w:sz w:val="22"/>
          <w:szCs w:val="22"/>
        </w:rPr>
        <w:t xml:space="preserve"> «</w:t>
      </w:r>
      <w:r w:rsidR="00B50070" w:rsidRPr="0025566E">
        <w:rPr>
          <w:rFonts w:asciiTheme="minorHAnsi" w:hAnsiTheme="minorHAnsi" w:cstheme="minorHAnsi"/>
          <w:sz w:val="22"/>
          <w:szCs w:val="22"/>
        </w:rPr>
        <w:t xml:space="preserve"> </w:t>
      </w:r>
      <w:r w:rsidRPr="0025566E">
        <w:rPr>
          <w:rFonts w:asciiTheme="minorHAnsi" w:hAnsiTheme="minorHAnsi" w:cstheme="minorHAnsi"/>
          <w:sz w:val="22"/>
          <w:szCs w:val="22"/>
        </w:rPr>
        <w:t xml:space="preserve">Comment puis-je formuler une </w:t>
      </w:r>
      <w:r w:rsidR="00B50070" w:rsidRPr="0025566E">
        <w:rPr>
          <w:rFonts w:asciiTheme="minorHAnsi" w:hAnsiTheme="minorHAnsi" w:cstheme="minorHAnsi"/>
          <w:sz w:val="22"/>
          <w:szCs w:val="22"/>
        </w:rPr>
        <w:t>réclamation</w:t>
      </w:r>
      <w:r w:rsidRPr="0025566E">
        <w:rPr>
          <w:rFonts w:asciiTheme="minorHAnsi" w:hAnsiTheme="minorHAnsi" w:cstheme="minorHAnsi"/>
          <w:sz w:val="22"/>
          <w:szCs w:val="22"/>
        </w:rPr>
        <w:t xml:space="preserve">?» du document d'information simplifié les informations suivantes, sous forme </w:t>
      </w:r>
      <w:r w:rsidR="00B50070" w:rsidRPr="0025566E">
        <w:rPr>
          <w:rFonts w:asciiTheme="minorHAnsi" w:hAnsiTheme="minorHAnsi" w:cstheme="minorHAnsi"/>
          <w:sz w:val="22"/>
          <w:szCs w:val="22"/>
        </w:rPr>
        <w:t>synthétique</w:t>
      </w:r>
      <w:r w:rsidRPr="0025566E">
        <w:rPr>
          <w:rFonts w:asciiTheme="minorHAnsi" w:hAnsiTheme="minorHAnsi" w:cstheme="minorHAnsi"/>
          <w:sz w:val="22"/>
          <w:szCs w:val="22"/>
        </w:rPr>
        <w:t xml:space="preserve"> : </w:t>
      </w:r>
    </w:p>
    <w:p w14:paraId="51640A43" w14:textId="6C7668C1" w:rsidR="00B84618" w:rsidRPr="0025566E" w:rsidRDefault="00B84618" w:rsidP="008211E3">
      <w:pPr>
        <w:pStyle w:val="NormalWeb"/>
        <w:numPr>
          <w:ilvl w:val="0"/>
          <w:numId w:val="13"/>
        </w:numPr>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B50070" w:rsidRPr="0025566E">
        <w:rPr>
          <w:rFonts w:asciiTheme="minorHAnsi" w:hAnsiTheme="minorHAnsi" w:cstheme="minorHAnsi"/>
          <w:sz w:val="22"/>
          <w:szCs w:val="22"/>
        </w:rPr>
        <w:t>étapes</w:t>
      </w:r>
      <w:r w:rsidRPr="0025566E">
        <w:rPr>
          <w:rFonts w:asciiTheme="minorHAnsi" w:hAnsiTheme="minorHAnsi" w:cstheme="minorHAnsi"/>
          <w:sz w:val="22"/>
          <w:szCs w:val="22"/>
        </w:rPr>
        <w:t xml:space="preserve"> à suivre pour introduire une </w:t>
      </w:r>
      <w:r w:rsidR="00B50070" w:rsidRPr="0025566E">
        <w:rPr>
          <w:rFonts w:asciiTheme="minorHAnsi" w:hAnsiTheme="minorHAnsi" w:cstheme="minorHAnsi"/>
          <w:sz w:val="22"/>
          <w:szCs w:val="22"/>
        </w:rPr>
        <w:t>réclamation</w:t>
      </w:r>
      <w:r w:rsidRPr="0025566E">
        <w:rPr>
          <w:rFonts w:asciiTheme="minorHAnsi" w:hAnsiTheme="minorHAnsi" w:cstheme="minorHAnsi"/>
          <w:sz w:val="22"/>
          <w:szCs w:val="22"/>
        </w:rPr>
        <w:t xml:space="preserve"> concernant l’OPC ou le comportement de la </w:t>
      </w:r>
      <w:r w:rsidR="003D51A6" w:rsidRPr="0025566E">
        <w:rPr>
          <w:rFonts w:asciiTheme="minorHAnsi" w:hAnsiTheme="minorHAnsi" w:cstheme="minorHAnsi"/>
          <w:sz w:val="22"/>
          <w:szCs w:val="22"/>
        </w:rPr>
        <w:t>Société de Gestion</w:t>
      </w:r>
      <w:r w:rsidRPr="0025566E">
        <w:rPr>
          <w:rFonts w:asciiTheme="minorHAnsi" w:hAnsiTheme="minorHAnsi" w:cstheme="minorHAnsi"/>
          <w:sz w:val="22"/>
          <w:szCs w:val="22"/>
        </w:rPr>
        <w:t xml:space="preserve"> de l’OPC ou de la personne qui fournit des conseils au sujet de ce l’OPC ou qui le vend; </w:t>
      </w:r>
    </w:p>
    <w:p w14:paraId="05EA9805" w14:textId="63F4544A" w:rsidR="00B84618" w:rsidRPr="0025566E" w:rsidRDefault="00B84618" w:rsidP="008211E3">
      <w:pPr>
        <w:pStyle w:val="NormalWeb"/>
        <w:numPr>
          <w:ilvl w:val="0"/>
          <w:numId w:val="13"/>
        </w:numPr>
        <w:jc w:val="both"/>
        <w:rPr>
          <w:rFonts w:asciiTheme="minorHAnsi" w:hAnsiTheme="minorHAnsi" w:cstheme="minorHAnsi"/>
          <w:sz w:val="22"/>
          <w:szCs w:val="22"/>
        </w:rPr>
      </w:pPr>
      <w:r w:rsidRPr="0025566E">
        <w:rPr>
          <w:rFonts w:asciiTheme="minorHAnsi" w:hAnsiTheme="minorHAnsi" w:cstheme="minorHAnsi"/>
          <w:sz w:val="22"/>
          <w:szCs w:val="22"/>
        </w:rPr>
        <w:t xml:space="preserve">un lien vers le site internet sur lequel des </w:t>
      </w:r>
      <w:r w:rsidR="00B50070" w:rsidRPr="0025566E">
        <w:rPr>
          <w:rFonts w:asciiTheme="minorHAnsi" w:hAnsiTheme="minorHAnsi" w:cstheme="minorHAnsi"/>
          <w:sz w:val="22"/>
          <w:szCs w:val="22"/>
        </w:rPr>
        <w:t>réclamations</w:t>
      </w:r>
      <w:r w:rsidRPr="0025566E">
        <w:rPr>
          <w:rFonts w:asciiTheme="minorHAnsi" w:hAnsiTheme="minorHAnsi" w:cstheme="minorHAnsi"/>
          <w:sz w:val="22"/>
          <w:szCs w:val="22"/>
        </w:rPr>
        <w:t xml:space="preserve"> de ce type peuvent </w:t>
      </w:r>
      <w:r w:rsidR="00B50070" w:rsidRPr="0025566E">
        <w:rPr>
          <w:rFonts w:asciiTheme="minorHAnsi" w:hAnsiTheme="minorHAnsi" w:cstheme="minorHAnsi"/>
          <w:sz w:val="22"/>
          <w:szCs w:val="22"/>
        </w:rPr>
        <w:t>être</w:t>
      </w:r>
      <w:r w:rsidRPr="0025566E">
        <w:rPr>
          <w:rFonts w:asciiTheme="minorHAnsi" w:hAnsiTheme="minorHAnsi" w:cstheme="minorHAnsi"/>
          <w:sz w:val="22"/>
          <w:szCs w:val="22"/>
        </w:rPr>
        <w:t xml:space="preserve"> introduites; </w:t>
      </w:r>
    </w:p>
    <w:p w14:paraId="126EA470" w14:textId="3E2F03A2" w:rsidR="00B84618" w:rsidRPr="0025566E" w:rsidRDefault="00B84618" w:rsidP="008211E3">
      <w:pPr>
        <w:pStyle w:val="NormalWeb"/>
        <w:numPr>
          <w:ilvl w:val="0"/>
          <w:numId w:val="13"/>
        </w:numPr>
        <w:jc w:val="both"/>
        <w:rPr>
          <w:rFonts w:asciiTheme="minorHAnsi" w:hAnsiTheme="minorHAnsi" w:cstheme="minorHAnsi"/>
          <w:sz w:val="22"/>
          <w:szCs w:val="22"/>
        </w:rPr>
      </w:pPr>
      <w:r w:rsidRPr="0025566E">
        <w:rPr>
          <w:rFonts w:asciiTheme="minorHAnsi" w:hAnsiTheme="minorHAnsi" w:cstheme="minorHAnsi"/>
          <w:sz w:val="22"/>
          <w:szCs w:val="22"/>
        </w:rPr>
        <w:t xml:space="preserve">une adresse postale à jour et une adresse </w:t>
      </w:r>
      <w:r w:rsidR="00B50070" w:rsidRPr="0025566E">
        <w:rPr>
          <w:rFonts w:asciiTheme="minorHAnsi" w:hAnsiTheme="minorHAnsi" w:cstheme="minorHAnsi"/>
          <w:sz w:val="22"/>
          <w:szCs w:val="22"/>
        </w:rPr>
        <w:t>électronique</w:t>
      </w:r>
      <w:r w:rsidRPr="0025566E">
        <w:rPr>
          <w:rFonts w:asciiTheme="minorHAnsi" w:hAnsiTheme="minorHAnsi" w:cstheme="minorHAnsi"/>
          <w:sz w:val="22"/>
          <w:szCs w:val="22"/>
        </w:rPr>
        <w:t xml:space="preserve"> auxquelles ces plaintes peuvent </w:t>
      </w:r>
      <w:r w:rsidR="00B50070" w:rsidRPr="0025566E">
        <w:rPr>
          <w:rFonts w:asciiTheme="minorHAnsi" w:hAnsiTheme="minorHAnsi" w:cstheme="minorHAnsi"/>
          <w:sz w:val="22"/>
          <w:szCs w:val="22"/>
        </w:rPr>
        <w:t>être</w:t>
      </w:r>
      <w:r w:rsidRPr="0025566E">
        <w:rPr>
          <w:rFonts w:asciiTheme="minorHAnsi" w:hAnsiTheme="minorHAnsi" w:cstheme="minorHAnsi"/>
          <w:sz w:val="22"/>
          <w:szCs w:val="22"/>
        </w:rPr>
        <w:t xml:space="preserve"> </w:t>
      </w:r>
      <w:r w:rsidR="00B50070" w:rsidRPr="0025566E">
        <w:rPr>
          <w:rFonts w:asciiTheme="minorHAnsi" w:hAnsiTheme="minorHAnsi" w:cstheme="minorHAnsi"/>
          <w:sz w:val="22"/>
          <w:szCs w:val="22"/>
        </w:rPr>
        <w:t>déposées</w:t>
      </w:r>
      <w:r w:rsidRPr="0025566E">
        <w:rPr>
          <w:rFonts w:asciiTheme="minorHAnsi" w:hAnsiTheme="minorHAnsi" w:cstheme="minorHAnsi"/>
          <w:sz w:val="22"/>
          <w:szCs w:val="22"/>
        </w:rPr>
        <w:t xml:space="preserve">. </w:t>
      </w:r>
    </w:p>
    <w:p w14:paraId="5353AF49" w14:textId="29D0988F" w:rsidR="00B84618" w:rsidRPr="008211E3" w:rsidRDefault="00B84618" w:rsidP="00B84618">
      <w:pPr>
        <w:pStyle w:val="NormalWeb"/>
        <w:rPr>
          <w:rFonts w:asciiTheme="minorHAnsi" w:hAnsiTheme="minorHAnsi" w:cstheme="minorHAnsi"/>
          <w:b/>
          <w:sz w:val="22"/>
          <w:szCs w:val="22"/>
        </w:rPr>
      </w:pPr>
      <w:r w:rsidRPr="008211E3">
        <w:rPr>
          <w:rFonts w:asciiTheme="minorHAnsi" w:hAnsiTheme="minorHAnsi" w:cstheme="minorHAnsi"/>
          <w:b/>
          <w:sz w:val="22"/>
          <w:szCs w:val="22"/>
        </w:rPr>
        <w:t xml:space="preserve">ARTICLE 8 - SECTION « Autres informations pertinentes ? » </w:t>
      </w:r>
    </w:p>
    <w:p w14:paraId="21C92FB0" w14:textId="7ED0AA08" w:rsidR="00B84618" w:rsidRPr="0025566E" w:rsidRDefault="00B84618" w:rsidP="008211E3">
      <w:pPr>
        <w:pStyle w:val="Paragraphedeliste"/>
        <w:numPr>
          <w:ilvl w:val="0"/>
          <w:numId w:val="14"/>
        </w:numPr>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mentionnent, dans la section </w:t>
      </w:r>
      <w:r w:rsidR="00B50070" w:rsidRPr="0025566E">
        <w:rPr>
          <w:rFonts w:asciiTheme="minorHAnsi" w:hAnsiTheme="minorHAnsi" w:cstheme="minorHAnsi"/>
          <w:sz w:val="22"/>
          <w:szCs w:val="22"/>
        </w:rPr>
        <w:t>intitulée</w:t>
      </w:r>
      <w:r w:rsidRPr="0025566E">
        <w:rPr>
          <w:rFonts w:asciiTheme="minorHAnsi" w:hAnsiTheme="minorHAnsi" w:cstheme="minorHAnsi"/>
          <w:sz w:val="22"/>
          <w:szCs w:val="22"/>
        </w:rPr>
        <w:t xml:space="preserve"> «</w:t>
      </w:r>
      <w:r w:rsidR="00B50070" w:rsidRPr="0025566E">
        <w:rPr>
          <w:rFonts w:asciiTheme="minorHAnsi" w:hAnsiTheme="minorHAnsi" w:cstheme="minorHAnsi"/>
          <w:sz w:val="22"/>
          <w:szCs w:val="22"/>
        </w:rPr>
        <w:t xml:space="preserve"> </w:t>
      </w:r>
      <w:r w:rsidRPr="0025566E">
        <w:rPr>
          <w:rFonts w:asciiTheme="minorHAnsi" w:hAnsiTheme="minorHAnsi" w:cstheme="minorHAnsi"/>
          <w:sz w:val="22"/>
          <w:szCs w:val="22"/>
        </w:rPr>
        <w:t>Autres informations pertinentes</w:t>
      </w:r>
      <w:r w:rsidR="00B50070" w:rsidRPr="0025566E">
        <w:rPr>
          <w:rFonts w:asciiTheme="minorHAnsi" w:hAnsiTheme="minorHAnsi" w:cstheme="minorHAnsi"/>
          <w:sz w:val="22"/>
          <w:szCs w:val="22"/>
        </w:rPr>
        <w:t xml:space="preserve"> </w:t>
      </w:r>
      <w:r w:rsidRPr="0025566E">
        <w:rPr>
          <w:rFonts w:asciiTheme="minorHAnsi" w:hAnsiTheme="minorHAnsi" w:cstheme="minorHAnsi"/>
          <w:sz w:val="22"/>
          <w:szCs w:val="22"/>
        </w:rPr>
        <w:t xml:space="preserve">» du document d'information simplifié, tout document d'information </w:t>
      </w:r>
      <w:r w:rsidR="00B50070" w:rsidRPr="0025566E">
        <w:rPr>
          <w:rFonts w:asciiTheme="minorHAnsi" w:hAnsiTheme="minorHAnsi" w:cstheme="minorHAnsi"/>
          <w:sz w:val="22"/>
          <w:szCs w:val="22"/>
        </w:rPr>
        <w:t>supplémentaire</w:t>
      </w:r>
      <w:r w:rsidRPr="0025566E">
        <w:rPr>
          <w:rFonts w:asciiTheme="minorHAnsi" w:hAnsiTheme="minorHAnsi" w:cstheme="minorHAnsi"/>
          <w:sz w:val="22"/>
          <w:szCs w:val="22"/>
        </w:rPr>
        <w:t xml:space="preserve"> qui pourrait </w:t>
      </w:r>
      <w:r w:rsidR="00B50070" w:rsidRPr="0025566E">
        <w:rPr>
          <w:rFonts w:asciiTheme="minorHAnsi" w:hAnsiTheme="minorHAnsi" w:cstheme="minorHAnsi"/>
          <w:sz w:val="22"/>
          <w:szCs w:val="22"/>
        </w:rPr>
        <w:t>être</w:t>
      </w:r>
      <w:r w:rsidRPr="0025566E">
        <w:rPr>
          <w:rFonts w:asciiTheme="minorHAnsi" w:hAnsiTheme="minorHAnsi" w:cstheme="minorHAnsi"/>
          <w:sz w:val="22"/>
          <w:szCs w:val="22"/>
        </w:rPr>
        <w:t xml:space="preserve"> fourni, et </w:t>
      </w:r>
      <w:r w:rsidR="00B50070" w:rsidRPr="0025566E">
        <w:rPr>
          <w:rFonts w:asciiTheme="minorHAnsi" w:hAnsiTheme="minorHAnsi" w:cstheme="minorHAnsi"/>
          <w:sz w:val="22"/>
          <w:szCs w:val="22"/>
        </w:rPr>
        <w:t>précisent</w:t>
      </w:r>
      <w:r w:rsidRPr="0025566E">
        <w:rPr>
          <w:rFonts w:asciiTheme="minorHAnsi" w:hAnsiTheme="minorHAnsi" w:cstheme="minorHAnsi"/>
          <w:sz w:val="22"/>
          <w:szCs w:val="22"/>
        </w:rPr>
        <w:t xml:space="preserve"> si ces documents d'information </w:t>
      </w:r>
      <w:r w:rsidR="00B50070" w:rsidRPr="0025566E">
        <w:rPr>
          <w:rFonts w:asciiTheme="minorHAnsi" w:hAnsiTheme="minorHAnsi" w:cstheme="minorHAnsi"/>
          <w:sz w:val="22"/>
          <w:szCs w:val="22"/>
        </w:rPr>
        <w:t>supplémentaires</w:t>
      </w:r>
      <w:r w:rsidRPr="0025566E">
        <w:rPr>
          <w:rFonts w:asciiTheme="minorHAnsi" w:hAnsiTheme="minorHAnsi" w:cstheme="minorHAnsi"/>
          <w:sz w:val="22"/>
          <w:szCs w:val="22"/>
        </w:rPr>
        <w:t xml:space="preserve"> sont mis </w:t>
      </w:r>
      <w:proofErr w:type="spellStart"/>
      <w:r w:rsidRPr="0025566E">
        <w:rPr>
          <w:rFonts w:asciiTheme="minorHAnsi" w:hAnsiTheme="minorHAnsi" w:cstheme="minorHAnsi"/>
          <w:sz w:val="22"/>
          <w:szCs w:val="22"/>
        </w:rPr>
        <w:t>a</w:t>
      </w:r>
      <w:proofErr w:type="spellEnd"/>
      <w:r w:rsidRPr="0025566E">
        <w:rPr>
          <w:rFonts w:asciiTheme="minorHAnsi" w:hAnsiTheme="minorHAnsi" w:cstheme="minorHAnsi"/>
          <w:sz w:val="22"/>
          <w:szCs w:val="22"/>
        </w:rPr>
        <w:t xml:space="preserve">̀ disposition sur la base d'une obligation </w:t>
      </w:r>
      <w:r w:rsidR="00B50070" w:rsidRPr="0025566E">
        <w:rPr>
          <w:rFonts w:asciiTheme="minorHAnsi" w:hAnsiTheme="minorHAnsi" w:cstheme="minorHAnsi"/>
          <w:sz w:val="22"/>
          <w:szCs w:val="22"/>
        </w:rPr>
        <w:t>légale</w:t>
      </w:r>
      <w:r w:rsidRPr="0025566E">
        <w:rPr>
          <w:rFonts w:asciiTheme="minorHAnsi" w:hAnsiTheme="minorHAnsi" w:cstheme="minorHAnsi"/>
          <w:sz w:val="22"/>
          <w:szCs w:val="22"/>
        </w:rPr>
        <w:t xml:space="preserve"> ou uniquement à la demande de l'investisseur. </w:t>
      </w:r>
    </w:p>
    <w:p w14:paraId="6798781E" w14:textId="77777777" w:rsidR="00B84618" w:rsidRPr="0025566E" w:rsidRDefault="00B84618" w:rsidP="008211E3">
      <w:pPr>
        <w:pStyle w:val="Paragraphedeliste"/>
        <w:spacing w:before="100" w:beforeAutospacing="1" w:after="100" w:afterAutospacing="1"/>
        <w:jc w:val="both"/>
        <w:rPr>
          <w:rFonts w:asciiTheme="minorHAnsi" w:hAnsiTheme="minorHAnsi" w:cstheme="minorHAnsi"/>
          <w:sz w:val="22"/>
          <w:szCs w:val="22"/>
        </w:rPr>
      </w:pPr>
    </w:p>
    <w:p w14:paraId="2838516B" w14:textId="0000867A" w:rsidR="00B84618" w:rsidRPr="0025566E" w:rsidRDefault="00B84618" w:rsidP="008211E3">
      <w:pPr>
        <w:pStyle w:val="Paragraphedeliste"/>
        <w:numPr>
          <w:ilvl w:val="0"/>
          <w:numId w:val="14"/>
        </w:numPr>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t xml:space="preserve">Les informations figurant dans la section </w:t>
      </w:r>
      <w:r w:rsidR="00B50070" w:rsidRPr="0025566E">
        <w:rPr>
          <w:rFonts w:asciiTheme="minorHAnsi" w:hAnsiTheme="minorHAnsi" w:cstheme="minorHAnsi"/>
          <w:sz w:val="22"/>
          <w:szCs w:val="22"/>
        </w:rPr>
        <w:t>intitulée</w:t>
      </w:r>
      <w:r w:rsidRPr="0025566E">
        <w:rPr>
          <w:rFonts w:asciiTheme="minorHAnsi" w:hAnsiTheme="minorHAnsi" w:cstheme="minorHAnsi"/>
          <w:sz w:val="22"/>
          <w:szCs w:val="22"/>
        </w:rPr>
        <w:t xml:space="preserve"> «</w:t>
      </w:r>
      <w:r w:rsidR="00B50070" w:rsidRPr="0025566E">
        <w:rPr>
          <w:rFonts w:asciiTheme="minorHAnsi" w:hAnsiTheme="minorHAnsi" w:cstheme="minorHAnsi"/>
          <w:sz w:val="22"/>
          <w:szCs w:val="22"/>
        </w:rPr>
        <w:t xml:space="preserve"> </w:t>
      </w:r>
      <w:r w:rsidRPr="0025566E">
        <w:rPr>
          <w:rFonts w:asciiTheme="minorHAnsi" w:hAnsiTheme="minorHAnsi" w:cstheme="minorHAnsi"/>
          <w:sz w:val="22"/>
          <w:szCs w:val="22"/>
        </w:rPr>
        <w:t>Autres informations pertinentes</w:t>
      </w:r>
      <w:r w:rsidR="00B50070" w:rsidRPr="0025566E">
        <w:rPr>
          <w:rFonts w:asciiTheme="minorHAnsi" w:hAnsiTheme="minorHAnsi" w:cstheme="minorHAnsi"/>
          <w:sz w:val="22"/>
          <w:szCs w:val="22"/>
        </w:rPr>
        <w:t xml:space="preserve"> </w:t>
      </w:r>
      <w:r w:rsidRPr="0025566E">
        <w:rPr>
          <w:rFonts w:asciiTheme="minorHAnsi" w:hAnsiTheme="minorHAnsi" w:cstheme="minorHAnsi"/>
          <w:sz w:val="22"/>
          <w:szCs w:val="22"/>
        </w:rPr>
        <w:t xml:space="preserve">» du document d'information </w:t>
      </w:r>
      <w:r w:rsidR="00901D78" w:rsidRPr="0025566E">
        <w:rPr>
          <w:rFonts w:asciiTheme="minorHAnsi" w:hAnsiTheme="minorHAnsi" w:cstheme="minorHAnsi"/>
          <w:sz w:val="22"/>
          <w:szCs w:val="22"/>
        </w:rPr>
        <w:t>simplifié</w:t>
      </w:r>
      <w:r w:rsidRPr="0025566E">
        <w:rPr>
          <w:rFonts w:asciiTheme="minorHAnsi" w:hAnsiTheme="minorHAnsi" w:cstheme="minorHAnsi"/>
          <w:sz w:val="22"/>
          <w:szCs w:val="22"/>
        </w:rPr>
        <w:t xml:space="preserve"> peuvent </w:t>
      </w:r>
      <w:r w:rsidR="00B50070" w:rsidRPr="0025566E">
        <w:rPr>
          <w:rFonts w:asciiTheme="minorHAnsi" w:hAnsiTheme="minorHAnsi" w:cstheme="minorHAnsi"/>
          <w:sz w:val="22"/>
          <w:szCs w:val="22"/>
        </w:rPr>
        <w:t>être</w:t>
      </w:r>
      <w:r w:rsidRPr="0025566E">
        <w:rPr>
          <w:rFonts w:asciiTheme="minorHAnsi" w:hAnsiTheme="minorHAnsi" w:cstheme="minorHAnsi"/>
          <w:sz w:val="22"/>
          <w:szCs w:val="22"/>
        </w:rPr>
        <w:t xml:space="preserve"> fournies sous forme </w:t>
      </w:r>
      <w:r w:rsidR="00B50070" w:rsidRPr="0025566E">
        <w:rPr>
          <w:rFonts w:asciiTheme="minorHAnsi" w:hAnsiTheme="minorHAnsi" w:cstheme="minorHAnsi"/>
          <w:sz w:val="22"/>
          <w:szCs w:val="22"/>
        </w:rPr>
        <w:t>synthétique</w:t>
      </w:r>
      <w:r w:rsidRPr="0025566E">
        <w:rPr>
          <w:rFonts w:asciiTheme="minorHAnsi" w:hAnsiTheme="minorHAnsi" w:cstheme="minorHAnsi"/>
          <w:sz w:val="22"/>
          <w:szCs w:val="22"/>
        </w:rPr>
        <w:t xml:space="preserve">, y compris au moyen d'un lien vers le site web où il est possible d'obtenir d'autres </w:t>
      </w:r>
      <w:r w:rsidR="00B50070" w:rsidRPr="0025566E">
        <w:rPr>
          <w:rFonts w:asciiTheme="minorHAnsi" w:hAnsiTheme="minorHAnsi" w:cstheme="minorHAnsi"/>
          <w:sz w:val="22"/>
          <w:szCs w:val="22"/>
        </w:rPr>
        <w:t>éléments</w:t>
      </w:r>
      <w:r w:rsidRPr="0025566E">
        <w:rPr>
          <w:rFonts w:asciiTheme="minorHAnsi" w:hAnsiTheme="minorHAnsi" w:cstheme="minorHAnsi"/>
          <w:sz w:val="22"/>
          <w:szCs w:val="22"/>
        </w:rPr>
        <w:t xml:space="preserve"> que les documents </w:t>
      </w:r>
      <w:r w:rsidR="00B50070" w:rsidRPr="0025566E">
        <w:rPr>
          <w:rFonts w:asciiTheme="minorHAnsi" w:hAnsiTheme="minorHAnsi" w:cstheme="minorHAnsi"/>
          <w:sz w:val="22"/>
          <w:szCs w:val="22"/>
        </w:rPr>
        <w:t>visés</w:t>
      </w:r>
      <w:r w:rsidRPr="0025566E">
        <w:rPr>
          <w:rFonts w:asciiTheme="minorHAnsi" w:hAnsiTheme="minorHAnsi" w:cstheme="minorHAnsi"/>
          <w:sz w:val="22"/>
          <w:szCs w:val="22"/>
        </w:rPr>
        <w:t xml:space="preserve"> au paragraphe 1. </w:t>
      </w:r>
    </w:p>
    <w:p w14:paraId="43F85DB4" w14:textId="67060AD7" w:rsidR="00901D78" w:rsidRPr="008211E3" w:rsidRDefault="00901D78" w:rsidP="00901D78">
      <w:pPr>
        <w:pStyle w:val="NormalWeb"/>
        <w:rPr>
          <w:rFonts w:asciiTheme="minorHAnsi" w:hAnsiTheme="minorHAnsi" w:cstheme="minorHAnsi"/>
          <w:b/>
          <w:sz w:val="22"/>
          <w:szCs w:val="22"/>
        </w:rPr>
      </w:pPr>
      <w:r w:rsidRPr="008211E3">
        <w:rPr>
          <w:rFonts w:asciiTheme="minorHAnsi" w:hAnsiTheme="minorHAnsi" w:cstheme="minorHAnsi"/>
          <w:b/>
          <w:sz w:val="22"/>
          <w:szCs w:val="22"/>
        </w:rPr>
        <w:t xml:space="preserve">ARTICLE 9 - Modèle </w:t>
      </w:r>
    </w:p>
    <w:p w14:paraId="54FA1450" w14:textId="01B610A9" w:rsidR="00901D78" w:rsidRPr="0025566E" w:rsidRDefault="00901D78" w:rsidP="008211E3">
      <w:pPr>
        <w:spacing w:before="100" w:beforeAutospacing="1" w:after="100" w:afterAutospacing="1"/>
        <w:jc w:val="both"/>
        <w:rPr>
          <w:rFonts w:asciiTheme="minorHAnsi" w:hAnsiTheme="minorHAnsi" w:cstheme="minorHAnsi"/>
          <w:sz w:val="22"/>
          <w:szCs w:val="22"/>
        </w:rPr>
      </w:pPr>
      <w:r w:rsidRPr="0025566E">
        <w:rPr>
          <w:rFonts w:asciiTheme="minorHAnsi" w:hAnsiTheme="minorHAnsi" w:cstheme="minorHAnsi"/>
          <w:sz w:val="22"/>
          <w:szCs w:val="22"/>
        </w:rPr>
        <w:t xml:space="preserve">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w:t>
      </w:r>
      <w:r w:rsidR="00B50070" w:rsidRPr="0025566E">
        <w:rPr>
          <w:rFonts w:asciiTheme="minorHAnsi" w:hAnsiTheme="minorHAnsi" w:cstheme="minorHAnsi"/>
          <w:sz w:val="22"/>
          <w:szCs w:val="22"/>
        </w:rPr>
        <w:t>présentent</w:t>
      </w:r>
      <w:r w:rsidRPr="0025566E">
        <w:rPr>
          <w:rFonts w:asciiTheme="minorHAnsi" w:hAnsiTheme="minorHAnsi" w:cstheme="minorHAnsi"/>
          <w:sz w:val="22"/>
          <w:szCs w:val="22"/>
        </w:rPr>
        <w:t xml:space="preserve"> le document d'infor</w:t>
      </w:r>
      <w:r w:rsidRPr="0025566E">
        <w:rPr>
          <w:rFonts w:asciiTheme="minorHAnsi" w:hAnsiTheme="minorHAnsi" w:cstheme="minorHAnsi"/>
          <w:sz w:val="22"/>
          <w:szCs w:val="22"/>
        </w:rPr>
        <w:softHyphen/>
        <w:t xml:space="preserve">mation simplifié au moyen du </w:t>
      </w:r>
      <w:r w:rsidR="005A3D1F" w:rsidRPr="0025566E">
        <w:rPr>
          <w:rFonts w:asciiTheme="minorHAnsi" w:hAnsiTheme="minorHAnsi" w:cstheme="minorHAnsi"/>
          <w:sz w:val="22"/>
          <w:szCs w:val="22"/>
        </w:rPr>
        <w:t>modèle</w:t>
      </w:r>
      <w:r w:rsidRPr="0025566E">
        <w:rPr>
          <w:rFonts w:asciiTheme="minorHAnsi" w:hAnsiTheme="minorHAnsi" w:cstheme="minorHAnsi"/>
          <w:sz w:val="22"/>
          <w:szCs w:val="22"/>
        </w:rPr>
        <w:t xml:space="preserve"> figurant </w:t>
      </w:r>
      <w:proofErr w:type="spellStart"/>
      <w:r w:rsidRPr="0025566E">
        <w:rPr>
          <w:rFonts w:asciiTheme="minorHAnsi" w:hAnsiTheme="minorHAnsi" w:cstheme="minorHAnsi"/>
          <w:sz w:val="22"/>
          <w:szCs w:val="22"/>
        </w:rPr>
        <w:t>a</w:t>
      </w:r>
      <w:proofErr w:type="spellEnd"/>
      <w:r w:rsidRPr="0025566E">
        <w:rPr>
          <w:rFonts w:asciiTheme="minorHAnsi" w:hAnsiTheme="minorHAnsi" w:cstheme="minorHAnsi"/>
          <w:sz w:val="22"/>
          <w:szCs w:val="22"/>
        </w:rPr>
        <w:t xml:space="preserve">̀ l'annexe I. </w:t>
      </w:r>
    </w:p>
    <w:p w14:paraId="287EA26F" w14:textId="77777777" w:rsidR="00E47D2F" w:rsidRPr="00E47D2F" w:rsidRDefault="00E47D2F" w:rsidP="00E47D2F">
      <w:pPr>
        <w:spacing w:before="100" w:beforeAutospacing="1" w:after="100" w:afterAutospacing="1"/>
        <w:ind w:left="3544"/>
        <w:jc w:val="center"/>
        <w:rPr>
          <w:rFonts w:asciiTheme="minorHAnsi" w:hAnsiTheme="minorHAnsi" w:cstheme="minorHAnsi"/>
          <w:sz w:val="22"/>
          <w:szCs w:val="22"/>
        </w:rPr>
      </w:pPr>
      <w:r w:rsidRPr="00E47D2F">
        <w:rPr>
          <w:rFonts w:asciiTheme="minorHAnsi" w:hAnsiTheme="minorHAnsi" w:cstheme="minorHAnsi"/>
          <w:sz w:val="22"/>
          <w:szCs w:val="22"/>
        </w:rPr>
        <w:t xml:space="preserve">Fait </w:t>
      </w:r>
      <w:proofErr w:type="spellStart"/>
      <w:r w:rsidRPr="00E47D2F">
        <w:rPr>
          <w:rFonts w:asciiTheme="minorHAnsi" w:hAnsiTheme="minorHAnsi" w:cstheme="minorHAnsi"/>
          <w:sz w:val="22"/>
          <w:szCs w:val="22"/>
        </w:rPr>
        <w:t>a</w:t>
      </w:r>
      <w:proofErr w:type="spellEnd"/>
      <w:r w:rsidRPr="00E47D2F">
        <w:rPr>
          <w:rFonts w:asciiTheme="minorHAnsi" w:hAnsiTheme="minorHAnsi" w:cstheme="minorHAnsi"/>
          <w:sz w:val="22"/>
          <w:szCs w:val="22"/>
        </w:rPr>
        <w:t>̀ Libreville, le X/X/2024</w:t>
      </w:r>
    </w:p>
    <w:p w14:paraId="1D2A4947" w14:textId="40A9D79F" w:rsidR="00E47D2F" w:rsidRPr="00E47D2F" w:rsidRDefault="00E47D2F" w:rsidP="00E47D2F">
      <w:pPr>
        <w:spacing w:before="100" w:beforeAutospacing="1" w:after="100" w:afterAutospacing="1"/>
        <w:ind w:left="3544"/>
        <w:jc w:val="center"/>
        <w:rPr>
          <w:rFonts w:asciiTheme="minorHAnsi" w:hAnsiTheme="minorHAnsi" w:cstheme="minorHAnsi"/>
          <w:sz w:val="22"/>
          <w:szCs w:val="22"/>
        </w:rPr>
      </w:pPr>
      <w:r w:rsidRPr="00E47D2F">
        <w:rPr>
          <w:rFonts w:asciiTheme="minorHAnsi" w:hAnsiTheme="minorHAnsi" w:cstheme="minorHAnsi"/>
          <w:sz w:val="22"/>
          <w:szCs w:val="22"/>
        </w:rPr>
        <w:t>Signé le XX/XX/2024</w:t>
      </w:r>
    </w:p>
    <w:p w14:paraId="7A49F12C" w14:textId="4EC1B964" w:rsidR="00E47D2F" w:rsidRPr="00E47D2F" w:rsidRDefault="00E47D2F" w:rsidP="00E47D2F">
      <w:pPr>
        <w:spacing w:before="100" w:beforeAutospacing="1" w:after="100" w:afterAutospacing="1"/>
        <w:ind w:left="3544"/>
        <w:jc w:val="center"/>
        <w:rPr>
          <w:rFonts w:asciiTheme="minorHAnsi" w:hAnsiTheme="minorHAnsi" w:cstheme="minorHAnsi"/>
          <w:sz w:val="22"/>
          <w:szCs w:val="22"/>
        </w:rPr>
      </w:pPr>
      <w:r w:rsidRPr="00E47D2F">
        <w:rPr>
          <w:rFonts w:asciiTheme="minorHAnsi" w:hAnsiTheme="minorHAnsi" w:cstheme="minorHAnsi"/>
          <w:sz w:val="22"/>
          <w:szCs w:val="22"/>
        </w:rPr>
        <w:t>Pour la COSUMAF,</w:t>
      </w:r>
    </w:p>
    <w:p w14:paraId="57422496" w14:textId="77777777" w:rsidR="00B84618" w:rsidRPr="0025566E" w:rsidRDefault="00B84618" w:rsidP="00B84618">
      <w:pPr>
        <w:pStyle w:val="NormalWeb"/>
        <w:rPr>
          <w:rFonts w:asciiTheme="minorHAnsi" w:hAnsiTheme="minorHAnsi" w:cstheme="minorHAnsi"/>
          <w:sz w:val="22"/>
          <w:szCs w:val="22"/>
        </w:rPr>
      </w:pPr>
    </w:p>
    <w:p w14:paraId="60CD194E" w14:textId="5F718A6D" w:rsidR="00ED7C6B" w:rsidRPr="0025566E" w:rsidRDefault="00ED7C6B">
      <w:pPr>
        <w:rPr>
          <w:rFonts w:asciiTheme="minorHAnsi" w:hAnsiTheme="minorHAnsi" w:cstheme="minorHAnsi"/>
          <w:sz w:val="22"/>
          <w:szCs w:val="22"/>
        </w:rPr>
      </w:pPr>
      <w:r w:rsidRPr="0025566E">
        <w:rPr>
          <w:rFonts w:asciiTheme="minorHAnsi" w:hAnsiTheme="minorHAnsi" w:cstheme="minorHAnsi"/>
          <w:sz w:val="22"/>
          <w:szCs w:val="22"/>
        </w:rPr>
        <w:br w:type="page"/>
      </w:r>
    </w:p>
    <w:p w14:paraId="21D87268" w14:textId="4B13A18F" w:rsidR="002F6490" w:rsidRPr="008211E3" w:rsidRDefault="00ED7C6B" w:rsidP="00242B7A">
      <w:pPr>
        <w:spacing w:before="100" w:beforeAutospacing="1" w:after="100" w:afterAutospacing="1"/>
        <w:jc w:val="center"/>
        <w:rPr>
          <w:rFonts w:asciiTheme="minorHAnsi" w:hAnsiTheme="minorHAnsi" w:cstheme="minorHAnsi"/>
          <w:b/>
          <w:sz w:val="22"/>
          <w:szCs w:val="22"/>
        </w:rPr>
      </w:pPr>
      <w:r w:rsidRPr="008211E3">
        <w:rPr>
          <w:rFonts w:asciiTheme="minorHAnsi" w:hAnsiTheme="minorHAnsi" w:cstheme="minorHAnsi"/>
          <w:b/>
          <w:sz w:val="22"/>
          <w:szCs w:val="22"/>
        </w:rPr>
        <w:lastRenderedPageBreak/>
        <w:t>ANNEXE I</w:t>
      </w:r>
    </w:p>
    <w:p w14:paraId="4B29BEA5" w14:textId="1B8395A9" w:rsidR="001E165D" w:rsidRPr="0025566E" w:rsidRDefault="001E165D" w:rsidP="002F6490">
      <w:pPr>
        <w:spacing w:before="100" w:beforeAutospacing="1" w:after="100" w:afterAutospacing="1"/>
        <w:jc w:val="both"/>
        <w:rPr>
          <w:rFonts w:asciiTheme="minorHAnsi" w:hAnsiTheme="minorHAnsi" w:cstheme="minorHAnsi"/>
          <w:sz w:val="22"/>
          <w:szCs w:val="22"/>
        </w:rPr>
      </w:pPr>
    </w:p>
    <w:tbl>
      <w:tblPr>
        <w:tblStyle w:val="TableauGrille7Couleur-Accentuation1"/>
        <w:tblW w:w="0" w:type="auto"/>
        <w:tblLook w:val="04A0" w:firstRow="1" w:lastRow="0" w:firstColumn="1" w:lastColumn="0" w:noHBand="0" w:noVBand="1"/>
      </w:tblPr>
      <w:tblGrid>
        <w:gridCol w:w="9054"/>
      </w:tblGrid>
      <w:tr w:rsidR="00C4256A" w:rsidRPr="0025566E" w14:paraId="4B3457C3" w14:textId="77777777" w:rsidTr="001E165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6" w:type="dxa"/>
          </w:tcPr>
          <w:p w14:paraId="5C4B2E19" w14:textId="3DBD3717" w:rsidR="001E165D" w:rsidRPr="0025566E" w:rsidRDefault="001E165D" w:rsidP="002F6490">
            <w:pPr>
              <w:spacing w:before="100" w:beforeAutospacing="1" w:after="100" w:afterAutospacing="1"/>
              <w:jc w:val="both"/>
              <w:rPr>
                <w:rFonts w:asciiTheme="minorHAnsi" w:hAnsiTheme="minorHAnsi" w:cstheme="minorHAnsi"/>
                <w:color w:val="000000" w:themeColor="text1"/>
                <w:sz w:val="22"/>
                <w:szCs w:val="22"/>
              </w:rPr>
            </w:pPr>
            <w:r w:rsidRPr="0025566E">
              <w:rPr>
                <w:rFonts w:asciiTheme="minorHAnsi" w:hAnsiTheme="minorHAnsi" w:cstheme="minorHAnsi"/>
                <w:color w:val="000000" w:themeColor="text1"/>
                <w:sz w:val="22"/>
                <w:szCs w:val="22"/>
              </w:rPr>
              <w:t>DOCUMENT D’INFORMATION SIMPLIFIE</w:t>
            </w:r>
          </w:p>
        </w:tc>
      </w:tr>
      <w:tr w:rsidR="00C4256A" w:rsidRPr="0025566E" w14:paraId="52B38F45"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3217B626" w14:textId="77777777" w:rsidR="001E165D" w:rsidRPr="0025566E" w:rsidRDefault="001E165D" w:rsidP="002F6490">
            <w:pPr>
              <w:spacing w:before="100" w:beforeAutospacing="1" w:after="100" w:afterAutospacing="1"/>
              <w:jc w:val="both"/>
              <w:rPr>
                <w:rFonts w:asciiTheme="minorHAnsi" w:hAnsiTheme="minorHAnsi" w:cstheme="minorHAnsi"/>
                <w:color w:val="000000" w:themeColor="text1"/>
                <w:sz w:val="22"/>
                <w:szCs w:val="22"/>
              </w:rPr>
            </w:pPr>
          </w:p>
        </w:tc>
      </w:tr>
      <w:tr w:rsidR="00C4256A" w:rsidRPr="0025566E" w14:paraId="136CF6EA" w14:textId="77777777" w:rsidTr="001E165D">
        <w:tc>
          <w:tcPr>
            <w:cnfStyle w:val="001000000000" w:firstRow="0" w:lastRow="0" w:firstColumn="1" w:lastColumn="0" w:oddVBand="0" w:evenVBand="0" w:oddHBand="0" w:evenHBand="0" w:firstRowFirstColumn="0" w:firstRowLastColumn="0" w:lastRowFirstColumn="0" w:lastRowLastColumn="0"/>
            <w:tcW w:w="9056" w:type="dxa"/>
          </w:tcPr>
          <w:p w14:paraId="58FF88B2" w14:textId="3FE2872E" w:rsidR="001E165D" w:rsidRPr="0025566E" w:rsidRDefault="001E165D"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O</w:t>
            </w:r>
            <w:r w:rsidR="007C1D9A" w:rsidRPr="0025566E">
              <w:rPr>
                <w:rFonts w:asciiTheme="minorHAnsi" w:hAnsiTheme="minorHAnsi" w:cstheme="minorHAnsi"/>
                <w:color w:val="000000" w:themeColor="text1"/>
                <w:sz w:val="22"/>
                <w:szCs w:val="22"/>
              </w:rPr>
              <w:t>BJECTIF</w:t>
            </w:r>
          </w:p>
          <w:p w14:paraId="4D8C1E23" w14:textId="024DCB02" w:rsidR="007C1D9A" w:rsidRPr="0025566E" w:rsidRDefault="001E165D"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 xml:space="preserve">Le présent document contient des informations essentielles sur </w:t>
            </w:r>
            <w:r w:rsidR="00C715C2" w:rsidRPr="0025566E">
              <w:rPr>
                <w:rFonts w:asciiTheme="minorHAnsi" w:hAnsiTheme="minorHAnsi" w:cstheme="minorHAnsi"/>
                <w:color w:val="000000" w:themeColor="text1"/>
                <w:sz w:val="22"/>
                <w:szCs w:val="22"/>
              </w:rPr>
              <w:t>l’OPC</w:t>
            </w:r>
            <w:r w:rsidRPr="0025566E">
              <w:rPr>
                <w:rFonts w:asciiTheme="minorHAnsi" w:hAnsiTheme="minorHAnsi" w:cstheme="minorHAnsi"/>
                <w:color w:val="000000" w:themeColor="text1"/>
                <w:sz w:val="22"/>
                <w:szCs w:val="22"/>
              </w:rPr>
              <w:t>. Il ne s’agit pas d’un document à caractère commercial. Ces informations vous sont fournies conformément à une obligation légale, afin de vous aider à comprendre en quoi consist</w:t>
            </w:r>
            <w:r w:rsidR="007C1D9A" w:rsidRPr="0025566E">
              <w:rPr>
                <w:rFonts w:asciiTheme="minorHAnsi" w:hAnsiTheme="minorHAnsi" w:cstheme="minorHAnsi"/>
                <w:color w:val="000000" w:themeColor="text1"/>
                <w:sz w:val="22"/>
                <w:szCs w:val="22"/>
              </w:rPr>
              <w:t>e produit et quels risques, coûts, gains et pertes potentiels y sont associés, et de vous aider à le comparer à d’autres produits.</w:t>
            </w:r>
          </w:p>
        </w:tc>
      </w:tr>
      <w:tr w:rsidR="00C4256A" w:rsidRPr="0025566E" w14:paraId="3579F1FE"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0D0C8C95" w14:textId="77777777" w:rsidR="007C1D9A" w:rsidRPr="0025566E" w:rsidRDefault="007C1D9A" w:rsidP="002F6490">
            <w:pPr>
              <w:spacing w:before="100" w:beforeAutospacing="1" w:after="100" w:afterAutospacing="1"/>
              <w:jc w:val="both"/>
              <w:rPr>
                <w:rFonts w:asciiTheme="minorHAnsi" w:hAnsiTheme="minorHAnsi" w:cstheme="minorHAnsi"/>
                <w:color w:val="000000" w:themeColor="text1"/>
                <w:sz w:val="22"/>
                <w:szCs w:val="22"/>
              </w:rPr>
            </w:pPr>
          </w:p>
        </w:tc>
      </w:tr>
      <w:tr w:rsidR="00C4256A" w:rsidRPr="0025566E" w14:paraId="5C061B94" w14:textId="77777777" w:rsidTr="001E165D">
        <w:tc>
          <w:tcPr>
            <w:cnfStyle w:val="001000000000" w:firstRow="0" w:lastRow="0" w:firstColumn="1" w:lastColumn="0" w:oddVBand="0" w:evenVBand="0" w:oddHBand="0" w:evenHBand="0" w:firstRowFirstColumn="0" w:firstRowLastColumn="0" w:lastRowFirstColumn="0" w:lastRowLastColumn="0"/>
            <w:tcW w:w="9056" w:type="dxa"/>
          </w:tcPr>
          <w:p w14:paraId="22456A27" w14:textId="1429BD83" w:rsidR="007C1D9A" w:rsidRPr="0025566E" w:rsidRDefault="007C1D9A" w:rsidP="002F6490">
            <w:pPr>
              <w:spacing w:before="100" w:beforeAutospacing="1" w:after="100" w:afterAutospacing="1"/>
              <w:jc w:val="both"/>
              <w:rPr>
                <w:rFonts w:asciiTheme="minorHAnsi" w:hAnsiTheme="minorHAnsi" w:cstheme="minorHAnsi"/>
                <w:color w:val="000000" w:themeColor="text1"/>
                <w:sz w:val="22"/>
                <w:szCs w:val="22"/>
              </w:rPr>
            </w:pPr>
            <w:r w:rsidRPr="0025566E">
              <w:rPr>
                <w:rFonts w:asciiTheme="minorHAnsi" w:hAnsiTheme="minorHAnsi" w:cstheme="minorHAnsi"/>
                <w:color w:val="000000" w:themeColor="text1"/>
                <w:sz w:val="22"/>
                <w:szCs w:val="22"/>
              </w:rPr>
              <w:t>PRODUIT</w:t>
            </w:r>
          </w:p>
        </w:tc>
      </w:tr>
      <w:tr w:rsidR="00C4256A" w:rsidRPr="0025566E" w14:paraId="503B0F85"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37E8C854" w14:textId="1086A28C" w:rsidR="0006204A" w:rsidRPr="0025566E" w:rsidRDefault="007C1D9A"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[Nom d</w:t>
            </w:r>
            <w:r w:rsidR="00C715C2" w:rsidRPr="0025566E">
              <w:rPr>
                <w:rFonts w:asciiTheme="minorHAnsi" w:hAnsiTheme="minorHAnsi" w:cstheme="minorHAnsi"/>
                <w:color w:val="000000" w:themeColor="text1"/>
                <w:sz w:val="22"/>
                <w:szCs w:val="22"/>
              </w:rPr>
              <w:t>e l’OPC</w:t>
            </w:r>
            <w:r w:rsidRPr="0025566E">
              <w:rPr>
                <w:rFonts w:asciiTheme="minorHAnsi" w:hAnsiTheme="minorHAnsi" w:cstheme="minorHAnsi"/>
                <w:color w:val="000000" w:themeColor="text1"/>
                <w:sz w:val="22"/>
                <w:szCs w:val="22"/>
              </w:rPr>
              <w:t xml:space="preserve">][Nom de </w:t>
            </w:r>
            <w:r w:rsidR="00C715C2" w:rsidRPr="0025566E">
              <w:rPr>
                <w:rFonts w:asciiTheme="minorHAnsi" w:hAnsiTheme="minorHAnsi" w:cstheme="minorHAnsi"/>
                <w:color w:val="000000" w:themeColor="text1"/>
                <w:sz w:val="22"/>
                <w:szCs w:val="22"/>
              </w:rPr>
              <w:t xml:space="preserve">la </w:t>
            </w:r>
            <w:r w:rsidR="003D51A6" w:rsidRPr="0025566E">
              <w:rPr>
                <w:rFonts w:asciiTheme="minorHAnsi" w:hAnsiTheme="minorHAnsi" w:cstheme="minorHAnsi"/>
                <w:color w:val="000000" w:themeColor="text1"/>
                <w:sz w:val="22"/>
                <w:szCs w:val="22"/>
              </w:rPr>
              <w:t>Société de Gestion</w:t>
            </w:r>
            <w:r w:rsidR="00C715C2" w:rsidRPr="0025566E">
              <w:rPr>
                <w:rFonts w:asciiTheme="minorHAnsi" w:hAnsiTheme="minorHAnsi" w:cstheme="minorHAnsi"/>
                <w:color w:val="000000" w:themeColor="text1"/>
                <w:sz w:val="22"/>
                <w:szCs w:val="22"/>
              </w:rPr>
              <w:t xml:space="preserve"> d’OPC</w:t>
            </w:r>
            <w:r w:rsidRPr="0025566E">
              <w:rPr>
                <w:rFonts w:asciiTheme="minorHAnsi" w:hAnsiTheme="minorHAnsi" w:cstheme="minorHAnsi"/>
                <w:color w:val="000000" w:themeColor="text1"/>
                <w:sz w:val="22"/>
                <w:szCs w:val="22"/>
              </w:rPr>
              <w:t xml:space="preserve">][le cas échéant : ISIN][site web de </w:t>
            </w:r>
            <w:r w:rsidR="00C715C2" w:rsidRPr="0025566E">
              <w:rPr>
                <w:rFonts w:asciiTheme="minorHAnsi" w:hAnsiTheme="minorHAnsi" w:cstheme="minorHAnsi"/>
                <w:color w:val="000000" w:themeColor="text1"/>
                <w:sz w:val="22"/>
                <w:szCs w:val="22"/>
              </w:rPr>
              <w:t xml:space="preserve">la </w:t>
            </w:r>
            <w:r w:rsidR="003D51A6" w:rsidRPr="0025566E">
              <w:rPr>
                <w:rFonts w:asciiTheme="minorHAnsi" w:hAnsiTheme="minorHAnsi" w:cstheme="minorHAnsi"/>
                <w:color w:val="000000" w:themeColor="text1"/>
                <w:sz w:val="22"/>
                <w:szCs w:val="22"/>
              </w:rPr>
              <w:t>Société de Gestion</w:t>
            </w:r>
            <w:r w:rsidR="00C715C2" w:rsidRPr="0025566E">
              <w:rPr>
                <w:rFonts w:asciiTheme="minorHAnsi" w:hAnsiTheme="minorHAnsi" w:cstheme="minorHAnsi"/>
                <w:color w:val="000000" w:themeColor="text1"/>
                <w:sz w:val="22"/>
                <w:szCs w:val="22"/>
              </w:rPr>
              <w:t xml:space="preserve"> d’OPC</w:t>
            </w:r>
            <w:r w:rsidRPr="0025566E">
              <w:rPr>
                <w:rFonts w:asciiTheme="minorHAnsi" w:hAnsiTheme="minorHAnsi" w:cstheme="minorHAnsi"/>
                <w:color w:val="000000" w:themeColor="text1"/>
                <w:sz w:val="22"/>
                <w:szCs w:val="22"/>
              </w:rPr>
              <w:t xml:space="preserve">] </w:t>
            </w:r>
            <w:proofErr w:type="gramStart"/>
            <w:r w:rsidR="008211E3">
              <w:rPr>
                <w:rFonts w:asciiTheme="minorHAnsi" w:hAnsiTheme="minorHAnsi" w:cstheme="minorHAnsi"/>
                <w:color w:val="000000" w:themeColor="text1"/>
                <w:sz w:val="22"/>
                <w:szCs w:val="22"/>
              </w:rPr>
              <w:t xml:space="preserve">Appelez </w:t>
            </w:r>
            <w:r w:rsidR="008211E3" w:rsidRPr="0025566E">
              <w:rPr>
                <w:rFonts w:asciiTheme="minorHAnsi" w:hAnsiTheme="minorHAnsi" w:cstheme="minorHAnsi"/>
                <w:color w:val="000000" w:themeColor="text1"/>
                <w:sz w:val="22"/>
                <w:szCs w:val="22"/>
              </w:rPr>
              <w:t>le</w:t>
            </w:r>
            <w:proofErr w:type="gramEnd"/>
            <w:r w:rsidRPr="0025566E">
              <w:rPr>
                <w:rFonts w:asciiTheme="minorHAnsi" w:hAnsiTheme="minorHAnsi" w:cstheme="minorHAnsi"/>
                <w:color w:val="000000" w:themeColor="text1"/>
                <w:sz w:val="22"/>
                <w:szCs w:val="22"/>
              </w:rPr>
              <w:t xml:space="preserve"> [numéro de téléphone] pour de plus amples informations</w:t>
            </w:r>
            <w:r w:rsidR="0006204A" w:rsidRPr="0025566E">
              <w:rPr>
                <w:rFonts w:asciiTheme="minorHAnsi" w:hAnsiTheme="minorHAnsi" w:cstheme="minorHAnsi"/>
                <w:color w:val="000000" w:themeColor="text1"/>
                <w:sz w:val="22"/>
                <w:szCs w:val="22"/>
              </w:rPr>
              <w:t>. [COSUMAF est l’autorité compétente pour le document d’information simplifié] [date de production du document d’information simplifié]</w:t>
            </w:r>
          </w:p>
          <w:p w14:paraId="56492C73" w14:textId="0B714826" w:rsidR="0006204A" w:rsidRPr="0025566E" w:rsidRDefault="0006204A"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[Avertissement (le cas échéant) Vous êtes sur le point d’acheter un produit qui n’est pas simple et qui peut être difficile à comprendre]</w:t>
            </w:r>
          </w:p>
        </w:tc>
      </w:tr>
      <w:tr w:rsidR="00C4256A" w:rsidRPr="0025566E" w14:paraId="65DBA355" w14:textId="77777777" w:rsidTr="001E165D">
        <w:tc>
          <w:tcPr>
            <w:cnfStyle w:val="001000000000" w:firstRow="0" w:lastRow="0" w:firstColumn="1" w:lastColumn="0" w:oddVBand="0" w:evenVBand="0" w:oddHBand="0" w:evenHBand="0" w:firstRowFirstColumn="0" w:firstRowLastColumn="0" w:lastRowFirstColumn="0" w:lastRowLastColumn="0"/>
            <w:tcW w:w="9056" w:type="dxa"/>
          </w:tcPr>
          <w:p w14:paraId="00916BA7" w14:textId="77777777" w:rsidR="0006204A" w:rsidRPr="0025566E" w:rsidRDefault="0006204A" w:rsidP="002F6490">
            <w:pPr>
              <w:spacing w:before="100" w:beforeAutospacing="1" w:after="100" w:afterAutospacing="1"/>
              <w:jc w:val="both"/>
              <w:rPr>
                <w:rFonts w:asciiTheme="minorHAnsi" w:hAnsiTheme="minorHAnsi" w:cstheme="minorHAnsi"/>
                <w:color w:val="000000" w:themeColor="text1"/>
                <w:sz w:val="22"/>
                <w:szCs w:val="22"/>
              </w:rPr>
            </w:pPr>
          </w:p>
        </w:tc>
      </w:tr>
      <w:tr w:rsidR="00C4256A" w:rsidRPr="0025566E" w14:paraId="00536886"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18C0D58B" w14:textId="77777777" w:rsidR="0006204A" w:rsidRPr="0025566E" w:rsidRDefault="0006204A"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EN QUOI CONSISTE CE PRODUIT ?</w:t>
            </w:r>
          </w:p>
          <w:p w14:paraId="0D749EDB" w14:textId="77777777" w:rsidR="0006204A" w:rsidRPr="0025566E" w:rsidRDefault="0006204A"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Type</w:t>
            </w:r>
          </w:p>
          <w:p w14:paraId="12FF323A" w14:textId="77777777" w:rsidR="0006204A" w:rsidRPr="0025566E" w:rsidRDefault="0006204A"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Objectifs</w:t>
            </w:r>
          </w:p>
          <w:p w14:paraId="796338D6" w14:textId="7A96CF34" w:rsidR="00426A7D" w:rsidRPr="0025566E" w:rsidRDefault="00426A7D"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i w:val="0"/>
                <w:iCs w:val="0"/>
                <w:color w:val="000000" w:themeColor="text1"/>
                <w:sz w:val="22"/>
                <w:szCs w:val="22"/>
              </w:rPr>
              <w:t>Critères ESG</w:t>
            </w:r>
          </w:p>
          <w:p w14:paraId="3615E087" w14:textId="330F9F68" w:rsidR="0006204A" w:rsidRPr="0025566E" w:rsidRDefault="0006204A" w:rsidP="002F6490">
            <w:pPr>
              <w:spacing w:before="100" w:beforeAutospacing="1" w:after="100" w:afterAutospacing="1"/>
              <w:jc w:val="both"/>
              <w:rPr>
                <w:rFonts w:asciiTheme="minorHAnsi" w:hAnsiTheme="minorHAnsi" w:cstheme="minorHAnsi"/>
                <w:color w:val="000000" w:themeColor="text1"/>
                <w:sz w:val="22"/>
                <w:szCs w:val="22"/>
              </w:rPr>
            </w:pPr>
            <w:r w:rsidRPr="0025566E">
              <w:rPr>
                <w:rFonts w:asciiTheme="minorHAnsi" w:hAnsiTheme="minorHAnsi" w:cstheme="minorHAnsi"/>
                <w:color w:val="000000" w:themeColor="text1"/>
                <w:sz w:val="22"/>
                <w:szCs w:val="22"/>
              </w:rPr>
              <w:t>Investisseurs visés</w:t>
            </w:r>
          </w:p>
        </w:tc>
      </w:tr>
      <w:tr w:rsidR="00C4256A" w:rsidRPr="0025566E" w14:paraId="1B6572FE" w14:textId="77777777" w:rsidTr="001E165D">
        <w:tc>
          <w:tcPr>
            <w:cnfStyle w:val="001000000000" w:firstRow="0" w:lastRow="0" w:firstColumn="1" w:lastColumn="0" w:oddVBand="0" w:evenVBand="0" w:oddHBand="0" w:evenHBand="0" w:firstRowFirstColumn="0" w:firstRowLastColumn="0" w:lastRowFirstColumn="0" w:lastRowLastColumn="0"/>
            <w:tcW w:w="9056" w:type="dxa"/>
          </w:tcPr>
          <w:p w14:paraId="04CF2FB2" w14:textId="77777777" w:rsidR="001E165D" w:rsidRPr="0025566E" w:rsidRDefault="001E165D" w:rsidP="002F6490">
            <w:pPr>
              <w:spacing w:before="100" w:beforeAutospacing="1" w:after="100" w:afterAutospacing="1"/>
              <w:jc w:val="both"/>
              <w:rPr>
                <w:rFonts w:asciiTheme="minorHAnsi" w:hAnsiTheme="minorHAnsi" w:cstheme="minorHAnsi"/>
                <w:color w:val="000000" w:themeColor="text1"/>
                <w:sz w:val="22"/>
                <w:szCs w:val="22"/>
              </w:rPr>
            </w:pPr>
          </w:p>
        </w:tc>
      </w:tr>
      <w:tr w:rsidR="00C4256A" w:rsidRPr="0025566E" w14:paraId="3D43D042"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6F776DD3" w14:textId="77777777" w:rsidR="00475F70" w:rsidRPr="0025566E" w:rsidRDefault="00475F70"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QUELS SONT LES RISQUES ET QU’EST-CE QUE CELA POURRAIT ME RAPPORTER ?</w:t>
            </w:r>
          </w:p>
          <w:p w14:paraId="67ED8F9A" w14:textId="2EADD85B" w:rsidR="00475F70" w:rsidRPr="0025566E" w:rsidRDefault="00475F70"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Indicateur de risque </w:t>
            </w:r>
          </w:p>
          <w:p w14:paraId="36F50B32" w14:textId="01C2188C" w:rsidR="00475F70" w:rsidRPr="0025566E" w:rsidRDefault="00475F70" w:rsidP="00475F70">
            <w:pPr>
              <w:spacing w:before="100" w:beforeAutospacing="1" w:after="100" w:afterAutospacing="1"/>
              <w:ind w:left="3014"/>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Description du profil de risque et de rémunération</w:t>
            </w:r>
          </w:p>
          <w:p w14:paraId="0E346AAF" w14:textId="1EC15A94" w:rsidR="00475F70" w:rsidRPr="0025566E" w:rsidRDefault="00475F70" w:rsidP="00475F70">
            <w:pPr>
              <w:spacing w:before="100" w:beforeAutospacing="1" w:after="100" w:afterAutospacing="1"/>
              <w:ind w:left="3014"/>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Indicateur synthétique de risque (ISR)</w:t>
            </w:r>
          </w:p>
          <w:p w14:paraId="7ABCA752" w14:textId="25A16069" w:rsidR="00475F70" w:rsidRPr="0025566E" w:rsidRDefault="00475F70" w:rsidP="00475F70">
            <w:pPr>
              <w:spacing w:before="100" w:beforeAutospacing="1" w:after="100" w:afterAutospacing="1"/>
              <w:ind w:left="3014"/>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Modèle et textes de présentation de l’ISR figurant à l’annexe III, y compris concernant les pertes maximales : Est-ce que je risque de perdre tout le capital investi ? Est-ce que je risque de devoir assumer des obligations ou engagements financiers supplé</w:t>
            </w:r>
            <w:r w:rsidR="0043373C" w:rsidRPr="0025566E">
              <w:rPr>
                <w:rFonts w:asciiTheme="minorHAnsi" w:hAnsiTheme="minorHAnsi" w:cstheme="minorHAnsi"/>
                <w:color w:val="000000" w:themeColor="text1"/>
                <w:sz w:val="22"/>
                <w:szCs w:val="22"/>
              </w:rPr>
              <w:t xml:space="preserve">mentaires ? Mon capital est-il protégé du risque de marché ? </w:t>
            </w:r>
          </w:p>
          <w:p w14:paraId="3B0B52C7" w14:textId="77777777" w:rsidR="00475F70" w:rsidRPr="0025566E" w:rsidRDefault="00475F70" w:rsidP="002F6490">
            <w:pPr>
              <w:spacing w:before="100" w:beforeAutospacing="1" w:after="100" w:afterAutospacing="1"/>
              <w:jc w:val="both"/>
              <w:rPr>
                <w:rFonts w:asciiTheme="minorHAnsi" w:hAnsiTheme="minorHAnsi" w:cstheme="minorHAnsi"/>
                <w:i w:val="0"/>
                <w:iCs w:val="0"/>
                <w:color w:val="000000" w:themeColor="text1"/>
                <w:sz w:val="22"/>
                <w:szCs w:val="22"/>
              </w:rPr>
            </w:pPr>
          </w:p>
          <w:p w14:paraId="7EB7DF36" w14:textId="77777777" w:rsidR="00475F70" w:rsidRPr="0025566E" w:rsidRDefault="00475F70"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Scénarios de performance</w:t>
            </w:r>
          </w:p>
          <w:p w14:paraId="16EA802C" w14:textId="2A9293E2" w:rsidR="0043373C" w:rsidRPr="0025566E" w:rsidRDefault="0043373C" w:rsidP="0043373C">
            <w:pPr>
              <w:spacing w:before="100" w:beforeAutospacing="1" w:after="100" w:afterAutospacing="1"/>
              <w:ind w:left="3014"/>
              <w:jc w:val="both"/>
              <w:rPr>
                <w:rFonts w:asciiTheme="minorHAnsi" w:hAnsiTheme="minorHAnsi" w:cstheme="minorHAnsi"/>
                <w:color w:val="000000" w:themeColor="text1"/>
                <w:sz w:val="22"/>
                <w:szCs w:val="22"/>
              </w:rPr>
            </w:pPr>
            <w:r w:rsidRPr="0025566E">
              <w:rPr>
                <w:rFonts w:asciiTheme="minorHAnsi" w:hAnsiTheme="minorHAnsi" w:cstheme="minorHAnsi"/>
                <w:color w:val="000000" w:themeColor="text1"/>
                <w:sz w:val="22"/>
                <w:szCs w:val="22"/>
              </w:rPr>
              <w:lastRenderedPageBreak/>
              <w:t>Modèle de textes de présentation des scénarios de performance figurant à l’annexe V, y compris, le cas échéant, des informations sur les conditions de rendement pour les investisseurs ou les plafonds de performances intégrés, et une déclaration indiquant que la législation fiscale peut avoir des conséquences sur les sommes effectivement versées.</w:t>
            </w:r>
          </w:p>
        </w:tc>
      </w:tr>
      <w:tr w:rsidR="00C4256A" w:rsidRPr="0025566E" w14:paraId="519617CA" w14:textId="77777777" w:rsidTr="001E165D">
        <w:tc>
          <w:tcPr>
            <w:cnfStyle w:val="001000000000" w:firstRow="0" w:lastRow="0" w:firstColumn="1" w:lastColumn="0" w:oddVBand="0" w:evenVBand="0" w:oddHBand="0" w:evenHBand="0" w:firstRowFirstColumn="0" w:firstRowLastColumn="0" w:lastRowFirstColumn="0" w:lastRowLastColumn="0"/>
            <w:tcW w:w="9056" w:type="dxa"/>
          </w:tcPr>
          <w:p w14:paraId="6E0AB19F" w14:textId="77777777" w:rsidR="00B266CA" w:rsidRPr="0025566E" w:rsidRDefault="00B266CA" w:rsidP="002F6490">
            <w:pPr>
              <w:spacing w:before="100" w:beforeAutospacing="1" w:after="100" w:afterAutospacing="1"/>
              <w:jc w:val="both"/>
              <w:rPr>
                <w:rFonts w:asciiTheme="minorHAnsi" w:hAnsiTheme="minorHAnsi" w:cstheme="minorHAnsi"/>
                <w:i w:val="0"/>
                <w:iCs w:val="0"/>
                <w:color w:val="000000" w:themeColor="text1"/>
                <w:sz w:val="22"/>
                <w:szCs w:val="22"/>
              </w:rPr>
            </w:pPr>
          </w:p>
          <w:p w14:paraId="4C9D18BD" w14:textId="7D7D8A24" w:rsidR="0043373C" w:rsidRPr="0025566E" w:rsidRDefault="0043373C"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QUE SE PASSE-T-IL SI [</w:t>
            </w:r>
            <w:r w:rsidR="00B266CA" w:rsidRPr="0025566E">
              <w:rPr>
                <w:rFonts w:asciiTheme="minorHAnsi" w:hAnsiTheme="minorHAnsi" w:cstheme="minorHAnsi"/>
                <w:color w:val="000000" w:themeColor="text1"/>
                <w:sz w:val="22"/>
                <w:szCs w:val="22"/>
              </w:rPr>
              <w:t xml:space="preserve">Nom de </w:t>
            </w:r>
            <w:r w:rsidR="00C715C2" w:rsidRPr="0025566E">
              <w:rPr>
                <w:rFonts w:asciiTheme="minorHAnsi" w:hAnsiTheme="minorHAnsi" w:cstheme="minorHAnsi"/>
                <w:color w:val="000000" w:themeColor="text1"/>
                <w:sz w:val="22"/>
                <w:szCs w:val="22"/>
              </w:rPr>
              <w:t xml:space="preserve">la </w:t>
            </w:r>
            <w:r w:rsidR="003D51A6" w:rsidRPr="0025566E">
              <w:rPr>
                <w:rFonts w:asciiTheme="minorHAnsi" w:hAnsiTheme="minorHAnsi" w:cstheme="minorHAnsi"/>
                <w:color w:val="000000" w:themeColor="text1"/>
                <w:sz w:val="22"/>
                <w:szCs w:val="22"/>
              </w:rPr>
              <w:t>Société de Gestion</w:t>
            </w:r>
            <w:r w:rsidR="00C715C2" w:rsidRPr="0025566E">
              <w:rPr>
                <w:rFonts w:asciiTheme="minorHAnsi" w:hAnsiTheme="minorHAnsi" w:cstheme="minorHAnsi"/>
                <w:color w:val="000000" w:themeColor="text1"/>
                <w:sz w:val="22"/>
                <w:szCs w:val="22"/>
              </w:rPr>
              <w:t xml:space="preserve"> de l’OPC</w:t>
            </w:r>
            <w:r w:rsidR="00B266CA" w:rsidRPr="0025566E">
              <w:rPr>
                <w:rFonts w:asciiTheme="minorHAnsi" w:hAnsiTheme="minorHAnsi" w:cstheme="minorHAnsi"/>
                <w:color w:val="000000" w:themeColor="text1"/>
                <w:sz w:val="22"/>
                <w:szCs w:val="22"/>
              </w:rPr>
              <w:t xml:space="preserve"> </w:t>
            </w:r>
            <w:r w:rsidR="00C715C2" w:rsidRPr="0025566E">
              <w:rPr>
                <w:rFonts w:asciiTheme="minorHAnsi" w:hAnsiTheme="minorHAnsi" w:cstheme="minorHAnsi"/>
                <w:color w:val="000000" w:themeColor="text1"/>
                <w:sz w:val="22"/>
                <w:szCs w:val="22"/>
              </w:rPr>
              <w:t>et</w:t>
            </w:r>
            <w:r w:rsidR="00B266CA" w:rsidRPr="0025566E">
              <w:rPr>
                <w:rFonts w:asciiTheme="minorHAnsi" w:hAnsiTheme="minorHAnsi" w:cstheme="minorHAnsi"/>
                <w:color w:val="000000" w:themeColor="text1"/>
                <w:sz w:val="22"/>
                <w:szCs w:val="22"/>
              </w:rPr>
              <w:t xml:space="preserve"> </w:t>
            </w:r>
            <w:r w:rsidR="00C715C2" w:rsidRPr="0025566E">
              <w:rPr>
                <w:rFonts w:asciiTheme="minorHAnsi" w:hAnsiTheme="minorHAnsi" w:cstheme="minorHAnsi"/>
                <w:color w:val="000000" w:themeColor="text1"/>
                <w:sz w:val="22"/>
                <w:szCs w:val="22"/>
              </w:rPr>
              <w:t>du dépositaire</w:t>
            </w:r>
            <w:r w:rsidRPr="0025566E">
              <w:rPr>
                <w:rFonts w:asciiTheme="minorHAnsi" w:hAnsiTheme="minorHAnsi" w:cstheme="minorHAnsi"/>
                <w:color w:val="000000" w:themeColor="text1"/>
                <w:sz w:val="22"/>
                <w:szCs w:val="22"/>
              </w:rPr>
              <w:t>]</w:t>
            </w:r>
            <w:r w:rsidR="00B266CA" w:rsidRPr="0025566E">
              <w:rPr>
                <w:rFonts w:asciiTheme="minorHAnsi" w:hAnsiTheme="minorHAnsi" w:cstheme="minorHAnsi"/>
                <w:color w:val="000000" w:themeColor="text1"/>
                <w:sz w:val="22"/>
                <w:szCs w:val="22"/>
              </w:rPr>
              <w:t xml:space="preserve"> N’EST PAS EN MESURE D’EFFECTUER LES VERSEMENTS ? </w:t>
            </w:r>
          </w:p>
          <w:p w14:paraId="37945BE4" w14:textId="7705FB9F" w:rsidR="00B266CA" w:rsidRPr="0025566E" w:rsidRDefault="00B266CA"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Indiquer s’il existe un système de garantie, le nom du garant ou de l’opérateur du système d’indemnisation des investisseurs, et les risques couverts et ceux qui ne le sont pas.</w:t>
            </w:r>
          </w:p>
        </w:tc>
      </w:tr>
      <w:tr w:rsidR="00C4256A" w:rsidRPr="0025566E" w14:paraId="22B651E4"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3E66CE92" w14:textId="77777777" w:rsidR="00B266CA" w:rsidRPr="0025566E" w:rsidRDefault="00B266CA" w:rsidP="002F6490">
            <w:pPr>
              <w:spacing w:before="100" w:beforeAutospacing="1" w:after="100" w:afterAutospacing="1"/>
              <w:jc w:val="both"/>
              <w:rPr>
                <w:rFonts w:asciiTheme="minorHAnsi" w:hAnsiTheme="minorHAnsi" w:cstheme="minorHAnsi"/>
                <w:color w:val="000000" w:themeColor="text1"/>
                <w:sz w:val="22"/>
                <w:szCs w:val="22"/>
              </w:rPr>
            </w:pPr>
          </w:p>
          <w:p w14:paraId="4623165B" w14:textId="77777777" w:rsidR="00B266CA" w:rsidRPr="0025566E" w:rsidRDefault="00B266CA" w:rsidP="002F6490">
            <w:pPr>
              <w:spacing w:before="100" w:beforeAutospacing="1" w:after="100" w:afterAutospacing="1"/>
              <w:jc w:val="both"/>
              <w:rPr>
                <w:rFonts w:asciiTheme="minorHAnsi" w:hAnsiTheme="minorHAnsi" w:cstheme="minorHAnsi"/>
                <w:color w:val="000000" w:themeColor="text1"/>
                <w:sz w:val="22"/>
                <w:szCs w:val="22"/>
              </w:rPr>
            </w:pPr>
            <w:r w:rsidRPr="0025566E">
              <w:rPr>
                <w:rFonts w:asciiTheme="minorHAnsi" w:hAnsiTheme="minorHAnsi" w:cstheme="minorHAnsi"/>
                <w:i w:val="0"/>
                <w:iCs w:val="0"/>
                <w:color w:val="000000" w:themeColor="text1"/>
                <w:sz w:val="22"/>
                <w:szCs w:val="22"/>
              </w:rPr>
              <w:t>QUE VA ME COUTER CET INVESTISSEMENT</w:t>
            </w:r>
          </w:p>
          <w:p w14:paraId="131EE14F" w14:textId="1B006EAA" w:rsidR="00B266CA" w:rsidRPr="0025566E" w:rsidRDefault="001645A0" w:rsidP="00B266CA">
            <w:pPr>
              <w:spacing w:before="100" w:beforeAutospacing="1" w:after="100" w:afterAutospacing="1"/>
              <w:ind w:left="-105"/>
              <w:jc w:val="both"/>
              <w:rPr>
                <w:rFonts w:asciiTheme="minorHAnsi" w:hAnsiTheme="minorHAnsi" w:cstheme="minorHAnsi"/>
                <w:color w:val="000000" w:themeColor="text1"/>
                <w:sz w:val="22"/>
                <w:szCs w:val="22"/>
              </w:rPr>
            </w:pPr>
            <w:r w:rsidRPr="0025566E">
              <w:rPr>
                <w:rFonts w:asciiTheme="minorHAnsi" w:hAnsiTheme="minorHAnsi" w:cstheme="minorHAnsi"/>
                <w:i w:val="0"/>
                <w:iCs w:val="0"/>
                <w:color w:val="000000" w:themeColor="text1"/>
                <w:sz w:val="22"/>
                <w:szCs w:val="22"/>
              </w:rPr>
              <w:t xml:space="preserve">  </w:t>
            </w:r>
            <w:r w:rsidR="00B266CA" w:rsidRPr="0025566E">
              <w:rPr>
                <w:rFonts w:asciiTheme="minorHAnsi" w:hAnsiTheme="minorHAnsi" w:cstheme="minorHAnsi"/>
                <w:i w:val="0"/>
                <w:iCs w:val="0"/>
                <w:color w:val="000000" w:themeColor="text1"/>
                <w:sz w:val="22"/>
                <w:szCs w:val="22"/>
              </w:rPr>
              <w:t>Coûts au fil du temps</w:t>
            </w:r>
            <w:r w:rsidR="00B266CA" w:rsidRPr="0025566E">
              <w:rPr>
                <w:rFonts w:asciiTheme="minorHAnsi" w:hAnsiTheme="minorHAnsi" w:cstheme="minorHAnsi"/>
                <w:color w:val="000000" w:themeColor="text1"/>
                <w:sz w:val="22"/>
                <w:szCs w:val="22"/>
              </w:rPr>
              <w:t xml:space="preserve">           </w:t>
            </w:r>
            <w:r w:rsidR="00B266CA" w:rsidRPr="0025566E">
              <w:rPr>
                <w:rFonts w:asciiTheme="minorHAnsi" w:hAnsiTheme="minorHAnsi" w:cstheme="minorHAnsi"/>
                <w:i w:val="0"/>
                <w:iCs w:val="0"/>
                <w:color w:val="000000" w:themeColor="text1"/>
                <w:sz w:val="22"/>
                <w:szCs w:val="22"/>
              </w:rPr>
              <w:t xml:space="preserve">Modèle et textes de présentation figurant à l’annexe VII </w:t>
            </w:r>
          </w:p>
        </w:tc>
      </w:tr>
      <w:tr w:rsidR="00C4256A" w:rsidRPr="0025566E" w14:paraId="65E4FD1F" w14:textId="77777777" w:rsidTr="001E165D">
        <w:tc>
          <w:tcPr>
            <w:cnfStyle w:val="001000000000" w:firstRow="0" w:lastRow="0" w:firstColumn="1" w:lastColumn="0" w:oddVBand="0" w:evenVBand="0" w:oddHBand="0" w:evenHBand="0" w:firstRowFirstColumn="0" w:firstRowLastColumn="0" w:lastRowFirstColumn="0" w:lastRowLastColumn="0"/>
            <w:tcW w:w="9056" w:type="dxa"/>
          </w:tcPr>
          <w:p w14:paraId="061B71AF" w14:textId="77777777" w:rsidR="0043373C" w:rsidRPr="0025566E" w:rsidRDefault="0043373C" w:rsidP="002F6490">
            <w:pPr>
              <w:spacing w:before="100" w:beforeAutospacing="1" w:after="100" w:afterAutospacing="1"/>
              <w:jc w:val="both"/>
              <w:rPr>
                <w:rFonts w:asciiTheme="minorHAnsi" w:hAnsiTheme="minorHAnsi" w:cstheme="minorHAnsi"/>
                <w:color w:val="000000" w:themeColor="text1"/>
                <w:sz w:val="22"/>
                <w:szCs w:val="22"/>
              </w:rPr>
            </w:pPr>
          </w:p>
        </w:tc>
      </w:tr>
      <w:tr w:rsidR="00C4256A" w:rsidRPr="0025566E" w14:paraId="29E9E387"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595FF53F" w14:textId="77777777" w:rsidR="00475F70" w:rsidRPr="0025566E" w:rsidRDefault="001645A0" w:rsidP="002F6490">
            <w:pPr>
              <w:spacing w:before="100" w:beforeAutospacing="1" w:after="100" w:afterAutospacing="1"/>
              <w:jc w:val="both"/>
              <w:rPr>
                <w:rFonts w:asciiTheme="minorHAnsi" w:hAnsiTheme="minorHAnsi" w:cstheme="minorHAnsi"/>
                <w:color w:val="000000" w:themeColor="text1"/>
                <w:sz w:val="22"/>
                <w:szCs w:val="22"/>
              </w:rPr>
            </w:pPr>
            <w:r w:rsidRPr="0025566E">
              <w:rPr>
                <w:rFonts w:asciiTheme="minorHAnsi" w:hAnsiTheme="minorHAnsi" w:cstheme="minorHAnsi"/>
                <w:color w:val="000000" w:themeColor="text1"/>
                <w:sz w:val="22"/>
                <w:szCs w:val="22"/>
              </w:rPr>
              <w:t xml:space="preserve">Composition des coûts         </w:t>
            </w:r>
            <w:r w:rsidRPr="0025566E">
              <w:rPr>
                <w:rFonts w:asciiTheme="minorHAnsi" w:hAnsiTheme="minorHAnsi" w:cstheme="minorHAnsi"/>
                <w:i w:val="0"/>
                <w:iCs w:val="0"/>
                <w:color w:val="000000" w:themeColor="text1"/>
                <w:sz w:val="22"/>
                <w:szCs w:val="22"/>
              </w:rPr>
              <w:t>Modèle et textes de présentation figurant à l’annexe VII</w:t>
            </w:r>
          </w:p>
          <w:p w14:paraId="6D993742" w14:textId="6F291CEB" w:rsidR="001645A0" w:rsidRPr="0025566E" w:rsidRDefault="001645A0" w:rsidP="00426A7D">
            <w:pPr>
              <w:spacing w:before="100" w:beforeAutospacing="1" w:after="100" w:afterAutospacing="1"/>
              <w:ind w:left="2589"/>
              <w:jc w:val="both"/>
              <w:rPr>
                <w:rFonts w:asciiTheme="minorHAnsi" w:hAnsiTheme="minorHAnsi" w:cstheme="minorHAnsi"/>
                <w:color w:val="000000" w:themeColor="text1"/>
                <w:sz w:val="22"/>
                <w:szCs w:val="22"/>
              </w:rPr>
            </w:pPr>
            <w:r w:rsidRPr="0025566E">
              <w:rPr>
                <w:rFonts w:asciiTheme="minorHAnsi" w:hAnsiTheme="minorHAnsi" w:cstheme="minorHAnsi"/>
                <w:color w:val="000000" w:themeColor="text1"/>
                <w:sz w:val="22"/>
                <w:szCs w:val="22"/>
              </w:rPr>
              <w:t xml:space="preserve">Explication des informations à inclure dans les autres </w:t>
            </w:r>
            <w:r w:rsidR="00426A7D" w:rsidRPr="0025566E">
              <w:rPr>
                <w:rFonts w:asciiTheme="minorHAnsi" w:hAnsiTheme="minorHAnsi" w:cstheme="minorHAnsi"/>
                <w:color w:val="000000" w:themeColor="text1"/>
                <w:sz w:val="22"/>
                <w:szCs w:val="22"/>
              </w:rPr>
              <w:t>coûts de distribution</w:t>
            </w:r>
          </w:p>
        </w:tc>
      </w:tr>
      <w:tr w:rsidR="00C4256A" w:rsidRPr="0025566E" w14:paraId="1A9E4905" w14:textId="77777777" w:rsidTr="001E165D">
        <w:tc>
          <w:tcPr>
            <w:cnfStyle w:val="001000000000" w:firstRow="0" w:lastRow="0" w:firstColumn="1" w:lastColumn="0" w:oddVBand="0" w:evenVBand="0" w:oddHBand="0" w:evenHBand="0" w:firstRowFirstColumn="0" w:firstRowLastColumn="0" w:lastRowFirstColumn="0" w:lastRowLastColumn="0"/>
            <w:tcW w:w="9056" w:type="dxa"/>
          </w:tcPr>
          <w:p w14:paraId="28A9F164" w14:textId="77777777" w:rsidR="00426A7D" w:rsidRPr="0025566E" w:rsidRDefault="00426A7D" w:rsidP="002F6490">
            <w:pPr>
              <w:spacing w:before="100" w:beforeAutospacing="1" w:after="100" w:afterAutospacing="1"/>
              <w:jc w:val="both"/>
              <w:rPr>
                <w:rFonts w:asciiTheme="minorHAnsi" w:hAnsiTheme="minorHAnsi" w:cstheme="minorHAnsi"/>
                <w:color w:val="000000" w:themeColor="text1"/>
                <w:sz w:val="22"/>
                <w:szCs w:val="22"/>
              </w:rPr>
            </w:pPr>
          </w:p>
        </w:tc>
      </w:tr>
      <w:tr w:rsidR="00C4256A" w:rsidRPr="0025566E" w14:paraId="297DCCCC"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17ABAD16" w14:textId="77777777" w:rsidR="00426A7D" w:rsidRPr="0025566E" w:rsidRDefault="00426A7D"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COMBIEN DE TEMPS DOIS-JE LE CONSERVER, ET PUIS-JE RETIRER DE L’ARGENT DE FACON ANTICIPEE ?</w:t>
            </w:r>
          </w:p>
          <w:p w14:paraId="36A73FC5" w14:textId="77777777" w:rsidR="00426A7D" w:rsidRPr="0025566E" w:rsidRDefault="00426A7D"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Période de détention recommandée [minimale requise] : [X]</w:t>
            </w:r>
          </w:p>
          <w:p w14:paraId="4564076D" w14:textId="00566F9D" w:rsidR="00426A7D" w:rsidRPr="0025566E" w:rsidRDefault="00426A7D"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color w:val="000000" w:themeColor="text1"/>
                <w:sz w:val="22"/>
                <w:szCs w:val="22"/>
              </w:rPr>
              <w:t xml:space="preserve">Informations sur la possibilité et les conditions d’un </w:t>
            </w:r>
            <w:r w:rsidR="005A3D1F" w:rsidRPr="0025566E">
              <w:rPr>
                <w:rFonts w:asciiTheme="minorHAnsi" w:hAnsiTheme="minorHAnsi" w:cstheme="minorHAnsi"/>
                <w:color w:val="000000" w:themeColor="text1"/>
                <w:sz w:val="22"/>
                <w:szCs w:val="22"/>
              </w:rPr>
              <w:t>désinvestissement</w:t>
            </w:r>
            <w:r w:rsidRPr="0025566E">
              <w:rPr>
                <w:rFonts w:asciiTheme="minorHAnsi" w:hAnsiTheme="minorHAnsi" w:cstheme="minorHAnsi"/>
                <w:color w:val="000000" w:themeColor="text1"/>
                <w:sz w:val="22"/>
                <w:szCs w:val="22"/>
              </w:rPr>
              <w:t xml:space="preserve"> avant échéance, et sur les frais et pénalités éventuellement applicables. Information sur les conséquence</w:t>
            </w:r>
            <w:r w:rsidR="00242B7A" w:rsidRPr="0025566E">
              <w:rPr>
                <w:rFonts w:asciiTheme="minorHAnsi" w:hAnsiTheme="minorHAnsi" w:cstheme="minorHAnsi"/>
                <w:color w:val="000000" w:themeColor="text1"/>
                <w:sz w:val="22"/>
                <w:szCs w:val="22"/>
              </w:rPr>
              <w:t>s</w:t>
            </w:r>
            <w:r w:rsidRPr="0025566E">
              <w:rPr>
                <w:rFonts w:asciiTheme="minorHAnsi" w:hAnsiTheme="minorHAnsi" w:cstheme="minorHAnsi"/>
                <w:color w:val="000000" w:themeColor="text1"/>
                <w:sz w:val="22"/>
                <w:szCs w:val="22"/>
              </w:rPr>
              <w:t xml:space="preserve"> d’une sortie avant l’échéance ou la fin de la période de détention recommandée.</w:t>
            </w:r>
          </w:p>
        </w:tc>
      </w:tr>
      <w:tr w:rsidR="00C4256A" w:rsidRPr="0025566E" w14:paraId="4E18D7FC" w14:textId="77777777" w:rsidTr="001E165D">
        <w:tc>
          <w:tcPr>
            <w:cnfStyle w:val="001000000000" w:firstRow="0" w:lastRow="0" w:firstColumn="1" w:lastColumn="0" w:oddVBand="0" w:evenVBand="0" w:oddHBand="0" w:evenHBand="0" w:firstRowFirstColumn="0" w:firstRowLastColumn="0" w:lastRowFirstColumn="0" w:lastRowLastColumn="0"/>
            <w:tcW w:w="9056" w:type="dxa"/>
          </w:tcPr>
          <w:p w14:paraId="11BAB79F" w14:textId="77777777" w:rsidR="00426A7D" w:rsidRPr="0025566E" w:rsidRDefault="00426A7D" w:rsidP="002F6490">
            <w:pPr>
              <w:spacing w:before="100" w:beforeAutospacing="1" w:after="100" w:afterAutospacing="1"/>
              <w:jc w:val="both"/>
              <w:rPr>
                <w:rFonts w:asciiTheme="minorHAnsi" w:hAnsiTheme="minorHAnsi" w:cstheme="minorHAnsi"/>
                <w:i w:val="0"/>
                <w:iCs w:val="0"/>
                <w:color w:val="000000" w:themeColor="text1"/>
                <w:sz w:val="22"/>
                <w:szCs w:val="22"/>
              </w:rPr>
            </w:pPr>
          </w:p>
          <w:p w14:paraId="0F691A0B" w14:textId="7DEF9375" w:rsidR="00426A7D" w:rsidRPr="0025566E" w:rsidRDefault="00426A7D" w:rsidP="002F6490">
            <w:pPr>
              <w:spacing w:before="100" w:beforeAutospacing="1" w:after="100" w:afterAutospacing="1"/>
              <w:jc w:val="both"/>
              <w:rPr>
                <w:rFonts w:asciiTheme="minorHAnsi" w:hAnsiTheme="minorHAnsi" w:cstheme="minorHAnsi"/>
                <w:color w:val="000000" w:themeColor="text1"/>
                <w:sz w:val="22"/>
                <w:szCs w:val="22"/>
              </w:rPr>
            </w:pPr>
            <w:r w:rsidRPr="0025566E">
              <w:rPr>
                <w:rFonts w:asciiTheme="minorHAnsi" w:hAnsiTheme="minorHAnsi" w:cstheme="minorHAnsi"/>
                <w:color w:val="000000" w:themeColor="text1"/>
                <w:sz w:val="22"/>
                <w:szCs w:val="22"/>
              </w:rPr>
              <w:t>COMMENT PUIS-JE FORMULER UNE RECLAMATION ?</w:t>
            </w:r>
          </w:p>
        </w:tc>
      </w:tr>
      <w:tr w:rsidR="00C4256A" w:rsidRPr="0025566E" w14:paraId="4676F6E2"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661AF400" w14:textId="77777777" w:rsidR="00426A7D" w:rsidRPr="0025566E" w:rsidRDefault="00426A7D" w:rsidP="002F6490">
            <w:pPr>
              <w:spacing w:before="100" w:beforeAutospacing="1" w:after="100" w:afterAutospacing="1"/>
              <w:jc w:val="both"/>
              <w:rPr>
                <w:rFonts w:asciiTheme="minorHAnsi" w:hAnsiTheme="minorHAnsi" w:cstheme="minorHAnsi"/>
                <w:color w:val="000000" w:themeColor="text1"/>
                <w:sz w:val="22"/>
                <w:szCs w:val="22"/>
              </w:rPr>
            </w:pPr>
          </w:p>
          <w:p w14:paraId="693C3981" w14:textId="4C5EA634" w:rsidR="00426A7D" w:rsidRPr="0025566E" w:rsidRDefault="00426A7D" w:rsidP="002F6490">
            <w:pPr>
              <w:spacing w:before="100" w:beforeAutospacing="1" w:after="100" w:afterAutospacing="1"/>
              <w:jc w:val="both"/>
              <w:rPr>
                <w:rFonts w:asciiTheme="minorHAnsi" w:hAnsiTheme="minorHAnsi" w:cstheme="minorHAnsi"/>
                <w:i w:val="0"/>
                <w:iCs w:val="0"/>
                <w:color w:val="000000" w:themeColor="text1"/>
                <w:sz w:val="22"/>
                <w:szCs w:val="22"/>
              </w:rPr>
            </w:pPr>
            <w:r w:rsidRPr="0025566E">
              <w:rPr>
                <w:rFonts w:asciiTheme="minorHAnsi" w:hAnsiTheme="minorHAnsi" w:cstheme="minorHAnsi"/>
                <w:i w:val="0"/>
                <w:iCs w:val="0"/>
                <w:color w:val="000000" w:themeColor="text1"/>
                <w:sz w:val="22"/>
                <w:szCs w:val="22"/>
              </w:rPr>
              <w:t>AUTRES INFORMATIONS PERTINENTES</w:t>
            </w:r>
          </w:p>
        </w:tc>
      </w:tr>
      <w:tr w:rsidR="00C4256A" w:rsidRPr="0025566E" w14:paraId="0F23F607" w14:textId="77777777" w:rsidTr="001E165D">
        <w:tc>
          <w:tcPr>
            <w:cnfStyle w:val="001000000000" w:firstRow="0" w:lastRow="0" w:firstColumn="1" w:lastColumn="0" w:oddVBand="0" w:evenVBand="0" w:oddHBand="0" w:evenHBand="0" w:firstRowFirstColumn="0" w:firstRowLastColumn="0" w:lastRowFirstColumn="0" w:lastRowLastColumn="0"/>
            <w:tcW w:w="9056" w:type="dxa"/>
          </w:tcPr>
          <w:p w14:paraId="5A266CAC" w14:textId="77777777" w:rsidR="00426A7D" w:rsidRPr="0025566E" w:rsidRDefault="00426A7D" w:rsidP="002F6490">
            <w:pPr>
              <w:spacing w:before="100" w:beforeAutospacing="1" w:after="100" w:afterAutospacing="1"/>
              <w:jc w:val="both"/>
              <w:rPr>
                <w:rFonts w:asciiTheme="minorHAnsi" w:hAnsiTheme="minorHAnsi" w:cstheme="minorHAnsi"/>
                <w:color w:val="000000" w:themeColor="text1"/>
                <w:sz w:val="22"/>
                <w:szCs w:val="22"/>
              </w:rPr>
            </w:pPr>
          </w:p>
        </w:tc>
      </w:tr>
      <w:tr w:rsidR="00C4256A" w:rsidRPr="0025566E" w14:paraId="7DCCB45B"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1DF93E03" w14:textId="77777777" w:rsidR="001E165D" w:rsidRPr="0025566E" w:rsidRDefault="001E165D" w:rsidP="002F6490">
            <w:pPr>
              <w:spacing w:before="100" w:beforeAutospacing="1" w:after="100" w:afterAutospacing="1"/>
              <w:jc w:val="both"/>
              <w:rPr>
                <w:rFonts w:asciiTheme="minorHAnsi" w:hAnsiTheme="minorHAnsi" w:cstheme="minorHAnsi"/>
                <w:color w:val="000000" w:themeColor="text1"/>
                <w:sz w:val="22"/>
                <w:szCs w:val="22"/>
              </w:rPr>
            </w:pPr>
          </w:p>
        </w:tc>
      </w:tr>
      <w:tr w:rsidR="00C4256A" w:rsidRPr="0025566E" w14:paraId="18B91C81" w14:textId="77777777" w:rsidTr="001E165D">
        <w:tc>
          <w:tcPr>
            <w:cnfStyle w:val="001000000000" w:firstRow="0" w:lastRow="0" w:firstColumn="1" w:lastColumn="0" w:oddVBand="0" w:evenVBand="0" w:oddHBand="0" w:evenHBand="0" w:firstRowFirstColumn="0" w:firstRowLastColumn="0" w:lastRowFirstColumn="0" w:lastRowLastColumn="0"/>
            <w:tcW w:w="9056" w:type="dxa"/>
          </w:tcPr>
          <w:p w14:paraId="312FFAE6" w14:textId="77777777" w:rsidR="001E165D" w:rsidRPr="0025566E" w:rsidRDefault="001E165D" w:rsidP="002F6490">
            <w:pPr>
              <w:spacing w:before="100" w:beforeAutospacing="1" w:after="100" w:afterAutospacing="1"/>
              <w:jc w:val="both"/>
              <w:rPr>
                <w:rFonts w:asciiTheme="minorHAnsi" w:hAnsiTheme="minorHAnsi" w:cstheme="minorHAnsi"/>
                <w:color w:val="000000" w:themeColor="text1"/>
                <w:sz w:val="22"/>
                <w:szCs w:val="22"/>
              </w:rPr>
            </w:pPr>
          </w:p>
        </w:tc>
      </w:tr>
      <w:tr w:rsidR="00C4256A" w:rsidRPr="0025566E" w14:paraId="2E5FDA3C" w14:textId="77777777" w:rsidTr="001E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tcPr>
          <w:p w14:paraId="10873744" w14:textId="77777777" w:rsidR="001E165D" w:rsidRPr="0025566E" w:rsidRDefault="001E165D" w:rsidP="002F6490">
            <w:pPr>
              <w:spacing w:before="100" w:beforeAutospacing="1" w:after="100" w:afterAutospacing="1"/>
              <w:jc w:val="both"/>
              <w:rPr>
                <w:rFonts w:asciiTheme="minorHAnsi" w:hAnsiTheme="minorHAnsi" w:cstheme="minorHAnsi"/>
                <w:color w:val="000000" w:themeColor="text1"/>
                <w:sz w:val="22"/>
                <w:szCs w:val="22"/>
              </w:rPr>
            </w:pPr>
          </w:p>
        </w:tc>
      </w:tr>
    </w:tbl>
    <w:p w14:paraId="22114671" w14:textId="33395960" w:rsidR="00242B7A" w:rsidRPr="0025566E" w:rsidRDefault="00242B7A" w:rsidP="002F6490">
      <w:pPr>
        <w:spacing w:before="100" w:beforeAutospacing="1" w:after="100" w:afterAutospacing="1"/>
        <w:jc w:val="both"/>
        <w:rPr>
          <w:rFonts w:asciiTheme="minorHAnsi" w:hAnsiTheme="minorHAnsi" w:cstheme="minorHAnsi"/>
          <w:color w:val="000000" w:themeColor="text1"/>
          <w:sz w:val="22"/>
          <w:szCs w:val="22"/>
        </w:rPr>
      </w:pPr>
    </w:p>
    <w:p w14:paraId="3A2679BD" w14:textId="77777777" w:rsidR="00242B7A" w:rsidRPr="0025566E" w:rsidRDefault="00242B7A">
      <w:pPr>
        <w:rPr>
          <w:rFonts w:asciiTheme="minorHAnsi" w:hAnsiTheme="minorHAnsi" w:cstheme="minorHAnsi"/>
          <w:sz w:val="22"/>
          <w:szCs w:val="22"/>
        </w:rPr>
      </w:pPr>
      <w:r w:rsidRPr="0025566E">
        <w:rPr>
          <w:rFonts w:asciiTheme="minorHAnsi" w:hAnsiTheme="minorHAnsi" w:cstheme="minorHAnsi"/>
          <w:sz w:val="22"/>
          <w:szCs w:val="22"/>
        </w:rPr>
        <w:br w:type="page"/>
      </w:r>
    </w:p>
    <w:p w14:paraId="1386BE25" w14:textId="26A9F6D0" w:rsidR="001E165D" w:rsidRPr="008211E3" w:rsidRDefault="00242B7A" w:rsidP="00242B7A">
      <w:pPr>
        <w:spacing w:before="100" w:beforeAutospacing="1" w:after="100" w:afterAutospacing="1"/>
        <w:jc w:val="center"/>
        <w:rPr>
          <w:rFonts w:asciiTheme="minorHAnsi" w:hAnsiTheme="minorHAnsi" w:cstheme="minorHAnsi"/>
          <w:b/>
          <w:sz w:val="22"/>
          <w:szCs w:val="22"/>
          <w:u w:val="single"/>
        </w:rPr>
      </w:pPr>
      <w:r w:rsidRPr="008211E3">
        <w:rPr>
          <w:rFonts w:asciiTheme="minorHAnsi" w:hAnsiTheme="minorHAnsi" w:cstheme="minorHAnsi"/>
          <w:b/>
          <w:sz w:val="22"/>
          <w:szCs w:val="22"/>
          <w:u w:val="single"/>
        </w:rPr>
        <w:lastRenderedPageBreak/>
        <w:t>ANNEXE II</w:t>
      </w:r>
    </w:p>
    <w:p w14:paraId="44AEB563" w14:textId="25AED3EA" w:rsidR="00242B7A" w:rsidRPr="008211E3" w:rsidRDefault="00242B7A" w:rsidP="00242B7A">
      <w:pPr>
        <w:spacing w:before="100" w:beforeAutospacing="1" w:after="100" w:afterAutospacing="1"/>
        <w:jc w:val="center"/>
        <w:rPr>
          <w:rFonts w:asciiTheme="minorHAnsi" w:hAnsiTheme="minorHAnsi" w:cstheme="minorHAnsi"/>
          <w:b/>
          <w:sz w:val="22"/>
          <w:szCs w:val="22"/>
        </w:rPr>
      </w:pPr>
      <w:r w:rsidRPr="008211E3">
        <w:rPr>
          <w:rFonts w:asciiTheme="minorHAnsi" w:hAnsiTheme="minorHAnsi" w:cstheme="minorHAnsi"/>
          <w:b/>
          <w:sz w:val="22"/>
          <w:szCs w:val="22"/>
        </w:rPr>
        <w:t>MÉTHODE DE PRÉSENTATION DES RISQUES</w:t>
      </w:r>
    </w:p>
    <w:p w14:paraId="4307A8FE" w14:textId="545B63FF" w:rsidR="007337F3" w:rsidRPr="0025566E" w:rsidRDefault="007337F3" w:rsidP="00C4256A">
      <w:pPr>
        <w:pStyle w:val="Paragraphedeliste"/>
        <w:numPr>
          <w:ilvl w:val="0"/>
          <w:numId w:val="15"/>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La section «Profil de risque et de rendement» du document d’information simplifié contient un indicateur synthétique, complété par:</w:t>
      </w:r>
    </w:p>
    <w:p w14:paraId="01756398" w14:textId="77777777" w:rsidR="007337F3" w:rsidRPr="0025566E" w:rsidRDefault="007337F3" w:rsidP="007337F3">
      <w:pPr>
        <w:pStyle w:val="Paragraphedeliste"/>
        <w:spacing w:before="120"/>
        <w:jc w:val="both"/>
        <w:rPr>
          <w:rFonts w:asciiTheme="minorHAnsi" w:hAnsiTheme="minorHAnsi" w:cstheme="minorHAnsi"/>
          <w:color w:val="000000"/>
          <w:sz w:val="22"/>
          <w:szCs w:val="22"/>
        </w:rPr>
      </w:pPr>
    </w:p>
    <w:tbl>
      <w:tblPr>
        <w:tblW w:w="5000" w:type="pct"/>
        <w:tblCellMar>
          <w:left w:w="0" w:type="dxa"/>
          <w:right w:w="0" w:type="dxa"/>
        </w:tblCellMar>
        <w:tblLook w:val="04A0" w:firstRow="1" w:lastRow="0" w:firstColumn="1" w:lastColumn="0" w:noHBand="0" w:noVBand="1"/>
      </w:tblPr>
      <w:tblGrid>
        <w:gridCol w:w="7"/>
        <w:gridCol w:w="9057"/>
      </w:tblGrid>
      <w:tr w:rsidR="007337F3" w:rsidRPr="0025566E" w14:paraId="244B023B" w14:textId="77777777" w:rsidTr="007337F3">
        <w:tc>
          <w:tcPr>
            <w:tcW w:w="0" w:type="auto"/>
            <w:shd w:val="clear" w:color="auto" w:fill="auto"/>
            <w:hideMark/>
          </w:tcPr>
          <w:p w14:paraId="17EB030D" w14:textId="7D8B1A66" w:rsidR="007337F3" w:rsidRPr="0025566E" w:rsidRDefault="007337F3" w:rsidP="00C4256A">
            <w:pPr>
              <w:pStyle w:val="Paragraphedeliste"/>
              <w:numPr>
                <w:ilvl w:val="0"/>
                <w:numId w:val="16"/>
              </w:numPr>
              <w:spacing w:before="120"/>
              <w:jc w:val="both"/>
              <w:rPr>
                <w:rFonts w:asciiTheme="minorHAnsi" w:hAnsiTheme="minorHAnsi" w:cstheme="minorHAnsi"/>
                <w:color w:val="000000"/>
                <w:sz w:val="22"/>
                <w:szCs w:val="22"/>
              </w:rPr>
            </w:pPr>
          </w:p>
        </w:tc>
        <w:tc>
          <w:tcPr>
            <w:tcW w:w="0" w:type="auto"/>
            <w:shd w:val="clear" w:color="auto" w:fill="auto"/>
            <w:hideMark/>
          </w:tcPr>
          <w:p w14:paraId="2DE0CDFC" w14:textId="4B64F9CC" w:rsidR="007337F3" w:rsidRPr="0025566E" w:rsidRDefault="007337F3" w:rsidP="00C4256A">
            <w:pPr>
              <w:pStyle w:val="Paragraphedeliste"/>
              <w:numPr>
                <w:ilvl w:val="1"/>
                <w:numId w:val="4"/>
              </w:numPr>
              <w:spacing w:before="120"/>
              <w:ind w:left="698"/>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une explication textuelle de cet indicateur synthétique et de ses principales limites;</w:t>
            </w:r>
          </w:p>
        </w:tc>
      </w:tr>
    </w:tbl>
    <w:p w14:paraId="6CA1686C" w14:textId="77777777" w:rsidR="007337F3" w:rsidRPr="0025566E" w:rsidRDefault="007337F3" w:rsidP="007337F3">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58"/>
      </w:tblGrid>
      <w:tr w:rsidR="007337F3" w:rsidRPr="0025566E" w14:paraId="46811C43" w14:textId="77777777" w:rsidTr="007337F3">
        <w:tc>
          <w:tcPr>
            <w:tcW w:w="0" w:type="auto"/>
            <w:shd w:val="clear" w:color="auto" w:fill="auto"/>
            <w:hideMark/>
          </w:tcPr>
          <w:p w14:paraId="072FF305" w14:textId="275816DF" w:rsidR="007337F3" w:rsidRPr="0025566E" w:rsidRDefault="007337F3" w:rsidP="007337F3">
            <w:pPr>
              <w:pStyle w:val="Paragraphedeliste"/>
              <w:spacing w:before="120"/>
              <w:jc w:val="both"/>
              <w:rPr>
                <w:rFonts w:asciiTheme="minorHAnsi" w:hAnsiTheme="minorHAnsi" w:cstheme="minorHAnsi"/>
                <w:color w:val="000000"/>
                <w:sz w:val="22"/>
                <w:szCs w:val="22"/>
              </w:rPr>
            </w:pPr>
          </w:p>
        </w:tc>
        <w:tc>
          <w:tcPr>
            <w:tcW w:w="0" w:type="auto"/>
            <w:shd w:val="clear" w:color="auto" w:fill="auto"/>
            <w:hideMark/>
          </w:tcPr>
          <w:p w14:paraId="558ABCFD" w14:textId="684021A3" w:rsidR="007337F3" w:rsidRPr="0025566E" w:rsidRDefault="007337F3" w:rsidP="00C4256A">
            <w:pPr>
              <w:pStyle w:val="Paragraphedeliste"/>
              <w:numPr>
                <w:ilvl w:val="0"/>
                <w:numId w:val="16"/>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une explication textuelle des risques qui sont importants pour l’OPC, mais qui ne sont pas adéquatement pris en considération par l’indicateur synthétique.</w:t>
            </w:r>
          </w:p>
        </w:tc>
      </w:tr>
    </w:tbl>
    <w:p w14:paraId="108CC378" w14:textId="1440F789" w:rsidR="007337F3" w:rsidRPr="0025566E" w:rsidRDefault="007337F3" w:rsidP="00C4256A">
      <w:pPr>
        <w:pStyle w:val="Paragraphedeliste"/>
        <w:numPr>
          <w:ilvl w:val="0"/>
          <w:numId w:val="15"/>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L’indicateur synthétique visé au paragraphe 1 prend la forme d’une série de catégories placées sur une échelle numérique, l’OPC étant classé dans l’une de ces catégories. </w:t>
      </w:r>
    </w:p>
    <w:p w14:paraId="1B6500F6" w14:textId="77777777" w:rsidR="007337F3" w:rsidRPr="0025566E" w:rsidRDefault="007337F3" w:rsidP="007337F3">
      <w:pPr>
        <w:pStyle w:val="Paragraphedeliste"/>
        <w:spacing w:before="120"/>
        <w:jc w:val="both"/>
        <w:rPr>
          <w:rFonts w:asciiTheme="minorHAnsi" w:hAnsiTheme="minorHAnsi" w:cstheme="minorHAnsi"/>
          <w:color w:val="000000"/>
          <w:sz w:val="22"/>
          <w:szCs w:val="22"/>
        </w:rPr>
      </w:pPr>
    </w:p>
    <w:p w14:paraId="05F7CD77" w14:textId="77777777" w:rsidR="007337F3" w:rsidRPr="0025566E" w:rsidRDefault="007337F3" w:rsidP="00C4256A">
      <w:pPr>
        <w:pStyle w:val="Paragraphedeliste"/>
        <w:numPr>
          <w:ilvl w:val="0"/>
          <w:numId w:val="15"/>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La présentation de l’indicateur synthétique satisfait aux exigences suivantes : </w:t>
      </w:r>
    </w:p>
    <w:p w14:paraId="622614D3" w14:textId="11445AD8" w:rsidR="007337F3" w:rsidRPr="0025566E" w:rsidRDefault="007337F3" w:rsidP="007337F3">
      <w:pPr>
        <w:pStyle w:val="Paragraphedeliste"/>
        <w:spacing w:before="120"/>
        <w:jc w:val="both"/>
        <w:rPr>
          <w:rFonts w:asciiTheme="minorHAnsi" w:hAnsiTheme="minorHAnsi" w:cstheme="minorHAnsi"/>
          <w:color w:val="000000"/>
          <w:sz w:val="22"/>
          <w:szCs w:val="22"/>
        </w:rPr>
      </w:pPr>
    </w:p>
    <w:p w14:paraId="611A1022" w14:textId="3281C0C6" w:rsidR="007337F3" w:rsidRPr="0025566E" w:rsidRDefault="007337F3" w:rsidP="00C4256A">
      <w:pPr>
        <w:pStyle w:val="Normal1"/>
        <w:numPr>
          <w:ilvl w:val="0"/>
          <w:numId w:val="17"/>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L’indicateur synthétique classe le fonds sur une échelle allant de 1 à 7, sur la base de ses résultats passés en matière de volatilité.</w:t>
      </w:r>
    </w:p>
    <w:p w14:paraId="3A05C4C1" w14:textId="77777777" w:rsidR="007337F3" w:rsidRPr="0025566E" w:rsidRDefault="007337F3" w:rsidP="00C4256A">
      <w:pPr>
        <w:pStyle w:val="Normal1"/>
        <w:numPr>
          <w:ilvl w:val="0"/>
          <w:numId w:val="17"/>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Cette échelle se présente comme une série de catégories identifiées par des nombres entiers allant de 1 à 7, classées par ordre croissant de gauche à droite et représentant les niveaux de risque et de rendement, du plus faible au plus élevé.</w:t>
      </w:r>
    </w:p>
    <w:p w14:paraId="4C61D168" w14:textId="77777777" w:rsidR="007337F3" w:rsidRPr="0025566E" w:rsidRDefault="007337F3" w:rsidP="00C4256A">
      <w:pPr>
        <w:pStyle w:val="Normal1"/>
        <w:numPr>
          <w:ilvl w:val="0"/>
          <w:numId w:val="17"/>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L’échelle indique clairement qu’à risque plus faible, rendement potentiellement plus faible et, inversement, qu’à risque plus élevé, rendement potentiellement plus élevé.</w:t>
      </w:r>
    </w:p>
    <w:p w14:paraId="333B1F64" w14:textId="43E10BA1" w:rsidR="007337F3" w:rsidRPr="0025566E" w:rsidRDefault="007337F3" w:rsidP="00C4256A">
      <w:pPr>
        <w:pStyle w:val="Normal1"/>
        <w:numPr>
          <w:ilvl w:val="0"/>
          <w:numId w:val="17"/>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La catégorie dans laquelle l’OPC est classée apparaît très clairement.</w:t>
      </w:r>
    </w:p>
    <w:p w14:paraId="5106C30B" w14:textId="3F1A3505" w:rsidR="007337F3" w:rsidRPr="0025566E" w:rsidRDefault="007337F3" w:rsidP="00C4256A">
      <w:pPr>
        <w:pStyle w:val="Normal1"/>
        <w:numPr>
          <w:ilvl w:val="0"/>
          <w:numId w:val="17"/>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Aucune couleur n’est utilisée pour distinguer entre eux les éléments placés sur l’échelle.</w:t>
      </w:r>
    </w:p>
    <w:p w14:paraId="2CC1DED1" w14:textId="77777777" w:rsidR="007337F3" w:rsidRPr="0025566E" w:rsidRDefault="007337F3" w:rsidP="00C4256A">
      <w:pPr>
        <w:pStyle w:val="Paragraphedeliste"/>
        <w:numPr>
          <w:ilvl w:val="0"/>
          <w:numId w:val="15"/>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 calcul de l’indicateur synthétique visé au paragraphe 1 et chacune de ses révisions ultérieures sont adéquatement documentés.</w:t>
      </w:r>
    </w:p>
    <w:p w14:paraId="6D36FA95" w14:textId="77777777" w:rsidR="007337F3" w:rsidRPr="0025566E" w:rsidRDefault="007337F3" w:rsidP="007337F3">
      <w:pPr>
        <w:pStyle w:val="Paragraphedeliste"/>
        <w:spacing w:before="120"/>
        <w:jc w:val="both"/>
        <w:rPr>
          <w:rFonts w:asciiTheme="minorHAnsi" w:hAnsiTheme="minorHAnsi" w:cstheme="minorHAnsi"/>
          <w:color w:val="000000"/>
          <w:sz w:val="22"/>
          <w:szCs w:val="22"/>
        </w:rPr>
      </w:pPr>
    </w:p>
    <w:p w14:paraId="7E7C35DD" w14:textId="3A2649C0" w:rsidR="007337F3" w:rsidRPr="0025566E" w:rsidRDefault="007337F3" w:rsidP="007337F3">
      <w:pPr>
        <w:pStyle w:val="Paragraphedeliste"/>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Les </w:t>
      </w:r>
      <w:r w:rsidR="003D51A6" w:rsidRPr="0025566E">
        <w:rPr>
          <w:rFonts w:asciiTheme="minorHAnsi" w:hAnsiTheme="minorHAnsi" w:cstheme="minorHAnsi"/>
          <w:color w:val="000000"/>
          <w:sz w:val="22"/>
          <w:szCs w:val="22"/>
        </w:rPr>
        <w:t>Sociétés de Gestion</w:t>
      </w:r>
      <w:r w:rsidRPr="0025566E">
        <w:rPr>
          <w:rFonts w:asciiTheme="minorHAnsi" w:hAnsiTheme="minorHAnsi" w:cstheme="minorHAnsi"/>
          <w:color w:val="000000"/>
          <w:sz w:val="22"/>
          <w:szCs w:val="22"/>
        </w:rPr>
        <w:t xml:space="preserve"> d’OPC conservent une trace de ces calculs pour une période qui ne peut être inférieure à c</w:t>
      </w:r>
      <w:r w:rsidR="007E2C7B" w:rsidRPr="0025566E">
        <w:rPr>
          <w:rFonts w:asciiTheme="minorHAnsi" w:hAnsiTheme="minorHAnsi" w:cstheme="minorHAnsi"/>
          <w:color w:val="000000"/>
          <w:sz w:val="22"/>
          <w:szCs w:val="22"/>
        </w:rPr>
        <w:t>dix</w:t>
      </w:r>
      <w:r w:rsidRPr="0025566E">
        <w:rPr>
          <w:rFonts w:asciiTheme="minorHAnsi" w:hAnsiTheme="minorHAnsi" w:cstheme="minorHAnsi"/>
          <w:color w:val="000000"/>
          <w:sz w:val="22"/>
          <w:szCs w:val="22"/>
        </w:rPr>
        <w:t xml:space="preserve"> (</w:t>
      </w:r>
      <w:r w:rsidR="007E2C7B" w:rsidRPr="0025566E">
        <w:rPr>
          <w:rFonts w:asciiTheme="minorHAnsi" w:hAnsiTheme="minorHAnsi" w:cstheme="minorHAnsi"/>
          <w:color w:val="000000"/>
          <w:sz w:val="22"/>
          <w:szCs w:val="22"/>
        </w:rPr>
        <w:t>10</w:t>
      </w:r>
      <w:r w:rsidRPr="0025566E">
        <w:rPr>
          <w:rFonts w:asciiTheme="minorHAnsi" w:hAnsiTheme="minorHAnsi" w:cstheme="minorHAnsi"/>
          <w:color w:val="000000"/>
          <w:sz w:val="22"/>
          <w:szCs w:val="22"/>
        </w:rPr>
        <w:t>) ans. Dans le cas des fonds structurés, cette période est prolongée de cinq ans après l’échéance.</w:t>
      </w:r>
    </w:p>
    <w:p w14:paraId="24979F98" w14:textId="77777777" w:rsidR="007337F3" w:rsidRPr="0025566E" w:rsidRDefault="007337F3" w:rsidP="007337F3">
      <w:pPr>
        <w:pStyle w:val="Paragraphedeliste"/>
        <w:spacing w:before="120"/>
        <w:jc w:val="both"/>
        <w:rPr>
          <w:rFonts w:asciiTheme="minorHAnsi" w:hAnsiTheme="minorHAnsi" w:cstheme="minorHAnsi"/>
          <w:color w:val="000000"/>
          <w:sz w:val="22"/>
          <w:szCs w:val="22"/>
        </w:rPr>
      </w:pPr>
    </w:p>
    <w:p w14:paraId="47F4E912" w14:textId="51182107" w:rsidR="007337F3" w:rsidRPr="0025566E" w:rsidRDefault="007337F3" w:rsidP="00C4256A">
      <w:pPr>
        <w:pStyle w:val="Paragraphedeliste"/>
        <w:numPr>
          <w:ilvl w:val="0"/>
          <w:numId w:val="15"/>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L’explication textuelle visée au paragraphe 1, point a), inclut les informations suivantes</w:t>
      </w:r>
      <w:r w:rsidR="00135A4F" w:rsidRPr="0025566E">
        <w:rPr>
          <w:rFonts w:asciiTheme="minorHAnsi" w:hAnsiTheme="minorHAnsi" w:cstheme="minorHAnsi"/>
          <w:color w:val="000000"/>
          <w:sz w:val="22"/>
          <w:szCs w:val="22"/>
        </w:rPr>
        <w:t xml:space="preserve"> </w:t>
      </w:r>
      <w:r w:rsidRPr="0025566E">
        <w:rPr>
          <w:rFonts w:asciiTheme="minorHAnsi" w:hAnsiTheme="minorHAnsi" w:cstheme="minorHAnsi"/>
          <w:color w:val="000000"/>
          <w:sz w:val="22"/>
          <w:szCs w:val="22"/>
        </w:rPr>
        <w:t>:</w:t>
      </w:r>
    </w:p>
    <w:p w14:paraId="40D96624" w14:textId="77777777" w:rsidR="007337F3" w:rsidRPr="0025566E" w:rsidRDefault="007337F3" w:rsidP="007337F3">
      <w:pPr>
        <w:pStyle w:val="Paragraphedeliste"/>
        <w:spacing w:before="120"/>
        <w:jc w:val="both"/>
        <w:rPr>
          <w:rFonts w:asciiTheme="minorHAnsi" w:hAnsiTheme="minorHAnsi" w:cstheme="minorHAnsi"/>
          <w:color w:val="000000"/>
          <w:sz w:val="22"/>
          <w:szCs w:val="22"/>
        </w:rPr>
      </w:pPr>
    </w:p>
    <w:tbl>
      <w:tblPr>
        <w:tblW w:w="5000" w:type="pct"/>
        <w:tblCellMar>
          <w:left w:w="0" w:type="dxa"/>
          <w:right w:w="0" w:type="dxa"/>
        </w:tblCellMar>
        <w:tblLook w:val="04A0" w:firstRow="1" w:lastRow="0" w:firstColumn="1" w:lastColumn="0" w:noHBand="0" w:noVBand="1"/>
      </w:tblPr>
      <w:tblGrid>
        <w:gridCol w:w="6"/>
        <w:gridCol w:w="9058"/>
      </w:tblGrid>
      <w:tr w:rsidR="007337F3" w:rsidRPr="0025566E" w14:paraId="0D9C8651" w14:textId="77777777" w:rsidTr="007337F3">
        <w:tc>
          <w:tcPr>
            <w:tcW w:w="0" w:type="auto"/>
            <w:shd w:val="clear" w:color="auto" w:fill="auto"/>
            <w:hideMark/>
          </w:tcPr>
          <w:p w14:paraId="199E2F22" w14:textId="02E1B59A" w:rsidR="007337F3" w:rsidRPr="0025566E" w:rsidRDefault="007337F3" w:rsidP="00C4256A">
            <w:pPr>
              <w:pStyle w:val="Paragraphedeliste"/>
              <w:numPr>
                <w:ilvl w:val="0"/>
                <w:numId w:val="18"/>
              </w:numPr>
              <w:spacing w:before="120"/>
              <w:jc w:val="both"/>
              <w:rPr>
                <w:rFonts w:asciiTheme="minorHAnsi" w:hAnsiTheme="minorHAnsi" w:cstheme="minorHAnsi"/>
                <w:color w:val="000000"/>
                <w:sz w:val="22"/>
                <w:szCs w:val="22"/>
              </w:rPr>
            </w:pPr>
          </w:p>
        </w:tc>
        <w:tc>
          <w:tcPr>
            <w:tcW w:w="0" w:type="auto"/>
            <w:shd w:val="clear" w:color="auto" w:fill="auto"/>
            <w:hideMark/>
          </w:tcPr>
          <w:p w14:paraId="6482EBCA" w14:textId="4876E6CB" w:rsidR="007337F3" w:rsidRPr="0025566E" w:rsidRDefault="007337F3" w:rsidP="00C4256A">
            <w:pPr>
              <w:pStyle w:val="Paragraphedeliste"/>
              <w:numPr>
                <w:ilvl w:val="0"/>
                <w:numId w:val="19"/>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une déclaration indiquant que les données historiques, telles que celles utilisées pour calculer l’indicateur synthétique, pourraient ne pas constituer une indication fiable du profil de risque futur de l’OPC;</w:t>
            </w:r>
          </w:p>
        </w:tc>
      </w:tr>
    </w:tbl>
    <w:p w14:paraId="48D99469" w14:textId="77777777" w:rsidR="007337F3" w:rsidRPr="0025566E" w:rsidRDefault="007337F3" w:rsidP="007337F3">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58"/>
      </w:tblGrid>
      <w:tr w:rsidR="007337F3" w:rsidRPr="0025566E" w14:paraId="3B5B2616" w14:textId="77777777" w:rsidTr="007337F3">
        <w:tc>
          <w:tcPr>
            <w:tcW w:w="0" w:type="auto"/>
            <w:shd w:val="clear" w:color="auto" w:fill="auto"/>
            <w:hideMark/>
          </w:tcPr>
          <w:p w14:paraId="5E1F68D1" w14:textId="3E493E11" w:rsidR="007337F3" w:rsidRPr="0025566E" w:rsidRDefault="007337F3" w:rsidP="007337F3">
            <w:pPr>
              <w:spacing w:before="120"/>
              <w:ind w:left="360"/>
              <w:jc w:val="both"/>
              <w:rPr>
                <w:rFonts w:asciiTheme="minorHAnsi" w:hAnsiTheme="minorHAnsi" w:cstheme="minorHAnsi"/>
                <w:color w:val="000000"/>
                <w:sz w:val="22"/>
                <w:szCs w:val="22"/>
              </w:rPr>
            </w:pPr>
          </w:p>
        </w:tc>
        <w:tc>
          <w:tcPr>
            <w:tcW w:w="0" w:type="auto"/>
            <w:shd w:val="clear" w:color="auto" w:fill="auto"/>
            <w:hideMark/>
          </w:tcPr>
          <w:p w14:paraId="7605109C" w14:textId="2D72D0F8" w:rsidR="007337F3" w:rsidRPr="0025566E" w:rsidRDefault="007337F3" w:rsidP="00C4256A">
            <w:pPr>
              <w:pStyle w:val="Paragraphedeliste"/>
              <w:numPr>
                <w:ilvl w:val="0"/>
                <w:numId w:val="19"/>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une déclaration précisant qu’il n’est pas certain que la catégorie de risque et de rendement affichée demeure inchangée et que le classement de l’OPC est susceptible d’évoluer dans le temps;</w:t>
            </w:r>
          </w:p>
        </w:tc>
      </w:tr>
    </w:tbl>
    <w:p w14:paraId="32D0E5BF" w14:textId="77777777" w:rsidR="007337F3" w:rsidRPr="0025566E" w:rsidRDefault="007337F3" w:rsidP="007337F3">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58"/>
      </w:tblGrid>
      <w:tr w:rsidR="007337F3" w:rsidRPr="0025566E" w14:paraId="1B4480A5" w14:textId="77777777" w:rsidTr="007337F3">
        <w:tc>
          <w:tcPr>
            <w:tcW w:w="0" w:type="auto"/>
            <w:shd w:val="clear" w:color="auto" w:fill="auto"/>
            <w:hideMark/>
          </w:tcPr>
          <w:p w14:paraId="130A9C5E" w14:textId="653F3BDF" w:rsidR="007337F3" w:rsidRPr="0025566E" w:rsidRDefault="007337F3" w:rsidP="00C4256A">
            <w:pPr>
              <w:pStyle w:val="Paragraphedeliste"/>
              <w:numPr>
                <w:ilvl w:val="0"/>
                <w:numId w:val="18"/>
              </w:numPr>
              <w:spacing w:before="120"/>
              <w:jc w:val="both"/>
              <w:rPr>
                <w:rFonts w:asciiTheme="minorHAnsi" w:hAnsiTheme="minorHAnsi" w:cstheme="minorHAnsi"/>
                <w:color w:val="000000"/>
                <w:sz w:val="22"/>
                <w:szCs w:val="22"/>
              </w:rPr>
            </w:pPr>
          </w:p>
        </w:tc>
        <w:tc>
          <w:tcPr>
            <w:tcW w:w="0" w:type="auto"/>
            <w:shd w:val="clear" w:color="auto" w:fill="auto"/>
            <w:hideMark/>
          </w:tcPr>
          <w:p w14:paraId="191D7CAC" w14:textId="3F673E74" w:rsidR="007337F3" w:rsidRPr="0025566E" w:rsidRDefault="007337F3" w:rsidP="00C4256A">
            <w:pPr>
              <w:pStyle w:val="Paragraphedeliste"/>
              <w:numPr>
                <w:ilvl w:val="0"/>
                <w:numId w:val="18"/>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une déclaration précisant que la catégorie la plus basse n’est pas synonyme d’investissement sans risque;</w:t>
            </w:r>
          </w:p>
        </w:tc>
      </w:tr>
    </w:tbl>
    <w:p w14:paraId="2E07E939" w14:textId="77777777" w:rsidR="007337F3" w:rsidRPr="0025566E" w:rsidRDefault="007337F3" w:rsidP="007337F3">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58"/>
      </w:tblGrid>
      <w:tr w:rsidR="007337F3" w:rsidRPr="0025566E" w14:paraId="684FEB56" w14:textId="77777777" w:rsidTr="007337F3">
        <w:tc>
          <w:tcPr>
            <w:tcW w:w="0" w:type="auto"/>
            <w:shd w:val="clear" w:color="auto" w:fill="auto"/>
            <w:hideMark/>
          </w:tcPr>
          <w:p w14:paraId="008AFACA" w14:textId="6A90F94E" w:rsidR="007337F3" w:rsidRPr="0025566E" w:rsidRDefault="007337F3" w:rsidP="007337F3">
            <w:pPr>
              <w:pStyle w:val="Paragraphedeliste"/>
              <w:spacing w:before="120"/>
              <w:jc w:val="both"/>
              <w:rPr>
                <w:rFonts w:asciiTheme="minorHAnsi" w:hAnsiTheme="minorHAnsi" w:cstheme="minorHAnsi"/>
                <w:color w:val="000000"/>
                <w:sz w:val="22"/>
                <w:szCs w:val="22"/>
              </w:rPr>
            </w:pPr>
          </w:p>
        </w:tc>
        <w:tc>
          <w:tcPr>
            <w:tcW w:w="0" w:type="auto"/>
            <w:shd w:val="clear" w:color="auto" w:fill="auto"/>
            <w:hideMark/>
          </w:tcPr>
          <w:p w14:paraId="6EC3CB02" w14:textId="06B1E0FB" w:rsidR="007337F3" w:rsidRPr="0025566E" w:rsidRDefault="007337F3" w:rsidP="00C4256A">
            <w:pPr>
              <w:pStyle w:val="Paragraphedeliste"/>
              <w:numPr>
                <w:ilvl w:val="0"/>
                <w:numId w:val="18"/>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une brève explication de la raison pour laquelle l’OPC est classé dans telle ou telle catégorie;</w:t>
            </w:r>
          </w:p>
        </w:tc>
      </w:tr>
    </w:tbl>
    <w:p w14:paraId="5D041EED" w14:textId="77A4675A" w:rsidR="007337F3" w:rsidRPr="0025566E" w:rsidRDefault="007337F3" w:rsidP="007337F3">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6"/>
        <w:gridCol w:w="9058"/>
      </w:tblGrid>
      <w:tr w:rsidR="007337F3" w:rsidRPr="0025566E" w14:paraId="7BD517B7" w14:textId="77777777" w:rsidTr="007337F3">
        <w:tc>
          <w:tcPr>
            <w:tcW w:w="0" w:type="auto"/>
            <w:shd w:val="clear" w:color="auto" w:fill="auto"/>
            <w:hideMark/>
          </w:tcPr>
          <w:p w14:paraId="02235E64" w14:textId="28C07048" w:rsidR="007337F3" w:rsidRPr="0025566E" w:rsidRDefault="007337F3" w:rsidP="007337F3">
            <w:pPr>
              <w:spacing w:before="120"/>
              <w:jc w:val="both"/>
              <w:rPr>
                <w:rFonts w:asciiTheme="minorHAnsi" w:hAnsiTheme="minorHAnsi" w:cstheme="minorHAnsi"/>
                <w:color w:val="000000"/>
                <w:sz w:val="22"/>
                <w:szCs w:val="22"/>
              </w:rPr>
            </w:pPr>
          </w:p>
        </w:tc>
        <w:tc>
          <w:tcPr>
            <w:tcW w:w="0" w:type="auto"/>
            <w:shd w:val="clear" w:color="auto" w:fill="auto"/>
            <w:hideMark/>
          </w:tcPr>
          <w:p w14:paraId="21E8D236" w14:textId="5D6B835D" w:rsidR="007337F3" w:rsidRPr="0025566E" w:rsidRDefault="007337F3" w:rsidP="00C4256A">
            <w:pPr>
              <w:pStyle w:val="Paragraphedeliste"/>
              <w:numPr>
                <w:ilvl w:val="0"/>
                <w:numId w:val="18"/>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des informations détaillées sur la nature, la durée et la portée de toute garantie ou protection du capital offerte par l’OPC, y compris les conséquences potentielles d’une revente de parts effectuée en dehors de la période de garantie ou de protection.</w:t>
            </w:r>
          </w:p>
        </w:tc>
      </w:tr>
    </w:tbl>
    <w:p w14:paraId="38FBBDDE" w14:textId="71FBE277" w:rsidR="007337F3" w:rsidRPr="0025566E" w:rsidRDefault="007337F3" w:rsidP="00C4256A">
      <w:pPr>
        <w:pStyle w:val="Paragraphedeliste"/>
        <w:numPr>
          <w:ilvl w:val="0"/>
          <w:numId w:val="15"/>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L’explication textuelle visée au paragraphe 1, point b), couvre les catégories de risque suivantes, lorsque celles-ci sont importantes</w:t>
      </w:r>
      <w:r w:rsidR="00D541CF" w:rsidRPr="0025566E">
        <w:rPr>
          <w:rFonts w:asciiTheme="minorHAnsi" w:hAnsiTheme="minorHAnsi" w:cstheme="minorHAnsi"/>
          <w:color w:val="000000"/>
          <w:sz w:val="22"/>
          <w:szCs w:val="22"/>
        </w:rPr>
        <w:t xml:space="preserve"> </w:t>
      </w:r>
      <w:r w:rsidRPr="0025566E">
        <w:rPr>
          <w:rFonts w:asciiTheme="minorHAnsi" w:hAnsiTheme="minorHAnsi" w:cstheme="minorHAnsi"/>
          <w:color w:val="000000"/>
          <w:sz w:val="22"/>
          <w:szCs w:val="22"/>
        </w:rPr>
        <w:t>:</w:t>
      </w:r>
    </w:p>
    <w:p w14:paraId="46160440" w14:textId="77777777" w:rsidR="00D541CF" w:rsidRPr="0025566E" w:rsidRDefault="00D541CF" w:rsidP="00D541CF">
      <w:pPr>
        <w:pStyle w:val="Paragraphedeliste"/>
        <w:spacing w:before="120"/>
        <w:jc w:val="both"/>
        <w:rPr>
          <w:rFonts w:asciiTheme="minorHAnsi" w:hAnsiTheme="minorHAnsi" w:cstheme="minorHAnsi"/>
          <w:color w:val="000000"/>
          <w:sz w:val="22"/>
          <w:szCs w:val="22"/>
        </w:rPr>
      </w:pPr>
    </w:p>
    <w:tbl>
      <w:tblPr>
        <w:tblW w:w="5000" w:type="pct"/>
        <w:tblCellMar>
          <w:left w:w="0" w:type="dxa"/>
          <w:right w:w="0" w:type="dxa"/>
        </w:tblCellMar>
        <w:tblLook w:val="04A0" w:firstRow="1" w:lastRow="0" w:firstColumn="1" w:lastColumn="0" w:noHBand="0" w:noVBand="1"/>
      </w:tblPr>
      <w:tblGrid>
        <w:gridCol w:w="9058"/>
        <w:gridCol w:w="6"/>
      </w:tblGrid>
      <w:tr w:rsidR="00135A4F" w:rsidRPr="0025566E" w14:paraId="4048CF75" w14:textId="77777777" w:rsidTr="007337F3">
        <w:tc>
          <w:tcPr>
            <w:tcW w:w="0" w:type="auto"/>
            <w:shd w:val="clear" w:color="auto" w:fill="auto"/>
            <w:hideMark/>
          </w:tcPr>
          <w:p w14:paraId="2CAFC730" w14:textId="36D43CF6" w:rsidR="007337F3" w:rsidRPr="0025566E" w:rsidRDefault="00135A4F" w:rsidP="00135A4F">
            <w:pPr>
              <w:pStyle w:val="Paragraphedeliste"/>
              <w:numPr>
                <w:ilvl w:val="0"/>
                <w:numId w:val="20"/>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Le risque de crédit, lorsqu’une part significative des investissements est réalisée dans des titres de créance ; </w:t>
            </w:r>
            <w:r w:rsidR="00D541CF" w:rsidRPr="0025566E">
              <w:rPr>
                <w:rFonts w:asciiTheme="minorHAnsi" w:hAnsiTheme="minorHAnsi" w:cstheme="minorHAnsi"/>
                <w:color w:val="000000"/>
                <w:sz w:val="22"/>
                <w:szCs w:val="22"/>
              </w:rPr>
              <w:t xml:space="preserve"> </w:t>
            </w:r>
          </w:p>
        </w:tc>
        <w:tc>
          <w:tcPr>
            <w:tcW w:w="0" w:type="auto"/>
            <w:shd w:val="clear" w:color="auto" w:fill="auto"/>
            <w:hideMark/>
          </w:tcPr>
          <w:p w14:paraId="6E795899" w14:textId="5F9B81DE" w:rsidR="007337F3" w:rsidRPr="0025566E" w:rsidRDefault="007337F3" w:rsidP="007337F3">
            <w:pPr>
              <w:spacing w:before="120"/>
              <w:jc w:val="both"/>
              <w:rPr>
                <w:rFonts w:asciiTheme="minorHAnsi" w:hAnsiTheme="minorHAnsi" w:cstheme="minorHAnsi"/>
                <w:color w:val="000000"/>
                <w:sz w:val="22"/>
                <w:szCs w:val="22"/>
              </w:rPr>
            </w:pPr>
          </w:p>
        </w:tc>
      </w:tr>
    </w:tbl>
    <w:p w14:paraId="444B884E" w14:textId="77777777" w:rsidR="007337F3" w:rsidRPr="0025566E" w:rsidRDefault="007337F3" w:rsidP="007337F3">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720"/>
        <w:gridCol w:w="8344"/>
      </w:tblGrid>
      <w:tr w:rsidR="007337F3" w:rsidRPr="0025566E" w14:paraId="31FD630A" w14:textId="77777777" w:rsidTr="007337F3">
        <w:tc>
          <w:tcPr>
            <w:tcW w:w="0" w:type="auto"/>
            <w:shd w:val="clear" w:color="auto" w:fill="auto"/>
            <w:hideMark/>
          </w:tcPr>
          <w:p w14:paraId="20B8F925" w14:textId="1CDFBA03" w:rsidR="007337F3" w:rsidRPr="0025566E" w:rsidRDefault="00D541CF" w:rsidP="00C4256A">
            <w:pPr>
              <w:pStyle w:val="Paragraphedeliste"/>
              <w:numPr>
                <w:ilvl w:val="0"/>
                <w:numId w:val="20"/>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 </w:t>
            </w:r>
          </w:p>
        </w:tc>
        <w:tc>
          <w:tcPr>
            <w:tcW w:w="0" w:type="auto"/>
            <w:shd w:val="clear" w:color="auto" w:fill="auto"/>
            <w:hideMark/>
          </w:tcPr>
          <w:p w14:paraId="733ACDFD" w14:textId="689C54D5" w:rsidR="007337F3" w:rsidRPr="0025566E" w:rsidRDefault="007337F3" w:rsidP="007337F3">
            <w:p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 risque de liquidité, lorsqu’une part significative des investissements est réalisée dans des instruments financiers par nature suffisamment liquides, mais néanmoins susceptibles, dans certaines circonstances, d’avoir un niveau de liquidité relativement faible, au point d’avoir un impact sur le risque de liquidité de l’OPC dans son ensemble;</w:t>
            </w:r>
          </w:p>
        </w:tc>
      </w:tr>
    </w:tbl>
    <w:p w14:paraId="60CD417C" w14:textId="77777777" w:rsidR="007337F3" w:rsidRPr="0025566E" w:rsidRDefault="007337F3" w:rsidP="007337F3">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720"/>
        <w:gridCol w:w="8344"/>
      </w:tblGrid>
      <w:tr w:rsidR="007337F3" w:rsidRPr="0025566E" w14:paraId="0D2AAD6A" w14:textId="77777777" w:rsidTr="007337F3">
        <w:tc>
          <w:tcPr>
            <w:tcW w:w="0" w:type="auto"/>
            <w:shd w:val="clear" w:color="auto" w:fill="auto"/>
            <w:hideMark/>
          </w:tcPr>
          <w:p w14:paraId="3D561D7F" w14:textId="76B0D845" w:rsidR="007337F3" w:rsidRPr="0025566E" w:rsidRDefault="00D541CF" w:rsidP="00C4256A">
            <w:pPr>
              <w:pStyle w:val="Paragraphedeliste"/>
              <w:numPr>
                <w:ilvl w:val="0"/>
                <w:numId w:val="20"/>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 </w:t>
            </w:r>
          </w:p>
        </w:tc>
        <w:tc>
          <w:tcPr>
            <w:tcW w:w="0" w:type="auto"/>
            <w:shd w:val="clear" w:color="auto" w:fill="auto"/>
            <w:hideMark/>
          </w:tcPr>
          <w:p w14:paraId="2BB656BF" w14:textId="77777777" w:rsidR="007337F3" w:rsidRPr="0025566E" w:rsidRDefault="007337F3" w:rsidP="007337F3">
            <w:p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 risque de contrepartie, lorsque le fonds est adossé à une garantie d’un tiers, ou lorsque l’exposition de ses investissements résulte, dans une large mesure, d’un ou de plusieurs contrats avec une contrepartie;</w:t>
            </w:r>
          </w:p>
        </w:tc>
      </w:tr>
    </w:tbl>
    <w:p w14:paraId="394B6EAF" w14:textId="77777777" w:rsidR="007337F3" w:rsidRPr="0025566E" w:rsidRDefault="007337F3" w:rsidP="007337F3">
      <w:pPr>
        <w:rPr>
          <w:rFonts w:asciiTheme="minorHAnsi" w:hAnsiTheme="minorHAnsi" w:cstheme="minorHAnsi"/>
          <w:vanish/>
          <w:sz w:val="22"/>
          <w:szCs w:val="22"/>
        </w:rPr>
      </w:pPr>
    </w:p>
    <w:tbl>
      <w:tblPr>
        <w:tblW w:w="3909" w:type="pct"/>
        <w:tblCellMar>
          <w:left w:w="0" w:type="dxa"/>
          <w:right w:w="0" w:type="dxa"/>
        </w:tblCellMar>
        <w:tblLook w:val="04A0" w:firstRow="1" w:lastRow="0" w:firstColumn="1" w:lastColumn="0" w:noHBand="0" w:noVBand="1"/>
      </w:tblPr>
      <w:tblGrid>
        <w:gridCol w:w="7086"/>
      </w:tblGrid>
      <w:tr w:rsidR="00135A4F" w:rsidRPr="0025566E" w14:paraId="1FDE05B7" w14:textId="77777777" w:rsidTr="00135A4F">
        <w:tc>
          <w:tcPr>
            <w:tcW w:w="5000" w:type="pct"/>
            <w:shd w:val="clear" w:color="auto" w:fill="auto"/>
            <w:hideMark/>
          </w:tcPr>
          <w:p w14:paraId="1DE20BBD" w14:textId="05120D5E" w:rsidR="00135A4F" w:rsidRPr="0025566E" w:rsidRDefault="00135A4F" w:rsidP="00135A4F">
            <w:pPr>
              <w:pStyle w:val="Paragraphedeliste"/>
              <w:numPr>
                <w:ilvl w:val="0"/>
                <w:numId w:val="20"/>
              </w:numPr>
              <w:spacing w:before="120"/>
              <w:ind w:left="426" w:hanging="6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 Les risques opérationnels et les risques liés à la garde des actifs ; </w:t>
            </w:r>
          </w:p>
        </w:tc>
      </w:tr>
    </w:tbl>
    <w:p w14:paraId="238DF0F5" w14:textId="77777777" w:rsidR="007337F3" w:rsidRPr="0025566E" w:rsidRDefault="007337F3" w:rsidP="007337F3">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720"/>
        <w:gridCol w:w="8344"/>
      </w:tblGrid>
      <w:tr w:rsidR="007337F3" w:rsidRPr="0025566E" w14:paraId="02215864" w14:textId="77777777" w:rsidTr="007337F3">
        <w:tc>
          <w:tcPr>
            <w:tcW w:w="0" w:type="auto"/>
            <w:shd w:val="clear" w:color="auto" w:fill="auto"/>
            <w:hideMark/>
          </w:tcPr>
          <w:p w14:paraId="1761B8AE" w14:textId="2343D90D" w:rsidR="007337F3" w:rsidRPr="0025566E" w:rsidRDefault="00D541CF" w:rsidP="00C4256A">
            <w:pPr>
              <w:pStyle w:val="Paragraphedeliste"/>
              <w:numPr>
                <w:ilvl w:val="0"/>
                <w:numId w:val="20"/>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 </w:t>
            </w:r>
          </w:p>
        </w:tc>
        <w:tc>
          <w:tcPr>
            <w:tcW w:w="0" w:type="auto"/>
            <w:shd w:val="clear" w:color="auto" w:fill="auto"/>
            <w:hideMark/>
          </w:tcPr>
          <w:p w14:paraId="1AF69E3D" w14:textId="16B8380F" w:rsidR="007337F3" w:rsidRPr="0025566E" w:rsidRDefault="003A32BC" w:rsidP="007337F3">
            <w:p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w:t>
            </w:r>
            <w:r w:rsidR="007337F3" w:rsidRPr="0025566E">
              <w:rPr>
                <w:rFonts w:asciiTheme="minorHAnsi" w:hAnsiTheme="minorHAnsi" w:cstheme="minorHAnsi"/>
                <w:color w:val="000000"/>
                <w:sz w:val="22"/>
                <w:szCs w:val="22"/>
              </w:rPr>
              <w:t>’impact des techniques financières, telles que les instruments dérivés, sur le profil de risque de l’OPC, lorsque ces techniques sont utilisées pour obtenir, augmenter ou réduire une exposition à des actifs sous-jacents.</w:t>
            </w:r>
          </w:p>
        </w:tc>
      </w:tr>
    </w:tbl>
    <w:p w14:paraId="46DD58B7" w14:textId="7840ED3E" w:rsidR="00F177C8" w:rsidRPr="0025566E" w:rsidRDefault="00F177C8" w:rsidP="00C4256A">
      <w:pPr>
        <w:pStyle w:val="Paragraphedeliste"/>
        <w:numPr>
          <w:ilvl w:val="0"/>
          <w:numId w:val="15"/>
        </w:num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t xml:space="preserve">Un OPC est considéré comme présentant un risque de liquidité matériellement pertinent </w:t>
      </w:r>
      <w:r w:rsidR="003A32BC" w:rsidRPr="0025566E">
        <w:rPr>
          <w:rFonts w:asciiTheme="minorHAnsi" w:hAnsiTheme="minorHAnsi" w:cstheme="minorHAnsi"/>
          <w:sz w:val="22"/>
          <w:szCs w:val="22"/>
        </w:rPr>
        <w:t>dès</w:t>
      </w:r>
      <w:r w:rsidR="00360215" w:rsidRPr="0025566E">
        <w:rPr>
          <w:rFonts w:asciiTheme="minorHAnsi" w:hAnsiTheme="minorHAnsi" w:cstheme="minorHAnsi"/>
          <w:sz w:val="22"/>
          <w:szCs w:val="22"/>
        </w:rPr>
        <w:t xml:space="preserve"> lors que l’un des critères suivants est rempli :</w:t>
      </w:r>
    </w:p>
    <w:tbl>
      <w:tblPr>
        <w:tblW w:w="5000" w:type="pct"/>
        <w:tblCellMar>
          <w:left w:w="0" w:type="dxa"/>
          <w:right w:w="0" w:type="dxa"/>
        </w:tblCellMar>
        <w:tblLook w:val="04A0" w:firstRow="1" w:lastRow="0" w:firstColumn="1" w:lastColumn="0" w:noHBand="0" w:noVBand="1"/>
      </w:tblPr>
      <w:tblGrid>
        <w:gridCol w:w="9064"/>
      </w:tblGrid>
      <w:tr w:rsidR="00F177C8" w:rsidRPr="0025566E" w14:paraId="3C8FAF06" w14:textId="77777777" w:rsidTr="00F177C8">
        <w:tc>
          <w:tcPr>
            <w:tcW w:w="0" w:type="auto"/>
            <w:shd w:val="clear" w:color="auto" w:fill="auto"/>
            <w:hideMark/>
          </w:tcPr>
          <w:p w14:paraId="34A1321B" w14:textId="35702504" w:rsidR="00F177C8" w:rsidRPr="0025566E" w:rsidRDefault="00F177C8" w:rsidP="00C4256A">
            <w:pPr>
              <w:spacing w:before="120"/>
              <w:contextualSpacing/>
              <w:jc w:val="both"/>
              <w:rPr>
                <w:rFonts w:asciiTheme="minorHAnsi" w:hAnsiTheme="minorHAnsi" w:cstheme="minorHAnsi"/>
                <w:color w:val="000000"/>
                <w:sz w:val="22"/>
                <w:szCs w:val="22"/>
              </w:rPr>
            </w:pPr>
          </w:p>
          <w:tbl>
            <w:tblPr>
              <w:tblW w:w="5000" w:type="pct"/>
              <w:tblCellMar>
                <w:left w:w="0" w:type="dxa"/>
                <w:right w:w="0" w:type="dxa"/>
              </w:tblCellMar>
              <w:tblLook w:val="04A0" w:firstRow="1" w:lastRow="0" w:firstColumn="1" w:lastColumn="0" w:noHBand="0" w:noVBand="1"/>
            </w:tblPr>
            <w:tblGrid>
              <w:gridCol w:w="6"/>
              <w:gridCol w:w="9058"/>
            </w:tblGrid>
            <w:tr w:rsidR="00F177C8" w:rsidRPr="0025566E" w14:paraId="72027226" w14:textId="77777777">
              <w:tc>
                <w:tcPr>
                  <w:tcW w:w="0" w:type="auto"/>
                  <w:shd w:val="clear" w:color="auto" w:fill="auto"/>
                  <w:hideMark/>
                </w:tcPr>
                <w:p w14:paraId="270C168B" w14:textId="5EF27A50" w:rsidR="00F177C8" w:rsidRPr="0025566E" w:rsidRDefault="00F177C8" w:rsidP="003A32BC">
                  <w:pPr>
                    <w:pStyle w:val="Paragraphedeliste"/>
                    <w:spacing w:before="120"/>
                    <w:jc w:val="both"/>
                    <w:rPr>
                      <w:rFonts w:asciiTheme="minorHAnsi" w:hAnsiTheme="minorHAnsi" w:cstheme="minorHAnsi"/>
                      <w:sz w:val="22"/>
                      <w:szCs w:val="22"/>
                    </w:rPr>
                  </w:pPr>
                </w:p>
              </w:tc>
              <w:tc>
                <w:tcPr>
                  <w:tcW w:w="0" w:type="auto"/>
                  <w:shd w:val="clear" w:color="auto" w:fill="auto"/>
                  <w:hideMark/>
                </w:tcPr>
                <w:p w14:paraId="6F9492A2" w14:textId="77777777" w:rsidR="00360215" w:rsidRPr="0025566E" w:rsidRDefault="00360215" w:rsidP="003A32BC">
                  <w:pPr>
                    <w:pStyle w:val="Paragraphedeliste"/>
                    <w:numPr>
                      <w:ilvl w:val="0"/>
                      <w:numId w:val="29"/>
                    </w:numPr>
                    <w:spacing w:before="120"/>
                    <w:jc w:val="both"/>
                    <w:rPr>
                      <w:rFonts w:asciiTheme="minorHAnsi" w:hAnsiTheme="minorHAnsi" w:cstheme="minorHAnsi"/>
                      <w:sz w:val="22"/>
                      <w:szCs w:val="22"/>
                    </w:rPr>
                  </w:pPr>
                  <w:r w:rsidRPr="0025566E">
                    <w:rPr>
                      <w:rFonts w:asciiTheme="minorHAnsi" w:hAnsiTheme="minorHAnsi" w:cstheme="minorHAnsi"/>
                      <w:sz w:val="22"/>
                      <w:szCs w:val="22"/>
                    </w:rPr>
                    <w:t xml:space="preserve">L’OPC </w:t>
                  </w:r>
                  <w:r w:rsidR="00F177C8" w:rsidRPr="0025566E">
                    <w:rPr>
                      <w:rFonts w:asciiTheme="minorHAnsi" w:hAnsiTheme="minorHAnsi" w:cstheme="minorHAnsi"/>
                      <w:sz w:val="22"/>
                      <w:szCs w:val="22"/>
                    </w:rPr>
                    <w:t>est admis à la négociation sur un marché secondaire ou un dispositif alternatif de liquidité, et ni les teneurs de marché ni l'initiateur n'offrent de liquidités confirmées, de sorte que la liquidité dépend uniquement de la présence d'acheteurs et de vendeurs sur le marché secondaire ou le dispositif alternatif de liquidité, compte tenu du fait que la négociation régulière d'un produit à un moment donné ne garantit pas sa négociation régulière à tout autre moment</w:t>
                  </w:r>
                  <w:r w:rsidR="003A32BC" w:rsidRPr="0025566E">
                    <w:rPr>
                      <w:rFonts w:asciiTheme="minorHAnsi" w:hAnsiTheme="minorHAnsi" w:cstheme="minorHAnsi"/>
                      <w:sz w:val="22"/>
                      <w:szCs w:val="22"/>
                    </w:rPr>
                    <w:t xml:space="preserve"> </w:t>
                  </w:r>
                  <w:r w:rsidR="00F177C8" w:rsidRPr="0025566E">
                    <w:rPr>
                      <w:rFonts w:asciiTheme="minorHAnsi" w:hAnsiTheme="minorHAnsi" w:cstheme="minorHAnsi"/>
                      <w:sz w:val="22"/>
                      <w:szCs w:val="22"/>
                    </w:rPr>
                    <w:t>;</w:t>
                  </w:r>
                </w:p>
                <w:p w14:paraId="15C99915" w14:textId="344B5FFB" w:rsidR="00702AC3" w:rsidRPr="0025566E" w:rsidRDefault="00702AC3" w:rsidP="00A34464">
                  <w:pPr>
                    <w:pStyle w:val="Paragraphedeliste"/>
                    <w:spacing w:before="120"/>
                    <w:jc w:val="both"/>
                    <w:rPr>
                      <w:rFonts w:asciiTheme="minorHAnsi" w:hAnsiTheme="minorHAnsi" w:cstheme="minorHAnsi"/>
                      <w:sz w:val="22"/>
                      <w:szCs w:val="22"/>
                    </w:rPr>
                  </w:pPr>
                </w:p>
              </w:tc>
            </w:tr>
          </w:tbl>
          <w:p w14:paraId="62E20C7F" w14:textId="77777777" w:rsidR="00F177C8" w:rsidRPr="0025566E" w:rsidRDefault="00F177C8" w:rsidP="00C4256A">
            <w:pPr>
              <w:contextualSpacing/>
              <w:rPr>
                <w:rFonts w:asciiTheme="minorHAnsi" w:hAnsiTheme="minorHAnsi" w:cstheme="minorHAnsi"/>
                <w:vanish/>
                <w:color w:val="000000"/>
                <w:sz w:val="22"/>
                <w:szCs w:val="22"/>
              </w:rPr>
            </w:pPr>
          </w:p>
          <w:tbl>
            <w:tblPr>
              <w:tblW w:w="5000" w:type="pct"/>
              <w:tblCellMar>
                <w:left w:w="0" w:type="dxa"/>
                <w:right w:w="0" w:type="dxa"/>
              </w:tblCellMar>
              <w:tblLook w:val="04A0" w:firstRow="1" w:lastRow="0" w:firstColumn="1" w:lastColumn="0" w:noHBand="0" w:noVBand="1"/>
            </w:tblPr>
            <w:tblGrid>
              <w:gridCol w:w="6"/>
              <w:gridCol w:w="9058"/>
            </w:tblGrid>
            <w:tr w:rsidR="00F177C8" w:rsidRPr="0025566E" w14:paraId="6D6A7DAA" w14:textId="77777777">
              <w:tc>
                <w:tcPr>
                  <w:tcW w:w="0" w:type="auto"/>
                  <w:shd w:val="clear" w:color="auto" w:fill="auto"/>
                  <w:hideMark/>
                </w:tcPr>
                <w:p w14:paraId="1506452C" w14:textId="3BA33E1D" w:rsidR="00F177C8" w:rsidRPr="0025566E" w:rsidRDefault="00F177C8" w:rsidP="003A32BC">
                  <w:pPr>
                    <w:pStyle w:val="Paragraphedeliste"/>
                    <w:spacing w:before="120"/>
                    <w:jc w:val="both"/>
                    <w:rPr>
                      <w:rFonts w:asciiTheme="minorHAnsi" w:hAnsiTheme="minorHAnsi" w:cstheme="minorHAnsi"/>
                      <w:sz w:val="22"/>
                      <w:szCs w:val="22"/>
                    </w:rPr>
                  </w:pPr>
                </w:p>
              </w:tc>
              <w:tc>
                <w:tcPr>
                  <w:tcW w:w="0" w:type="auto"/>
                  <w:shd w:val="clear" w:color="auto" w:fill="auto"/>
                  <w:hideMark/>
                </w:tcPr>
                <w:p w14:paraId="2C986514" w14:textId="45CD510F" w:rsidR="00F177C8" w:rsidRPr="0025566E" w:rsidRDefault="00F177C8" w:rsidP="003A32BC">
                  <w:pPr>
                    <w:pStyle w:val="Paragraphedeliste"/>
                    <w:numPr>
                      <w:ilvl w:val="0"/>
                      <w:numId w:val="29"/>
                    </w:numPr>
                    <w:spacing w:before="120"/>
                    <w:jc w:val="both"/>
                    <w:rPr>
                      <w:rFonts w:asciiTheme="minorHAnsi" w:hAnsiTheme="minorHAnsi" w:cstheme="minorHAnsi"/>
                      <w:sz w:val="22"/>
                      <w:szCs w:val="22"/>
                    </w:rPr>
                  </w:pPr>
                  <w:r w:rsidRPr="0025566E">
                    <w:rPr>
                      <w:rFonts w:asciiTheme="minorHAnsi" w:hAnsiTheme="minorHAnsi" w:cstheme="minorHAnsi"/>
                      <w:sz w:val="22"/>
                      <w:szCs w:val="22"/>
                    </w:rPr>
                    <w:t xml:space="preserve">le profil de liquidité moyen des investissements sous-jacents est nettement inférieur à la fréquence normale de remboursement </w:t>
                  </w:r>
                  <w:r w:rsidR="009F4B92" w:rsidRPr="0025566E">
                    <w:rPr>
                      <w:rFonts w:asciiTheme="minorHAnsi" w:hAnsiTheme="minorHAnsi" w:cstheme="minorHAnsi"/>
                      <w:sz w:val="22"/>
                      <w:szCs w:val="22"/>
                    </w:rPr>
                    <w:t>de l’OPC</w:t>
                  </w:r>
                  <w:r w:rsidRPr="0025566E">
                    <w:rPr>
                      <w:rFonts w:asciiTheme="minorHAnsi" w:hAnsiTheme="minorHAnsi" w:cstheme="minorHAnsi"/>
                      <w:sz w:val="22"/>
                      <w:szCs w:val="22"/>
                    </w:rPr>
                    <w:t>, lorsque, et dans la mesure où, la liquidité offerte par l</w:t>
                  </w:r>
                  <w:r w:rsidR="009F4B92" w:rsidRPr="0025566E">
                    <w:rPr>
                      <w:rFonts w:asciiTheme="minorHAnsi" w:hAnsiTheme="minorHAnsi" w:cstheme="minorHAnsi"/>
                      <w:sz w:val="22"/>
                      <w:szCs w:val="22"/>
                    </w:rPr>
                    <w:t>’OPC</w:t>
                  </w:r>
                  <w:r w:rsidRPr="0025566E">
                    <w:rPr>
                      <w:rFonts w:asciiTheme="minorHAnsi" w:hAnsiTheme="minorHAnsi" w:cstheme="minorHAnsi"/>
                      <w:sz w:val="22"/>
                      <w:szCs w:val="22"/>
                    </w:rPr>
                    <w:t xml:space="preserve"> est subordonnée à la liquidation de ses actifs sous-jacents;</w:t>
                  </w:r>
                </w:p>
              </w:tc>
            </w:tr>
          </w:tbl>
          <w:p w14:paraId="2963D4F3" w14:textId="77777777" w:rsidR="00F177C8" w:rsidRPr="0025566E" w:rsidRDefault="00F177C8" w:rsidP="00C4256A">
            <w:pPr>
              <w:contextualSpacing/>
              <w:rPr>
                <w:rFonts w:asciiTheme="minorHAnsi" w:hAnsiTheme="minorHAnsi" w:cstheme="minorHAnsi"/>
                <w:vanish/>
                <w:color w:val="000000"/>
                <w:sz w:val="22"/>
                <w:szCs w:val="22"/>
              </w:rPr>
            </w:pPr>
          </w:p>
          <w:tbl>
            <w:tblPr>
              <w:tblW w:w="5000" w:type="pct"/>
              <w:tblCellMar>
                <w:left w:w="0" w:type="dxa"/>
                <w:right w:w="0" w:type="dxa"/>
              </w:tblCellMar>
              <w:tblLook w:val="04A0" w:firstRow="1" w:lastRow="0" w:firstColumn="1" w:lastColumn="0" w:noHBand="0" w:noVBand="1"/>
            </w:tblPr>
            <w:tblGrid>
              <w:gridCol w:w="720"/>
              <w:gridCol w:w="8344"/>
            </w:tblGrid>
            <w:tr w:rsidR="00F177C8" w:rsidRPr="0025566E" w14:paraId="5E7444A3" w14:textId="77777777">
              <w:tc>
                <w:tcPr>
                  <w:tcW w:w="0" w:type="auto"/>
                  <w:shd w:val="clear" w:color="auto" w:fill="auto"/>
                  <w:hideMark/>
                </w:tcPr>
                <w:p w14:paraId="75ED4138" w14:textId="29AAB002" w:rsidR="00F177C8" w:rsidRPr="0025566E" w:rsidRDefault="00360215" w:rsidP="00C4256A">
                  <w:pPr>
                    <w:pStyle w:val="Paragraphedeliste"/>
                    <w:numPr>
                      <w:ilvl w:val="0"/>
                      <w:numId w:val="19"/>
                    </w:numPr>
                    <w:spacing w:before="120"/>
                    <w:jc w:val="both"/>
                    <w:rPr>
                      <w:rFonts w:asciiTheme="minorHAnsi" w:hAnsiTheme="minorHAnsi" w:cstheme="minorHAnsi"/>
                      <w:sz w:val="22"/>
                      <w:szCs w:val="22"/>
                    </w:rPr>
                  </w:pPr>
                  <w:r w:rsidRPr="0025566E">
                    <w:rPr>
                      <w:rFonts w:asciiTheme="minorHAnsi" w:hAnsiTheme="minorHAnsi" w:cstheme="minorHAnsi"/>
                      <w:sz w:val="22"/>
                      <w:szCs w:val="22"/>
                    </w:rPr>
                    <w:t xml:space="preserve"> </w:t>
                  </w:r>
                </w:p>
              </w:tc>
              <w:tc>
                <w:tcPr>
                  <w:tcW w:w="0" w:type="auto"/>
                  <w:shd w:val="clear" w:color="auto" w:fill="auto"/>
                  <w:hideMark/>
                </w:tcPr>
                <w:p w14:paraId="29EC0478" w14:textId="59A4B68D" w:rsidR="00F177C8" w:rsidRPr="0025566E" w:rsidRDefault="009F4B92" w:rsidP="00C4256A">
                  <w:pPr>
                    <w:spacing w:before="120"/>
                    <w:contextualSpacing/>
                    <w:jc w:val="both"/>
                    <w:rPr>
                      <w:rFonts w:asciiTheme="minorHAnsi" w:hAnsiTheme="minorHAnsi" w:cstheme="minorHAnsi"/>
                      <w:sz w:val="22"/>
                      <w:szCs w:val="22"/>
                    </w:rPr>
                  </w:pPr>
                  <w:r w:rsidRPr="0025566E">
                    <w:rPr>
                      <w:rFonts w:asciiTheme="minorHAnsi" w:hAnsiTheme="minorHAnsi" w:cstheme="minorHAnsi"/>
                      <w:sz w:val="22"/>
                      <w:szCs w:val="22"/>
                    </w:rPr>
                    <w:t xml:space="preserve">La </w:t>
                  </w:r>
                  <w:r w:rsidR="003D51A6" w:rsidRPr="0025566E">
                    <w:rPr>
                      <w:rFonts w:asciiTheme="minorHAnsi" w:hAnsiTheme="minorHAnsi" w:cstheme="minorHAnsi"/>
                      <w:sz w:val="22"/>
                      <w:szCs w:val="22"/>
                    </w:rPr>
                    <w:t>Société de Gestion</w:t>
                  </w:r>
                  <w:r w:rsidRPr="0025566E">
                    <w:rPr>
                      <w:rFonts w:asciiTheme="minorHAnsi" w:hAnsiTheme="minorHAnsi" w:cstheme="minorHAnsi"/>
                      <w:sz w:val="22"/>
                      <w:szCs w:val="22"/>
                    </w:rPr>
                    <w:t xml:space="preserve"> de l’OPC</w:t>
                  </w:r>
                  <w:r w:rsidR="00F177C8" w:rsidRPr="0025566E">
                    <w:rPr>
                      <w:rFonts w:asciiTheme="minorHAnsi" w:hAnsiTheme="minorHAnsi" w:cstheme="minorHAnsi"/>
                      <w:sz w:val="22"/>
                      <w:szCs w:val="22"/>
                    </w:rPr>
                    <w:t xml:space="preserve"> estime que les investisseurs peuvent éprouver, selon la situation spécifique du marché, d'importantes difficultés, en termes de temps et de coût, à se retirer pendant la durée de vie du produit.</w:t>
                  </w:r>
                </w:p>
              </w:tc>
            </w:tr>
          </w:tbl>
          <w:p w14:paraId="2D7A0146" w14:textId="77777777" w:rsidR="00F177C8" w:rsidRPr="0025566E" w:rsidRDefault="00F177C8" w:rsidP="00C4256A">
            <w:pPr>
              <w:pStyle w:val="Paragraphedeliste"/>
              <w:numPr>
                <w:ilvl w:val="0"/>
                <w:numId w:val="15"/>
              </w:numPr>
              <w:rPr>
                <w:rFonts w:asciiTheme="minorHAnsi" w:hAnsiTheme="minorHAnsi" w:cstheme="minorHAnsi"/>
                <w:color w:val="000000"/>
                <w:sz w:val="22"/>
                <w:szCs w:val="22"/>
              </w:rPr>
            </w:pPr>
          </w:p>
        </w:tc>
      </w:tr>
    </w:tbl>
    <w:p w14:paraId="6F3A55CA" w14:textId="77777777" w:rsidR="00F177C8" w:rsidRPr="0025566E" w:rsidRDefault="00F177C8" w:rsidP="00F177C8">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5"/>
        <w:gridCol w:w="431"/>
        <w:gridCol w:w="8628"/>
      </w:tblGrid>
      <w:tr w:rsidR="007A6CA8" w:rsidRPr="0025566E" w14:paraId="4FE1D950" w14:textId="77777777" w:rsidTr="00F177C8">
        <w:tc>
          <w:tcPr>
            <w:tcW w:w="0" w:type="auto"/>
            <w:shd w:val="clear" w:color="auto" w:fill="auto"/>
            <w:hideMark/>
          </w:tcPr>
          <w:p w14:paraId="2BFA13B4" w14:textId="77777777" w:rsidR="00F177C8" w:rsidRPr="0025566E" w:rsidRDefault="00F177C8" w:rsidP="00F177C8">
            <w:pPr>
              <w:rPr>
                <w:rFonts w:asciiTheme="minorHAnsi" w:hAnsiTheme="minorHAnsi" w:cstheme="minorHAnsi"/>
                <w:sz w:val="22"/>
                <w:szCs w:val="22"/>
              </w:rPr>
            </w:pPr>
          </w:p>
        </w:tc>
        <w:tc>
          <w:tcPr>
            <w:tcW w:w="0" w:type="auto"/>
            <w:shd w:val="clear" w:color="auto" w:fill="auto"/>
            <w:hideMark/>
          </w:tcPr>
          <w:p w14:paraId="33D2BAD5" w14:textId="1B99BB46" w:rsidR="00F177C8" w:rsidRPr="0025566E" w:rsidRDefault="00F177C8" w:rsidP="00C4256A">
            <w:pPr>
              <w:pStyle w:val="Paragraphedeliste"/>
              <w:numPr>
                <w:ilvl w:val="4"/>
                <w:numId w:val="13"/>
              </w:numPr>
              <w:spacing w:before="120"/>
              <w:ind w:left="493"/>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w:t>
            </w:r>
          </w:p>
        </w:tc>
        <w:tc>
          <w:tcPr>
            <w:tcW w:w="0" w:type="auto"/>
            <w:shd w:val="clear" w:color="auto" w:fill="auto"/>
            <w:hideMark/>
          </w:tcPr>
          <w:p w14:paraId="36563A12" w14:textId="4AADFEEE" w:rsidR="00F177C8" w:rsidRPr="0025566E" w:rsidRDefault="00F177C8" w:rsidP="00F177C8">
            <w:p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Un </w:t>
            </w:r>
            <w:r w:rsidR="009F4B92" w:rsidRPr="0025566E">
              <w:rPr>
                <w:rFonts w:asciiTheme="minorHAnsi" w:hAnsiTheme="minorHAnsi" w:cstheme="minorHAnsi"/>
                <w:color w:val="000000"/>
                <w:sz w:val="22"/>
                <w:szCs w:val="22"/>
              </w:rPr>
              <w:t>OPC</w:t>
            </w:r>
            <w:r w:rsidRPr="0025566E">
              <w:rPr>
                <w:rFonts w:asciiTheme="minorHAnsi" w:hAnsiTheme="minorHAnsi" w:cstheme="minorHAnsi"/>
                <w:color w:val="000000"/>
                <w:sz w:val="22"/>
                <w:szCs w:val="22"/>
              </w:rPr>
              <w:t xml:space="preserve"> est considéré comme illiquide, que ce soit contractuellement ou non, dès lors que l'un des critères suivants est rempli</w:t>
            </w:r>
            <w:r w:rsidR="003A32BC" w:rsidRPr="0025566E">
              <w:rPr>
                <w:rFonts w:asciiTheme="minorHAnsi" w:hAnsiTheme="minorHAnsi" w:cstheme="minorHAnsi"/>
                <w:color w:val="000000"/>
                <w:sz w:val="22"/>
                <w:szCs w:val="22"/>
              </w:rPr>
              <w:t xml:space="preserve"> </w:t>
            </w:r>
            <w:r w:rsidRPr="0025566E">
              <w:rPr>
                <w:rFonts w:asciiTheme="minorHAnsi" w:hAnsiTheme="minorHAnsi" w:cstheme="minorHAnsi"/>
                <w:color w:val="000000"/>
                <w:sz w:val="22"/>
                <w:szCs w:val="22"/>
              </w:rPr>
              <w:t>:</w:t>
            </w:r>
          </w:p>
          <w:tbl>
            <w:tblPr>
              <w:tblW w:w="4756" w:type="pct"/>
              <w:tblCellMar>
                <w:left w:w="0" w:type="dxa"/>
                <w:right w:w="0" w:type="dxa"/>
              </w:tblCellMar>
              <w:tblLook w:val="04A0" w:firstRow="1" w:lastRow="0" w:firstColumn="1" w:lastColumn="0" w:noHBand="0" w:noVBand="1"/>
            </w:tblPr>
            <w:tblGrid>
              <w:gridCol w:w="937"/>
              <w:gridCol w:w="7270"/>
            </w:tblGrid>
            <w:tr w:rsidR="007A6CA8" w:rsidRPr="0025566E" w14:paraId="5A32D0D1" w14:textId="77777777" w:rsidTr="009F4B92">
              <w:tc>
                <w:tcPr>
                  <w:tcW w:w="571" w:type="pct"/>
                  <w:shd w:val="clear" w:color="auto" w:fill="auto"/>
                  <w:hideMark/>
                </w:tcPr>
                <w:p w14:paraId="24FEA353" w14:textId="6FDEF0BE" w:rsidR="00F177C8" w:rsidRPr="0025566E" w:rsidRDefault="00F177C8" w:rsidP="00C4256A">
                  <w:pPr>
                    <w:pStyle w:val="Paragraphedeliste"/>
                    <w:numPr>
                      <w:ilvl w:val="0"/>
                      <w:numId w:val="21"/>
                    </w:numPr>
                    <w:spacing w:before="120"/>
                    <w:ind w:right="105"/>
                    <w:jc w:val="both"/>
                    <w:rPr>
                      <w:rFonts w:asciiTheme="minorHAnsi" w:hAnsiTheme="minorHAnsi" w:cstheme="minorHAnsi"/>
                      <w:sz w:val="22"/>
                      <w:szCs w:val="22"/>
                    </w:rPr>
                  </w:pPr>
                </w:p>
              </w:tc>
              <w:tc>
                <w:tcPr>
                  <w:tcW w:w="4429" w:type="pct"/>
                  <w:shd w:val="clear" w:color="auto" w:fill="auto"/>
                  <w:hideMark/>
                </w:tcPr>
                <w:p w14:paraId="57CC7860" w14:textId="1019D162" w:rsidR="00F177C8" w:rsidRPr="0025566E" w:rsidRDefault="009F4B92" w:rsidP="009F4B92">
                  <w:pPr>
                    <w:spacing w:before="120"/>
                    <w:jc w:val="both"/>
                    <w:rPr>
                      <w:rFonts w:asciiTheme="minorHAnsi" w:hAnsiTheme="minorHAnsi" w:cstheme="minorHAnsi"/>
                      <w:sz w:val="22"/>
                      <w:szCs w:val="22"/>
                    </w:rPr>
                  </w:pPr>
                  <w:r w:rsidRPr="0025566E">
                    <w:rPr>
                      <w:rFonts w:asciiTheme="minorHAnsi" w:hAnsiTheme="minorHAnsi" w:cstheme="minorHAnsi"/>
                      <w:sz w:val="22"/>
                      <w:szCs w:val="22"/>
                    </w:rPr>
                    <w:t>L’OPC</w:t>
                  </w:r>
                  <w:r w:rsidR="00F177C8" w:rsidRPr="0025566E">
                    <w:rPr>
                      <w:rFonts w:asciiTheme="minorHAnsi" w:hAnsiTheme="minorHAnsi" w:cstheme="minorHAnsi"/>
                      <w:sz w:val="22"/>
                      <w:szCs w:val="22"/>
                    </w:rPr>
                    <w:t xml:space="preserve"> n'est pas admis à la négociation sur un marché secondaire et aucun dispositif alternatif de liquidité n'est proposé par son initiateur ou par un tiers, ou le dispositif alternatif de liquidité existant est soumis à d'importantes conditions limitatives, notamment d'importantes pénalités de sortie anticipée ou des prix de rachat discrétionnaires, ou il n'existe pas d'accords de liquidité</w:t>
                  </w:r>
                  <w:r w:rsidR="003A32BC" w:rsidRPr="0025566E">
                    <w:rPr>
                      <w:rFonts w:asciiTheme="minorHAnsi" w:hAnsiTheme="minorHAnsi" w:cstheme="minorHAnsi"/>
                      <w:sz w:val="22"/>
                      <w:szCs w:val="22"/>
                    </w:rPr>
                    <w:t xml:space="preserve"> </w:t>
                  </w:r>
                  <w:r w:rsidR="00F177C8" w:rsidRPr="0025566E">
                    <w:rPr>
                      <w:rFonts w:asciiTheme="minorHAnsi" w:hAnsiTheme="minorHAnsi" w:cstheme="minorHAnsi"/>
                      <w:sz w:val="22"/>
                      <w:szCs w:val="22"/>
                    </w:rPr>
                    <w:t>;</w:t>
                  </w:r>
                </w:p>
              </w:tc>
            </w:tr>
          </w:tbl>
          <w:p w14:paraId="6A81C8E0" w14:textId="77777777" w:rsidR="00F177C8" w:rsidRPr="0025566E" w:rsidRDefault="00F177C8" w:rsidP="00F177C8">
            <w:pPr>
              <w:rPr>
                <w:rFonts w:asciiTheme="minorHAnsi" w:hAnsiTheme="minorHAnsi" w:cstheme="minorHAnsi"/>
                <w:vanish/>
                <w:color w:val="000000"/>
                <w:sz w:val="22"/>
                <w:szCs w:val="22"/>
              </w:rPr>
            </w:pPr>
          </w:p>
          <w:tbl>
            <w:tblPr>
              <w:tblW w:w="10679" w:type="dxa"/>
              <w:tblInd w:w="248" w:type="dxa"/>
              <w:tblCellMar>
                <w:left w:w="0" w:type="dxa"/>
                <w:right w:w="0" w:type="dxa"/>
              </w:tblCellMar>
              <w:tblLook w:val="04A0" w:firstRow="1" w:lastRow="0" w:firstColumn="1" w:lastColumn="0" w:noHBand="0" w:noVBand="1"/>
            </w:tblPr>
            <w:tblGrid>
              <w:gridCol w:w="8580"/>
              <w:gridCol w:w="2099"/>
            </w:tblGrid>
            <w:tr w:rsidR="007A6CA8" w:rsidRPr="0025566E" w14:paraId="791DD9E9" w14:textId="77777777" w:rsidTr="007A6CA8">
              <w:tc>
                <w:tcPr>
                  <w:tcW w:w="4017" w:type="pct"/>
                  <w:shd w:val="clear" w:color="auto" w:fill="auto"/>
                  <w:hideMark/>
                </w:tcPr>
                <w:p w14:paraId="51E222F9" w14:textId="4C6DBD8A" w:rsidR="007A6CA8" w:rsidRPr="0025566E" w:rsidRDefault="007A6CA8" w:rsidP="00C4256A">
                  <w:pPr>
                    <w:pStyle w:val="Paragraphedeliste"/>
                    <w:numPr>
                      <w:ilvl w:val="0"/>
                      <w:numId w:val="21"/>
                    </w:numPr>
                    <w:spacing w:before="120"/>
                    <w:ind w:right="329"/>
                    <w:jc w:val="both"/>
                    <w:rPr>
                      <w:rFonts w:asciiTheme="minorHAnsi" w:hAnsiTheme="minorHAnsi" w:cstheme="minorHAnsi"/>
                      <w:sz w:val="22"/>
                      <w:szCs w:val="22"/>
                    </w:rPr>
                  </w:pPr>
                  <w:r w:rsidRPr="0025566E">
                    <w:rPr>
                      <w:rFonts w:asciiTheme="minorHAnsi" w:hAnsiTheme="minorHAnsi" w:cstheme="minorHAnsi"/>
                      <w:sz w:val="22"/>
                      <w:szCs w:val="22"/>
                    </w:rPr>
                    <w:t xml:space="preserve">L’OPC offre des possibilités de sortie anticipée ou de remboursement avant échéance, mais ces possibilités sont soumises à d'importantes conditions limitatives, notamment d'importantes pénalités de sortie anticipée ou des prix de remboursement discrétionnaires, ou à l'autorisation préalable et discrétionnaire de la </w:t>
                  </w:r>
                  <w:r w:rsidR="003D51A6" w:rsidRPr="0025566E">
                    <w:rPr>
                      <w:rFonts w:asciiTheme="minorHAnsi" w:hAnsiTheme="minorHAnsi" w:cstheme="minorHAnsi"/>
                      <w:sz w:val="22"/>
                      <w:szCs w:val="22"/>
                    </w:rPr>
                    <w:t>Société de Gestion</w:t>
                  </w:r>
                  <w:r w:rsidRPr="0025566E">
                    <w:rPr>
                      <w:rFonts w:asciiTheme="minorHAnsi" w:hAnsiTheme="minorHAnsi" w:cstheme="minorHAnsi"/>
                      <w:sz w:val="22"/>
                      <w:szCs w:val="22"/>
                    </w:rPr>
                    <w:t xml:space="preserve"> d’OPC;</w:t>
                  </w:r>
                </w:p>
                <w:p w14:paraId="5FF84A1C" w14:textId="77777777" w:rsidR="00F177C8" w:rsidRPr="0025566E" w:rsidRDefault="00F177C8" w:rsidP="007A6CA8">
                  <w:pPr>
                    <w:spacing w:before="120"/>
                    <w:ind w:left="360" w:right="-567"/>
                    <w:jc w:val="both"/>
                    <w:rPr>
                      <w:rFonts w:asciiTheme="minorHAnsi" w:hAnsiTheme="minorHAnsi" w:cstheme="minorHAnsi"/>
                      <w:sz w:val="22"/>
                      <w:szCs w:val="22"/>
                    </w:rPr>
                  </w:pPr>
                </w:p>
                <w:p w14:paraId="1004293F" w14:textId="6B0448E6" w:rsidR="007A6CA8" w:rsidRPr="0025566E" w:rsidRDefault="007A6CA8" w:rsidP="00C4256A">
                  <w:pPr>
                    <w:pStyle w:val="Paragraphedeliste"/>
                    <w:numPr>
                      <w:ilvl w:val="0"/>
                      <w:numId w:val="21"/>
                    </w:numPr>
                    <w:rPr>
                      <w:rFonts w:asciiTheme="minorHAnsi" w:hAnsiTheme="minorHAnsi" w:cstheme="minorHAnsi"/>
                      <w:sz w:val="22"/>
                      <w:szCs w:val="22"/>
                    </w:rPr>
                  </w:pPr>
                  <w:r w:rsidRPr="0025566E">
                    <w:rPr>
                      <w:rFonts w:asciiTheme="minorHAnsi" w:hAnsiTheme="minorHAnsi" w:cstheme="minorHAnsi"/>
                      <w:sz w:val="22"/>
                      <w:szCs w:val="22"/>
                    </w:rPr>
                    <w:lastRenderedPageBreak/>
                    <w:t>L’OPC n'offre pas de possibilités de sortie anticipée ou de remboursement avant échéance.</w:t>
                  </w:r>
                </w:p>
              </w:tc>
              <w:tc>
                <w:tcPr>
                  <w:tcW w:w="983" w:type="pct"/>
                  <w:shd w:val="clear" w:color="auto" w:fill="auto"/>
                  <w:hideMark/>
                </w:tcPr>
                <w:p w14:paraId="087649C2" w14:textId="77777777" w:rsidR="007A6CA8" w:rsidRPr="0025566E" w:rsidRDefault="007A6CA8" w:rsidP="007A6CA8">
                  <w:pPr>
                    <w:spacing w:before="120"/>
                    <w:ind w:left="382"/>
                    <w:jc w:val="both"/>
                    <w:rPr>
                      <w:rFonts w:asciiTheme="minorHAnsi" w:hAnsiTheme="minorHAnsi" w:cstheme="minorHAnsi"/>
                      <w:sz w:val="22"/>
                      <w:szCs w:val="22"/>
                    </w:rPr>
                  </w:pPr>
                </w:p>
                <w:p w14:paraId="0AAF10A2" w14:textId="328E8D89" w:rsidR="007A6CA8" w:rsidRPr="0025566E" w:rsidRDefault="007A6CA8" w:rsidP="007A6CA8">
                  <w:pPr>
                    <w:ind w:left="-260"/>
                    <w:rPr>
                      <w:rFonts w:asciiTheme="minorHAnsi" w:hAnsiTheme="minorHAnsi" w:cstheme="minorHAnsi"/>
                      <w:sz w:val="22"/>
                      <w:szCs w:val="22"/>
                    </w:rPr>
                  </w:pPr>
                </w:p>
              </w:tc>
            </w:tr>
          </w:tbl>
          <w:p w14:paraId="114CF1B8" w14:textId="77777777" w:rsidR="00F177C8" w:rsidRPr="0025566E" w:rsidRDefault="00F177C8" w:rsidP="00F177C8">
            <w:pPr>
              <w:rPr>
                <w:rFonts w:asciiTheme="minorHAnsi" w:hAnsiTheme="minorHAnsi" w:cstheme="minorHAnsi"/>
                <w:color w:val="000000"/>
                <w:sz w:val="22"/>
                <w:szCs w:val="22"/>
              </w:rPr>
            </w:pPr>
          </w:p>
        </w:tc>
      </w:tr>
    </w:tbl>
    <w:p w14:paraId="3F04778C" w14:textId="7A9DB3A1" w:rsidR="007337F3" w:rsidRPr="0025566E" w:rsidRDefault="007A6CA8" w:rsidP="00C4256A">
      <w:pPr>
        <w:pStyle w:val="Paragraphedeliste"/>
        <w:numPr>
          <w:ilvl w:val="0"/>
          <w:numId w:val="15"/>
        </w:num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lastRenderedPageBreak/>
        <w:t>L’OPC est considéré comme liquide dans tous les autres cas.</w:t>
      </w:r>
    </w:p>
    <w:p w14:paraId="0F012213" w14:textId="6F93BFE7" w:rsidR="000D3E00" w:rsidRPr="0025566E" w:rsidRDefault="000D3E00" w:rsidP="000D3E00">
      <w:pPr>
        <w:spacing w:before="100" w:beforeAutospacing="1" w:after="100" w:afterAutospacing="1"/>
        <w:rPr>
          <w:rFonts w:asciiTheme="minorHAnsi" w:hAnsiTheme="minorHAnsi" w:cstheme="minorHAnsi"/>
          <w:sz w:val="22"/>
          <w:szCs w:val="22"/>
        </w:rPr>
      </w:pPr>
    </w:p>
    <w:p w14:paraId="1235E673" w14:textId="38D6820D" w:rsidR="000D3E00" w:rsidRPr="0025566E" w:rsidRDefault="000D3E00">
      <w:pPr>
        <w:rPr>
          <w:rFonts w:asciiTheme="minorHAnsi" w:hAnsiTheme="minorHAnsi" w:cstheme="minorHAnsi"/>
          <w:sz w:val="22"/>
          <w:szCs w:val="22"/>
        </w:rPr>
      </w:pPr>
      <w:r w:rsidRPr="0025566E">
        <w:rPr>
          <w:rFonts w:asciiTheme="minorHAnsi" w:hAnsiTheme="minorHAnsi" w:cstheme="minorHAnsi"/>
          <w:sz w:val="22"/>
          <w:szCs w:val="22"/>
        </w:rPr>
        <w:br w:type="page"/>
      </w:r>
    </w:p>
    <w:p w14:paraId="1847F003" w14:textId="33D95727" w:rsidR="000D3E00" w:rsidRPr="008211E3" w:rsidRDefault="000D3E00" w:rsidP="000D3E00">
      <w:pPr>
        <w:spacing w:before="100" w:beforeAutospacing="1" w:after="100" w:afterAutospacing="1"/>
        <w:rPr>
          <w:rFonts w:asciiTheme="minorHAnsi" w:hAnsiTheme="minorHAnsi" w:cstheme="minorHAnsi"/>
          <w:b/>
          <w:sz w:val="22"/>
          <w:szCs w:val="22"/>
        </w:rPr>
      </w:pPr>
      <w:r w:rsidRPr="008211E3">
        <w:rPr>
          <w:rFonts w:asciiTheme="minorHAnsi" w:hAnsiTheme="minorHAnsi" w:cstheme="minorHAnsi"/>
          <w:b/>
          <w:sz w:val="22"/>
          <w:szCs w:val="22"/>
          <w:u w:val="single"/>
        </w:rPr>
        <w:lastRenderedPageBreak/>
        <w:t>ANNEXE III</w:t>
      </w:r>
      <w:r w:rsidRPr="008211E3">
        <w:rPr>
          <w:rFonts w:asciiTheme="minorHAnsi" w:hAnsiTheme="minorHAnsi" w:cstheme="minorHAnsi"/>
          <w:b/>
          <w:sz w:val="22"/>
          <w:szCs w:val="22"/>
        </w:rPr>
        <w:t xml:space="preserve"> – PERFORMANCES PASSEES</w:t>
      </w:r>
    </w:p>
    <w:p w14:paraId="6E4A0843" w14:textId="6034AB82" w:rsidR="000D3E00" w:rsidRPr="0025566E" w:rsidRDefault="000D3E00" w:rsidP="004F0966">
      <w:pPr>
        <w:pStyle w:val="sti-art"/>
        <w:numPr>
          <w:ilvl w:val="5"/>
          <w:numId w:val="13"/>
        </w:numPr>
        <w:spacing w:before="60" w:beforeAutospacing="0" w:after="120" w:afterAutospacing="0"/>
        <w:ind w:left="709"/>
        <w:rPr>
          <w:rFonts w:asciiTheme="minorHAnsi" w:hAnsiTheme="minorHAnsi" w:cstheme="minorHAnsi"/>
          <w:b/>
          <w:bCs/>
          <w:color w:val="000000"/>
          <w:sz w:val="22"/>
          <w:szCs w:val="22"/>
        </w:rPr>
      </w:pPr>
      <w:r w:rsidRPr="0025566E">
        <w:rPr>
          <w:rFonts w:asciiTheme="minorHAnsi" w:hAnsiTheme="minorHAnsi" w:cstheme="minorHAnsi"/>
          <w:b/>
          <w:bCs/>
          <w:color w:val="000000"/>
          <w:sz w:val="22"/>
          <w:szCs w:val="22"/>
        </w:rPr>
        <w:t>Présentation des performances passées</w:t>
      </w:r>
    </w:p>
    <w:p w14:paraId="750380FE" w14:textId="77777777" w:rsidR="00963CBD" w:rsidRPr="0025566E" w:rsidRDefault="000D3E00" w:rsidP="00C4256A">
      <w:pPr>
        <w:pStyle w:val="Normal1"/>
        <w:numPr>
          <w:ilvl w:val="0"/>
          <w:numId w:val="22"/>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Les informations relatives aux performances passées de l’OPC sont présentées sous la forme d’un diagramme en bâtons, qui couvre les performances de l’OPC sur les dix (10) dernières années.</w:t>
      </w:r>
    </w:p>
    <w:p w14:paraId="14892151" w14:textId="529618F8" w:rsidR="000D3E00" w:rsidRPr="0025566E" w:rsidRDefault="000D3E00" w:rsidP="00963CBD">
      <w:pPr>
        <w:pStyle w:val="Normal1"/>
        <w:spacing w:before="120" w:beforeAutospacing="0" w:after="0" w:afterAutospacing="0"/>
        <w:ind w:left="7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 diagramme en bâtons visé au premier alinéa est d’une taille suffisante pour être lisible, mais n’occupe en aucun cas plus d’une demi-page dans le document d’informatio</w:t>
      </w:r>
      <w:r w:rsidR="003A32BC" w:rsidRPr="0025566E">
        <w:rPr>
          <w:rFonts w:asciiTheme="minorHAnsi" w:hAnsiTheme="minorHAnsi" w:cstheme="minorHAnsi"/>
          <w:color w:val="000000"/>
          <w:sz w:val="22"/>
          <w:szCs w:val="22"/>
        </w:rPr>
        <w:t>ns simplifiés</w:t>
      </w:r>
      <w:r w:rsidRPr="0025566E">
        <w:rPr>
          <w:rFonts w:asciiTheme="minorHAnsi" w:hAnsiTheme="minorHAnsi" w:cstheme="minorHAnsi"/>
          <w:color w:val="000000"/>
          <w:sz w:val="22"/>
          <w:szCs w:val="22"/>
        </w:rPr>
        <w:t>.</w:t>
      </w:r>
    </w:p>
    <w:p w14:paraId="1785810D" w14:textId="77777777" w:rsidR="00963CBD" w:rsidRPr="0025566E" w:rsidRDefault="000D3E00" w:rsidP="00C4256A">
      <w:pPr>
        <w:pStyle w:val="Normal1"/>
        <w:numPr>
          <w:ilvl w:val="0"/>
          <w:numId w:val="22"/>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Les OPC ayant moins de cinq années civiles complètes d’existence utilisent une présentation couvrant les cinq</w:t>
      </w:r>
      <w:r w:rsidR="00963CBD" w:rsidRPr="0025566E">
        <w:rPr>
          <w:rFonts w:asciiTheme="minorHAnsi" w:hAnsiTheme="minorHAnsi" w:cstheme="minorHAnsi"/>
          <w:color w:val="000000"/>
          <w:sz w:val="22"/>
          <w:szCs w:val="22"/>
        </w:rPr>
        <w:t xml:space="preserve"> (5)</w:t>
      </w:r>
      <w:r w:rsidRPr="0025566E">
        <w:rPr>
          <w:rFonts w:asciiTheme="minorHAnsi" w:hAnsiTheme="minorHAnsi" w:cstheme="minorHAnsi"/>
          <w:color w:val="000000"/>
          <w:sz w:val="22"/>
          <w:szCs w:val="22"/>
        </w:rPr>
        <w:t xml:space="preserve"> dernières années uniquement.</w:t>
      </w:r>
    </w:p>
    <w:p w14:paraId="7083B8B1" w14:textId="77777777" w:rsidR="00963CBD" w:rsidRPr="0025566E" w:rsidRDefault="000D3E00" w:rsidP="00C4256A">
      <w:pPr>
        <w:pStyle w:val="Normal1"/>
        <w:numPr>
          <w:ilvl w:val="0"/>
          <w:numId w:val="22"/>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Pour toute année pour laquelle aucune donnée n’est disponible, le diagramme est vide et ne comprend aucune autre indication que la date.</w:t>
      </w:r>
    </w:p>
    <w:p w14:paraId="4602D2CA" w14:textId="77777777" w:rsidR="00963CBD" w:rsidRPr="0025566E" w:rsidRDefault="000D3E00" w:rsidP="00C4256A">
      <w:pPr>
        <w:pStyle w:val="Normal1"/>
        <w:numPr>
          <w:ilvl w:val="0"/>
          <w:numId w:val="22"/>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Dans le cas d’un OPC ne disposant pas encore de données relatives à ses performances passées pour une année civile complète, une déclaration est insérée, qui indique qu’il existe trop peu de données pour fournir aux investisseurs des indications utiles sur les performances passées.</w:t>
      </w:r>
    </w:p>
    <w:p w14:paraId="188CCB48" w14:textId="4989C978" w:rsidR="000D3E00" w:rsidRPr="0025566E" w:rsidRDefault="000D3E00" w:rsidP="00C4256A">
      <w:pPr>
        <w:pStyle w:val="Normal1"/>
        <w:numPr>
          <w:ilvl w:val="0"/>
          <w:numId w:val="22"/>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 diagramme en bâtons est complété par des déclarations, placées bien en évidence, qui:</w:t>
      </w:r>
    </w:p>
    <w:tbl>
      <w:tblPr>
        <w:tblW w:w="5000" w:type="pct"/>
        <w:tblCellMar>
          <w:left w:w="0" w:type="dxa"/>
          <w:right w:w="0" w:type="dxa"/>
        </w:tblCellMar>
        <w:tblLook w:val="04A0" w:firstRow="1" w:lastRow="0" w:firstColumn="1" w:lastColumn="0" w:noHBand="0" w:noVBand="1"/>
      </w:tblPr>
      <w:tblGrid>
        <w:gridCol w:w="7"/>
        <w:gridCol w:w="9057"/>
      </w:tblGrid>
      <w:tr w:rsidR="000D3E00" w:rsidRPr="0025566E" w14:paraId="50709CF8" w14:textId="77777777" w:rsidTr="000D3E00">
        <w:tc>
          <w:tcPr>
            <w:tcW w:w="0" w:type="auto"/>
            <w:shd w:val="clear" w:color="auto" w:fill="auto"/>
            <w:hideMark/>
          </w:tcPr>
          <w:p w14:paraId="6C5F403A" w14:textId="3C474D89" w:rsidR="000D3E00" w:rsidRPr="0025566E" w:rsidRDefault="000D3E00" w:rsidP="00C4256A">
            <w:pPr>
              <w:pStyle w:val="Normal1"/>
              <w:numPr>
                <w:ilvl w:val="0"/>
                <w:numId w:val="23"/>
              </w:numPr>
              <w:spacing w:before="120" w:beforeAutospacing="0" w:after="0" w:afterAutospacing="0"/>
              <w:jc w:val="both"/>
              <w:rPr>
                <w:rFonts w:asciiTheme="minorHAnsi" w:hAnsiTheme="minorHAnsi" w:cstheme="minorHAnsi"/>
                <w:color w:val="000000"/>
                <w:sz w:val="22"/>
                <w:szCs w:val="22"/>
              </w:rPr>
            </w:pPr>
          </w:p>
        </w:tc>
        <w:tc>
          <w:tcPr>
            <w:tcW w:w="0" w:type="auto"/>
            <w:shd w:val="clear" w:color="auto" w:fill="auto"/>
            <w:hideMark/>
          </w:tcPr>
          <w:p w14:paraId="1D2FDE51" w14:textId="1872F5E1" w:rsidR="000D3E00" w:rsidRPr="0025566E" w:rsidRDefault="000D3E00" w:rsidP="00C4256A">
            <w:pPr>
              <w:pStyle w:val="Normal1"/>
              <w:numPr>
                <w:ilvl w:val="0"/>
                <w:numId w:val="24"/>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précisent qu’il ne constitue pas une indication fiable des performances futures;</w:t>
            </w:r>
          </w:p>
        </w:tc>
      </w:tr>
    </w:tbl>
    <w:p w14:paraId="0B42C43E" w14:textId="77777777" w:rsidR="000D3E00" w:rsidRPr="0025566E" w:rsidRDefault="000D3E00" w:rsidP="000D3E00">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720"/>
        <w:gridCol w:w="8344"/>
      </w:tblGrid>
      <w:tr w:rsidR="000D3E00" w:rsidRPr="0025566E" w14:paraId="5BB34A37" w14:textId="77777777" w:rsidTr="000D3E00">
        <w:tc>
          <w:tcPr>
            <w:tcW w:w="0" w:type="auto"/>
            <w:shd w:val="clear" w:color="auto" w:fill="auto"/>
            <w:hideMark/>
          </w:tcPr>
          <w:p w14:paraId="1B6F3274" w14:textId="40BE9F5A" w:rsidR="000D3E00" w:rsidRPr="0025566E" w:rsidRDefault="00963CBD" w:rsidP="00C4256A">
            <w:pPr>
              <w:pStyle w:val="Normal1"/>
              <w:numPr>
                <w:ilvl w:val="0"/>
                <w:numId w:val="24"/>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 </w:t>
            </w:r>
          </w:p>
        </w:tc>
        <w:tc>
          <w:tcPr>
            <w:tcW w:w="0" w:type="auto"/>
            <w:shd w:val="clear" w:color="auto" w:fill="auto"/>
            <w:hideMark/>
          </w:tcPr>
          <w:p w14:paraId="13EF3AE6" w14:textId="77777777" w:rsidR="000D3E00" w:rsidRPr="0025566E" w:rsidRDefault="000D3E00">
            <w:pPr>
              <w:pStyle w:val="Normal1"/>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indiquent brièvement quels frais et commissions ont été inclus ou, au contraire, exclus du calcul des performances passées;</w:t>
            </w:r>
          </w:p>
        </w:tc>
      </w:tr>
    </w:tbl>
    <w:p w14:paraId="083316D2" w14:textId="77777777" w:rsidR="000D3E00" w:rsidRPr="0025566E" w:rsidRDefault="000D3E00" w:rsidP="000D3E00">
      <w:pPr>
        <w:rPr>
          <w:rFonts w:asciiTheme="minorHAnsi" w:hAnsiTheme="minorHAnsi" w:cstheme="minorHAnsi"/>
          <w:vanish/>
          <w:sz w:val="22"/>
          <w:szCs w:val="22"/>
        </w:rPr>
      </w:pPr>
    </w:p>
    <w:tbl>
      <w:tblPr>
        <w:tblW w:w="4694" w:type="pct"/>
        <w:tblCellMar>
          <w:left w:w="0" w:type="dxa"/>
          <w:right w:w="0" w:type="dxa"/>
        </w:tblCellMar>
        <w:tblLook w:val="04A0" w:firstRow="1" w:lastRow="0" w:firstColumn="1" w:lastColumn="0" w:noHBand="0" w:noVBand="1"/>
      </w:tblPr>
      <w:tblGrid>
        <w:gridCol w:w="720"/>
        <w:gridCol w:w="7789"/>
      </w:tblGrid>
      <w:tr w:rsidR="00963CBD" w:rsidRPr="0025566E" w14:paraId="0ECB6B2D" w14:textId="77777777" w:rsidTr="00963CBD">
        <w:tc>
          <w:tcPr>
            <w:tcW w:w="423" w:type="pct"/>
            <w:shd w:val="clear" w:color="auto" w:fill="auto"/>
            <w:hideMark/>
          </w:tcPr>
          <w:p w14:paraId="2AFF2CEA" w14:textId="38F477F0" w:rsidR="000D3E00" w:rsidRPr="0025566E" w:rsidRDefault="00963CBD" w:rsidP="00C4256A">
            <w:pPr>
              <w:pStyle w:val="Normal1"/>
              <w:numPr>
                <w:ilvl w:val="0"/>
                <w:numId w:val="24"/>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 </w:t>
            </w:r>
          </w:p>
        </w:tc>
        <w:tc>
          <w:tcPr>
            <w:tcW w:w="0" w:type="auto"/>
            <w:shd w:val="clear" w:color="auto" w:fill="auto"/>
            <w:hideMark/>
          </w:tcPr>
          <w:p w14:paraId="1A6AD072" w14:textId="77777777" w:rsidR="000D3E00" w:rsidRPr="0025566E" w:rsidRDefault="000D3E00" w:rsidP="00963CBD">
            <w:pPr>
              <w:pStyle w:val="Normal1"/>
              <w:spacing w:before="120" w:beforeAutospacing="0" w:after="0" w:afterAutospacing="0"/>
              <w:ind w:left="-17"/>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mentionnent l’année de création du fonds;</w:t>
            </w:r>
          </w:p>
        </w:tc>
      </w:tr>
    </w:tbl>
    <w:p w14:paraId="2CDB54F2" w14:textId="77777777" w:rsidR="000D3E00" w:rsidRPr="0025566E" w:rsidRDefault="000D3E00" w:rsidP="000D3E00">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835"/>
        <w:gridCol w:w="8229"/>
      </w:tblGrid>
      <w:tr w:rsidR="000D3E00" w:rsidRPr="0025566E" w14:paraId="44E8E2E0" w14:textId="77777777" w:rsidTr="000D3E00">
        <w:tc>
          <w:tcPr>
            <w:tcW w:w="0" w:type="auto"/>
            <w:shd w:val="clear" w:color="auto" w:fill="auto"/>
            <w:hideMark/>
          </w:tcPr>
          <w:p w14:paraId="75569935" w14:textId="29F1EA08" w:rsidR="000D3E00" w:rsidRPr="0025566E" w:rsidRDefault="00963CBD" w:rsidP="00C4256A">
            <w:pPr>
              <w:pStyle w:val="Normal1"/>
              <w:numPr>
                <w:ilvl w:val="0"/>
                <w:numId w:val="24"/>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 </w:t>
            </w:r>
          </w:p>
        </w:tc>
        <w:tc>
          <w:tcPr>
            <w:tcW w:w="0" w:type="auto"/>
            <w:shd w:val="clear" w:color="auto" w:fill="auto"/>
            <w:hideMark/>
          </w:tcPr>
          <w:p w14:paraId="16408988" w14:textId="77777777" w:rsidR="000D3E00" w:rsidRPr="0025566E" w:rsidRDefault="000D3E00">
            <w:pPr>
              <w:pStyle w:val="Normal1"/>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indiquent la monnaie dans laquelle les performances passées ont été calculées.</w:t>
            </w:r>
          </w:p>
        </w:tc>
      </w:tr>
    </w:tbl>
    <w:p w14:paraId="35547541" w14:textId="22ECB080" w:rsidR="000D3E00" w:rsidRPr="0025566E" w:rsidRDefault="000D3E00" w:rsidP="000D3E00">
      <w:pPr>
        <w:pStyle w:val="Normal1"/>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L’exigence prévue au point b) ne s’applique pas aux OPC qui ne facturent pas de frais d’entrée ou de sortie.</w:t>
      </w:r>
    </w:p>
    <w:p w14:paraId="04231C34" w14:textId="1A6C69A2" w:rsidR="000D3E00" w:rsidRPr="0025566E" w:rsidRDefault="000D3E00" w:rsidP="00C4256A">
      <w:pPr>
        <w:pStyle w:val="Normal1"/>
        <w:numPr>
          <w:ilvl w:val="0"/>
          <w:numId w:val="22"/>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Le document d’information </w:t>
      </w:r>
      <w:r w:rsidR="00963CBD" w:rsidRPr="0025566E">
        <w:rPr>
          <w:rFonts w:asciiTheme="minorHAnsi" w:hAnsiTheme="minorHAnsi" w:cstheme="minorHAnsi"/>
          <w:color w:val="000000"/>
          <w:sz w:val="22"/>
          <w:szCs w:val="22"/>
        </w:rPr>
        <w:t>simplifié</w:t>
      </w:r>
      <w:r w:rsidRPr="0025566E">
        <w:rPr>
          <w:rFonts w:asciiTheme="minorHAnsi" w:hAnsiTheme="minorHAnsi" w:cstheme="minorHAnsi"/>
          <w:color w:val="000000"/>
          <w:sz w:val="22"/>
          <w:szCs w:val="22"/>
        </w:rPr>
        <w:t xml:space="preserve"> ne contient aucune information sur les performances passées pour l’année civile en cours.</w:t>
      </w:r>
    </w:p>
    <w:p w14:paraId="127B0002" w14:textId="7A56DFDA" w:rsidR="000D3E00" w:rsidRPr="0025566E" w:rsidRDefault="000D3E00" w:rsidP="00C4256A">
      <w:pPr>
        <w:pStyle w:val="Normal1"/>
        <w:numPr>
          <w:ilvl w:val="0"/>
          <w:numId w:val="22"/>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 calcul des performances passées est fondé sur la valeur d’inventaire nette de l’OPC et sur le principe selon lequel toute recette distribuable du fonds a été réinvestie.</w:t>
      </w:r>
    </w:p>
    <w:p w14:paraId="081E935D" w14:textId="3AC2249F" w:rsidR="00D8565D" w:rsidRPr="0025566E" w:rsidRDefault="00D8565D" w:rsidP="00C4256A">
      <w:pPr>
        <w:pStyle w:val="Paragraphedeliste"/>
        <w:numPr>
          <w:ilvl w:val="0"/>
          <w:numId w:val="22"/>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 diagramme en bâtons présentant les performances passées satisfait aux critères suivants</w:t>
      </w:r>
      <w:r w:rsidR="004F0966" w:rsidRPr="0025566E">
        <w:rPr>
          <w:rFonts w:asciiTheme="minorHAnsi" w:hAnsiTheme="minorHAnsi" w:cstheme="minorHAnsi"/>
          <w:color w:val="000000"/>
          <w:sz w:val="22"/>
          <w:szCs w:val="22"/>
        </w:rPr>
        <w:t xml:space="preserve"> </w:t>
      </w:r>
      <w:r w:rsidRPr="0025566E">
        <w:rPr>
          <w:rFonts w:asciiTheme="minorHAnsi" w:hAnsiTheme="minorHAnsi" w:cstheme="minorHAnsi"/>
          <w:color w:val="000000"/>
          <w:sz w:val="22"/>
          <w:szCs w:val="22"/>
        </w:rPr>
        <w:t>:</w:t>
      </w:r>
    </w:p>
    <w:tbl>
      <w:tblPr>
        <w:tblW w:w="4946" w:type="pct"/>
        <w:tblCellMar>
          <w:left w:w="0" w:type="dxa"/>
          <w:right w:w="0" w:type="dxa"/>
        </w:tblCellMar>
        <w:tblLook w:val="04A0" w:firstRow="1" w:lastRow="0" w:firstColumn="1" w:lastColumn="0" w:noHBand="0" w:noVBand="1"/>
      </w:tblPr>
      <w:tblGrid>
        <w:gridCol w:w="8966"/>
      </w:tblGrid>
      <w:tr w:rsidR="00D8565D" w:rsidRPr="0025566E" w14:paraId="4C140CAE" w14:textId="77777777" w:rsidTr="00D8565D">
        <w:tc>
          <w:tcPr>
            <w:tcW w:w="0" w:type="auto"/>
            <w:shd w:val="clear" w:color="auto" w:fill="auto"/>
            <w:hideMark/>
          </w:tcPr>
          <w:p w14:paraId="06A6E7B7" w14:textId="5D4065CC" w:rsidR="00D8565D" w:rsidRPr="0025566E" w:rsidRDefault="00D8565D" w:rsidP="00C4256A">
            <w:pPr>
              <w:pStyle w:val="Paragraphedeliste"/>
              <w:numPr>
                <w:ilvl w:val="0"/>
                <w:numId w:val="28"/>
              </w:numPr>
              <w:spacing w:before="120"/>
              <w:ind w:left="709"/>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l’échelle de l’axe des Y du diagramme est linéaire, et non logarithmique;</w:t>
            </w:r>
          </w:p>
        </w:tc>
      </w:tr>
    </w:tbl>
    <w:p w14:paraId="383747B4" w14:textId="77777777" w:rsidR="00D8565D" w:rsidRPr="0025566E" w:rsidRDefault="00D8565D" w:rsidP="00D8565D">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183"/>
        <w:gridCol w:w="8881"/>
      </w:tblGrid>
      <w:tr w:rsidR="00D8565D" w:rsidRPr="0025566E" w14:paraId="36AD2D35" w14:textId="77777777" w:rsidTr="00D8565D">
        <w:tc>
          <w:tcPr>
            <w:tcW w:w="101" w:type="pct"/>
            <w:shd w:val="clear" w:color="auto" w:fill="auto"/>
            <w:hideMark/>
          </w:tcPr>
          <w:p w14:paraId="3BC68BB9" w14:textId="72F1144F" w:rsidR="00D8565D" w:rsidRPr="0025566E" w:rsidRDefault="00D8565D" w:rsidP="00D8565D">
            <w:pPr>
              <w:spacing w:before="120"/>
              <w:jc w:val="both"/>
              <w:rPr>
                <w:rFonts w:asciiTheme="minorHAnsi" w:hAnsiTheme="minorHAnsi" w:cstheme="minorHAnsi"/>
                <w:color w:val="000000"/>
                <w:sz w:val="22"/>
                <w:szCs w:val="22"/>
              </w:rPr>
            </w:pPr>
          </w:p>
        </w:tc>
        <w:tc>
          <w:tcPr>
            <w:tcW w:w="4899" w:type="pct"/>
            <w:shd w:val="clear" w:color="auto" w:fill="auto"/>
            <w:hideMark/>
          </w:tcPr>
          <w:p w14:paraId="4AEB0F0C" w14:textId="2CA8D38A" w:rsidR="00D8565D" w:rsidRPr="0025566E" w:rsidRDefault="00D8565D" w:rsidP="00C4256A">
            <w:pPr>
              <w:pStyle w:val="Paragraphedeliste"/>
              <w:numPr>
                <w:ilvl w:val="0"/>
                <w:numId w:val="28"/>
              </w:numPr>
              <w:spacing w:before="120"/>
              <w:ind w:left="53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l’échelle est adaptée à la taille des bâtons et ne comprime pas ceux-ci au point de rendre les fluctuations des rendements difficiles à discerner;</w:t>
            </w:r>
          </w:p>
        </w:tc>
      </w:tr>
    </w:tbl>
    <w:p w14:paraId="2CAC08AC" w14:textId="77777777" w:rsidR="00D8565D" w:rsidRPr="0025566E" w:rsidRDefault="00D8565D" w:rsidP="00D8565D">
      <w:pPr>
        <w:rPr>
          <w:rFonts w:asciiTheme="minorHAnsi" w:hAnsiTheme="minorHAnsi" w:cstheme="minorHAnsi"/>
          <w:vanish/>
          <w:sz w:val="22"/>
          <w:szCs w:val="22"/>
        </w:rPr>
      </w:pPr>
    </w:p>
    <w:tbl>
      <w:tblPr>
        <w:tblW w:w="5149" w:type="pct"/>
        <w:tblLayout w:type="fixed"/>
        <w:tblCellMar>
          <w:left w:w="0" w:type="dxa"/>
          <w:right w:w="0" w:type="dxa"/>
        </w:tblCellMar>
        <w:tblLook w:val="04A0" w:firstRow="1" w:lastRow="0" w:firstColumn="1" w:lastColumn="0" w:noHBand="0" w:noVBand="1"/>
      </w:tblPr>
      <w:tblGrid>
        <w:gridCol w:w="284"/>
        <w:gridCol w:w="9050"/>
      </w:tblGrid>
      <w:tr w:rsidR="00D8565D" w:rsidRPr="0025566E" w14:paraId="5A6A05DB" w14:textId="77777777" w:rsidTr="00D8565D">
        <w:tc>
          <w:tcPr>
            <w:tcW w:w="152" w:type="pct"/>
            <w:shd w:val="clear" w:color="auto" w:fill="auto"/>
            <w:hideMark/>
          </w:tcPr>
          <w:p w14:paraId="5ED56DB9" w14:textId="71756B16" w:rsidR="00D8565D" w:rsidRPr="0025566E" w:rsidRDefault="00D8565D" w:rsidP="00D8565D">
            <w:pPr>
              <w:spacing w:before="120"/>
              <w:jc w:val="both"/>
              <w:rPr>
                <w:rFonts w:asciiTheme="minorHAnsi" w:hAnsiTheme="minorHAnsi" w:cstheme="minorHAnsi"/>
                <w:color w:val="000000"/>
                <w:sz w:val="22"/>
                <w:szCs w:val="22"/>
              </w:rPr>
            </w:pPr>
          </w:p>
        </w:tc>
        <w:tc>
          <w:tcPr>
            <w:tcW w:w="4848" w:type="pct"/>
            <w:shd w:val="clear" w:color="auto" w:fill="auto"/>
            <w:hideMark/>
          </w:tcPr>
          <w:p w14:paraId="3CDF37BC" w14:textId="6B0238F1" w:rsidR="00D8565D" w:rsidRPr="0025566E" w:rsidRDefault="00D8565D" w:rsidP="00C4256A">
            <w:pPr>
              <w:pStyle w:val="Paragraphedeliste"/>
              <w:numPr>
                <w:ilvl w:val="0"/>
                <w:numId w:val="28"/>
              </w:numPr>
              <w:spacing w:before="120"/>
              <w:ind w:left="425"/>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l’axe des X se situe au niveau de performance de 0 %;</w:t>
            </w:r>
          </w:p>
        </w:tc>
      </w:tr>
    </w:tbl>
    <w:p w14:paraId="306F853E" w14:textId="77777777" w:rsidR="00D8565D" w:rsidRPr="0025566E" w:rsidRDefault="00D8565D" w:rsidP="00D8565D">
      <w:pPr>
        <w:rPr>
          <w:rFonts w:asciiTheme="minorHAnsi" w:hAnsiTheme="minorHAnsi" w:cstheme="minorHAnsi"/>
          <w:vanish/>
          <w:sz w:val="22"/>
          <w:szCs w:val="22"/>
        </w:rPr>
      </w:pPr>
    </w:p>
    <w:tbl>
      <w:tblPr>
        <w:tblW w:w="5238" w:type="pct"/>
        <w:tblLayout w:type="fixed"/>
        <w:tblCellMar>
          <w:left w:w="0" w:type="dxa"/>
          <w:right w:w="0" w:type="dxa"/>
        </w:tblCellMar>
        <w:tblLook w:val="04A0" w:firstRow="1" w:lastRow="0" w:firstColumn="1" w:lastColumn="0" w:noHBand="0" w:noVBand="1"/>
      </w:tblPr>
      <w:tblGrid>
        <w:gridCol w:w="425"/>
        <w:gridCol w:w="9070"/>
      </w:tblGrid>
      <w:tr w:rsidR="00D8565D" w:rsidRPr="0025566E" w14:paraId="36C95185" w14:textId="77777777" w:rsidTr="00D8565D">
        <w:tc>
          <w:tcPr>
            <w:tcW w:w="224" w:type="pct"/>
            <w:shd w:val="clear" w:color="auto" w:fill="auto"/>
            <w:hideMark/>
          </w:tcPr>
          <w:p w14:paraId="41575777" w14:textId="79DDBA1C" w:rsidR="00D8565D" w:rsidRPr="0025566E" w:rsidRDefault="00D8565D" w:rsidP="00D8565D">
            <w:pPr>
              <w:spacing w:before="120"/>
              <w:jc w:val="both"/>
              <w:rPr>
                <w:rFonts w:asciiTheme="minorHAnsi" w:hAnsiTheme="minorHAnsi" w:cstheme="minorHAnsi"/>
                <w:color w:val="000000"/>
                <w:sz w:val="22"/>
                <w:szCs w:val="22"/>
              </w:rPr>
            </w:pPr>
          </w:p>
        </w:tc>
        <w:tc>
          <w:tcPr>
            <w:tcW w:w="4776" w:type="pct"/>
            <w:shd w:val="clear" w:color="auto" w:fill="auto"/>
            <w:hideMark/>
          </w:tcPr>
          <w:p w14:paraId="4EC3560F" w14:textId="71A1E3AB" w:rsidR="00D8565D" w:rsidRPr="0025566E" w:rsidRDefault="00D8565D" w:rsidP="00C4256A">
            <w:pPr>
              <w:pStyle w:val="Paragraphedeliste"/>
              <w:numPr>
                <w:ilvl w:val="0"/>
                <w:numId w:val="28"/>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une légende est insérée pour chaque bâton, qui indique le rendement réalisé en pourcentage;</w:t>
            </w:r>
          </w:p>
        </w:tc>
      </w:tr>
    </w:tbl>
    <w:p w14:paraId="64492D83" w14:textId="77777777" w:rsidR="00D8565D" w:rsidRPr="0025566E" w:rsidRDefault="00D8565D" w:rsidP="00D8565D">
      <w:pPr>
        <w:rPr>
          <w:rFonts w:asciiTheme="minorHAnsi" w:hAnsiTheme="minorHAnsi" w:cstheme="minorHAnsi"/>
          <w:vanish/>
          <w:sz w:val="22"/>
          <w:szCs w:val="22"/>
        </w:rPr>
      </w:pPr>
    </w:p>
    <w:tbl>
      <w:tblPr>
        <w:tblW w:w="5227" w:type="pct"/>
        <w:tblLayout w:type="fixed"/>
        <w:tblCellMar>
          <w:left w:w="0" w:type="dxa"/>
          <w:right w:w="0" w:type="dxa"/>
        </w:tblCellMar>
        <w:tblLook w:val="04A0" w:firstRow="1" w:lastRow="0" w:firstColumn="1" w:lastColumn="0" w:noHBand="0" w:noVBand="1"/>
      </w:tblPr>
      <w:tblGrid>
        <w:gridCol w:w="426"/>
        <w:gridCol w:w="9050"/>
      </w:tblGrid>
      <w:tr w:rsidR="00D8565D" w:rsidRPr="0025566E" w14:paraId="5CB290B3" w14:textId="77777777" w:rsidTr="00D8565D">
        <w:tc>
          <w:tcPr>
            <w:tcW w:w="225" w:type="pct"/>
            <w:shd w:val="clear" w:color="auto" w:fill="auto"/>
            <w:hideMark/>
          </w:tcPr>
          <w:p w14:paraId="6663DE64" w14:textId="09897F7E" w:rsidR="00D8565D" w:rsidRPr="0025566E" w:rsidRDefault="00D8565D" w:rsidP="00D8565D">
            <w:pPr>
              <w:spacing w:before="120"/>
              <w:jc w:val="both"/>
              <w:rPr>
                <w:rFonts w:asciiTheme="minorHAnsi" w:hAnsiTheme="minorHAnsi" w:cstheme="minorHAnsi"/>
                <w:color w:val="000000"/>
                <w:sz w:val="22"/>
                <w:szCs w:val="22"/>
              </w:rPr>
            </w:pPr>
          </w:p>
        </w:tc>
        <w:tc>
          <w:tcPr>
            <w:tcW w:w="4775" w:type="pct"/>
            <w:shd w:val="clear" w:color="auto" w:fill="auto"/>
            <w:hideMark/>
          </w:tcPr>
          <w:p w14:paraId="2057A06F" w14:textId="66A98BCE" w:rsidR="00D8565D" w:rsidRPr="0025566E" w:rsidRDefault="00D8565D" w:rsidP="00C4256A">
            <w:pPr>
              <w:pStyle w:val="Paragraphedeliste"/>
              <w:numPr>
                <w:ilvl w:val="0"/>
                <w:numId w:val="28"/>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les performances passées sont arrondies à la première décimale.</w:t>
            </w:r>
          </w:p>
        </w:tc>
      </w:tr>
    </w:tbl>
    <w:p w14:paraId="7DD69EAE" w14:textId="662946AF" w:rsidR="000832E4" w:rsidRPr="0025566E" w:rsidRDefault="000832E4" w:rsidP="000832E4">
      <w:pPr>
        <w:rPr>
          <w:rFonts w:asciiTheme="minorHAnsi" w:hAnsiTheme="minorHAnsi" w:cstheme="minorHAnsi"/>
          <w:sz w:val="22"/>
          <w:szCs w:val="22"/>
        </w:rPr>
      </w:pPr>
    </w:p>
    <w:p w14:paraId="33F13C4D" w14:textId="7D5CB1E4" w:rsidR="000D3E00" w:rsidRPr="0025566E" w:rsidRDefault="000832E4" w:rsidP="004F0966">
      <w:pPr>
        <w:pStyle w:val="sti-art"/>
        <w:numPr>
          <w:ilvl w:val="0"/>
          <w:numId w:val="3"/>
        </w:numPr>
        <w:spacing w:before="60" w:beforeAutospacing="0" w:after="120" w:afterAutospacing="0"/>
        <w:ind w:left="567"/>
        <w:rPr>
          <w:rFonts w:asciiTheme="minorHAnsi" w:hAnsiTheme="minorHAnsi" w:cstheme="minorHAnsi"/>
          <w:b/>
          <w:bCs/>
          <w:color w:val="000000"/>
          <w:sz w:val="22"/>
          <w:szCs w:val="22"/>
        </w:rPr>
      </w:pPr>
      <w:r w:rsidRPr="0025566E">
        <w:rPr>
          <w:rFonts w:asciiTheme="minorHAnsi" w:hAnsiTheme="minorHAnsi" w:cstheme="minorHAnsi"/>
          <w:b/>
          <w:bCs/>
          <w:color w:val="000000"/>
          <w:sz w:val="22"/>
          <w:szCs w:val="22"/>
        </w:rPr>
        <w:t>Impact et traitement des changements importants</w:t>
      </w:r>
    </w:p>
    <w:p w14:paraId="1D543CDF" w14:textId="52866D03" w:rsidR="000832E4" w:rsidRPr="0025566E" w:rsidRDefault="000832E4" w:rsidP="00C4256A">
      <w:pPr>
        <w:pStyle w:val="Normal1"/>
        <w:numPr>
          <w:ilvl w:val="0"/>
          <w:numId w:val="25"/>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Lorsqu’un changement important survient dans les objectifs et la politique d’investissement de l’OPC durant la période couverte par le diagramme en bâtons visé au I, les performances passées enregistrées par l’OPC avant ce changement important continuent à figurer dans le diagramme.</w:t>
      </w:r>
    </w:p>
    <w:p w14:paraId="43AFFB92" w14:textId="5E288FC8" w:rsidR="000832E4" w:rsidRPr="0025566E" w:rsidRDefault="000832E4" w:rsidP="00C4256A">
      <w:pPr>
        <w:pStyle w:val="Normal1"/>
        <w:numPr>
          <w:ilvl w:val="0"/>
          <w:numId w:val="25"/>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lastRenderedPageBreak/>
        <w:t>La période antérieure au changement important visé au paragraphe 1 est signalée dans le diagramme en bâtons et fait l’objet d’un avertissement clair selon lequel les performances affichées ont été réalisées dans des circonstances qui ne sont plus d’actualité</w:t>
      </w:r>
      <w:r w:rsidR="00C4256A" w:rsidRPr="0025566E">
        <w:rPr>
          <w:rFonts w:asciiTheme="minorHAnsi" w:hAnsiTheme="minorHAnsi" w:cstheme="minorHAnsi"/>
          <w:color w:val="000000"/>
          <w:sz w:val="22"/>
          <w:szCs w:val="22"/>
        </w:rPr>
        <w:t>.</w:t>
      </w:r>
    </w:p>
    <w:p w14:paraId="5520DF6B" w14:textId="77777777" w:rsidR="00C4256A" w:rsidRPr="0025566E" w:rsidRDefault="00C4256A" w:rsidP="00C4256A">
      <w:pPr>
        <w:pStyle w:val="Normal1"/>
        <w:spacing w:before="120" w:beforeAutospacing="0" w:after="0" w:afterAutospacing="0"/>
        <w:ind w:left="720"/>
        <w:jc w:val="both"/>
        <w:rPr>
          <w:rFonts w:asciiTheme="minorHAnsi" w:hAnsiTheme="minorHAnsi" w:cstheme="minorHAnsi"/>
          <w:color w:val="000000"/>
          <w:sz w:val="22"/>
          <w:szCs w:val="22"/>
        </w:rPr>
      </w:pPr>
    </w:p>
    <w:p w14:paraId="2ED69F75" w14:textId="1FE22E9F" w:rsidR="000832E4" w:rsidRPr="0025566E" w:rsidRDefault="000832E4" w:rsidP="004F0966">
      <w:pPr>
        <w:pStyle w:val="sti-art"/>
        <w:numPr>
          <w:ilvl w:val="0"/>
          <w:numId w:val="3"/>
        </w:numPr>
        <w:spacing w:before="60" w:beforeAutospacing="0" w:after="120" w:afterAutospacing="0"/>
        <w:ind w:left="567"/>
        <w:rPr>
          <w:rFonts w:asciiTheme="minorHAnsi" w:hAnsiTheme="minorHAnsi" w:cstheme="minorHAnsi"/>
          <w:b/>
          <w:bCs/>
          <w:color w:val="000000"/>
          <w:sz w:val="22"/>
          <w:szCs w:val="22"/>
        </w:rPr>
      </w:pPr>
      <w:r w:rsidRPr="0025566E">
        <w:rPr>
          <w:rFonts w:asciiTheme="minorHAnsi" w:hAnsiTheme="minorHAnsi" w:cstheme="minorHAnsi"/>
          <w:b/>
          <w:bCs/>
          <w:color w:val="000000"/>
          <w:sz w:val="22"/>
          <w:szCs w:val="22"/>
        </w:rPr>
        <w:t>Utilisation d’une valeur de référence parallèlement aux performances passées</w:t>
      </w:r>
    </w:p>
    <w:p w14:paraId="7C5076D4" w14:textId="7773E556" w:rsidR="000832E4" w:rsidRPr="0025566E" w:rsidRDefault="000832E4" w:rsidP="00C4256A">
      <w:pPr>
        <w:pStyle w:val="Normal1"/>
        <w:numPr>
          <w:ilvl w:val="0"/>
          <w:numId w:val="26"/>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Lorsque la section «</w:t>
      </w:r>
      <w:r w:rsidR="004F0966" w:rsidRPr="0025566E">
        <w:rPr>
          <w:rFonts w:asciiTheme="minorHAnsi" w:hAnsiTheme="minorHAnsi" w:cstheme="minorHAnsi"/>
          <w:color w:val="000000"/>
          <w:sz w:val="22"/>
          <w:szCs w:val="22"/>
        </w:rPr>
        <w:t xml:space="preserve"> </w:t>
      </w:r>
      <w:r w:rsidRPr="0025566E">
        <w:rPr>
          <w:rFonts w:asciiTheme="minorHAnsi" w:hAnsiTheme="minorHAnsi" w:cstheme="minorHAnsi"/>
          <w:color w:val="000000"/>
          <w:sz w:val="22"/>
          <w:szCs w:val="22"/>
        </w:rPr>
        <w:t>Objectifs et politique d'investissement</w:t>
      </w:r>
      <w:r w:rsidR="004F0966" w:rsidRPr="0025566E">
        <w:rPr>
          <w:rFonts w:asciiTheme="minorHAnsi" w:hAnsiTheme="minorHAnsi" w:cstheme="minorHAnsi"/>
          <w:color w:val="000000"/>
          <w:sz w:val="22"/>
          <w:szCs w:val="22"/>
        </w:rPr>
        <w:t xml:space="preserve"> </w:t>
      </w:r>
      <w:r w:rsidRPr="0025566E">
        <w:rPr>
          <w:rFonts w:asciiTheme="minorHAnsi" w:hAnsiTheme="minorHAnsi" w:cstheme="minorHAnsi"/>
          <w:color w:val="000000"/>
          <w:sz w:val="22"/>
          <w:szCs w:val="22"/>
        </w:rPr>
        <w:t>» du document d’information simplifié se réfère à une valeur de référence, un bâton montrant la performance de cette valeur de référence est inclus dans le diagramme à côté de chaque bâton montrant la performance passée de l’OPC.</w:t>
      </w:r>
    </w:p>
    <w:p w14:paraId="4EE69D0F" w14:textId="38211490" w:rsidR="000832E4" w:rsidRPr="0025566E" w:rsidRDefault="000832E4" w:rsidP="00C4256A">
      <w:pPr>
        <w:pStyle w:val="Normal1"/>
        <w:numPr>
          <w:ilvl w:val="0"/>
          <w:numId w:val="26"/>
        </w:numPr>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Dans le cas des OPC ne disposant pas de données relatives à leurs performances passées sur la période requise de cinq ou dix ans, la valeur de référence n’est pas affichée pour les années durant lesquelles l’OPC n’existait pas encore</w:t>
      </w:r>
      <w:r w:rsidR="00D223F2" w:rsidRPr="0025566E">
        <w:rPr>
          <w:rFonts w:asciiTheme="minorHAnsi" w:hAnsiTheme="minorHAnsi" w:cstheme="minorHAnsi"/>
          <w:color w:val="000000"/>
          <w:sz w:val="22"/>
          <w:szCs w:val="22"/>
        </w:rPr>
        <w:t>.</w:t>
      </w:r>
    </w:p>
    <w:p w14:paraId="59CA8479" w14:textId="7ED17BF8" w:rsidR="000D3E00" w:rsidRPr="0025566E" w:rsidRDefault="000832E4" w:rsidP="004F0966">
      <w:pPr>
        <w:pStyle w:val="Paragraphedeliste"/>
        <w:numPr>
          <w:ilvl w:val="0"/>
          <w:numId w:val="3"/>
        </w:numPr>
        <w:spacing w:before="100" w:beforeAutospacing="1" w:after="100" w:afterAutospacing="1"/>
        <w:ind w:left="426"/>
        <w:rPr>
          <w:rFonts w:asciiTheme="minorHAnsi" w:hAnsiTheme="minorHAnsi" w:cstheme="minorHAnsi"/>
          <w:b/>
          <w:bCs/>
          <w:sz w:val="22"/>
          <w:szCs w:val="22"/>
        </w:rPr>
      </w:pPr>
      <w:r w:rsidRPr="0025566E">
        <w:rPr>
          <w:rFonts w:asciiTheme="minorHAnsi" w:hAnsiTheme="minorHAnsi" w:cstheme="minorHAnsi"/>
          <w:b/>
          <w:bCs/>
          <w:sz w:val="22"/>
          <w:szCs w:val="22"/>
        </w:rPr>
        <w:t xml:space="preserve">Utilisation des données fondées sur des simulations pour </w:t>
      </w:r>
      <w:r w:rsidR="004F0966" w:rsidRPr="0025566E">
        <w:rPr>
          <w:rFonts w:asciiTheme="minorHAnsi" w:hAnsiTheme="minorHAnsi" w:cstheme="minorHAnsi"/>
          <w:b/>
          <w:bCs/>
          <w:sz w:val="22"/>
          <w:szCs w:val="22"/>
        </w:rPr>
        <w:t>les performances</w:t>
      </w:r>
      <w:r w:rsidRPr="0025566E">
        <w:rPr>
          <w:rFonts w:asciiTheme="minorHAnsi" w:hAnsiTheme="minorHAnsi" w:cstheme="minorHAnsi"/>
          <w:b/>
          <w:bCs/>
          <w:sz w:val="22"/>
          <w:szCs w:val="22"/>
        </w:rPr>
        <w:t xml:space="preserve"> passées</w:t>
      </w:r>
    </w:p>
    <w:p w14:paraId="0A71C383" w14:textId="77777777" w:rsidR="00686CAE" w:rsidRPr="0025566E" w:rsidRDefault="00686CAE" w:rsidP="00686CAE">
      <w:pPr>
        <w:pStyle w:val="Paragraphedeliste"/>
        <w:spacing w:before="100" w:beforeAutospacing="1" w:after="100" w:afterAutospacing="1"/>
        <w:ind w:left="2345"/>
        <w:rPr>
          <w:rFonts w:asciiTheme="minorHAnsi" w:hAnsiTheme="minorHAnsi" w:cstheme="minorHAnsi"/>
          <w:b/>
          <w:bCs/>
          <w:sz w:val="22"/>
          <w:szCs w:val="22"/>
        </w:rPr>
      </w:pPr>
    </w:p>
    <w:p w14:paraId="34DE033D" w14:textId="49661D87" w:rsidR="000832E4" w:rsidRPr="0025566E" w:rsidRDefault="000832E4" w:rsidP="00C4256A">
      <w:pPr>
        <w:pStyle w:val="Paragraphedeliste"/>
        <w:numPr>
          <w:ilvl w:val="2"/>
          <w:numId w:val="11"/>
        </w:numPr>
        <w:spacing w:before="120"/>
        <w:ind w:left="709"/>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L’utilisation d’une simulation de performance pour la période durant laquelle aucune donnée n’était encore disponible n’est autorisée que dans les cas suivants et sous réserve d’être correcte, claire et non trompeuse</w:t>
      </w:r>
      <w:r w:rsidR="00686CAE" w:rsidRPr="0025566E">
        <w:rPr>
          <w:rFonts w:asciiTheme="minorHAnsi" w:hAnsiTheme="minorHAnsi" w:cstheme="minorHAnsi"/>
          <w:color w:val="000000"/>
          <w:sz w:val="22"/>
          <w:szCs w:val="22"/>
        </w:rPr>
        <w:t xml:space="preserve"> </w:t>
      </w:r>
      <w:r w:rsidRPr="0025566E">
        <w:rPr>
          <w:rFonts w:asciiTheme="minorHAnsi" w:hAnsiTheme="minorHAnsi" w:cstheme="minorHAnsi"/>
          <w:color w:val="000000"/>
          <w:sz w:val="22"/>
          <w:szCs w:val="22"/>
        </w:rPr>
        <w:t>:</w:t>
      </w:r>
    </w:p>
    <w:tbl>
      <w:tblPr>
        <w:tblW w:w="5000" w:type="pct"/>
        <w:tblCellMar>
          <w:left w:w="0" w:type="dxa"/>
          <w:right w:w="0" w:type="dxa"/>
        </w:tblCellMar>
        <w:tblLook w:val="04A0" w:firstRow="1" w:lastRow="0" w:firstColumn="1" w:lastColumn="0" w:noHBand="0" w:noVBand="1"/>
      </w:tblPr>
      <w:tblGrid>
        <w:gridCol w:w="360"/>
        <w:gridCol w:w="8704"/>
      </w:tblGrid>
      <w:tr w:rsidR="000832E4" w:rsidRPr="0025566E" w14:paraId="7261C8CC" w14:textId="77777777" w:rsidTr="000832E4">
        <w:tc>
          <w:tcPr>
            <w:tcW w:w="0" w:type="auto"/>
            <w:shd w:val="clear" w:color="auto" w:fill="auto"/>
            <w:hideMark/>
          </w:tcPr>
          <w:p w14:paraId="442EFA53" w14:textId="0DA05652" w:rsidR="000832E4" w:rsidRPr="0025566E" w:rsidRDefault="000832E4" w:rsidP="000832E4">
            <w:pPr>
              <w:spacing w:before="120"/>
              <w:ind w:left="36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 </w:t>
            </w:r>
          </w:p>
        </w:tc>
        <w:tc>
          <w:tcPr>
            <w:tcW w:w="0" w:type="auto"/>
            <w:shd w:val="clear" w:color="auto" w:fill="auto"/>
            <w:hideMark/>
          </w:tcPr>
          <w:p w14:paraId="594620B6" w14:textId="69E81F06" w:rsidR="000832E4" w:rsidRPr="0025566E" w:rsidRDefault="000832E4" w:rsidP="00C4256A">
            <w:pPr>
              <w:pStyle w:val="Paragraphedeliste"/>
              <w:numPr>
                <w:ilvl w:val="0"/>
                <w:numId w:val="27"/>
              </w:numPr>
              <w:spacing w:before="120"/>
              <w:ind w:left="352"/>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la performance d’une nouvelle catégorie d’actions d’un OPC ou d’un compartiment d’investissement existant peut être simulée sur la base de la performance d’une autre catégorie d’actions, sous réserve que la proportion que ces deux catégories d’actions représent</w:t>
            </w:r>
            <w:r w:rsidR="00D223F2" w:rsidRPr="0025566E">
              <w:rPr>
                <w:rFonts w:asciiTheme="minorHAnsi" w:hAnsiTheme="minorHAnsi" w:cstheme="minorHAnsi"/>
                <w:color w:val="000000"/>
                <w:sz w:val="22"/>
                <w:szCs w:val="22"/>
              </w:rPr>
              <w:t>ées</w:t>
            </w:r>
            <w:r w:rsidRPr="0025566E">
              <w:rPr>
                <w:rFonts w:asciiTheme="minorHAnsi" w:hAnsiTheme="minorHAnsi" w:cstheme="minorHAnsi"/>
                <w:color w:val="000000"/>
                <w:sz w:val="22"/>
                <w:szCs w:val="22"/>
              </w:rPr>
              <w:t xml:space="preserve"> dans les actifs de l’OPC ne diffère pas substantiellement;</w:t>
            </w:r>
          </w:p>
        </w:tc>
      </w:tr>
    </w:tbl>
    <w:p w14:paraId="2C611C6B" w14:textId="77777777" w:rsidR="000832E4" w:rsidRPr="0025566E" w:rsidRDefault="000832E4" w:rsidP="000832E4">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720"/>
        <w:gridCol w:w="8344"/>
      </w:tblGrid>
      <w:tr w:rsidR="000832E4" w:rsidRPr="0025566E" w14:paraId="255035D8" w14:textId="77777777" w:rsidTr="000832E4">
        <w:tc>
          <w:tcPr>
            <w:tcW w:w="0" w:type="auto"/>
            <w:shd w:val="clear" w:color="auto" w:fill="auto"/>
            <w:hideMark/>
          </w:tcPr>
          <w:p w14:paraId="248BF456" w14:textId="4A058C97" w:rsidR="000832E4" w:rsidRPr="0025566E" w:rsidRDefault="000832E4" w:rsidP="00C4256A">
            <w:pPr>
              <w:pStyle w:val="Paragraphedeliste"/>
              <w:numPr>
                <w:ilvl w:val="0"/>
                <w:numId w:val="27"/>
              </w:num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 </w:t>
            </w:r>
          </w:p>
        </w:tc>
        <w:tc>
          <w:tcPr>
            <w:tcW w:w="0" w:type="auto"/>
            <w:shd w:val="clear" w:color="auto" w:fill="auto"/>
            <w:hideMark/>
          </w:tcPr>
          <w:p w14:paraId="28295B50" w14:textId="1EDF513B" w:rsidR="000832E4" w:rsidRPr="0025566E" w:rsidRDefault="000832E4" w:rsidP="000832E4">
            <w:pPr>
              <w:spacing w:before="12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un OPC nourricier peut simuler sa performance sur la base de la performance de son OPC maître, sous réserve que l’une des conditions suivantes soit remplie:</w:t>
            </w:r>
          </w:p>
          <w:tbl>
            <w:tblPr>
              <w:tblW w:w="5000" w:type="pct"/>
              <w:tblCellMar>
                <w:left w:w="0" w:type="dxa"/>
                <w:right w:w="0" w:type="dxa"/>
              </w:tblCellMar>
              <w:tblLook w:val="04A0" w:firstRow="1" w:lastRow="0" w:firstColumn="1" w:lastColumn="0" w:noHBand="0" w:noVBand="1"/>
            </w:tblPr>
            <w:tblGrid>
              <w:gridCol w:w="835"/>
              <w:gridCol w:w="7509"/>
            </w:tblGrid>
            <w:tr w:rsidR="00686CAE" w:rsidRPr="0025566E" w14:paraId="752F6965" w14:textId="77777777">
              <w:tc>
                <w:tcPr>
                  <w:tcW w:w="0" w:type="auto"/>
                  <w:shd w:val="clear" w:color="auto" w:fill="auto"/>
                  <w:hideMark/>
                </w:tcPr>
                <w:p w14:paraId="55A0DE42" w14:textId="0C498884" w:rsidR="000832E4" w:rsidRPr="0025566E" w:rsidRDefault="00686CAE" w:rsidP="00C4256A">
                  <w:pPr>
                    <w:pStyle w:val="Paragraphedeliste"/>
                    <w:numPr>
                      <w:ilvl w:val="3"/>
                      <w:numId w:val="11"/>
                    </w:numPr>
                    <w:spacing w:before="120"/>
                    <w:ind w:left="835"/>
                    <w:jc w:val="both"/>
                    <w:rPr>
                      <w:rFonts w:asciiTheme="minorHAnsi" w:hAnsiTheme="minorHAnsi" w:cstheme="minorHAnsi"/>
                      <w:sz w:val="22"/>
                      <w:szCs w:val="22"/>
                    </w:rPr>
                  </w:pPr>
                  <w:r w:rsidRPr="0025566E">
                    <w:rPr>
                      <w:rFonts w:asciiTheme="minorHAnsi" w:hAnsiTheme="minorHAnsi" w:cstheme="minorHAnsi"/>
                      <w:sz w:val="22"/>
                      <w:szCs w:val="22"/>
                    </w:rPr>
                    <w:t xml:space="preserve"> </w:t>
                  </w:r>
                </w:p>
              </w:tc>
              <w:tc>
                <w:tcPr>
                  <w:tcW w:w="0" w:type="auto"/>
                  <w:shd w:val="clear" w:color="auto" w:fill="auto"/>
                  <w:hideMark/>
                </w:tcPr>
                <w:p w14:paraId="177B6DC9" w14:textId="4538C9DD" w:rsidR="000832E4" w:rsidRPr="0025566E" w:rsidRDefault="000832E4" w:rsidP="000832E4">
                  <w:pPr>
                    <w:spacing w:before="120"/>
                    <w:jc w:val="both"/>
                    <w:rPr>
                      <w:rFonts w:asciiTheme="minorHAnsi" w:hAnsiTheme="minorHAnsi" w:cstheme="minorHAnsi"/>
                      <w:sz w:val="22"/>
                      <w:szCs w:val="22"/>
                    </w:rPr>
                  </w:pPr>
                  <w:r w:rsidRPr="0025566E">
                    <w:rPr>
                      <w:rFonts w:asciiTheme="minorHAnsi" w:hAnsiTheme="minorHAnsi" w:cstheme="minorHAnsi"/>
                      <w:sz w:val="22"/>
                      <w:szCs w:val="22"/>
                    </w:rPr>
                    <w:t>la stratégie et les objectifs de l’OPC nourricier ne lui permettent pas de détenir d’autres actifs que des parts de l’OPC maître et que des actifs liquides à titre accessoire;</w:t>
                  </w:r>
                </w:p>
              </w:tc>
            </w:tr>
          </w:tbl>
          <w:p w14:paraId="36EB3C6E" w14:textId="77777777" w:rsidR="000832E4" w:rsidRPr="0025566E" w:rsidRDefault="000832E4" w:rsidP="000832E4">
            <w:pPr>
              <w:rPr>
                <w:rFonts w:asciiTheme="minorHAnsi" w:hAnsiTheme="minorHAnsi" w:cstheme="minorHAnsi"/>
                <w:vanish/>
                <w:color w:val="000000"/>
                <w:sz w:val="22"/>
                <w:szCs w:val="22"/>
              </w:rPr>
            </w:pPr>
          </w:p>
          <w:tbl>
            <w:tblPr>
              <w:tblW w:w="5000" w:type="pct"/>
              <w:tblCellMar>
                <w:left w:w="0" w:type="dxa"/>
                <w:right w:w="0" w:type="dxa"/>
              </w:tblCellMar>
              <w:tblLook w:val="04A0" w:firstRow="1" w:lastRow="0" w:firstColumn="1" w:lastColumn="0" w:noHBand="0" w:noVBand="1"/>
            </w:tblPr>
            <w:tblGrid>
              <w:gridCol w:w="835"/>
              <w:gridCol w:w="7509"/>
            </w:tblGrid>
            <w:tr w:rsidR="00686CAE" w:rsidRPr="0025566E" w14:paraId="1AA06FFC" w14:textId="77777777">
              <w:tc>
                <w:tcPr>
                  <w:tcW w:w="0" w:type="auto"/>
                  <w:shd w:val="clear" w:color="auto" w:fill="auto"/>
                  <w:hideMark/>
                </w:tcPr>
                <w:p w14:paraId="797A21CC" w14:textId="22998B63" w:rsidR="000832E4" w:rsidRPr="0025566E" w:rsidRDefault="00686CAE" w:rsidP="00C4256A">
                  <w:pPr>
                    <w:pStyle w:val="Paragraphedeliste"/>
                    <w:numPr>
                      <w:ilvl w:val="3"/>
                      <w:numId w:val="11"/>
                    </w:numPr>
                    <w:spacing w:before="120"/>
                    <w:ind w:left="835"/>
                    <w:jc w:val="both"/>
                    <w:rPr>
                      <w:rFonts w:asciiTheme="minorHAnsi" w:hAnsiTheme="minorHAnsi" w:cstheme="minorHAnsi"/>
                      <w:sz w:val="22"/>
                      <w:szCs w:val="22"/>
                    </w:rPr>
                  </w:pPr>
                  <w:r w:rsidRPr="0025566E">
                    <w:rPr>
                      <w:rFonts w:asciiTheme="minorHAnsi" w:hAnsiTheme="minorHAnsi" w:cstheme="minorHAnsi"/>
                      <w:sz w:val="22"/>
                      <w:szCs w:val="22"/>
                    </w:rPr>
                    <w:t xml:space="preserve">  </w:t>
                  </w:r>
                </w:p>
              </w:tc>
              <w:tc>
                <w:tcPr>
                  <w:tcW w:w="0" w:type="auto"/>
                  <w:shd w:val="clear" w:color="auto" w:fill="auto"/>
                  <w:hideMark/>
                </w:tcPr>
                <w:p w14:paraId="5D6F8725" w14:textId="25D2B1D9" w:rsidR="000832E4" w:rsidRPr="0025566E" w:rsidRDefault="000832E4" w:rsidP="000832E4">
                  <w:pPr>
                    <w:spacing w:before="120"/>
                    <w:jc w:val="both"/>
                    <w:rPr>
                      <w:rFonts w:asciiTheme="minorHAnsi" w:hAnsiTheme="minorHAnsi" w:cstheme="minorHAnsi"/>
                      <w:sz w:val="22"/>
                      <w:szCs w:val="22"/>
                    </w:rPr>
                  </w:pPr>
                  <w:r w:rsidRPr="0025566E">
                    <w:rPr>
                      <w:rFonts w:asciiTheme="minorHAnsi" w:hAnsiTheme="minorHAnsi" w:cstheme="minorHAnsi"/>
                      <w:sz w:val="22"/>
                      <w:szCs w:val="22"/>
                    </w:rPr>
                    <w:t>les caractéristiques de l’OPC nourricier ne diffèrent pas substantiellement de celles de l’OPC</w:t>
                  </w:r>
                  <w:r w:rsidR="00686CAE" w:rsidRPr="0025566E">
                    <w:rPr>
                      <w:rFonts w:asciiTheme="minorHAnsi" w:hAnsiTheme="minorHAnsi" w:cstheme="minorHAnsi"/>
                      <w:sz w:val="22"/>
                      <w:szCs w:val="22"/>
                    </w:rPr>
                    <w:t xml:space="preserve"> </w:t>
                  </w:r>
                  <w:r w:rsidRPr="0025566E">
                    <w:rPr>
                      <w:rFonts w:asciiTheme="minorHAnsi" w:hAnsiTheme="minorHAnsi" w:cstheme="minorHAnsi"/>
                      <w:sz w:val="22"/>
                      <w:szCs w:val="22"/>
                    </w:rPr>
                    <w:t>maître.</w:t>
                  </w:r>
                </w:p>
              </w:tc>
            </w:tr>
          </w:tbl>
          <w:p w14:paraId="17F4CC59" w14:textId="77777777" w:rsidR="000832E4" w:rsidRPr="0025566E" w:rsidRDefault="000832E4" w:rsidP="000832E4">
            <w:pPr>
              <w:rPr>
                <w:rFonts w:asciiTheme="minorHAnsi" w:hAnsiTheme="minorHAnsi" w:cstheme="minorHAnsi"/>
                <w:color w:val="000000"/>
                <w:sz w:val="22"/>
                <w:szCs w:val="22"/>
              </w:rPr>
            </w:pPr>
          </w:p>
        </w:tc>
      </w:tr>
    </w:tbl>
    <w:p w14:paraId="112E6C33" w14:textId="3BD8C991" w:rsidR="000832E4" w:rsidRPr="0025566E" w:rsidRDefault="000832E4" w:rsidP="00C4256A">
      <w:pPr>
        <w:pStyle w:val="Paragraphedeliste"/>
        <w:numPr>
          <w:ilvl w:val="2"/>
          <w:numId w:val="11"/>
        </w:numPr>
        <w:spacing w:before="120"/>
        <w:ind w:left="709"/>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Dans tous les cas où la performance a été simulée conformément au paragraphe 1, ce fait est clairement indiqué dans le diagramme en bâtons.</w:t>
      </w:r>
    </w:p>
    <w:p w14:paraId="06B9886F" w14:textId="77777777" w:rsidR="00686CAE" w:rsidRPr="0025566E" w:rsidRDefault="00686CAE" w:rsidP="00686CAE">
      <w:pPr>
        <w:pStyle w:val="Paragraphedeliste"/>
        <w:spacing w:before="120"/>
        <w:ind w:left="709"/>
        <w:jc w:val="both"/>
        <w:rPr>
          <w:rFonts w:asciiTheme="minorHAnsi" w:hAnsiTheme="minorHAnsi" w:cstheme="minorHAnsi"/>
          <w:color w:val="000000"/>
          <w:sz w:val="22"/>
          <w:szCs w:val="22"/>
        </w:rPr>
      </w:pPr>
    </w:p>
    <w:p w14:paraId="3CF99401" w14:textId="08FB1827" w:rsidR="000832E4" w:rsidRPr="0025566E" w:rsidRDefault="000832E4" w:rsidP="004F0966">
      <w:pPr>
        <w:pStyle w:val="Paragraphedeliste"/>
        <w:numPr>
          <w:ilvl w:val="2"/>
          <w:numId w:val="11"/>
        </w:numPr>
        <w:spacing w:before="120"/>
        <w:ind w:left="709"/>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Un OPC qui change de statut juridique ne continue à utiliser ses performances passées que lorsque </w:t>
      </w:r>
      <w:r w:rsidR="004F0966" w:rsidRPr="0025566E">
        <w:rPr>
          <w:rFonts w:asciiTheme="minorHAnsi" w:hAnsiTheme="minorHAnsi" w:cstheme="minorHAnsi"/>
          <w:color w:val="000000"/>
          <w:sz w:val="22"/>
          <w:szCs w:val="22"/>
        </w:rPr>
        <w:t>la COSUMAF</w:t>
      </w:r>
      <w:r w:rsidRPr="0025566E">
        <w:rPr>
          <w:rFonts w:asciiTheme="minorHAnsi" w:hAnsiTheme="minorHAnsi" w:cstheme="minorHAnsi"/>
          <w:color w:val="000000"/>
          <w:sz w:val="22"/>
          <w:szCs w:val="22"/>
        </w:rPr>
        <w:t xml:space="preserve"> estime raisonnablement que ce changement de statut juridique n’aura pas d’incidence sur les performances de l’OPC.</w:t>
      </w:r>
    </w:p>
    <w:p w14:paraId="44906D8A" w14:textId="77777777" w:rsidR="00686CAE" w:rsidRPr="0025566E" w:rsidRDefault="00686CAE" w:rsidP="00686CAE">
      <w:pPr>
        <w:pStyle w:val="Paragraphedeliste"/>
        <w:rPr>
          <w:rFonts w:asciiTheme="minorHAnsi" w:hAnsiTheme="minorHAnsi" w:cstheme="minorHAnsi"/>
          <w:color w:val="000000"/>
          <w:sz w:val="22"/>
          <w:szCs w:val="22"/>
        </w:rPr>
      </w:pPr>
    </w:p>
    <w:p w14:paraId="4DAFBC09" w14:textId="1CC36388" w:rsidR="000832E4" w:rsidRPr="0025566E" w:rsidRDefault="000832E4" w:rsidP="00C4256A">
      <w:pPr>
        <w:pStyle w:val="Paragraphedeliste"/>
        <w:numPr>
          <w:ilvl w:val="2"/>
          <w:numId w:val="11"/>
        </w:numPr>
        <w:spacing w:before="120"/>
        <w:ind w:left="709"/>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Dans le cas des fusions visées à </w:t>
      </w:r>
      <w:r w:rsidRPr="008211E3">
        <w:rPr>
          <w:rFonts w:asciiTheme="minorHAnsi" w:hAnsiTheme="minorHAnsi" w:cstheme="minorHAnsi"/>
          <w:color w:val="000000"/>
          <w:sz w:val="22"/>
          <w:szCs w:val="22"/>
        </w:rPr>
        <w:t>l’article </w:t>
      </w:r>
      <w:r w:rsidR="00D223F2" w:rsidRPr="008211E3">
        <w:rPr>
          <w:rFonts w:asciiTheme="minorHAnsi" w:hAnsiTheme="minorHAnsi" w:cstheme="minorHAnsi"/>
          <w:color w:val="000000"/>
          <w:sz w:val="22"/>
          <w:szCs w:val="22"/>
        </w:rPr>
        <w:t>352</w:t>
      </w:r>
      <w:r w:rsidR="00A438CB" w:rsidRPr="008211E3">
        <w:rPr>
          <w:rFonts w:asciiTheme="minorHAnsi" w:hAnsiTheme="minorHAnsi" w:cstheme="minorHAnsi"/>
          <w:color w:val="000000"/>
          <w:sz w:val="22"/>
          <w:szCs w:val="22"/>
        </w:rPr>
        <w:t xml:space="preserve"> du</w:t>
      </w:r>
      <w:r w:rsidR="00686CAE" w:rsidRPr="008211E3">
        <w:rPr>
          <w:rFonts w:asciiTheme="minorHAnsi" w:hAnsiTheme="minorHAnsi" w:cstheme="minorHAnsi"/>
          <w:color w:val="000000"/>
          <w:sz w:val="22"/>
          <w:szCs w:val="22"/>
        </w:rPr>
        <w:t xml:space="preserve"> </w:t>
      </w:r>
      <w:r w:rsidR="00A438CB" w:rsidRPr="008211E3">
        <w:rPr>
          <w:rFonts w:asciiTheme="minorHAnsi" w:hAnsiTheme="minorHAnsi" w:cstheme="minorHAnsi"/>
          <w:color w:val="000000"/>
          <w:sz w:val="22"/>
          <w:szCs w:val="22"/>
        </w:rPr>
        <w:t>R</w:t>
      </w:r>
      <w:r w:rsidR="00686CAE" w:rsidRPr="008211E3">
        <w:rPr>
          <w:rFonts w:asciiTheme="minorHAnsi" w:hAnsiTheme="minorHAnsi" w:cstheme="minorHAnsi"/>
          <w:color w:val="000000"/>
          <w:sz w:val="22"/>
          <w:szCs w:val="22"/>
        </w:rPr>
        <w:t xml:space="preserve">èglement </w:t>
      </w:r>
      <w:r w:rsidR="00A438CB" w:rsidRPr="008211E3">
        <w:rPr>
          <w:rFonts w:asciiTheme="minorHAnsi" w:hAnsiTheme="minorHAnsi" w:cstheme="minorHAnsi"/>
          <w:color w:val="000000"/>
          <w:sz w:val="22"/>
          <w:szCs w:val="22"/>
        </w:rPr>
        <w:t>Général</w:t>
      </w:r>
      <w:r w:rsidR="008211E3">
        <w:rPr>
          <w:rFonts w:asciiTheme="minorHAnsi" w:hAnsiTheme="minorHAnsi" w:cstheme="minorHAnsi"/>
          <w:color w:val="000000"/>
          <w:sz w:val="22"/>
          <w:szCs w:val="22"/>
        </w:rPr>
        <w:t>,</w:t>
      </w:r>
      <w:r w:rsidRPr="0025566E">
        <w:rPr>
          <w:rFonts w:asciiTheme="minorHAnsi" w:hAnsiTheme="minorHAnsi" w:cstheme="minorHAnsi"/>
          <w:color w:val="000000"/>
          <w:sz w:val="22"/>
          <w:szCs w:val="22"/>
        </w:rPr>
        <w:t xml:space="preserve"> seules les performances passées de l’OPC absorbeur figurent dans le document d’information </w:t>
      </w:r>
      <w:r w:rsidR="00686CAE" w:rsidRPr="0025566E">
        <w:rPr>
          <w:rFonts w:asciiTheme="minorHAnsi" w:hAnsiTheme="minorHAnsi" w:cstheme="minorHAnsi"/>
          <w:color w:val="000000"/>
          <w:sz w:val="22"/>
          <w:szCs w:val="22"/>
        </w:rPr>
        <w:t>simplifié</w:t>
      </w:r>
    </w:p>
    <w:p w14:paraId="27D4BEC5" w14:textId="46E9C321" w:rsidR="00220EB7" w:rsidRPr="0025566E" w:rsidRDefault="00220EB7">
      <w:pPr>
        <w:rPr>
          <w:rFonts w:asciiTheme="minorHAnsi" w:hAnsiTheme="minorHAnsi" w:cstheme="minorHAnsi"/>
          <w:sz w:val="22"/>
          <w:szCs w:val="22"/>
        </w:rPr>
      </w:pPr>
      <w:r w:rsidRPr="0025566E">
        <w:rPr>
          <w:rFonts w:asciiTheme="minorHAnsi" w:hAnsiTheme="minorHAnsi" w:cstheme="minorHAnsi"/>
          <w:sz w:val="22"/>
          <w:szCs w:val="22"/>
        </w:rPr>
        <w:br w:type="page"/>
      </w:r>
    </w:p>
    <w:p w14:paraId="1A723780" w14:textId="77777777" w:rsidR="007273CD" w:rsidRPr="00F30B9F" w:rsidRDefault="00220EB7" w:rsidP="007273CD">
      <w:pPr>
        <w:spacing w:before="100" w:beforeAutospacing="1" w:after="100" w:afterAutospacing="1"/>
        <w:rPr>
          <w:rFonts w:asciiTheme="minorHAnsi" w:hAnsiTheme="minorHAnsi" w:cstheme="minorHAnsi"/>
          <w:b/>
          <w:sz w:val="22"/>
          <w:szCs w:val="22"/>
        </w:rPr>
      </w:pPr>
      <w:r w:rsidRPr="00F30B9F">
        <w:rPr>
          <w:rFonts w:asciiTheme="minorHAnsi" w:hAnsiTheme="minorHAnsi" w:cstheme="minorHAnsi"/>
          <w:b/>
          <w:sz w:val="22"/>
          <w:szCs w:val="22"/>
          <w:u w:val="single"/>
        </w:rPr>
        <w:lastRenderedPageBreak/>
        <w:t>ANNEXE IV</w:t>
      </w:r>
      <w:r w:rsidRPr="00F30B9F">
        <w:rPr>
          <w:rFonts w:asciiTheme="minorHAnsi" w:hAnsiTheme="minorHAnsi" w:cstheme="minorHAnsi"/>
          <w:b/>
          <w:sz w:val="22"/>
          <w:szCs w:val="22"/>
        </w:rPr>
        <w:t xml:space="preserve"> – SCENARIOS DE PERFORMANCE</w:t>
      </w:r>
    </w:p>
    <w:p w14:paraId="5BD63FBC" w14:textId="3B37F5D8" w:rsidR="00220EB7" w:rsidRPr="0025566E" w:rsidRDefault="00220EB7" w:rsidP="00C4256A">
      <w:pPr>
        <w:pStyle w:val="Paragraphedeliste"/>
        <w:numPr>
          <w:ilvl w:val="2"/>
          <w:numId w:val="10"/>
        </w:numPr>
        <w:spacing w:before="100" w:beforeAutospacing="1" w:after="100" w:afterAutospacing="1"/>
        <w:ind w:left="426"/>
        <w:rPr>
          <w:rFonts w:asciiTheme="minorHAnsi" w:hAnsiTheme="minorHAnsi" w:cstheme="minorHAnsi"/>
          <w:sz w:val="22"/>
          <w:szCs w:val="22"/>
        </w:rPr>
      </w:pPr>
      <w:r w:rsidRPr="0025566E">
        <w:rPr>
          <w:rFonts w:asciiTheme="minorHAnsi" w:hAnsiTheme="minorHAnsi" w:cstheme="minorHAnsi"/>
          <w:sz w:val="22"/>
          <w:szCs w:val="22"/>
        </w:rPr>
        <w:t xml:space="preserve">Toutes les </w:t>
      </w:r>
      <w:r w:rsidR="003D51A6" w:rsidRPr="0025566E">
        <w:rPr>
          <w:rFonts w:asciiTheme="minorHAnsi" w:hAnsiTheme="minorHAnsi" w:cstheme="minorHAnsi"/>
          <w:sz w:val="22"/>
          <w:szCs w:val="22"/>
        </w:rPr>
        <w:t>Sociétés de Gestion</w:t>
      </w:r>
      <w:r w:rsidRPr="0025566E">
        <w:rPr>
          <w:rFonts w:asciiTheme="minorHAnsi" w:hAnsiTheme="minorHAnsi" w:cstheme="minorHAnsi"/>
          <w:sz w:val="22"/>
          <w:szCs w:val="22"/>
        </w:rPr>
        <w:t xml:space="preserve"> d’OPC présentent les scénarios de performance selon le format ci-dessous :</w:t>
      </w:r>
    </w:p>
    <w:tbl>
      <w:tblPr>
        <w:tblStyle w:val="Grilledutableau"/>
        <w:tblW w:w="0" w:type="auto"/>
        <w:tblLook w:val="04A0" w:firstRow="1" w:lastRow="0" w:firstColumn="1" w:lastColumn="0" w:noHBand="0" w:noVBand="1"/>
      </w:tblPr>
      <w:tblGrid>
        <w:gridCol w:w="1809"/>
        <w:gridCol w:w="3006"/>
        <w:gridCol w:w="709"/>
        <w:gridCol w:w="992"/>
        <w:gridCol w:w="1585"/>
      </w:tblGrid>
      <w:tr w:rsidR="007273CD" w:rsidRPr="0025566E" w14:paraId="2863EE0C" w14:textId="77777777" w:rsidTr="00980F22">
        <w:tc>
          <w:tcPr>
            <w:tcW w:w="7921" w:type="dxa"/>
            <w:gridSpan w:val="5"/>
          </w:tcPr>
          <w:p w14:paraId="0E1DCD91" w14:textId="7BE0EB16" w:rsidR="007273CD" w:rsidRPr="0025566E" w:rsidRDefault="007273CD" w:rsidP="000832E4">
            <w:p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t>Investissement</w:t>
            </w:r>
          </w:p>
        </w:tc>
      </w:tr>
      <w:tr w:rsidR="00220EB7" w:rsidRPr="0025566E" w14:paraId="301C5944" w14:textId="77777777" w:rsidTr="007273CD">
        <w:tc>
          <w:tcPr>
            <w:tcW w:w="1809" w:type="dxa"/>
          </w:tcPr>
          <w:p w14:paraId="1CB008F2" w14:textId="24A8AB59" w:rsidR="00220EB7" w:rsidRPr="0025566E" w:rsidRDefault="00220EB7" w:rsidP="007273CD">
            <w:pPr>
              <w:spacing w:before="100" w:beforeAutospacing="1" w:after="100" w:afterAutospacing="1"/>
              <w:jc w:val="center"/>
              <w:rPr>
                <w:rFonts w:asciiTheme="minorHAnsi" w:hAnsiTheme="minorHAnsi" w:cstheme="minorHAnsi"/>
                <w:sz w:val="22"/>
                <w:szCs w:val="22"/>
              </w:rPr>
            </w:pPr>
            <w:r w:rsidRPr="0025566E">
              <w:rPr>
                <w:rFonts w:asciiTheme="minorHAnsi" w:hAnsiTheme="minorHAnsi" w:cstheme="minorHAnsi"/>
                <w:sz w:val="22"/>
                <w:szCs w:val="22"/>
              </w:rPr>
              <w:t>Scénarios</w:t>
            </w:r>
          </w:p>
        </w:tc>
        <w:tc>
          <w:tcPr>
            <w:tcW w:w="3006" w:type="dxa"/>
          </w:tcPr>
          <w:p w14:paraId="2853E370" w14:textId="77777777" w:rsidR="00220EB7" w:rsidRPr="0025566E" w:rsidRDefault="00220EB7" w:rsidP="007273CD">
            <w:pPr>
              <w:spacing w:before="100" w:beforeAutospacing="1" w:after="100" w:afterAutospacing="1"/>
              <w:jc w:val="center"/>
              <w:rPr>
                <w:rFonts w:asciiTheme="minorHAnsi" w:hAnsiTheme="minorHAnsi" w:cstheme="minorHAnsi"/>
                <w:sz w:val="22"/>
                <w:szCs w:val="22"/>
              </w:rPr>
            </w:pPr>
          </w:p>
        </w:tc>
        <w:tc>
          <w:tcPr>
            <w:tcW w:w="709" w:type="dxa"/>
          </w:tcPr>
          <w:p w14:paraId="35490A04" w14:textId="45284854" w:rsidR="00220EB7" w:rsidRPr="0025566E" w:rsidRDefault="00220EB7" w:rsidP="007273CD">
            <w:pPr>
              <w:spacing w:before="100" w:beforeAutospacing="1" w:after="100" w:afterAutospacing="1"/>
              <w:jc w:val="center"/>
              <w:rPr>
                <w:rFonts w:asciiTheme="minorHAnsi" w:hAnsiTheme="minorHAnsi" w:cstheme="minorHAnsi"/>
                <w:sz w:val="22"/>
                <w:szCs w:val="22"/>
              </w:rPr>
            </w:pPr>
            <w:r w:rsidRPr="0025566E">
              <w:rPr>
                <w:rFonts w:asciiTheme="minorHAnsi" w:hAnsiTheme="minorHAnsi" w:cstheme="minorHAnsi"/>
                <w:sz w:val="22"/>
                <w:szCs w:val="22"/>
              </w:rPr>
              <w:t>1 an</w:t>
            </w:r>
          </w:p>
        </w:tc>
        <w:tc>
          <w:tcPr>
            <w:tcW w:w="992" w:type="dxa"/>
          </w:tcPr>
          <w:p w14:paraId="4E121C7C" w14:textId="18C9A453" w:rsidR="00220EB7" w:rsidRPr="0025566E" w:rsidRDefault="00220EB7" w:rsidP="007273CD">
            <w:pPr>
              <w:spacing w:before="100" w:beforeAutospacing="1" w:after="100" w:afterAutospacing="1"/>
              <w:jc w:val="center"/>
              <w:rPr>
                <w:rFonts w:asciiTheme="minorHAnsi" w:hAnsiTheme="minorHAnsi" w:cstheme="minorHAnsi"/>
                <w:sz w:val="22"/>
                <w:szCs w:val="22"/>
              </w:rPr>
            </w:pPr>
            <w:r w:rsidRPr="0025566E">
              <w:rPr>
                <w:rFonts w:asciiTheme="minorHAnsi" w:hAnsiTheme="minorHAnsi" w:cstheme="minorHAnsi"/>
                <w:sz w:val="22"/>
                <w:szCs w:val="22"/>
              </w:rPr>
              <w:t>[3</w:t>
            </w:r>
            <w:proofErr w:type="gramStart"/>
            <w:r w:rsidRPr="0025566E">
              <w:rPr>
                <w:rFonts w:asciiTheme="minorHAnsi" w:hAnsiTheme="minorHAnsi" w:cstheme="minorHAnsi"/>
                <w:sz w:val="22"/>
                <w:szCs w:val="22"/>
              </w:rPr>
              <w:t>]ans</w:t>
            </w:r>
            <w:proofErr w:type="gramEnd"/>
          </w:p>
        </w:tc>
        <w:tc>
          <w:tcPr>
            <w:tcW w:w="1405" w:type="dxa"/>
          </w:tcPr>
          <w:p w14:paraId="27DBA381" w14:textId="15FE81B5" w:rsidR="00220EB7" w:rsidRPr="0025566E" w:rsidRDefault="00220EB7" w:rsidP="007273CD">
            <w:pPr>
              <w:spacing w:before="100" w:beforeAutospacing="1" w:after="100" w:afterAutospacing="1"/>
              <w:jc w:val="center"/>
              <w:rPr>
                <w:rFonts w:asciiTheme="minorHAnsi" w:hAnsiTheme="minorHAnsi" w:cstheme="minorHAnsi"/>
                <w:sz w:val="22"/>
                <w:szCs w:val="22"/>
              </w:rPr>
            </w:pPr>
            <w:r w:rsidRPr="0025566E">
              <w:rPr>
                <w:rFonts w:asciiTheme="minorHAnsi" w:hAnsiTheme="minorHAnsi" w:cstheme="minorHAnsi"/>
                <w:sz w:val="22"/>
                <w:szCs w:val="22"/>
              </w:rPr>
              <w:t>[5] ans (Période de détention recommandée)</w:t>
            </w:r>
          </w:p>
        </w:tc>
      </w:tr>
      <w:tr w:rsidR="00220EB7" w:rsidRPr="0025566E" w14:paraId="44D7711D" w14:textId="77777777" w:rsidTr="007273CD">
        <w:tc>
          <w:tcPr>
            <w:tcW w:w="1809" w:type="dxa"/>
            <w:vMerge w:val="restart"/>
          </w:tcPr>
          <w:p w14:paraId="4A995188" w14:textId="647EB016" w:rsidR="00220EB7" w:rsidRPr="0025566E" w:rsidRDefault="00220EB7" w:rsidP="000832E4">
            <w:p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t>Scénario défavorable</w:t>
            </w:r>
          </w:p>
        </w:tc>
        <w:tc>
          <w:tcPr>
            <w:tcW w:w="3006" w:type="dxa"/>
          </w:tcPr>
          <w:p w14:paraId="76D9A159" w14:textId="0DEC71F2" w:rsidR="00220EB7" w:rsidRPr="0025566E" w:rsidRDefault="00220EB7" w:rsidP="000832E4">
            <w:pPr>
              <w:spacing w:before="100" w:beforeAutospacing="1" w:after="100" w:afterAutospacing="1"/>
              <w:rPr>
                <w:rFonts w:asciiTheme="minorHAnsi" w:hAnsiTheme="minorHAnsi" w:cstheme="minorHAnsi"/>
                <w:b/>
                <w:bCs/>
                <w:sz w:val="22"/>
                <w:szCs w:val="22"/>
              </w:rPr>
            </w:pPr>
            <w:r w:rsidRPr="0025566E">
              <w:rPr>
                <w:rFonts w:asciiTheme="minorHAnsi" w:hAnsiTheme="minorHAnsi" w:cstheme="minorHAnsi"/>
                <w:b/>
                <w:bCs/>
                <w:sz w:val="22"/>
                <w:szCs w:val="22"/>
              </w:rPr>
              <w:t>Ce qui vous pourriez obtenir après déduction des coûts</w:t>
            </w:r>
          </w:p>
        </w:tc>
        <w:tc>
          <w:tcPr>
            <w:tcW w:w="709" w:type="dxa"/>
          </w:tcPr>
          <w:p w14:paraId="160FD676"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992" w:type="dxa"/>
          </w:tcPr>
          <w:p w14:paraId="78A31B8B"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1405" w:type="dxa"/>
          </w:tcPr>
          <w:p w14:paraId="2464A9EB"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r>
      <w:tr w:rsidR="00220EB7" w:rsidRPr="0025566E" w14:paraId="35746904" w14:textId="77777777" w:rsidTr="007273CD">
        <w:tc>
          <w:tcPr>
            <w:tcW w:w="1809" w:type="dxa"/>
            <w:vMerge/>
          </w:tcPr>
          <w:p w14:paraId="181B5016"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3006" w:type="dxa"/>
          </w:tcPr>
          <w:p w14:paraId="6ADC1AB4" w14:textId="2BD9C398" w:rsidR="00220EB7" w:rsidRPr="0025566E" w:rsidRDefault="00220EB7" w:rsidP="000832E4">
            <w:p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t>Rendement annuel moyen</w:t>
            </w:r>
          </w:p>
        </w:tc>
        <w:tc>
          <w:tcPr>
            <w:tcW w:w="709" w:type="dxa"/>
          </w:tcPr>
          <w:p w14:paraId="18F96CDF"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992" w:type="dxa"/>
          </w:tcPr>
          <w:p w14:paraId="33D255B1"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1405" w:type="dxa"/>
          </w:tcPr>
          <w:p w14:paraId="272E475C"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r>
      <w:tr w:rsidR="00220EB7" w:rsidRPr="0025566E" w14:paraId="02ED91ED" w14:textId="77777777" w:rsidTr="007273CD">
        <w:tc>
          <w:tcPr>
            <w:tcW w:w="1809" w:type="dxa"/>
            <w:vMerge w:val="restart"/>
          </w:tcPr>
          <w:p w14:paraId="4DED9B10" w14:textId="1DA2D249" w:rsidR="00220EB7" w:rsidRPr="0025566E" w:rsidRDefault="00220EB7" w:rsidP="000832E4">
            <w:p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t>Scénario intermédiaire</w:t>
            </w:r>
          </w:p>
        </w:tc>
        <w:tc>
          <w:tcPr>
            <w:tcW w:w="3006" w:type="dxa"/>
          </w:tcPr>
          <w:p w14:paraId="2F62A222" w14:textId="1690D330" w:rsidR="00220EB7" w:rsidRPr="0025566E" w:rsidRDefault="00220EB7" w:rsidP="000832E4">
            <w:pPr>
              <w:spacing w:before="100" w:beforeAutospacing="1" w:after="100" w:afterAutospacing="1"/>
              <w:rPr>
                <w:rFonts w:asciiTheme="minorHAnsi" w:hAnsiTheme="minorHAnsi" w:cstheme="minorHAnsi"/>
                <w:b/>
                <w:bCs/>
                <w:sz w:val="22"/>
                <w:szCs w:val="22"/>
              </w:rPr>
            </w:pPr>
            <w:r w:rsidRPr="0025566E">
              <w:rPr>
                <w:rFonts w:asciiTheme="minorHAnsi" w:hAnsiTheme="minorHAnsi" w:cstheme="minorHAnsi"/>
                <w:b/>
                <w:bCs/>
                <w:sz w:val="22"/>
                <w:szCs w:val="22"/>
              </w:rPr>
              <w:t>Ce qui vous pourriez obtenir après déduction des coûts</w:t>
            </w:r>
          </w:p>
        </w:tc>
        <w:tc>
          <w:tcPr>
            <w:tcW w:w="709" w:type="dxa"/>
          </w:tcPr>
          <w:p w14:paraId="75F2CCB6"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992" w:type="dxa"/>
          </w:tcPr>
          <w:p w14:paraId="7EA46490"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1405" w:type="dxa"/>
          </w:tcPr>
          <w:p w14:paraId="03B2F1A9"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r>
      <w:tr w:rsidR="00220EB7" w:rsidRPr="0025566E" w14:paraId="786F5341" w14:textId="77777777" w:rsidTr="007273CD">
        <w:tc>
          <w:tcPr>
            <w:tcW w:w="1809" w:type="dxa"/>
            <w:vMerge/>
          </w:tcPr>
          <w:p w14:paraId="6F03E70B"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3006" w:type="dxa"/>
          </w:tcPr>
          <w:p w14:paraId="03C388D0" w14:textId="0206E2C4" w:rsidR="00220EB7" w:rsidRPr="0025566E" w:rsidRDefault="00220EB7" w:rsidP="000832E4">
            <w:p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t>Rendement annuel moyen</w:t>
            </w:r>
          </w:p>
        </w:tc>
        <w:tc>
          <w:tcPr>
            <w:tcW w:w="709" w:type="dxa"/>
          </w:tcPr>
          <w:p w14:paraId="7F6448AF"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992" w:type="dxa"/>
          </w:tcPr>
          <w:p w14:paraId="45455976"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1405" w:type="dxa"/>
          </w:tcPr>
          <w:p w14:paraId="1085CF53"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r>
      <w:tr w:rsidR="00220EB7" w:rsidRPr="0025566E" w14:paraId="16B55E64" w14:textId="77777777" w:rsidTr="007273CD">
        <w:tc>
          <w:tcPr>
            <w:tcW w:w="1809" w:type="dxa"/>
            <w:vMerge w:val="restart"/>
          </w:tcPr>
          <w:p w14:paraId="61D9D5FA" w14:textId="091C8360" w:rsidR="00220EB7" w:rsidRPr="0025566E" w:rsidRDefault="00220EB7" w:rsidP="000832E4">
            <w:p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t>Scénario favorable</w:t>
            </w:r>
          </w:p>
        </w:tc>
        <w:tc>
          <w:tcPr>
            <w:tcW w:w="3006" w:type="dxa"/>
          </w:tcPr>
          <w:p w14:paraId="7CF2D147" w14:textId="5C951EBC" w:rsidR="00220EB7" w:rsidRPr="0025566E" w:rsidRDefault="00220EB7" w:rsidP="000832E4">
            <w:pPr>
              <w:spacing w:before="100" w:beforeAutospacing="1" w:after="100" w:afterAutospacing="1"/>
              <w:rPr>
                <w:rFonts w:asciiTheme="minorHAnsi" w:hAnsiTheme="minorHAnsi" w:cstheme="minorHAnsi"/>
                <w:b/>
                <w:bCs/>
                <w:sz w:val="22"/>
                <w:szCs w:val="22"/>
              </w:rPr>
            </w:pPr>
            <w:r w:rsidRPr="0025566E">
              <w:rPr>
                <w:rFonts w:asciiTheme="minorHAnsi" w:hAnsiTheme="minorHAnsi" w:cstheme="minorHAnsi"/>
                <w:b/>
                <w:bCs/>
                <w:sz w:val="22"/>
                <w:szCs w:val="22"/>
              </w:rPr>
              <w:t>Ce qui vous pourriez obtenir après déduction des coûts</w:t>
            </w:r>
          </w:p>
        </w:tc>
        <w:tc>
          <w:tcPr>
            <w:tcW w:w="709" w:type="dxa"/>
          </w:tcPr>
          <w:p w14:paraId="0A537B7F"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992" w:type="dxa"/>
          </w:tcPr>
          <w:p w14:paraId="3FB55D6D"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1405" w:type="dxa"/>
          </w:tcPr>
          <w:p w14:paraId="2BCDF178"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r>
      <w:tr w:rsidR="00220EB7" w:rsidRPr="0025566E" w14:paraId="415B2087" w14:textId="77777777" w:rsidTr="007273CD">
        <w:tc>
          <w:tcPr>
            <w:tcW w:w="1809" w:type="dxa"/>
            <w:vMerge/>
          </w:tcPr>
          <w:p w14:paraId="46F2D4FB"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3006" w:type="dxa"/>
          </w:tcPr>
          <w:p w14:paraId="6CE172EE" w14:textId="29AF90B4" w:rsidR="00220EB7" w:rsidRPr="0025566E" w:rsidRDefault="00220EB7" w:rsidP="000832E4">
            <w:pPr>
              <w:spacing w:before="100" w:beforeAutospacing="1" w:after="100" w:afterAutospacing="1"/>
              <w:rPr>
                <w:rFonts w:asciiTheme="minorHAnsi" w:hAnsiTheme="minorHAnsi" w:cstheme="minorHAnsi"/>
                <w:sz w:val="22"/>
                <w:szCs w:val="22"/>
              </w:rPr>
            </w:pPr>
            <w:r w:rsidRPr="0025566E">
              <w:rPr>
                <w:rFonts w:asciiTheme="minorHAnsi" w:hAnsiTheme="minorHAnsi" w:cstheme="minorHAnsi"/>
                <w:sz w:val="22"/>
                <w:szCs w:val="22"/>
              </w:rPr>
              <w:t>Rendement annuel moyen</w:t>
            </w:r>
          </w:p>
        </w:tc>
        <w:tc>
          <w:tcPr>
            <w:tcW w:w="709" w:type="dxa"/>
          </w:tcPr>
          <w:p w14:paraId="2002F4D2"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992" w:type="dxa"/>
          </w:tcPr>
          <w:p w14:paraId="2C76E68B"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c>
          <w:tcPr>
            <w:tcW w:w="1405" w:type="dxa"/>
          </w:tcPr>
          <w:p w14:paraId="68773C8F" w14:textId="77777777" w:rsidR="00220EB7" w:rsidRPr="0025566E" w:rsidRDefault="00220EB7" w:rsidP="000832E4">
            <w:pPr>
              <w:spacing w:before="100" w:beforeAutospacing="1" w:after="100" w:afterAutospacing="1"/>
              <w:rPr>
                <w:rFonts w:asciiTheme="minorHAnsi" w:hAnsiTheme="minorHAnsi" w:cstheme="minorHAnsi"/>
                <w:sz w:val="22"/>
                <w:szCs w:val="22"/>
              </w:rPr>
            </w:pPr>
          </w:p>
        </w:tc>
      </w:tr>
    </w:tbl>
    <w:p w14:paraId="29AFEF96" w14:textId="5D870CE1" w:rsidR="00220EB7" w:rsidRPr="0025566E" w:rsidRDefault="00220EB7" w:rsidP="000832E4">
      <w:pPr>
        <w:spacing w:before="100" w:beforeAutospacing="1" w:after="100" w:afterAutospacing="1"/>
        <w:rPr>
          <w:rFonts w:asciiTheme="minorHAnsi" w:hAnsiTheme="minorHAnsi" w:cstheme="minorHAnsi"/>
          <w:sz w:val="22"/>
          <w:szCs w:val="22"/>
        </w:rPr>
      </w:pPr>
    </w:p>
    <w:p w14:paraId="580821C4" w14:textId="365F1AD8" w:rsidR="007273CD" w:rsidRPr="0025566E" w:rsidRDefault="007273CD" w:rsidP="00C4256A">
      <w:pPr>
        <w:pStyle w:val="Normal1"/>
        <w:numPr>
          <w:ilvl w:val="2"/>
          <w:numId w:val="10"/>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Les éléments explicatifs suivants doivent être inclus dans le document d’information simplifié</w:t>
      </w:r>
    </w:p>
    <w:p w14:paraId="1A0AF8EB" w14:textId="241C531B" w:rsidR="007273CD" w:rsidRPr="0025566E" w:rsidRDefault="007273CD" w:rsidP="00C4256A">
      <w:pPr>
        <w:pStyle w:val="Normal1"/>
        <w:numPr>
          <w:ilvl w:val="4"/>
          <w:numId w:val="11"/>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Ce tableau montre les sommes que vous pourriez obtenir sur [période de détention recommandée] ans, en fonction de différents scénarios, en supposant que vous investissiez […] </w:t>
      </w:r>
      <w:r w:rsidR="002D0924" w:rsidRPr="0025566E">
        <w:rPr>
          <w:rFonts w:asciiTheme="minorHAnsi" w:hAnsiTheme="minorHAnsi" w:cstheme="minorHAnsi"/>
          <w:color w:val="000000"/>
          <w:sz w:val="22"/>
          <w:szCs w:val="22"/>
        </w:rPr>
        <w:t>FCFA.</w:t>
      </w:r>
    </w:p>
    <w:p w14:paraId="4AC2EFDE" w14:textId="77777777" w:rsidR="002D0924" w:rsidRPr="0025566E" w:rsidRDefault="007273CD" w:rsidP="00C4256A">
      <w:pPr>
        <w:pStyle w:val="Normal1"/>
        <w:numPr>
          <w:ilvl w:val="4"/>
          <w:numId w:val="11"/>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Les différents scénarios montrent comment votre investissement pourrait se comporter. Vous pouvez les comparer avec les scénarios d'autres produits.</w:t>
      </w:r>
    </w:p>
    <w:p w14:paraId="3CB170DE" w14:textId="26076A3D" w:rsidR="002D0924" w:rsidRPr="0025566E" w:rsidRDefault="007273CD" w:rsidP="00C4256A">
      <w:pPr>
        <w:pStyle w:val="Normal1"/>
        <w:numPr>
          <w:ilvl w:val="4"/>
          <w:numId w:val="11"/>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Les scénarios présentés sont une estimation de performances futures à partir de données du passé relatives aux variations de la valeur de cet investissement. Ils ne constituent pas un indicateur exact. Ce que vous obtiendrez dépendra de l'évolution du marché et de la durée pendant laquelle vous conserverez </w:t>
      </w:r>
      <w:r w:rsidR="002D0924" w:rsidRPr="0025566E">
        <w:rPr>
          <w:rFonts w:asciiTheme="minorHAnsi" w:hAnsiTheme="minorHAnsi" w:cstheme="minorHAnsi"/>
          <w:color w:val="000000"/>
          <w:sz w:val="22"/>
          <w:szCs w:val="22"/>
        </w:rPr>
        <w:t>l’OPC</w:t>
      </w:r>
      <w:r w:rsidRPr="0025566E">
        <w:rPr>
          <w:rFonts w:asciiTheme="minorHAnsi" w:hAnsiTheme="minorHAnsi" w:cstheme="minorHAnsi"/>
          <w:color w:val="000000"/>
          <w:sz w:val="22"/>
          <w:szCs w:val="22"/>
        </w:rPr>
        <w:t>.</w:t>
      </w:r>
    </w:p>
    <w:p w14:paraId="5CCB0744" w14:textId="77777777" w:rsidR="002D0924" w:rsidRPr="0025566E" w:rsidRDefault="007273CD" w:rsidP="00C4256A">
      <w:pPr>
        <w:pStyle w:val="Normal1"/>
        <w:numPr>
          <w:ilvl w:val="4"/>
          <w:numId w:val="11"/>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Le scénario de tensions montre ce que vous pourriez obtenir dans des situations de marché </w:t>
      </w:r>
      <w:r w:rsidR="002D0924" w:rsidRPr="0025566E">
        <w:rPr>
          <w:rFonts w:asciiTheme="minorHAnsi" w:hAnsiTheme="minorHAnsi" w:cstheme="minorHAnsi"/>
          <w:color w:val="000000"/>
          <w:sz w:val="22"/>
          <w:szCs w:val="22"/>
        </w:rPr>
        <w:t>défavorables</w:t>
      </w:r>
      <w:r w:rsidRPr="0025566E">
        <w:rPr>
          <w:rFonts w:asciiTheme="minorHAnsi" w:hAnsiTheme="minorHAnsi" w:cstheme="minorHAnsi"/>
          <w:color w:val="000000"/>
          <w:sz w:val="22"/>
          <w:szCs w:val="22"/>
        </w:rPr>
        <w:t xml:space="preserve"> et ne tient pas compte du cas où nous</w:t>
      </w:r>
      <w:r w:rsidR="002D0924" w:rsidRPr="0025566E">
        <w:rPr>
          <w:rFonts w:asciiTheme="minorHAnsi" w:hAnsiTheme="minorHAnsi" w:cstheme="minorHAnsi"/>
          <w:color w:val="000000"/>
          <w:sz w:val="22"/>
          <w:szCs w:val="22"/>
        </w:rPr>
        <w:t xml:space="preserve"> ou le dépositaire</w:t>
      </w:r>
      <w:r w:rsidRPr="0025566E">
        <w:rPr>
          <w:rFonts w:asciiTheme="minorHAnsi" w:hAnsiTheme="minorHAnsi" w:cstheme="minorHAnsi"/>
          <w:color w:val="000000"/>
          <w:sz w:val="22"/>
          <w:szCs w:val="22"/>
        </w:rPr>
        <w:t xml:space="preserve"> ne pourrions pas vous payer.</w:t>
      </w:r>
    </w:p>
    <w:p w14:paraId="00FAADD1" w14:textId="77777777" w:rsidR="002D0924" w:rsidRPr="0025566E" w:rsidRDefault="007273CD" w:rsidP="00C4256A">
      <w:pPr>
        <w:pStyle w:val="Normal1"/>
        <w:numPr>
          <w:ilvl w:val="4"/>
          <w:numId w:val="11"/>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 cas échéant] Il n'est pas [possible/facile] de sortir de ce produit. Par conséquent, il est difficile d'estimer combien vous obtiendrez si vous en sortez avant [la période de détention recommandée/échéance]. Il est possible que vous ne puissiez pas sortir du produit avant échéance, ou que vous subissiez des pertes ou des frais importants dans un tel cas.</w:t>
      </w:r>
    </w:p>
    <w:p w14:paraId="72FB0F36" w14:textId="426BBB5D" w:rsidR="002D0924" w:rsidRPr="0025566E" w:rsidRDefault="007273CD" w:rsidP="00C4256A">
      <w:pPr>
        <w:pStyle w:val="Normal1"/>
        <w:numPr>
          <w:ilvl w:val="4"/>
          <w:numId w:val="11"/>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Les chiffres indiqués comprennent tous les coûts </w:t>
      </w:r>
      <w:r w:rsidR="002D0924" w:rsidRPr="0025566E">
        <w:rPr>
          <w:rFonts w:asciiTheme="minorHAnsi" w:hAnsiTheme="minorHAnsi" w:cstheme="minorHAnsi"/>
          <w:color w:val="000000"/>
          <w:sz w:val="22"/>
          <w:szCs w:val="22"/>
        </w:rPr>
        <w:t>de l’OPC</w:t>
      </w:r>
      <w:r w:rsidRPr="0025566E">
        <w:rPr>
          <w:rFonts w:asciiTheme="minorHAnsi" w:hAnsiTheme="minorHAnsi" w:cstheme="minorHAnsi"/>
          <w:color w:val="000000"/>
          <w:sz w:val="22"/>
          <w:szCs w:val="22"/>
        </w:rPr>
        <w:t xml:space="preserve"> lui-même, [selon le cas:</w:t>
      </w:r>
      <w:proofErr w:type="gramStart"/>
      <w:r w:rsidRPr="0025566E">
        <w:rPr>
          <w:rFonts w:asciiTheme="minorHAnsi" w:hAnsiTheme="minorHAnsi" w:cstheme="minorHAnsi"/>
          <w:color w:val="000000"/>
          <w:sz w:val="22"/>
          <w:szCs w:val="22"/>
        </w:rPr>
        <w:t>][</w:t>
      </w:r>
      <w:proofErr w:type="gramEnd"/>
      <w:r w:rsidRPr="0025566E">
        <w:rPr>
          <w:rFonts w:asciiTheme="minorHAnsi" w:hAnsiTheme="minorHAnsi" w:cstheme="minorHAnsi"/>
          <w:color w:val="000000"/>
          <w:sz w:val="22"/>
          <w:szCs w:val="22"/>
        </w:rPr>
        <w:t>mais pas nécessairement tous les frais dus à votre conseiller ou distributeur][ainsi que les frais dus à votre conseiller ou distributeur]. Ces chiffres ne tiennent pas compte de votre situation fiscale personnelle, qui peut également influer sur les montants que vous recevrez.</w:t>
      </w:r>
    </w:p>
    <w:p w14:paraId="06D0CEAF" w14:textId="77777777" w:rsidR="007B5161" w:rsidRPr="0025566E" w:rsidRDefault="007273CD" w:rsidP="00C4256A">
      <w:pPr>
        <w:pStyle w:val="Normal1"/>
        <w:numPr>
          <w:ilvl w:val="4"/>
          <w:numId w:val="11"/>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Ce </w:t>
      </w:r>
      <w:r w:rsidR="007B5161" w:rsidRPr="0025566E">
        <w:rPr>
          <w:rFonts w:asciiTheme="minorHAnsi" w:hAnsiTheme="minorHAnsi" w:cstheme="minorHAnsi"/>
          <w:color w:val="000000"/>
          <w:sz w:val="22"/>
          <w:szCs w:val="22"/>
        </w:rPr>
        <w:t>tableau</w:t>
      </w:r>
      <w:r w:rsidRPr="0025566E">
        <w:rPr>
          <w:rFonts w:asciiTheme="minorHAnsi" w:hAnsiTheme="minorHAnsi" w:cstheme="minorHAnsi"/>
          <w:color w:val="000000"/>
          <w:sz w:val="22"/>
          <w:szCs w:val="22"/>
        </w:rPr>
        <w:t xml:space="preserve"> montre comment votre investissement pourrait se comporter. Vous pouvez le comparer au graphique de rémunération d'autres </w:t>
      </w:r>
      <w:r w:rsidR="002D0924" w:rsidRPr="0025566E">
        <w:rPr>
          <w:rFonts w:asciiTheme="minorHAnsi" w:hAnsiTheme="minorHAnsi" w:cstheme="minorHAnsi"/>
          <w:color w:val="000000"/>
          <w:sz w:val="22"/>
          <w:szCs w:val="22"/>
        </w:rPr>
        <w:t>OPC</w:t>
      </w:r>
      <w:r w:rsidRPr="0025566E">
        <w:rPr>
          <w:rFonts w:asciiTheme="minorHAnsi" w:hAnsiTheme="minorHAnsi" w:cstheme="minorHAnsi"/>
          <w:color w:val="000000"/>
          <w:sz w:val="22"/>
          <w:szCs w:val="22"/>
        </w:rPr>
        <w:t>.</w:t>
      </w:r>
    </w:p>
    <w:p w14:paraId="0EE17691" w14:textId="5F1F2AFE" w:rsidR="007B5161" w:rsidRPr="0025566E" w:rsidRDefault="007273CD" w:rsidP="00C4256A">
      <w:pPr>
        <w:pStyle w:val="Normal1"/>
        <w:numPr>
          <w:ilvl w:val="4"/>
          <w:numId w:val="11"/>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 xml:space="preserve">Le </w:t>
      </w:r>
      <w:r w:rsidR="007B5161" w:rsidRPr="0025566E">
        <w:rPr>
          <w:rFonts w:asciiTheme="minorHAnsi" w:hAnsiTheme="minorHAnsi" w:cstheme="minorHAnsi"/>
          <w:color w:val="000000"/>
          <w:sz w:val="22"/>
          <w:szCs w:val="22"/>
        </w:rPr>
        <w:t>tableau</w:t>
      </w:r>
      <w:r w:rsidRPr="0025566E">
        <w:rPr>
          <w:rFonts w:asciiTheme="minorHAnsi" w:hAnsiTheme="minorHAnsi" w:cstheme="minorHAnsi"/>
          <w:color w:val="000000"/>
          <w:sz w:val="22"/>
          <w:szCs w:val="22"/>
        </w:rPr>
        <w:t xml:space="preserve"> présente un éventail de résultats possibles</w:t>
      </w:r>
      <w:r w:rsidR="00A438CB" w:rsidRPr="0025566E">
        <w:rPr>
          <w:rFonts w:asciiTheme="minorHAnsi" w:hAnsiTheme="minorHAnsi" w:cstheme="minorHAnsi"/>
          <w:color w:val="000000"/>
          <w:sz w:val="22"/>
          <w:szCs w:val="22"/>
        </w:rPr>
        <w:t xml:space="preserve"> </w:t>
      </w:r>
      <w:r w:rsidRPr="0025566E">
        <w:rPr>
          <w:rFonts w:asciiTheme="minorHAnsi" w:hAnsiTheme="minorHAnsi" w:cstheme="minorHAnsi"/>
          <w:color w:val="000000"/>
          <w:sz w:val="22"/>
          <w:szCs w:val="22"/>
        </w:rPr>
        <w:t xml:space="preserve">; il n'est pas une indication exacte de ce que vous pourriez obtenir. Ce que vous recevrez dépendra de l'évolution du sous-jacent. Pour chaque valeur du sous-jacent, le graphique montre les gains ou les pertes </w:t>
      </w:r>
      <w:r w:rsidR="007B5161" w:rsidRPr="0025566E">
        <w:rPr>
          <w:rFonts w:asciiTheme="minorHAnsi" w:hAnsiTheme="minorHAnsi" w:cstheme="minorHAnsi"/>
          <w:color w:val="000000"/>
          <w:sz w:val="22"/>
          <w:szCs w:val="22"/>
        </w:rPr>
        <w:t>de l’OPC</w:t>
      </w:r>
      <w:r w:rsidRPr="0025566E">
        <w:rPr>
          <w:rFonts w:asciiTheme="minorHAnsi" w:hAnsiTheme="minorHAnsi" w:cstheme="minorHAnsi"/>
          <w:color w:val="000000"/>
          <w:sz w:val="22"/>
          <w:szCs w:val="22"/>
        </w:rPr>
        <w:t xml:space="preserve"> </w:t>
      </w:r>
      <w:r w:rsidR="00A438CB" w:rsidRPr="0025566E">
        <w:rPr>
          <w:rFonts w:asciiTheme="minorHAnsi" w:hAnsiTheme="minorHAnsi" w:cstheme="minorHAnsi"/>
          <w:color w:val="000000"/>
          <w:sz w:val="22"/>
          <w:szCs w:val="22"/>
        </w:rPr>
        <w:t>.</w:t>
      </w:r>
      <w:r w:rsidRPr="0025566E">
        <w:rPr>
          <w:rFonts w:asciiTheme="minorHAnsi" w:hAnsiTheme="minorHAnsi" w:cstheme="minorHAnsi"/>
          <w:color w:val="000000"/>
          <w:sz w:val="22"/>
          <w:szCs w:val="22"/>
        </w:rPr>
        <w:t xml:space="preserve">L'axe horizontal </w:t>
      </w:r>
      <w:r w:rsidRPr="0025566E">
        <w:rPr>
          <w:rFonts w:asciiTheme="minorHAnsi" w:hAnsiTheme="minorHAnsi" w:cstheme="minorHAnsi"/>
          <w:color w:val="000000"/>
          <w:sz w:val="22"/>
          <w:szCs w:val="22"/>
        </w:rPr>
        <w:lastRenderedPageBreak/>
        <w:t>correspond aux différentes valeurs possibles du sous-jacent à la date d'échéance et l'axe vertical indique les gains ou les pertes.</w:t>
      </w:r>
    </w:p>
    <w:p w14:paraId="7BCD6DAE" w14:textId="77777777" w:rsidR="007B5161" w:rsidRPr="0025566E" w:rsidRDefault="007273CD" w:rsidP="00C4256A">
      <w:pPr>
        <w:pStyle w:val="Normal1"/>
        <w:numPr>
          <w:ilvl w:val="4"/>
          <w:numId w:val="11"/>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L'achat de ce</w:t>
      </w:r>
      <w:r w:rsidR="007B5161" w:rsidRPr="0025566E">
        <w:rPr>
          <w:rFonts w:asciiTheme="minorHAnsi" w:hAnsiTheme="minorHAnsi" w:cstheme="minorHAnsi"/>
          <w:color w:val="000000"/>
          <w:sz w:val="22"/>
          <w:szCs w:val="22"/>
        </w:rPr>
        <w:t>t OPC</w:t>
      </w:r>
      <w:r w:rsidRPr="0025566E">
        <w:rPr>
          <w:rFonts w:asciiTheme="minorHAnsi" w:hAnsiTheme="minorHAnsi" w:cstheme="minorHAnsi"/>
          <w:color w:val="000000"/>
          <w:sz w:val="22"/>
          <w:szCs w:val="22"/>
        </w:rPr>
        <w:t xml:space="preserve"> signifie que vous considérez que le prix du sous-jacent va [augmenter/diminuer].</w:t>
      </w:r>
    </w:p>
    <w:p w14:paraId="2275260F" w14:textId="70F45FF7" w:rsidR="007273CD" w:rsidRPr="0025566E" w:rsidRDefault="007273CD" w:rsidP="00C4256A">
      <w:pPr>
        <w:pStyle w:val="Normal1"/>
        <w:numPr>
          <w:ilvl w:val="4"/>
          <w:numId w:val="11"/>
        </w:numPr>
        <w:spacing w:before="120" w:beforeAutospacing="0" w:after="0" w:afterAutospacing="0"/>
        <w:ind w:left="426"/>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Votre perte maximale peut être l'ensemble de votre investissement.</w:t>
      </w:r>
    </w:p>
    <w:p w14:paraId="21060734" w14:textId="4E5EF5DB" w:rsidR="007B5161" w:rsidRPr="0025566E" w:rsidRDefault="007B5161">
      <w:pPr>
        <w:rPr>
          <w:rFonts w:asciiTheme="minorHAnsi" w:hAnsiTheme="minorHAnsi" w:cstheme="minorHAnsi"/>
          <w:sz w:val="22"/>
          <w:szCs w:val="22"/>
        </w:rPr>
      </w:pPr>
      <w:r w:rsidRPr="0025566E">
        <w:rPr>
          <w:rFonts w:asciiTheme="minorHAnsi" w:hAnsiTheme="minorHAnsi" w:cstheme="minorHAnsi"/>
          <w:sz w:val="22"/>
          <w:szCs w:val="22"/>
        </w:rPr>
        <w:br w:type="page"/>
      </w:r>
    </w:p>
    <w:p w14:paraId="4399D2AD" w14:textId="606C3FF6" w:rsidR="007B5161" w:rsidRPr="00F30B9F" w:rsidRDefault="007B5161" w:rsidP="007B5161">
      <w:pPr>
        <w:spacing w:before="100" w:beforeAutospacing="1" w:after="100" w:afterAutospacing="1"/>
        <w:rPr>
          <w:rFonts w:asciiTheme="minorHAnsi" w:hAnsiTheme="minorHAnsi" w:cstheme="minorHAnsi"/>
          <w:b/>
          <w:sz w:val="22"/>
          <w:szCs w:val="22"/>
        </w:rPr>
      </w:pPr>
      <w:r w:rsidRPr="00F30B9F">
        <w:rPr>
          <w:rFonts w:asciiTheme="minorHAnsi" w:hAnsiTheme="minorHAnsi" w:cstheme="minorHAnsi"/>
          <w:b/>
          <w:sz w:val="22"/>
          <w:szCs w:val="22"/>
          <w:u w:val="single"/>
        </w:rPr>
        <w:lastRenderedPageBreak/>
        <w:t>ANNEXE IV</w:t>
      </w:r>
      <w:r w:rsidRPr="00F30B9F">
        <w:rPr>
          <w:rFonts w:asciiTheme="minorHAnsi" w:hAnsiTheme="minorHAnsi" w:cstheme="minorHAnsi"/>
          <w:b/>
          <w:sz w:val="22"/>
          <w:szCs w:val="22"/>
        </w:rPr>
        <w:t xml:space="preserve"> – </w:t>
      </w:r>
      <w:r w:rsidR="00587561" w:rsidRPr="00F30B9F">
        <w:rPr>
          <w:rFonts w:asciiTheme="minorHAnsi" w:hAnsiTheme="minorHAnsi" w:cstheme="minorHAnsi"/>
          <w:b/>
          <w:sz w:val="22"/>
          <w:szCs w:val="22"/>
        </w:rPr>
        <w:t>FRAIS</w:t>
      </w:r>
    </w:p>
    <w:p w14:paraId="49E240EF" w14:textId="3E4A7EC2" w:rsidR="00D8565D" w:rsidRPr="0025566E" w:rsidRDefault="00D8565D" w:rsidP="00D8565D">
      <w:pPr>
        <w:pStyle w:val="Normal1"/>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Les frais sont présentés dans un tableau structuré comme suit</w:t>
      </w:r>
      <w:r w:rsidR="00C4256A" w:rsidRPr="0025566E">
        <w:rPr>
          <w:rFonts w:asciiTheme="minorHAnsi" w:hAnsiTheme="minorHAnsi" w:cstheme="minorHAnsi"/>
          <w:color w:val="000000"/>
          <w:sz w:val="22"/>
          <w:szCs w:val="22"/>
        </w:rPr>
        <w:t xml:space="preserve"> </w:t>
      </w:r>
      <w:r w:rsidRPr="0025566E">
        <w:rPr>
          <w:rFonts w:asciiTheme="minorHAnsi" w:hAnsiTheme="minorHAnsi" w:cstheme="minorHAnsi"/>
          <w:color w:val="000000"/>
          <w:sz w:val="22"/>
          <w:szCs w:val="22"/>
        </w:rPr>
        <w:t>:</w:t>
      </w:r>
    </w:p>
    <w:p w14:paraId="4AEDB53D" w14:textId="77777777" w:rsidR="00C4256A" w:rsidRPr="0025566E" w:rsidRDefault="00C4256A" w:rsidP="00D8565D">
      <w:pPr>
        <w:pStyle w:val="Normal1"/>
        <w:spacing w:before="120" w:beforeAutospacing="0" w:after="0" w:afterAutospacing="0"/>
        <w:jc w:val="both"/>
        <w:rPr>
          <w:rFonts w:asciiTheme="minorHAnsi" w:hAnsiTheme="minorHAnsi" w:cstheme="minorHAnsi"/>
          <w:color w:val="000000"/>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87"/>
        <w:gridCol w:w="1361"/>
      </w:tblGrid>
      <w:tr w:rsidR="00D8565D" w:rsidRPr="0025566E" w14:paraId="7F0303CD" w14:textId="77777777" w:rsidTr="00D8565D">
        <w:tc>
          <w:tcPr>
            <w:tcW w:w="1632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1DDB4"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Fonts w:asciiTheme="minorHAnsi" w:hAnsiTheme="minorHAnsi" w:cstheme="minorHAnsi"/>
                <w:color w:val="000000"/>
                <w:sz w:val="22"/>
                <w:szCs w:val="22"/>
              </w:rPr>
              <w:t>Frais ponctuels prélevés avant ou après investissement</w:t>
            </w:r>
          </w:p>
        </w:tc>
      </w:tr>
      <w:tr w:rsidR="00D8565D" w:rsidRPr="0025566E" w14:paraId="34D93821" w14:textId="77777777" w:rsidTr="00D8565D">
        <w:tc>
          <w:tcPr>
            <w:tcW w:w="1499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B5BF44"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Style w:val="bold"/>
                <w:rFonts w:asciiTheme="minorHAnsi" w:eastAsiaTheme="majorEastAsia" w:hAnsiTheme="minorHAnsi" w:cstheme="minorHAnsi"/>
                <w:b/>
                <w:bCs/>
                <w:color w:val="000000"/>
                <w:sz w:val="22"/>
                <w:szCs w:val="22"/>
              </w:rPr>
              <w:t>Frais d’entrée</w:t>
            </w:r>
          </w:p>
          <w:p w14:paraId="24776DD8"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Style w:val="bold"/>
                <w:rFonts w:asciiTheme="minorHAnsi" w:eastAsiaTheme="majorEastAsia" w:hAnsiTheme="minorHAnsi" w:cstheme="minorHAnsi"/>
                <w:b/>
                <w:bCs/>
                <w:color w:val="000000"/>
                <w:sz w:val="22"/>
                <w:szCs w:val="22"/>
              </w:rPr>
              <w:t>Frais de sortie</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BDBEA7"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Fonts w:asciiTheme="minorHAnsi" w:hAnsiTheme="minorHAnsi" w:cstheme="minorHAnsi"/>
                <w:color w:val="000000"/>
                <w:sz w:val="22"/>
                <w:szCs w:val="22"/>
              </w:rPr>
              <w:t>[] %</w:t>
            </w:r>
          </w:p>
          <w:p w14:paraId="4E47D593"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Fonts w:asciiTheme="minorHAnsi" w:hAnsiTheme="minorHAnsi" w:cstheme="minorHAnsi"/>
                <w:color w:val="000000"/>
                <w:sz w:val="22"/>
                <w:szCs w:val="22"/>
              </w:rPr>
              <w:t>[] %</w:t>
            </w:r>
          </w:p>
        </w:tc>
      </w:tr>
      <w:tr w:rsidR="00D8565D" w:rsidRPr="0025566E" w14:paraId="35717E51" w14:textId="77777777" w:rsidTr="00D8565D">
        <w:tc>
          <w:tcPr>
            <w:tcW w:w="1632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4B07A8"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Fonts w:asciiTheme="minorHAnsi" w:hAnsiTheme="minorHAnsi" w:cstheme="minorHAnsi"/>
                <w:color w:val="000000"/>
                <w:sz w:val="22"/>
                <w:szCs w:val="22"/>
              </w:rPr>
              <w:t>Le pourcentage indiqué est le maximum pouvant être prélevé sur votre capital [avant que celui-ci ne soit investi] [avant que le revenu de votre investissement ne vous soit distribué].</w:t>
            </w:r>
          </w:p>
        </w:tc>
      </w:tr>
      <w:tr w:rsidR="00D8565D" w:rsidRPr="0025566E" w14:paraId="6748C280" w14:textId="77777777" w:rsidTr="00D8565D">
        <w:tc>
          <w:tcPr>
            <w:tcW w:w="1632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07AB70"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Fonts w:asciiTheme="minorHAnsi" w:hAnsiTheme="minorHAnsi" w:cstheme="minorHAnsi"/>
                <w:color w:val="000000"/>
                <w:sz w:val="22"/>
                <w:szCs w:val="22"/>
              </w:rPr>
              <w:t>Frais prélevés par le fonds sur une année</w:t>
            </w:r>
          </w:p>
        </w:tc>
      </w:tr>
      <w:tr w:rsidR="00D8565D" w:rsidRPr="0025566E" w14:paraId="32EF8E06" w14:textId="77777777" w:rsidTr="00D8565D">
        <w:tc>
          <w:tcPr>
            <w:tcW w:w="1499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5A8808"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Style w:val="bold"/>
                <w:rFonts w:asciiTheme="minorHAnsi" w:eastAsiaTheme="majorEastAsia" w:hAnsiTheme="minorHAnsi" w:cstheme="minorHAnsi"/>
                <w:b/>
                <w:bCs/>
                <w:color w:val="000000"/>
                <w:sz w:val="22"/>
                <w:szCs w:val="22"/>
              </w:rPr>
              <w:t>Frais courants</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218B73"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Fonts w:asciiTheme="minorHAnsi" w:hAnsiTheme="minorHAnsi" w:cstheme="minorHAnsi"/>
                <w:color w:val="000000"/>
                <w:sz w:val="22"/>
                <w:szCs w:val="22"/>
              </w:rPr>
              <w:t>[] %</w:t>
            </w:r>
          </w:p>
        </w:tc>
      </w:tr>
      <w:tr w:rsidR="00D8565D" w:rsidRPr="0025566E" w14:paraId="44567C8D" w14:textId="77777777" w:rsidTr="00D8565D">
        <w:tc>
          <w:tcPr>
            <w:tcW w:w="16320" w:type="dxa"/>
            <w:gridSpan w:val="2"/>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284E74"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Fonts w:asciiTheme="minorHAnsi" w:hAnsiTheme="minorHAnsi" w:cstheme="minorHAnsi"/>
                <w:color w:val="000000"/>
                <w:sz w:val="22"/>
                <w:szCs w:val="22"/>
              </w:rPr>
              <w:t>Frais prélevés par le fonds dans certaines circonstances</w:t>
            </w:r>
          </w:p>
        </w:tc>
      </w:tr>
      <w:tr w:rsidR="00D8565D" w:rsidRPr="0025566E" w14:paraId="34899383" w14:textId="77777777" w:rsidTr="00D8565D">
        <w:tc>
          <w:tcPr>
            <w:tcW w:w="14997"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F500D8"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Style w:val="bold"/>
                <w:rFonts w:asciiTheme="minorHAnsi" w:eastAsiaTheme="majorEastAsia" w:hAnsiTheme="minorHAnsi" w:cstheme="minorHAnsi"/>
                <w:b/>
                <w:bCs/>
                <w:color w:val="000000"/>
                <w:sz w:val="22"/>
                <w:szCs w:val="22"/>
              </w:rPr>
              <w:t>Commission de performance</w:t>
            </w:r>
          </w:p>
        </w:tc>
        <w:tc>
          <w:tcPr>
            <w:tcW w:w="1323" w:type="dxa"/>
            <w:tcBorders>
              <w:top w:val="single" w:sz="6" w:space="0" w:color="DDDDDD"/>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2E2D39" w14:textId="77777777" w:rsidR="00D8565D" w:rsidRPr="0025566E" w:rsidRDefault="00D8565D">
            <w:pPr>
              <w:pStyle w:val="tbl-txt"/>
              <w:spacing w:before="60" w:beforeAutospacing="0" w:after="60" w:afterAutospacing="0"/>
              <w:rPr>
                <w:rFonts w:asciiTheme="minorHAnsi" w:hAnsiTheme="minorHAnsi" w:cstheme="minorHAnsi"/>
                <w:color w:val="000000"/>
                <w:sz w:val="22"/>
                <w:szCs w:val="22"/>
              </w:rPr>
            </w:pPr>
            <w:r w:rsidRPr="0025566E">
              <w:rPr>
                <w:rFonts w:asciiTheme="minorHAnsi" w:hAnsiTheme="minorHAnsi" w:cstheme="minorHAnsi"/>
                <w:color w:val="000000"/>
                <w:sz w:val="22"/>
                <w:szCs w:val="22"/>
              </w:rPr>
              <w:t>[] % par an de tout rendement réalisé par le fonds qui dépasse la valeur de référence définie pour cette commission, à savoir [nom de la valeur de référence]</w:t>
            </w:r>
          </w:p>
        </w:tc>
      </w:tr>
    </w:tbl>
    <w:p w14:paraId="1CECDE16" w14:textId="77777777" w:rsidR="00D8565D" w:rsidRPr="0025566E" w:rsidRDefault="00D8565D" w:rsidP="00D8565D">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299"/>
        <w:gridCol w:w="8765"/>
      </w:tblGrid>
      <w:tr w:rsidR="00D8565D" w:rsidRPr="0025566E" w14:paraId="01136BFE" w14:textId="77777777" w:rsidTr="00D8565D">
        <w:tc>
          <w:tcPr>
            <w:tcW w:w="0" w:type="auto"/>
            <w:shd w:val="clear" w:color="auto" w:fill="auto"/>
            <w:hideMark/>
          </w:tcPr>
          <w:p w14:paraId="4610AF22" w14:textId="77777777" w:rsidR="00D8565D" w:rsidRPr="0025566E" w:rsidRDefault="00D8565D">
            <w:pPr>
              <w:pStyle w:val="Normal1"/>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w:t>
            </w:r>
          </w:p>
        </w:tc>
        <w:tc>
          <w:tcPr>
            <w:tcW w:w="0" w:type="auto"/>
            <w:shd w:val="clear" w:color="auto" w:fill="auto"/>
            <w:hideMark/>
          </w:tcPr>
          <w:p w14:paraId="091B8D96" w14:textId="77777777" w:rsidR="00D8565D" w:rsidRPr="0025566E" w:rsidRDefault="00D8565D">
            <w:pPr>
              <w:pStyle w:val="Normal1"/>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Un pourcentage est indiqué pour chacun des frais listés ci-dessus.</w:t>
            </w:r>
          </w:p>
        </w:tc>
      </w:tr>
    </w:tbl>
    <w:p w14:paraId="6122A119" w14:textId="77777777" w:rsidR="00D8565D" w:rsidRPr="0025566E" w:rsidRDefault="00D8565D" w:rsidP="00D8565D">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200"/>
        <w:gridCol w:w="8864"/>
      </w:tblGrid>
      <w:tr w:rsidR="00D8565D" w:rsidRPr="0025566E" w14:paraId="2869511B" w14:textId="77777777" w:rsidTr="00D8565D">
        <w:tc>
          <w:tcPr>
            <w:tcW w:w="0" w:type="auto"/>
            <w:shd w:val="clear" w:color="auto" w:fill="auto"/>
            <w:hideMark/>
          </w:tcPr>
          <w:p w14:paraId="088B3446" w14:textId="77777777" w:rsidR="00D8565D" w:rsidRPr="0025566E" w:rsidRDefault="00D8565D">
            <w:pPr>
              <w:pStyle w:val="Normal1"/>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w:t>
            </w:r>
          </w:p>
        </w:tc>
        <w:tc>
          <w:tcPr>
            <w:tcW w:w="0" w:type="auto"/>
            <w:shd w:val="clear" w:color="auto" w:fill="auto"/>
            <w:hideMark/>
          </w:tcPr>
          <w:p w14:paraId="5F61077E" w14:textId="77777777" w:rsidR="00D8565D" w:rsidRPr="0025566E" w:rsidRDefault="00D8565D">
            <w:pPr>
              <w:pStyle w:val="Normal1"/>
              <w:spacing w:before="120" w:beforeAutospacing="0" w:after="0" w:afterAutospacing="0"/>
              <w:jc w:val="both"/>
              <w:rPr>
                <w:rFonts w:asciiTheme="minorHAnsi" w:hAnsiTheme="minorHAnsi" w:cstheme="minorHAnsi"/>
                <w:color w:val="000000"/>
                <w:sz w:val="22"/>
                <w:szCs w:val="22"/>
              </w:rPr>
            </w:pPr>
            <w:r w:rsidRPr="0025566E">
              <w:rPr>
                <w:rFonts w:asciiTheme="minorHAnsi" w:hAnsiTheme="minorHAnsi" w:cstheme="minorHAnsi"/>
                <w:color w:val="000000"/>
                <w:sz w:val="22"/>
                <w:szCs w:val="22"/>
              </w:rPr>
              <w:t>En cas de commission de performance, le montant facturé au titre du dernier exercice du fonds est inclus, également sous la forme d’un pourcentage.</w:t>
            </w:r>
          </w:p>
        </w:tc>
      </w:tr>
    </w:tbl>
    <w:p w14:paraId="6214BC43" w14:textId="77777777" w:rsidR="00C4256A" w:rsidRPr="0025566E" w:rsidRDefault="00C4256A">
      <w:pPr>
        <w:spacing w:before="100" w:beforeAutospacing="1" w:after="100" w:afterAutospacing="1"/>
        <w:rPr>
          <w:rFonts w:asciiTheme="minorHAnsi" w:hAnsiTheme="minorHAnsi" w:cstheme="minorHAnsi"/>
          <w:sz w:val="22"/>
          <w:szCs w:val="22"/>
        </w:rPr>
      </w:pPr>
    </w:p>
    <w:sectPr w:rsidR="00C4256A" w:rsidRPr="0025566E" w:rsidSect="00360215">
      <w:headerReference w:type="even" r:id="rId7"/>
      <w:headerReference w:type="default" r:id="rId8"/>
      <w:footerReference w:type="even" r:id="rId9"/>
      <w:footerReference w:type="default" r:id="rId10"/>
      <w:headerReference w:type="first" r:id="rId11"/>
      <w:footerReference w:type="firs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4F901" w14:textId="77777777" w:rsidR="00ED1913" w:rsidRDefault="00ED1913" w:rsidP="00DF11BD">
      <w:r>
        <w:separator/>
      </w:r>
    </w:p>
  </w:endnote>
  <w:endnote w:type="continuationSeparator" w:id="0">
    <w:p w14:paraId="08DC2A0A" w14:textId="77777777" w:rsidR="00ED1913" w:rsidRDefault="00ED1913" w:rsidP="00DF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Albertina-Regu-Identity-H">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7788" w14:textId="77777777" w:rsidR="00DF11BD" w:rsidRDefault="00DF11B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172320"/>
      <w:docPartObj>
        <w:docPartGallery w:val="Page Numbers (Bottom of Page)"/>
        <w:docPartUnique/>
      </w:docPartObj>
    </w:sdtPr>
    <w:sdtEndPr/>
    <w:sdtContent>
      <w:p w14:paraId="23CF72D2" w14:textId="2F82A802" w:rsidR="00DF11BD" w:rsidRDefault="00DF11BD">
        <w:pPr>
          <w:pStyle w:val="Pieddepage"/>
          <w:jc w:val="center"/>
        </w:pPr>
        <w:r>
          <w:fldChar w:fldCharType="begin"/>
        </w:r>
        <w:r>
          <w:instrText>PAGE   \* MERGEFORMAT</w:instrText>
        </w:r>
        <w:r>
          <w:fldChar w:fldCharType="separate"/>
        </w:r>
        <w:r w:rsidR="00E0206E">
          <w:rPr>
            <w:noProof/>
          </w:rPr>
          <w:t>7</w:t>
        </w:r>
        <w:r>
          <w:fldChar w:fldCharType="end"/>
        </w:r>
      </w:p>
    </w:sdtContent>
  </w:sdt>
  <w:p w14:paraId="2533E05C" w14:textId="77777777" w:rsidR="00DF11BD" w:rsidRDefault="00DF11B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BC509" w14:textId="77777777" w:rsidR="00DF11BD" w:rsidRDefault="00DF11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77436" w14:textId="77777777" w:rsidR="00ED1913" w:rsidRDefault="00ED1913" w:rsidP="00DF11BD">
      <w:r>
        <w:separator/>
      </w:r>
    </w:p>
  </w:footnote>
  <w:footnote w:type="continuationSeparator" w:id="0">
    <w:p w14:paraId="5F8A9EED" w14:textId="77777777" w:rsidR="00ED1913" w:rsidRDefault="00ED1913" w:rsidP="00DF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E4B5" w14:textId="77777777" w:rsidR="00DF11BD" w:rsidRDefault="00DF11B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1710" w14:textId="77777777" w:rsidR="00DF11BD" w:rsidRDefault="00DF11B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C553" w14:textId="77777777" w:rsidR="00DF11BD" w:rsidRDefault="00DF11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034A"/>
    <w:multiLevelType w:val="hybridMultilevel"/>
    <w:tmpl w:val="0AC8150C"/>
    <w:lvl w:ilvl="0" w:tplc="F582178E">
      <w:start w:val="1"/>
      <w:numFmt w:val="decimal"/>
      <w:lvlText w:val="%1."/>
      <w:lvlJc w:val="left"/>
      <w:pPr>
        <w:ind w:left="720" w:hanging="360"/>
      </w:pPr>
      <w:rPr>
        <w:rFonts w:ascii="EUAlbertina-Regu-Identity-H" w:hAnsi="EUAlbertina-Regu-Identity-H"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7D6E51"/>
    <w:multiLevelType w:val="multilevel"/>
    <w:tmpl w:val="9BC69822"/>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pStyle w:val="Titre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92C7402"/>
    <w:multiLevelType w:val="hybridMultilevel"/>
    <w:tmpl w:val="564859B0"/>
    <w:lvl w:ilvl="0" w:tplc="BBD69A0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F01267"/>
    <w:multiLevelType w:val="hybridMultilevel"/>
    <w:tmpl w:val="CF80DBEE"/>
    <w:lvl w:ilvl="0" w:tplc="E30039F2">
      <w:start w:val="1"/>
      <w:numFmt w:val="lowerLetter"/>
      <w:lvlText w:val="%1."/>
      <w:lvlJc w:val="left"/>
      <w:pPr>
        <w:ind w:left="720" w:hanging="360"/>
      </w:pPr>
      <w:rPr>
        <w:rFonts w:ascii="Trebuchet MS" w:hAnsi="Trebuchet M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BF6A9C"/>
    <w:multiLevelType w:val="hybridMultilevel"/>
    <w:tmpl w:val="E236E6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DF3C13"/>
    <w:multiLevelType w:val="multilevel"/>
    <w:tmpl w:val="20FA5B6A"/>
    <w:lvl w:ilvl="0">
      <w:start w:val="1"/>
      <w:numFmt w:val="upperRoman"/>
      <w:lvlText w:val="%1."/>
      <w:lvlJc w:val="right"/>
      <w:pPr>
        <w:ind w:left="2345" w:hanging="360"/>
      </w:pPr>
      <w:rPr>
        <w:rFonts w:hint="default"/>
      </w:rPr>
    </w:lvl>
    <w:lvl w:ilvl="1">
      <w:start w:val="1"/>
      <w:numFmt w:val="decimal"/>
      <w:isLgl/>
      <w:lvlText w:val="%1.%2"/>
      <w:lvlJc w:val="left"/>
      <w:pPr>
        <w:ind w:left="2705" w:hanging="720"/>
      </w:pPr>
      <w:rPr>
        <w:rFonts w:hint="default"/>
        <w:i w:val="0"/>
        <w:iCs/>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6" w15:restartNumberingAfterBreak="0">
    <w:nsid w:val="2AE71724"/>
    <w:multiLevelType w:val="hybridMultilevel"/>
    <w:tmpl w:val="DF30BC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EA0B8A"/>
    <w:multiLevelType w:val="multilevel"/>
    <w:tmpl w:val="4448E3F2"/>
    <w:lvl w:ilvl="0">
      <w:start w:val="1"/>
      <w:numFmt w:val="lowerLetter"/>
      <w:lvlText w:val="%1."/>
      <w:lvlJc w:val="left"/>
      <w:pPr>
        <w:tabs>
          <w:tab w:val="num" w:pos="720"/>
        </w:tabs>
        <w:ind w:left="720" w:hanging="360"/>
      </w:pPr>
      <w:rPr>
        <w:rFonts w:ascii="Trebuchet MS" w:eastAsia="Times New Roman" w:hAnsi="Trebuchet MS" w:cs="Times New Roman"/>
        <w:sz w:val="20"/>
        <w:szCs w:val="20"/>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23D1481"/>
    <w:multiLevelType w:val="hybridMultilevel"/>
    <w:tmpl w:val="475CE4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4F3092"/>
    <w:multiLevelType w:val="hybridMultilevel"/>
    <w:tmpl w:val="729435F4"/>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56A2F698">
      <w:start w:val="1"/>
      <w:numFmt w:val="decimal"/>
      <w:lvlText w:val="%3."/>
      <w:lvlJc w:val="left"/>
      <w:pPr>
        <w:ind w:left="3060" w:hanging="360"/>
      </w:pPr>
      <w:rPr>
        <w:rFonts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4D768C7"/>
    <w:multiLevelType w:val="hybridMultilevel"/>
    <w:tmpl w:val="BDBC65A0"/>
    <w:lvl w:ilvl="0" w:tplc="040C0019">
      <w:start w:val="1"/>
      <w:numFmt w:val="lowerLetter"/>
      <w:lvlText w:val="%1."/>
      <w:lvlJc w:val="lef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15:restartNumberingAfterBreak="0">
    <w:nsid w:val="37724B4A"/>
    <w:multiLevelType w:val="hybridMultilevel"/>
    <w:tmpl w:val="57C6C2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C9085C"/>
    <w:multiLevelType w:val="hybridMultilevel"/>
    <w:tmpl w:val="D2B62C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2D1963"/>
    <w:multiLevelType w:val="hybridMultilevel"/>
    <w:tmpl w:val="AB2C6734"/>
    <w:lvl w:ilvl="0" w:tplc="FF0E8234">
      <w:start w:val="1"/>
      <w:numFmt w:val="bullet"/>
      <w:lvlText w:val="-"/>
      <w:lvlJc w:val="left"/>
      <w:pPr>
        <w:ind w:left="420" w:hanging="360"/>
      </w:pPr>
      <w:rPr>
        <w:rFonts w:ascii="inherit" w:eastAsia="Times New Roman" w:hAnsi="inherit" w:cs="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4A304546"/>
    <w:multiLevelType w:val="hybridMultilevel"/>
    <w:tmpl w:val="797063C2"/>
    <w:lvl w:ilvl="0" w:tplc="040C0019">
      <w:start w:val="1"/>
      <w:numFmt w:val="lowerLetter"/>
      <w:lvlText w:val="%1."/>
      <w:lvlJc w:val="left"/>
      <w:pPr>
        <w:ind w:left="1440" w:hanging="360"/>
      </w:pPr>
    </w:lvl>
    <w:lvl w:ilvl="1" w:tplc="2596611A">
      <w:start w:val="1"/>
      <w:numFmt w:val="lowerLetter"/>
      <w:lvlText w:val="%2."/>
      <w:lvlJc w:val="left"/>
      <w:pPr>
        <w:ind w:left="2160" w:hanging="360"/>
      </w:pPr>
      <w:rPr>
        <w:sz w:val="20"/>
        <w:szCs w:val="20"/>
      </w:rPr>
    </w:lvl>
    <w:lvl w:ilvl="2" w:tplc="521C4BB8">
      <w:start w:val="1"/>
      <w:numFmt w:val="decimal"/>
      <w:lvlText w:val="%3."/>
      <w:lvlJc w:val="left"/>
      <w:pPr>
        <w:ind w:left="3060" w:hanging="360"/>
      </w:pPr>
      <w:rPr>
        <w:rFonts w:hint="default"/>
      </w:rPr>
    </w:lvl>
    <w:lvl w:ilvl="3" w:tplc="419EA5CE">
      <w:start w:val="1"/>
      <w:numFmt w:val="lowerRoman"/>
      <w:lvlText w:val="%4)"/>
      <w:lvlJc w:val="left"/>
      <w:pPr>
        <w:ind w:left="3960" w:hanging="720"/>
      </w:pPr>
      <w:rPr>
        <w:rFonts w:hint="default"/>
      </w:rPr>
    </w:lvl>
    <w:lvl w:ilvl="4" w:tplc="84A8BE3C">
      <w:start w:val="1"/>
      <w:numFmt w:val="lowerLetter"/>
      <w:lvlText w:val="%5)"/>
      <w:lvlJc w:val="left"/>
      <w:pPr>
        <w:ind w:left="4320" w:hanging="360"/>
      </w:pPr>
      <w:rPr>
        <w:rFonts w:hint="default"/>
      </w:r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4B815109"/>
    <w:multiLevelType w:val="hybridMultilevel"/>
    <w:tmpl w:val="C394B172"/>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E0ACCC68">
      <w:start w:val="1"/>
      <w:numFmt w:val="decimal"/>
      <w:lvlText w:val="%3."/>
      <w:lvlJc w:val="left"/>
      <w:pPr>
        <w:ind w:left="3060" w:hanging="360"/>
      </w:pPr>
      <w:rPr>
        <w:rFonts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4DB97775"/>
    <w:multiLevelType w:val="multilevel"/>
    <w:tmpl w:val="9510ED78"/>
    <w:lvl w:ilvl="0">
      <w:start w:val="1"/>
      <w:numFmt w:val="lowerLetter"/>
      <w:lvlText w:val="%1."/>
      <w:lvlJc w:val="left"/>
      <w:pPr>
        <w:tabs>
          <w:tab w:val="num" w:pos="720"/>
        </w:tabs>
        <w:ind w:left="720" w:hanging="360"/>
      </w:pPr>
      <w:rPr>
        <w:rFonts w:ascii="Trebuchet MS" w:eastAsia="Times New Roman" w:hAnsi="Trebuchet MS" w:cs="Times New Roman"/>
        <w:sz w:val="20"/>
        <w:szCs w:val="20"/>
      </w:rPr>
    </w:lvl>
    <w:lvl w:ilvl="1">
      <w:start w:val="30"/>
      <w:numFmt w:val="bullet"/>
      <w:lvlText w:val=""/>
      <w:lvlJc w:val="left"/>
      <w:pPr>
        <w:ind w:left="1440" w:hanging="360"/>
      </w:pPr>
      <w:rPr>
        <w:rFonts w:ascii="Wingdings" w:eastAsiaTheme="minorHAnsi" w:hAnsi="Wingdings" w:cstheme="minorBidi" w:hint="default"/>
      </w:rPr>
    </w:lvl>
    <w:lvl w:ilvl="2">
      <w:start w:val="30"/>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8"/>
      <w:numFmt w:val="decimal"/>
      <w:lvlText w:val="%5."/>
      <w:lvlJc w:val="left"/>
      <w:pPr>
        <w:ind w:left="3600" w:hanging="360"/>
      </w:pPr>
      <w:rPr>
        <w:rFonts w:hint="default"/>
      </w:rPr>
    </w:lvl>
    <w:lvl w:ilvl="5">
      <w:start w:val="1"/>
      <w:numFmt w:val="upperRoman"/>
      <w:lvlText w:val="%6."/>
      <w:lvlJc w:val="left"/>
      <w:pPr>
        <w:ind w:left="4680" w:hanging="720"/>
      </w:pPr>
      <w:rPr>
        <w:rFonts w:hint="default"/>
      </w:r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FBB01E3"/>
    <w:multiLevelType w:val="hybridMultilevel"/>
    <w:tmpl w:val="417494F6"/>
    <w:lvl w:ilvl="0" w:tplc="14068D7A">
      <w:start w:val="1"/>
      <w:numFmt w:val="decimal"/>
      <w:lvlText w:val="%1."/>
      <w:lvlJc w:val="left"/>
      <w:pPr>
        <w:ind w:left="720" w:hanging="360"/>
      </w:pPr>
      <w:rPr>
        <w:rFonts w:ascii="Helvetica" w:hAnsi="Helvetica" w:hint="default"/>
      </w:rPr>
    </w:lvl>
    <w:lvl w:ilvl="1" w:tplc="4412CE8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D115F4"/>
    <w:multiLevelType w:val="hybridMultilevel"/>
    <w:tmpl w:val="CF4AF09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D270E9"/>
    <w:multiLevelType w:val="hybridMultilevel"/>
    <w:tmpl w:val="B792EA52"/>
    <w:lvl w:ilvl="0" w:tplc="993C00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E8095B"/>
    <w:multiLevelType w:val="hybridMultilevel"/>
    <w:tmpl w:val="B8BA2A2E"/>
    <w:lvl w:ilvl="0" w:tplc="E3F611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A11E98"/>
    <w:multiLevelType w:val="multilevel"/>
    <w:tmpl w:val="EF10C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0AA254B"/>
    <w:multiLevelType w:val="hybridMultilevel"/>
    <w:tmpl w:val="9F70044E"/>
    <w:lvl w:ilvl="0" w:tplc="040C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B171D5C"/>
    <w:multiLevelType w:val="hybridMultilevel"/>
    <w:tmpl w:val="F6920ADC"/>
    <w:lvl w:ilvl="0" w:tplc="A7B659F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E32329"/>
    <w:multiLevelType w:val="multilevel"/>
    <w:tmpl w:val="A1EA2A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EUAlbertina-Regu-Identity-H" w:hAnsi="EUAlbertina-Regu-Identity-H"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F98728D"/>
    <w:multiLevelType w:val="hybridMultilevel"/>
    <w:tmpl w:val="0358AC94"/>
    <w:lvl w:ilvl="0" w:tplc="CBE6E1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F53733"/>
    <w:multiLevelType w:val="hybridMultilevel"/>
    <w:tmpl w:val="A8C4FE92"/>
    <w:lvl w:ilvl="0" w:tplc="A580BC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8E3F6B"/>
    <w:multiLevelType w:val="hybridMultilevel"/>
    <w:tmpl w:val="C4BCF330"/>
    <w:lvl w:ilvl="0" w:tplc="1FD448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4333EE"/>
    <w:multiLevelType w:val="hybridMultilevel"/>
    <w:tmpl w:val="65B8D180"/>
    <w:lvl w:ilvl="0" w:tplc="531232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1"/>
  </w:num>
  <w:num w:numId="3">
    <w:abstractNumId w:val="5"/>
  </w:num>
  <w:num w:numId="4">
    <w:abstractNumId w:val="17"/>
  </w:num>
  <w:num w:numId="5">
    <w:abstractNumId w:val="9"/>
  </w:num>
  <w:num w:numId="6">
    <w:abstractNumId w:val="22"/>
  </w:num>
  <w:num w:numId="7">
    <w:abstractNumId w:val="10"/>
  </w:num>
  <w:num w:numId="8">
    <w:abstractNumId w:val="3"/>
  </w:num>
  <w:num w:numId="9">
    <w:abstractNumId w:val="24"/>
  </w:num>
  <w:num w:numId="10">
    <w:abstractNumId w:val="15"/>
  </w:num>
  <w:num w:numId="11">
    <w:abstractNumId w:val="14"/>
  </w:num>
  <w:num w:numId="12">
    <w:abstractNumId w:val="7"/>
  </w:num>
  <w:num w:numId="13">
    <w:abstractNumId w:val="16"/>
  </w:num>
  <w:num w:numId="14">
    <w:abstractNumId w:val="0"/>
  </w:num>
  <w:num w:numId="15">
    <w:abstractNumId w:val="4"/>
  </w:num>
  <w:num w:numId="16">
    <w:abstractNumId w:val="11"/>
  </w:num>
  <w:num w:numId="17">
    <w:abstractNumId w:val="25"/>
  </w:num>
  <w:num w:numId="18">
    <w:abstractNumId w:val="12"/>
  </w:num>
  <w:num w:numId="19">
    <w:abstractNumId w:val="2"/>
  </w:num>
  <w:num w:numId="20">
    <w:abstractNumId w:val="23"/>
  </w:num>
  <w:num w:numId="21">
    <w:abstractNumId w:val="6"/>
  </w:num>
  <w:num w:numId="22">
    <w:abstractNumId w:val="8"/>
  </w:num>
  <w:num w:numId="23">
    <w:abstractNumId w:val="26"/>
  </w:num>
  <w:num w:numId="24">
    <w:abstractNumId w:val="19"/>
  </w:num>
  <w:num w:numId="25">
    <w:abstractNumId w:val="20"/>
  </w:num>
  <w:num w:numId="26">
    <w:abstractNumId w:val="27"/>
  </w:num>
  <w:num w:numId="27">
    <w:abstractNumId w:val="28"/>
  </w:num>
  <w:num w:numId="28">
    <w:abstractNumId w:val="13"/>
  </w:num>
  <w:num w:numId="2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2"/>
    <w:rsid w:val="00003BF8"/>
    <w:rsid w:val="00023EDF"/>
    <w:rsid w:val="0006204A"/>
    <w:rsid w:val="000832E4"/>
    <w:rsid w:val="000D3E00"/>
    <w:rsid w:val="000F7474"/>
    <w:rsid w:val="00134666"/>
    <w:rsid w:val="00135A4F"/>
    <w:rsid w:val="001645A0"/>
    <w:rsid w:val="0017325C"/>
    <w:rsid w:val="001B12F9"/>
    <w:rsid w:val="001C2762"/>
    <w:rsid w:val="001D6C0C"/>
    <w:rsid w:val="001E165D"/>
    <w:rsid w:val="00220EB7"/>
    <w:rsid w:val="00242B7A"/>
    <w:rsid w:val="002470B6"/>
    <w:rsid w:val="0025566E"/>
    <w:rsid w:val="0027489B"/>
    <w:rsid w:val="002D0924"/>
    <w:rsid w:val="002F6490"/>
    <w:rsid w:val="003565E9"/>
    <w:rsid w:val="00360215"/>
    <w:rsid w:val="003A32BC"/>
    <w:rsid w:val="003A3A47"/>
    <w:rsid w:val="003A5F34"/>
    <w:rsid w:val="003D51A6"/>
    <w:rsid w:val="003D7C7C"/>
    <w:rsid w:val="00426A7D"/>
    <w:rsid w:val="00431FC2"/>
    <w:rsid w:val="0043373C"/>
    <w:rsid w:val="00475F70"/>
    <w:rsid w:val="004A0FA5"/>
    <w:rsid w:val="004C0145"/>
    <w:rsid w:val="004F0966"/>
    <w:rsid w:val="005537FF"/>
    <w:rsid w:val="00585079"/>
    <w:rsid w:val="00587561"/>
    <w:rsid w:val="00591FDA"/>
    <w:rsid w:val="00596D3A"/>
    <w:rsid w:val="005A3D1F"/>
    <w:rsid w:val="00640CC5"/>
    <w:rsid w:val="006722E2"/>
    <w:rsid w:val="00686CAE"/>
    <w:rsid w:val="00702AC3"/>
    <w:rsid w:val="007273CD"/>
    <w:rsid w:val="007337F3"/>
    <w:rsid w:val="0073386F"/>
    <w:rsid w:val="007A3804"/>
    <w:rsid w:val="007A6CA8"/>
    <w:rsid w:val="007B5161"/>
    <w:rsid w:val="007B5368"/>
    <w:rsid w:val="007C1D9A"/>
    <w:rsid w:val="007E2C7B"/>
    <w:rsid w:val="007F06E3"/>
    <w:rsid w:val="008211E3"/>
    <w:rsid w:val="00826078"/>
    <w:rsid w:val="0086401C"/>
    <w:rsid w:val="008E15EE"/>
    <w:rsid w:val="00901D78"/>
    <w:rsid w:val="00963CBD"/>
    <w:rsid w:val="009F4B92"/>
    <w:rsid w:val="00A34464"/>
    <w:rsid w:val="00A438CB"/>
    <w:rsid w:val="00A71A19"/>
    <w:rsid w:val="00AB1FDD"/>
    <w:rsid w:val="00AB739C"/>
    <w:rsid w:val="00AF5EFF"/>
    <w:rsid w:val="00B266CA"/>
    <w:rsid w:val="00B50070"/>
    <w:rsid w:val="00B84618"/>
    <w:rsid w:val="00B92D4A"/>
    <w:rsid w:val="00C4256A"/>
    <w:rsid w:val="00C715C2"/>
    <w:rsid w:val="00CB70FE"/>
    <w:rsid w:val="00D0254A"/>
    <w:rsid w:val="00D223F2"/>
    <w:rsid w:val="00D46A81"/>
    <w:rsid w:val="00D541CF"/>
    <w:rsid w:val="00D8565D"/>
    <w:rsid w:val="00D85CFF"/>
    <w:rsid w:val="00DF11BD"/>
    <w:rsid w:val="00DF3E5A"/>
    <w:rsid w:val="00E0206E"/>
    <w:rsid w:val="00E35FD4"/>
    <w:rsid w:val="00E3670C"/>
    <w:rsid w:val="00E47D2F"/>
    <w:rsid w:val="00E635BE"/>
    <w:rsid w:val="00EA304F"/>
    <w:rsid w:val="00EB7A36"/>
    <w:rsid w:val="00ED1913"/>
    <w:rsid w:val="00ED7C6B"/>
    <w:rsid w:val="00EF212E"/>
    <w:rsid w:val="00F177C8"/>
    <w:rsid w:val="00F22DA5"/>
    <w:rsid w:val="00F30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8F03"/>
  <w15:chartTrackingRefBased/>
  <w15:docId w15:val="{02D3C020-8036-4C40-A491-BAA05FDB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5D"/>
    <w:rPr>
      <w:rFonts w:ascii="Times New Roman" w:eastAsia="Times New Roman" w:hAnsi="Times New Roman" w:cs="Times New Roman"/>
      <w:lang w:eastAsia="fr-FR"/>
    </w:rPr>
  </w:style>
  <w:style w:type="paragraph" w:styleId="Titre1">
    <w:name w:val="heading 1"/>
    <w:basedOn w:val="Normal"/>
    <w:next w:val="Normal"/>
    <w:link w:val="Titre1Car"/>
    <w:autoRedefine/>
    <w:uiPriority w:val="9"/>
    <w:qFormat/>
    <w:rsid w:val="00EF212E"/>
    <w:pPr>
      <w:keepNext/>
      <w:keepLines/>
      <w:numPr>
        <w:numId w:val="1"/>
      </w:numPr>
      <w:spacing w:before="24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iPriority w:val="9"/>
    <w:unhideWhenUsed/>
    <w:qFormat/>
    <w:rsid w:val="00EF212E"/>
    <w:pPr>
      <w:keepNext/>
      <w:keepLines/>
      <w:numPr>
        <w:ilvl w:val="1"/>
        <w:numId w:val="1"/>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iPriority w:val="9"/>
    <w:unhideWhenUsed/>
    <w:qFormat/>
    <w:rsid w:val="00EF212E"/>
    <w:pPr>
      <w:keepNext/>
      <w:keepLines/>
      <w:numPr>
        <w:ilvl w:val="2"/>
        <w:numId w:val="1"/>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5">
    <w:name w:val="heading 5"/>
    <w:basedOn w:val="Normal"/>
    <w:next w:val="Normal"/>
    <w:link w:val="Titre5Car"/>
    <w:autoRedefine/>
    <w:uiPriority w:val="9"/>
    <w:unhideWhenUsed/>
    <w:qFormat/>
    <w:rsid w:val="00EF212E"/>
    <w:pPr>
      <w:keepNext/>
      <w:keepLines/>
      <w:numPr>
        <w:ilvl w:val="4"/>
        <w:numId w:val="1"/>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iPriority w:val="9"/>
    <w:unhideWhenUsed/>
    <w:qFormat/>
    <w:rsid w:val="00EF212E"/>
    <w:pPr>
      <w:keepNext/>
      <w:keepLines/>
      <w:numPr>
        <w:ilvl w:val="5"/>
        <w:numId w:val="2"/>
      </w:numPr>
      <w:spacing w:before="40"/>
      <w:jc w:val="center"/>
      <w:outlineLvl w:val="5"/>
    </w:pPr>
    <w:rPr>
      <w:rFonts w:eastAsiaTheme="majorEastAsia" w:cstheme="majorBidi"/>
      <w:i/>
      <w:color w:val="000000" w:themeColor="tex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39C"/>
    <w:rPr>
      <w:rFonts w:ascii="Times New Roman" w:eastAsiaTheme="majorEastAsia" w:hAnsi="Times New Roman" w:cs="Times New Roman (Titres CS)"/>
      <w:b/>
      <w:smallCaps/>
      <w:color w:val="000000" w:themeColor="text1"/>
      <w:szCs w:val="32"/>
      <w:lang w:eastAsia="fr-FR"/>
    </w:rPr>
  </w:style>
  <w:style w:type="character" w:customStyle="1" w:styleId="Titre2Car">
    <w:name w:val="Titre 2 Car"/>
    <w:basedOn w:val="Policepardfaut"/>
    <w:link w:val="Titre2"/>
    <w:uiPriority w:val="9"/>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uiPriority w:val="9"/>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uiPriority w:val="9"/>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uiPriority w:val="9"/>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1C2762"/>
    <w:pPr>
      <w:spacing w:before="100" w:beforeAutospacing="1" w:after="100" w:afterAutospacing="1"/>
    </w:pPr>
  </w:style>
  <w:style w:type="paragraph" w:styleId="Paragraphedeliste">
    <w:name w:val="List Paragraph"/>
    <w:basedOn w:val="Normal"/>
    <w:uiPriority w:val="34"/>
    <w:qFormat/>
    <w:rsid w:val="00A71A19"/>
    <w:pPr>
      <w:ind w:left="720"/>
      <w:contextualSpacing/>
    </w:pPr>
  </w:style>
  <w:style w:type="table" w:styleId="Grilledutableau">
    <w:name w:val="Table Grid"/>
    <w:basedOn w:val="TableauNormal"/>
    <w:uiPriority w:val="39"/>
    <w:rsid w:val="001E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7Couleur">
    <w:name w:val="Grid Table 7 Colorful"/>
    <w:basedOn w:val="TableauNormal"/>
    <w:uiPriority w:val="52"/>
    <w:rsid w:val="001E16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E165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Textedelespacerserv">
    <w:name w:val="Placeholder Text"/>
    <w:basedOn w:val="Policepardfaut"/>
    <w:uiPriority w:val="99"/>
    <w:semiHidden/>
    <w:rsid w:val="00640CC5"/>
    <w:rPr>
      <w:color w:val="808080"/>
    </w:rPr>
  </w:style>
  <w:style w:type="paragraph" w:customStyle="1" w:styleId="Normal1">
    <w:name w:val="Normal1"/>
    <w:basedOn w:val="Normal"/>
    <w:rsid w:val="00C715C2"/>
    <w:pPr>
      <w:spacing w:before="100" w:beforeAutospacing="1" w:after="100" w:afterAutospacing="1"/>
    </w:pPr>
  </w:style>
  <w:style w:type="paragraph" w:customStyle="1" w:styleId="ti-grseq-1">
    <w:name w:val="ti-grseq-1"/>
    <w:basedOn w:val="Normal"/>
    <w:rsid w:val="00C715C2"/>
    <w:pPr>
      <w:spacing w:before="100" w:beforeAutospacing="1" w:after="100" w:afterAutospacing="1"/>
    </w:pPr>
  </w:style>
  <w:style w:type="character" w:customStyle="1" w:styleId="italic">
    <w:name w:val="italic"/>
    <w:basedOn w:val="Policepardfaut"/>
    <w:rsid w:val="00C715C2"/>
  </w:style>
  <w:style w:type="character" w:customStyle="1" w:styleId="apple-converted-space">
    <w:name w:val="apple-converted-space"/>
    <w:basedOn w:val="Policepardfaut"/>
    <w:rsid w:val="00C715C2"/>
  </w:style>
  <w:style w:type="character" w:customStyle="1" w:styleId="sub">
    <w:name w:val="sub"/>
    <w:basedOn w:val="Policepardfaut"/>
    <w:rsid w:val="00C715C2"/>
  </w:style>
  <w:style w:type="character" w:customStyle="1" w:styleId="bold">
    <w:name w:val="bold"/>
    <w:basedOn w:val="Policepardfaut"/>
    <w:rsid w:val="00C715C2"/>
  </w:style>
  <w:style w:type="character" w:customStyle="1" w:styleId="super">
    <w:name w:val="super"/>
    <w:basedOn w:val="Policepardfaut"/>
    <w:rsid w:val="00C715C2"/>
  </w:style>
  <w:style w:type="character" w:styleId="Lienhypertexte">
    <w:name w:val="Hyperlink"/>
    <w:basedOn w:val="Policepardfaut"/>
    <w:uiPriority w:val="99"/>
    <w:semiHidden/>
    <w:unhideWhenUsed/>
    <w:rsid w:val="00C715C2"/>
    <w:rPr>
      <w:color w:val="0000FF"/>
      <w:u w:val="single"/>
    </w:rPr>
  </w:style>
  <w:style w:type="paragraph" w:customStyle="1" w:styleId="tbl-hdr">
    <w:name w:val="tbl-hdr"/>
    <w:basedOn w:val="Normal"/>
    <w:rsid w:val="00C715C2"/>
    <w:pPr>
      <w:spacing w:before="100" w:beforeAutospacing="1" w:after="100" w:afterAutospacing="1"/>
    </w:pPr>
  </w:style>
  <w:style w:type="paragraph" w:customStyle="1" w:styleId="tbl-txt">
    <w:name w:val="tbl-txt"/>
    <w:basedOn w:val="Normal"/>
    <w:rsid w:val="00C715C2"/>
    <w:pPr>
      <w:spacing w:before="100" w:beforeAutospacing="1" w:after="100" w:afterAutospacing="1"/>
    </w:pPr>
  </w:style>
  <w:style w:type="paragraph" w:customStyle="1" w:styleId="sti-art">
    <w:name w:val="sti-art"/>
    <w:basedOn w:val="Normal"/>
    <w:rsid w:val="000D3E00"/>
    <w:pPr>
      <w:spacing w:before="100" w:beforeAutospacing="1" w:after="100" w:afterAutospacing="1"/>
    </w:pPr>
  </w:style>
  <w:style w:type="paragraph" w:customStyle="1" w:styleId="ti-art">
    <w:name w:val="ti-art"/>
    <w:basedOn w:val="Normal"/>
    <w:rsid w:val="000D3E00"/>
    <w:pPr>
      <w:spacing w:before="100" w:beforeAutospacing="1" w:after="100" w:afterAutospacing="1"/>
    </w:pPr>
  </w:style>
  <w:style w:type="paragraph" w:styleId="En-tte">
    <w:name w:val="header"/>
    <w:basedOn w:val="Normal"/>
    <w:link w:val="En-tteCar"/>
    <w:uiPriority w:val="99"/>
    <w:unhideWhenUsed/>
    <w:rsid w:val="00DF11BD"/>
    <w:pPr>
      <w:tabs>
        <w:tab w:val="center" w:pos="4536"/>
        <w:tab w:val="right" w:pos="9072"/>
      </w:tabs>
    </w:pPr>
  </w:style>
  <w:style w:type="character" w:customStyle="1" w:styleId="En-tteCar">
    <w:name w:val="En-tête Car"/>
    <w:basedOn w:val="Policepardfaut"/>
    <w:link w:val="En-tte"/>
    <w:uiPriority w:val="99"/>
    <w:rsid w:val="00DF11B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DF11BD"/>
    <w:pPr>
      <w:tabs>
        <w:tab w:val="center" w:pos="4536"/>
        <w:tab w:val="right" w:pos="9072"/>
      </w:tabs>
    </w:pPr>
  </w:style>
  <w:style w:type="character" w:customStyle="1" w:styleId="PieddepageCar">
    <w:name w:val="Pied de page Car"/>
    <w:basedOn w:val="Policepardfaut"/>
    <w:link w:val="Pieddepage"/>
    <w:uiPriority w:val="99"/>
    <w:rsid w:val="00DF11BD"/>
    <w:rPr>
      <w:rFonts w:ascii="Times New Roman" w:eastAsia="Times New Roman" w:hAnsi="Times New Roman" w:cs="Times New Roman"/>
      <w:lang w:eastAsia="fr-FR"/>
    </w:rPr>
  </w:style>
  <w:style w:type="paragraph" w:styleId="Rvision">
    <w:name w:val="Revision"/>
    <w:hidden/>
    <w:uiPriority w:val="99"/>
    <w:semiHidden/>
    <w:rsid w:val="00E635BE"/>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A3446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446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631">
      <w:bodyDiv w:val="1"/>
      <w:marLeft w:val="0"/>
      <w:marRight w:val="0"/>
      <w:marTop w:val="0"/>
      <w:marBottom w:val="0"/>
      <w:divBdr>
        <w:top w:val="none" w:sz="0" w:space="0" w:color="auto"/>
        <w:left w:val="none" w:sz="0" w:space="0" w:color="auto"/>
        <w:bottom w:val="none" w:sz="0" w:space="0" w:color="auto"/>
        <w:right w:val="none" w:sz="0" w:space="0" w:color="auto"/>
      </w:divBdr>
      <w:divsChild>
        <w:div w:id="477068997">
          <w:marLeft w:val="0"/>
          <w:marRight w:val="0"/>
          <w:marTop w:val="0"/>
          <w:marBottom w:val="0"/>
          <w:divBdr>
            <w:top w:val="none" w:sz="0" w:space="0" w:color="auto"/>
            <w:left w:val="none" w:sz="0" w:space="0" w:color="auto"/>
            <w:bottom w:val="none" w:sz="0" w:space="0" w:color="auto"/>
            <w:right w:val="none" w:sz="0" w:space="0" w:color="auto"/>
          </w:divBdr>
          <w:divsChild>
            <w:div w:id="763574874">
              <w:marLeft w:val="0"/>
              <w:marRight w:val="0"/>
              <w:marTop w:val="0"/>
              <w:marBottom w:val="0"/>
              <w:divBdr>
                <w:top w:val="none" w:sz="0" w:space="0" w:color="auto"/>
                <w:left w:val="none" w:sz="0" w:space="0" w:color="auto"/>
                <w:bottom w:val="none" w:sz="0" w:space="0" w:color="auto"/>
                <w:right w:val="none" w:sz="0" w:space="0" w:color="auto"/>
              </w:divBdr>
              <w:divsChild>
                <w:div w:id="19652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8214">
      <w:bodyDiv w:val="1"/>
      <w:marLeft w:val="0"/>
      <w:marRight w:val="0"/>
      <w:marTop w:val="0"/>
      <w:marBottom w:val="0"/>
      <w:divBdr>
        <w:top w:val="none" w:sz="0" w:space="0" w:color="auto"/>
        <w:left w:val="none" w:sz="0" w:space="0" w:color="auto"/>
        <w:bottom w:val="none" w:sz="0" w:space="0" w:color="auto"/>
        <w:right w:val="none" w:sz="0" w:space="0" w:color="auto"/>
      </w:divBdr>
      <w:divsChild>
        <w:div w:id="1814904339">
          <w:marLeft w:val="0"/>
          <w:marRight w:val="0"/>
          <w:marTop w:val="0"/>
          <w:marBottom w:val="0"/>
          <w:divBdr>
            <w:top w:val="none" w:sz="0" w:space="0" w:color="auto"/>
            <w:left w:val="none" w:sz="0" w:space="0" w:color="auto"/>
            <w:bottom w:val="none" w:sz="0" w:space="0" w:color="auto"/>
            <w:right w:val="none" w:sz="0" w:space="0" w:color="auto"/>
          </w:divBdr>
          <w:divsChild>
            <w:div w:id="560293277">
              <w:marLeft w:val="0"/>
              <w:marRight w:val="0"/>
              <w:marTop w:val="0"/>
              <w:marBottom w:val="0"/>
              <w:divBdr>
                <w:top w:val="none" w:sz="0" w:space="0" w:color="auto"/>
                <w:left w:val="none" w:sz="0" w:space="0" w:color="auto"/>
                <w:bottom w:val="none" w:sz="0" w:space="0" w:color="auto"/>
                <w:right w:val="none" w:sz="0" w:space="0" w:color="auto"/>
              </w:divBdr>
              <w:divsChild>
                <w:div w:id="1193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1415">
      <w:bodyDiv w:val="1"/>
      <w:marLeft w:val="0"/>
      <w:marRight w:val="0"/>
      <w:marTop w:val="0"/>
      <w:marBottom w:val="0"/>
      <w:divBdr>
        <w:top w:val="none" w:sz="0" w:space="0" w:color="auto"/>
        <w:left w:val="none" w:sz="0" w:space="0" w:color="auto"/>
        <w:bottom w:val="none" w:sz="0" w:space="0" w:color="auto"/>
        <w:right w:val="none" w:sz="0" w:space="0" w:color="auto"/>
      </w:divBdr>
      <w:divsChild>
        <w:div w:id="2011718493">
          <w:marLeft w:val="0"/>
          <w:marRight w:val="0"/>
          <w:marTop w:val="0"/>
          <w:marBottom w:val="0"/>
          <w:divBdr>
            <w:top w:val="none" w:sz="0" w:space="0" w:color="auto"/>
            <w:left w:val="none" w:sz="0" w:space="0" w:color="auto"/>
            <w:bottom w:val="none" w:sz="0" w:space="0" w:color="auto"/>
            <w:right w:val="none" w:sz="0" w:space="0" w:color="auto"/>
          </w:divBdr>
          <w:divsChild>
            <w:div w:id="59795116">
              <w:marLeft w:val="0"/>
              <w:marRight w:val="0"/>
              <w:marTop w:val="0"/>
              <w:marBottom w:val="0"/>
              <w:divBdr>
                <w:top w:val="none" w:sz="0" w:space="0" w:color="auto"/>
                <w:left w:val="none" w:sz="0" w:space="0" w:color="auto"/>
                <w:bottom w:val="none" w:sz="0" w:space="0" w:color="auto"/>
                <w:right w:val="none" w:sz="0" w:space="0" w:color="auto"/>
              </w:divBdr>
              <w:divsChild>
                <w:div w:id="18369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3777">
      <w:bodyDiv w:val="1"/>
      <w:marLeft w:val="0"/>
      <w:marRight w:val="0"/>
      <w:marTop w:val="0"/>
      <w:marBottom w:val="0"/>
      <w:divBdr>
        <w:top w:val="none" w:sz="0" w:space="0" w:color="auto"/>
        <w:left w:val="none" w:sz="0" w:space="0" w:color="auto"/>
        <w:bottom w:val="none" w:sz="0" w:space="0" w:color="auto"/>
        <w:right w:val="none" w:sz="0" w:space="0" w:color="auto"/>
      </w:divBdr>
    </w:div>
    <w:div w:id="73013974">
      <w:bodyDiv w:val="1"/>
      <w:marLeft w:val="0"/>
      <w:marRight w:val="0"/>
      <w:marTop w:val="0"/>
      <w:marBottom w:val="0"/>
      <w:divBdr>
        <w:top w:val="none" w:sz="0" w:space="0" w:color="auto"/>
        <w:left w:val="none" w:sz="0" w:space="0" w:color="auto"/>
        <w:bottom w:val="none" w:sz="0" w:space="0" w:color="auto"/>
        <w:right w:val="none" w:sz="0" w:space="0" w:color="auto"/>
      </w:divBdr>
      <w:divsChild>
        <w:div w:id="1094976219">
          <w:marLeft w:val="0"/>
          <w:marRight w:val="0"/>
          <w:marTop w:val="0"/>
          <w:marBottom w:val="0"/>
          <w:divBdr>
            <w:top w:val="none" w:sz="0" w:space="0" w:color="auto"/>
            <w:left w:val="none" w:sz="0" w:space="0" w:color="auto"/>
            <w:bottom w:val="none" w:sz="0" w:space="0" w:color="auto"/>
            <w:right w:val="none" w:sz="0" w:space="0" w:color="auto"/>
          </w:divBdr>
          <w:divsChild>
            <w:div w:id="1475216199">
              <w:marLeft w:val="0"/>
              <w:marRight w:val="0"/>
              <w:marTop w:val="0"/>
              <w:marBottom w:val="0"/>
              <w:divBdr>
                <w:top w:val="none" w:sz="0" w:space="0" w:color="auto"/>
                <w:left w:val="none" w:sz="0" w:space="0" w:color="auto"/>
                <w:bottom w:val="none" w:sz="0" w:space="0" w:color="auto"/>
                <w:right w:val="none" w:sz="0" w:space="0" w:color="auto"/>
              </w:divBdr>
              <w:divsChild>
                <w:div w:id="3991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7832">
      <w:bodyDiv w:val="1"/>
      <w:marLeft w:val="0"/>
      <w:marRight w:val="0"/>
      <w:marTop w:val="0"/>
      <w:marBottom w:val="0"/>
      <w:divBdr>
        <w:top w:val="none" w:sz="0" w:space="0" w:color="auto"/>
        <w:left w:val="none" w:sz="0" w:space="0" w:color="auto"/>
        <w:bottom w:val="none" w:sz="0" w:space="0" w:color="auto"/>
        <w:right w:val="none" w:sz="0" w:space="0" w:color="auto"/>
      </w:divBdr>
      <w:divsChild>
        <w:div w:id="493423333">
          <w:marLeft w:val="0"/>
          <w:marRight w:val="0"/>
          <w:marTop w:val="0"/>
          <w:marBottom w:val="0"/>
          <w:divBdr>
            <w:top w:val="none" w:sz="0" w:space="0" w:color="auto"/>
            <w:left w:val="none" w:sz="0" w:space="0" w:color="auto"/>
            <w:bottom w:val="none" w:sz="0" w:space="0" w:color="auto"/>
            <w:right w:val="none" w:sz="0" w:space="0" w:color="auto"/>
          </w:divBdr>
          <w:divsChild>
            <w:div w:id="609896237">
              <w:marLeft w:val="0"/>
              <w:marRight w:val="0"/>
              <w:marTop w:val="0"/>
              <w:marBottom w:val="0"/>
              <w:divBdr>
                <w:top w:val="none" w:sz="0" w:space="0" w:color="auto"/>
                <w:left w:val="none" w:sz="0" w:space="0" w:color="auto"/>
                <w:bottom w:val="none" w:sz="0" w:space="0" w:color="auto"/>
                <w:right w:val="none" w:sz="0" w:space="0" w:color="auto"/>
              </w:divBdr>
              <w:divsChild>
                <w:div w:id="19413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688">
      <w:bodyDiv w:val="1"/>
      <w:marLeft w:val="0"/>
      <w:marRight w:val="0"/>
      <w:marTop w:val="0"/>
      <w:marBottom w:val="0"/>
      <w:divBdr>
        <w:top w:val="none" w:sz="0" w:space="0" w:color="auto"/>
        <w:left w:val="none" w:sz="0" w:space="0" w:color="auto"/>
        <w:bottom w:val="none" w:sz="0" w:space="0" w:color="auto"/>
        <w:right w:val="none" w:sz="0" w:space="0" w:color="auto"/>
      </w:divBdr>
    </w:div>
    <w:div w:id="369116477">
      <w:bodyDiv w:val="1"/>
      <w:marLeft w:val="0"/>
      <w:marRight w:val="0"/>
      <w:marTop w:val="0"/>
      <w:marBottom w:val="0"/>
      <w:divBdr>
        <w:top w:val="none" w:sz="0" w:space="0" w:color="auto"/>
        <w:left w:val="none" w:sz="0" w:space="0" w:color="auto"/>
        <w:bottom w:val="none" w:sz="0" w:space="0" w:color="auto"/>
        <w:right w:val="none" w:sz="0" w:space="0" w:color="auto"/>
      </w:divBdr>
    </w:div>
    <w:div w:id="460616231">
      <w:bodyDiv w:val="1"/>
      <w:marLeft w:val="0"/>
      <w:marRight w:val="0"/>
      <w:marTop w:val="0"/>
      <w:marBottom w:val="0"/>
      <w:divBdr>
        <w:top w:val="none" w:sz="0" w:space="0" w:color="auto"/>
        <w:left w:val="none" w:sz="0" w:space="0" w:color="auto"/>
        <w:bottom w:val="none" w:sz="0" w:space="0" w:color="auto"/>
        <w:right w:val="none" w:sz="0" w:space="0" w:color="auto"/>
      </w:divBdr>
      <w:divsChild>
        <w:div w:id="615215102">
          <w:marLeft w:val="0"/>
          <w:marRight w:val="0"/>
          <w:marTop w:val="0"/>
          <w:marBottom w:val="0"/>
          <w:divBdr>
            <w:top w:val="none" w:sz="0" w:space="0" w:color="auto"/>
            <w:left w:val="none" w:sz="0" w:space="0" w:color="auto"/>
            <w:bottom w:val="none" w:sz="0" w:space="0" w:color="auto"/>
            <w:right w:val="none" w:sz="0" w:space="0" w:color="auto"/>
          </w:divBdr>
          <w:divsChild>
            <w:div w:id="886063530">
              <w:marLeft w:val="0"/>
              <w:marRight w:val="0"/>
              <w:marTop w:val="0"/>
              <w:marBottom w:val="0"/>
              <w:divBdr>
                <w:top w:val="none" w:sz="0" w:space="0" w:color="auto"/>
                <w:left w:val="none" w:sz="0" w:space="0" w:color="auto"/>
                <w:bottom w:val="none" w:sz="0" w:space="0" w:color="auto"/>
                <w:right w:val="none" w:sz="0" w:space="0" w:color="auto"/>
              </w:divBdr>
              <w:divsChild>
                <w:div w:id="948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2658">
      <w:bodyDiv w:val="1"/>
      <w:marLeft w:val="0"/>
      <w:marRight w:val="0"/>
      <w:marTop w:val="0"/>
      <w:marBottom w:val="0"/>
      <w:divBdr>
        <w:top w:val="none" w:sz="0" w:space="0" w:color="auto"/>
        <w:left w:val="none" w:sz="0" w:space="0" w:color="auto"/>
        <w:bottom w:val="none" w:sz="0" w:space="0" w:color="auto"/>
        <w:right w:val="none" w:sz="0" w:space="0" w:color="auto"/>
      </w:divBdr>
      <w:divsChild>
        <w:div w:id="1333534670">
          <w:marLeft w:val="0"/>
          <w:marRight w:val="0"/>
          <w:marTop w:val="0"/>
          <w:marBottom w:val="0"/>
          <w:divBdr>
            <w:top w:val="none" w:sz="0" w:space="0" w:color="auto"/>
            <w:left w:val="none" w:sz="0" w:space="0" w:color="auto"/>
            <w:bottom w:val="none" w:sz="0" w:space="0" w:color="auto"/>
            <w:right w:val="none" w:sz="0" w:space="0" w:color="auto"/>
          </w:divBdr>
          <w:divsChild>
            <w:div w:id="526603559">
              <w:marLeft w:val="0"/>
              <w:marRight w:val="0"/>
              <w:marTop w:val="0"/>
              <w:marBottom w:val="0"/>
              <w:divBdr>
                <w:top w:val="none" w:sz="0" w:space="0" w:color="auto"/>
                <w:left w:val="none" w:sz="0" w:space="0" w:color="auto"/>
                <w:bottom w:val="none" w:sz="0" w:space="0" w:color="auto"/>
                <w:right w:val="none" w:sz="0" w:space="0" w:color="auto"/>
              </w:divBdr>
              <w:divsChild>
                <w:div w:id="10195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7986">
      <w:bodyDiv w:val="1"/>
      <w:marLeft w:val="0"/>
      <w:marRight w:val="0"/>
      <w:marTop w:val="0"/>
      <w:marBottom w:val="0"/>
      <w:divBdr>
        <w:top w:val="none" w:sz="0" w:space="0" w:color="auto"/>
        <w:left w:val="none" w:sz="0" w:space="0" w:color="auto"/>
        <w:bottom w:val="none" w:sz="0" w:space="0" w:color="auto"/>
        <w:right w:val="none" w:sz="0" w:space="0" w:color="auto"/>
      </w:divBdr>
    </w:div>
    <w:div w:id="656425489">
      <w:bodyDiv w:val="1"/>
      <w:marLeft w:val="0"/>
      <w:marRight w:val="0"/>
      <w:marTop w:val="0"/>
      <w:marBottom w:val="0"/>
      <w:divBdr>
        <w:top w:val="none" w:sz="0" w:space="0" w:color="auto"/>
        <w:left w:val="none" w:sz="0" w:space="0" w:color="auto"/>
        <w:bottom w:val="none" w:sz="0" w:space="0" w:color="auto"/>
        <w:right w:val="none" w:sz="0" w:space="0" w:color="auto"/>
      </w:divBdr>
      <w:divsChild>
        <w:div w:id="1902397229">
          <w:marLeft w:val="0"/>
          <w:marRight w:val="0"/>
          <w:marTop w:val="0"/>
          <w:marBottom w:val="0"/>
          <w:divBdr>
            <w:top w:val="none" w:sz="0" w:space="0" w:color="auto"/>
            <w:left w:val="none" w:sz="0" w:space="0" w:color="auto"/>
            <w:bottom w:val="none" w:sz="0" w:space="0" w:color="auto"/>
            <w:right w:val="none" w:sz="0" w:space="0" w:color="auto"/>
          </w:divBdr>
          <w:divsChild>
            <w:div w:id="19599391">
              <w:marLeft w:val="0"/>
              <w:marRight w:val="0"/>
              <w:marTop w:val="0"/>
              <w:marBottom w:val="0"/>
              <w:divBdr>
                <w:top w:val="none" w:sz="0" w:space="0" w:color="auto"/>
                <w:left w:val="none" w:sz="0" w:space="0" w:color="auto"/>
                <w:bottom w:val="none" w:sz="0" w:space="0" w:color="auto"/>
                <w:right w:val="none" w:sz="0" w:space="0" w:color="auto"/>
              </w:divBdr>
              <w:divsChild>
                <w:div w:id="2232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6281">
      <w:bodyDiv w:val="1"/>
      <w:marLeft w:val="0"/>
      <w:marRight w:val="0"/>
      <w:marTop w:val="0"/>
      <w:marBottom w:val="0"/>
      <w:divBdr>
        <w:top w:val="none" w:sz="0" w:space="0" w:color="auto"/>
        <w:left w:val="none" w:sz="0" w:space="0" w:color="auto"/>
        <w:bottom w:val="none" w:sz="0" w:space="0" w:color="auto"/>
        <w:right w:val="none" w:sz="0" w:space="0" w:color="auto"/>
      </w:divBdr>
      <w:divsChild>
        <w:div w:id="658507347">
          <w:marLeft w:val="0"/>
          <w:marRight w:val="0"/>
          <w:marTop w:val="0"/>
          <w:marBottom w:val="0"/>
          <w:divBdr>
            <w:top w:val="none" w:sz="0" w:space="0" w:color="auto"/>
            <w:left w:val="none" w:sz="0" w:space="0" w:color="auto"/>
            <w:bottom w:val="none" w:sz="0" w:space="0" w:color="auto"/>
            <w:right w:val="none" w:sz="0" w:space="0" w:color="auto"/>
          </w:divBdr>
          <w:divsChild>
            <w:div w:id="1800486874">
              <w:marLeft w:val="0"/>
              <w:marRight w:val="0"/>
              <w:marTop w:val="0"/>
              <w:marBottom w:val="0"/>
              <w:divBdr>
                <w:top w:val="none" w:sz="0" w:space="0" w:color="auto"/>
                <w:left w:val="none" w:sz="0" w:space="0" w:color="auto"/>
                <w:bottom w:val="none" w:sz="0" w:space="0" w:color="auto"/>
                <w:right w:val="none" w:sz="0" w:space="0" w:color="auto"/>
              </w:divBdr>
              <w:divsChild>
                <w:div w:id="2913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6054">
      <w:bodyDiv w:val="1"/>
      <w:marLeft w:val="0"/>
      <w:marRight w:val="0"/>
      <w:marTop w:val="0"/>
      <w:marBottom w:val="0"/>
      <w:divBdr>
        <w:top w:val="none" w:sz="0" w:space="0" w:color="auto"/>
        <w:left w:val="none" w:sz="0" w:space="0" w:color="auto"/>
        <w:bottom w:val="none" w:sz="0" w:space="0" w:color="auto"/>
        <w:right w:val="none" w:sz="0" w:space="0" w:color="auto"/>
      </w:divBdr>
      <w:divsChild>
        <w:div w:id="1716544950">
          <w:marLeft w:val="0"/>
          <w:marRight w:val="0"/>
          <w:marTop w:val="0"/>
          <w:marBottom w:val="0"/>
          <w:divBdr>
            <w:top w:val="none" w:sz="0" w:space="0" w:color="auto"/>
            <w:left w:val="none" w:sz="0" w:space="0" w:color="auto"/>
            <w:bottom w:val="none" w:sz="0" w:space="0" w:color="auto"/>
            <w:right w:val="none" w:sz="0" w:space="0" w:color="auto"/>
          </w:divBdr>
          <w:divsChild>
            <w:div w:id="713504366">
              <w:marLeft w:val="0"/>
              <w:marRight w:val="0"/>
              <w:marTop w:val="0"/>
              <w:marBottom w:val="0"/>
              <w:divBdr>
                <w:top w:val="none" w:sz="0" w:space="0" w:color="auto"/>
                <w:left w:val="none" w:sz="0" w:space="0" w:color="auto"/>
                <w:bottom w:val="none" w:sz="0" w:space="0" w:color="auto"/>
                <w:right w:val="none" w:sz="0" w:space="0" w:color="auto"/>
              </w:divBdr>
              <w:divsChild>
                <w:div w:id="2090690562">
                  <w:marLeft w:val="0"/>
                  <w:marRight w:val="0"/>
                  <w:marTop w:val="0"/>
                  <w:marBottom w:val="0"/>
                  <w:divBdr>
                    <w:top w:val="none" w:sz="0" w:space="0" w:color="auto"/>
                    <w:left w:val="none" w:sz="0" w:space="0" w:color="auto"/>
                    <w:bottom w:val="none" w:sz="0" w:space="0" w:color="auto"/>
                    <w:right w:val="none" w:sz="0" w:space="0" w:color="auto"/>
                  </w:divBdr>
                </w:div>
              </w:divsChild>
            </w:div>
            <w:div w:id="159004698">
              <w:marLeft w:val="0"/>
              <w:marRight w:val="0"/>
              <w:marTop w:val="0"/>
              <w:marBottom w:val="0"/>
              <w:divBdr>
                <w:top w:val="none" w:sz="0" w:space="0" w:color="auto"/>
                <w:left w:val="none" w:sz="0" w:space="0" w:color="auto"/>
                <w:bottom w:val="none" w:sz="0" w:space="0" w:color="auto"/>
                <w:right w:val="none" w:sz="0" w:space="0" w:color="auto"/>
              </w:divBdr>
              <w:divsChild>
                <w:div w:id="558439809">
                  <w:marLeft w:val="0"/>
                  <w:marRight w:val="0"/>
                  <w:marTop w:val="0"/>
                  <w:marBottom w:val="0"/>
                  <w:divBdr>
                    <w:top w:val="none" w:sz="0" w:space="0" w:color="auto"/>
                    <w:left w:val="none" w:sz="0" w:space="0" w:color="auto"/>
                    <w:bottom w:val="none" w:sz="0" w:space="0" w:color="auto"/>
                    <w:right w:val="none" w:sz="0" w:space="0" w:color="auto"/>
                  </w:divBdr>
                </w:div>
                <w:div w:id="81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7378">
      <w:bodyDiv w:val="1"/>
      <w:marLeft w:val="0"/>
      <w:marRight w:val="0"/>
      <w:marTop w:val="0"/>
      <w:marBottom w:val="0"/>
      <w:divBdr>
        <w:top w:val="none" w:sz="0" w:space="0" w:color="auto"/>
        <w:left w:val="none" w:sz="0" w:space="0" w:color="auto"/>
        <w:bottom w:val="none" w:sz="0" w:space="0" w:color="auto"/>
        <w:right w:val="none" w:sz="0" w:space="0" w:color="auto"/>
      </w:divBdr>
      <w:divsChild>
        <w:div w:id="223295777">
          <w:marLeft w:val="0"/>
          <w:marRight w:val="0"/>
          <w:marTop w:val="0"/>
          <w:marBottom w:val="0"/>
          <w:divBdr>
            <w:top w:val="none" w:sz="0" w:space="0" w:color="auto"/>
            <w:left w:val="none" w:sz="0" w:space="0" w:color="auto"/>
            <w:bottom w:val="none" w:sz="0" w:space="0" w:color="auto"/>
            <w:right w:val="none" w:sz="0" w:space="0" w:color="auto"/>
          </w:divBdr>
          <w:divsChild>
            <w:div w:id="509833821">
              <w:marLeft w:val="0"/>
              <w:marRight w:val="0"/>
              <w:marTop w:val="0"/>
              <w:marBottom w:val="0"/>
              <w:divBdr>
                <w:top w:val="none" w:sz="0" w:space="0" w:color="auto"/>
                <w:left w:val="none" w:sz="0" w:space="0" w:color="auto"/>
                <w:bottom w:val="none" w:sz="0" w:space="0" w:color="auto"/>
                <w:right w:val="none" w:sz="0" w:space="0" w:color="auto"/>
              </w:divBdr>
              <w:divsChild>
                <w:div w:id="221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1084">
      <w:bodyDiv w:val="1"/>
      <w:marLeft w:val="0"/>
      <w:marRight w:val="0"/>
      <w:marTop w:val="0"/>
      <w:marBottom w:val="0"/>
      <w:divBdr>
        <w:top w:val="none" w:sz="0" w:space="0" w:color="auto"/>
        <w:left w:val="none" w:sz="0" w:space="0" w:color="auto"/>
        <w:bottom w:val="none" w:sz="0" w:space="0" w:color="auto"/>
        <w:right w:val="none" w:sz="0" w:space="0" w:color="auto"/>
      </w:divBdr>
      <w:divsChild>
        <w:div w:id="1772046476">
          <w:marLeft w:val="0"/>
          <w:marRight w:val="0"/>
          <w:marTop w:val="0"/>
          <w:marBottom w:val="0"/>
          <w:divBdr>
            <w:top w:val="none" w:sz="0" w:space="0" w:color="auto"/>
            <w:left w:val="none" w:sz="0" w:space="0" w:color="auto"/>
            <w:bottom w:val="none" w:sz="0" w:space="0" w:color="auto"/>
            <w:right w:val="none" w:sz="0" w:space="0" w:color="auto"/>
          </w:divBdr>
          <w:divsChild>
            <w:div w:id="1757482151">
              <w:marLeft w:val="0"/>
              <w:marRight w:val="0"/>
              <w:marTop w:val="0"/>
              <w:marBottom w:val="0"/>
              <w:divBdr>
                <w:top w:val="none" w:sz="0" w:space="0" w:color="auto"/>
                <w:left w:val="none" w:sz="0" w:space="0" w:color="auto"/>
                <w:bottom w:val="none" w:sz="0" w:space="0" w:color="auto"/>
                <w:right w:val="none" w:sz="0" w:space="0" w:color="auto"/>
              </w:divBdr>
              <w:divsChild>
                <w:div w:id="7831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8657">
      <w:bodyDiv w:val="1"/>
      <w:marLeft w:val="0"/>
      <w:marRight w:val="0"/>
      <w:marTop w:val="0"/>
      <w:marBottom w:val="0"/>
      <w:divBdr>
        <w:top w:val="none" w:sz="0" w:space="0" w:color="auto"/>
        <w:left w:val="none" w:sz="0" w:space="0" w:color="auto"/>
        <w:bottom w:val="none" w:sz="0" w:space="0" w:color="auto"/>
        <w:right w:val="none" w:sz="0" w:space="0" w:color="auto"/>
      </w:divBdr>
      <w:divsChild>
        <w:div w:id="1472406742">
          <w:marLeft w:val="0"/>
          <w:marRight w:val="0"/>
          <w:marTop w:val="0"/>
          <w:marBottom w:val="0"/>
          <w:divBdr>
            <w:top w:val="none" w:sz="0" w:space="0" w:color="auto"/>
            <w:left w:val="none" w:sz="0" w:space="0" w:color="auto"/>
            <w:bottom w:val="none" w:sz="0" w:space="0" w:color="auto"/>
            <w:right w:val="none" w:sz="0" w:space="0" w:color="auto"/>
          </w:divBdr>
          <w:divsChild>
            <w:div w:id="1667242942">
              <w:marLeft w:val="0"/>
              <w:marRight w:val="0"/>
              <w:marTop w:val="0"/>
              <w:marBottom w:val="0"/>
              <w:divBdr>
                <w:top w:val="none" w:sz="0" w:space="0" w:color="auto"/>
                <w:left w:val="none" w:sz="0" w:space="0" w:color="auto"/>
                <w:bottom w:val="none" w:sz="0" w:space="0" w:color="auto"/>
                <w:right w:val="none" w:sz="0" w:space="0" w:color="auto"/>
              </w:divBdr>
              <w:divsChild>
                <w:div w:id="16031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3300">
      <w:bodyDiv w:val="1"/>
      <w:marLeft w:val="0"/>
      <w:marRight w:val="0"/>
      <w:marTop w:val="0"/>
      <w:marBottom w:val="0"/>
      <w:divBdr>
        <w:top w:val="none" w:sz="0" w:space="0" w:color="auto"/>
        <w:left w:val="none" w:sz="0" w:space="0" w:color="auto"/>
        <w:bottom w:val="none" w:sz="0" w:space="0" w:color="auto"/>
        <w:right w:val="none" w:sz="0" w:space="0" w:color="auto"/>
      </w:divBdr>
      <w:divsChild>
        <w:div w:id="383992021">
          <w:marLeft w:val="0"/>
          <w:marRight w:val="0"/>
          <w:marTop w:val="0"/>
          <w:marBottom w:val="0"/>
          <w:divBdr>
            <w:top w:val="none" w:sz="0" w:space="0" w:color="auto"/>
            <w:left w:val="none" w:sz="0" w:space="0" w:color="auto"/>
            <w:bottom w:val="none" w:sz="0" w:space="0" w:color="auto"/>
            <w:right w:val="none" w:sz="0" w:space="0" w:color="auto"/>
          </w:divBdr>
          <w:divsChild>
            <w:div w:id="2062515980">
              <w:marLeft w:val="0"/>
              <w:marRight w:val="0"/>
              <w:marTop w:val="0"/>
              <w:marBottom w:val="0"/>
              <w:divBdr>
                <w:top w:val="none" w:sz="0" w:space="0" w:color="auto"/>
                <w:left w:val="none" w:sz="0" w:space="0" w:color="auto"/>
                <w:bottom w:val="none" w:sz="0" w:space="0" w:color="auto"/>
                <w:right w:val="none" w:sz="0" w:space="0" w:color="auto"/>
              </w:divBdr>
              <w:divsChild>
                <w:div w:id="140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8941">
      <w:bodyDiv w:val="1"/>
      <w:marLeft w:val="0"/>
      <w:marRight w:val="0"/>
      <w:marTop w:val="0"/>
      <w:marBottom w:val="0"/>
      <w:divBdr>
        <w:top w:val="none" w:sz="0" w:space="0" w:color="auto"/>
        <w:left w:val="none" w:sz="0" w:space="0" w:color="auto"/>
        <w:bottom w:val="none" w:sz="0" w:space="0" w:color="auto"/>
        <w:right w:val="none" w:sz="0" w:space="0" w:color="auto"/>
      </w:divBdr>
    </w:div>
    <w:div w:id="1029839223">
      <w:bodyDiv w:val="1"/>
      <w:marLeft w:val="0"/>
      <w:marRight w:val="0"/>
      <w:marTop w:val="0"/>
      <w:marBottom w:val="0"/>
      <w:divBdr>
        <w:top w:val="none" w:sz="0" w:space="0" w:color="auto"/>
        <w:left w:val="none" w:sz="0" w:space="0" w:color="auto"/>
        <w:bottom w:val="none" w:sz="0" w:space="0" w:color="auto"/>
        <w:right w:val="none" w:sz="0" w:space="0" w:color="auto"/>
      </w:divBdr>
      <w:divsChild>
        <w:div w:id="775178620">
          <w:marLeft w:val="0"/>
          <w:marRight w:val="0"/>
          <w:marTop w:val="0"/>
          <w:marBottom w:val="0"/>
          <w:divBdr>
            <w:top w:val="none" w:sz="0" w:space="0" w:color="auto"/>
            <w:left w:val="none" w:sz="0" w:space="0" w:color="auto"/>
            <w:bottom w:val="none" w:sz="0" w:space="0" w:color="auto"/>
            <w:right w:val="none" w:sz="0" w:space="0" w:color="auto"/>
          </w:divBdr>
          <w:divsChild>
            <w:div w:id="126438176">
              <w:marLeft w:val="0"/>
              <w:marRight w:val="0"/>
              <w:marTop w:val="0"/>
              <w:marBottom w:val="0"/>
              <w:divBdr>
                <w:top w:val="none" w:sz="0" w:space="0" w:color="auto"/>
                <w:left w:val="none" w:sz="0" w:space="0" w:color="auto"/>
                <w:bottom w:val="none" w:sz="0" w:space="0" w:color="auto"/>
                <w:right w:val="none" w:sz="0" w:space="0" w:color="auto"/>
              </w:divBdr>
              <w:divsChild>
                <w:div w:id="6682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357">
      <w:bodyDiv w:val="1"/>
      <w:marLeft w:val="0"/>
      <w:marRight w:val="0"/>
      <w:marTop w:val="0"/>
      <w:marBottom w:val="0"/>
      <w:divBdr>
        <w:top w:val="none" w:sz="0" w:space="0" w:color="auto"/>
        <w:left w:val="none" w:sz="0" w:space="0" w:color="auto"/>
        <w:bottom w:val="none" w:sz="0" w:space="0" w:color="auto"/>
        <w:right w:val="none" w:sz="0" w:space="0" w:color="auto"/>
      </w:divBdr>
      <w:divsChild>
        <w:div w:id="2099280569">
          <w:marLeft w:val="0"/>
          <w:marRight w:val="0"/>
          <w:marTop w:val="0"/>
          <w:marBottom w:val="0"/>
          <w:divBdr>
            <w:top w:val="none" w:sz="0" w:space="0" w:color="auto"/>
            <w:left w:val="none" w:sz="0" w:space="0" w:color="auto"/>
            <w:bottom w:val="none" w:sz="0" w:space="0" w:color="auto"/>
            <w:right w:val="none" w:sz="0" w:space="0" w:color="auto"/>
          </w:divBdr>
          <w:divsChild>
            <w:div w:id="1412196292">
              <w:marLeft w:val="0"/>
              <w:marRight w:val="0"/>
              <w:marTop w:val="0"/>
              <w:marBottom w:val="0"/>
              <w:divBdr>
                <w:top w:val="none" w:sz="0" w:space="0" w:color="auto"/>
                <w:left w:val="none" w:sz="0" w:space="0" w:color="auto"/>
                <w:bottom w:val="none" w:sz="0" w:space="0" w:color="auto"/>
                <w:right w:val="none" w:sz="0" w:space="0" w:color="auto"/>
              </w:divBdr>
              <w:divsChild>
                <w:div w:id="13151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086">
      <w:bodyDiv w:val="1"/>
      <w:marLeft w:val="0"/>
      <w:marRight w:val="0"/>
      <w:marTop w:val="0"/>
      <w:marBottom w:val="0"/>
      <w:divBdr>
        <w:top w:val="none" w:sz="0" w:space="0" w:color="auto"/>
        <w:left w:val="none" w:sz="0" w:space="0" w:color="auto"/>
        <w:bottom w:val="none" w:sz="0" w:space="0" w:color="auto"/>
        <w:right w:val="none" w:sz="0" w:space="0" w:color="auto"/>
      </w:divBdr>
    </w:div>
    <w:div w:id="1105149236">
      <w:bodyDiv w:val="1"/>
      <w:marLeft w:val="0"/>
      <w:marRight w:val="0"/>
      <w:marTop w:val="0"/>
      <w:marBottom w:val="0"/>
      <w:divBdr>
        <w:top w:val="none" w:sz="0" w:space="0" w:color="auto"/>
        <w:left w:val="none" w:sz="0" w:space="0" w:color="auto"/>
        <w:bottom w:val="none" w:sz="0" w:space="0" w:color="auto"/>
        <w:right w:val="none" w:sz="0" w:space="0" w:color="auto"/>
      </w:divBdr>
      <w:divsChild>
        <w:div w:id="1219170780">
          <w:marLeft w:val="0"/>
          <w:marRight w:val="0"/>
          <w:marTop w:val="0"/>
          <w:marBottom w:val="0"/>
          <w:divBdr>
            <w:top w:val="none" w:sz="0" w:space="0" w:color="auto"/>
            <w:left w:val="none" w:sz="0" w:space="0" w:color="auto"/>
            <w:bottom w:val="none" w:sz="0" w:space="0" w:color="auto"/>
            <w:right w:val="none" w:sz="0" w:space="0" w:color="auto"/>
          </w:divBdr>
          <w:divsChild>
            <w:div w:id="1529638284">
              <w:marLeft w:val="0"/>
              <w:marRight w:val="0"/>
              <w:marTop w:val="0"/>
              <w:marBottom w:val="0"/>
              <w:divBdr>
                <w:top w:val="none" w:sz="0" w:space="0" w:color="auto"/>
                <w:left w:val="none" w:sz="0" w:space="0" w:color="auto"/>
                <w:bottom w:val="none" w:sz="0" w:space="0" w:color="auto"/>
                <w:right w:val="none" w:sz="0" w:space="0" w:color="auto"/>
              </w:divBdr>
              <w:divsChild>
                <w:div w:id="4364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552">
      <w:bodyDiv w:val="1"/>
      <w:marLeft w:val="0"/>
      <w:marRight w:val="0"/>
      <w:marTop w:val="0"/>
      <w:marBottom w:val="0"/>
      <w:divBdr>
        <w:top w:val="none" w:sz="0" w:space="0" w:color="auto"/>
        <w:left w:val="none" w:sz="0" w:space="0" w:color="auto"/>
        <w:bottom w:val="none" w:sz="0" w:space="0" w:color="auto"/>
        <w:right w:val="none" w:sz="0" w:space="0" w:color="auto"/>
      </w:divBdr>
      <w:divsChild>
        <w:div w:id="299503966">
          <w:marLeft w:val="0"/>
          <w:marRight w:val="0"/>
          <w:marTop w:val="0"/>
          <w:marBottom w:val="0"/>
          <w:divBdr>
            <w:top w:val="none" w:sz="0" w:space="0" w:color="auto"/>
            <w:left w:val="none" w:sz="0" w:space="0" w:color="auto"/>
            <w:bottom w:val="none" w:sz="0" w:space="0" w:color="auto"/>
            <w:right w:val="none" w:sz="0" w:space="0" w:color="auto"/>
          </w:divBdr>
          <w:divsChild>
            <w:div w:id="22901895">
              <w:marLeft w:val="0"/>
              <w:marRight w:val="0"/>
              <w:marTop w:val="0"/>
              <w:marBottom w:val="0"/>
              <w:divBdr>
                <w:top w:val="none" w:sz="0" w:space="0" w:color="auto"/>
                <w:left w:val="none" w:sz="0" w:space="0" w:color="auto"/>
                <w:bottom w:val="none" w:sz="0" w:space="0" w:color="auto"/>
                <w:right w:val="none" w:sz="0" w:space="0" w:color="auto"/>
              </w:divBdr>
              <w:divsChild>
                <w:div w:id="9711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457">
      <w:bodyDiv w:val="1"/>
      <w:marLeft w:val="0"/>
      <w:marRight w:val="0"/>
      <w:marTop w:val="0"/>
      <w:marBottom w:val="0"/>
      <w:divBdr>
        <w:top w:val="none" w:sz="0" w:space="0" w:color="auto"/>
        <w:left w:val="none" w:sz="0" w:space="0" w:color="auto"/>
        <w:bottom w:val="none" w:sz="0" w:space="0" w:color="auto"/>
        <w:right w:val="none" w:sz="0" w:space="0" w:color="auto"/>
      </w:divBdr>
      <w:divsChild>
        <w:div w:id="636692148">
          <w:marLeft w:val="0"/>
          <w:marRight w:val="0"/>
          <w:marTop w:val="0"/>
          <w:marBottom w:val="0"/>
          <w:divBdr>
            <w:top w:val="none" w:sz="0" w:space="0" w:color="auto"/>
            <w:left w:val="none" w:sz="0" w:space="0" w:color="auto"/>
            <w:bottom w:val="none" w:sz="0" w:space="0" w:color="auto"/>
            <w:right w:val="none" w:sz="0" w:space="0" w:color="auto"/>
          </w:divBdr>
          <w:divsChild>
            <w:div w:id="120467398">
              <w:marLeft w:val="0"/>
              <w:marRight w:val="0"/>
              <w:marTop w:val="0"/>
              <w:marBottom w:val="0"/>
              <w:divBdr>
                <w:top w:val="none" w:sz="0" w:space="0" w:color="auto"/>
                <w:left w:val="none" w:sz="0" w:space="0" w:color="auto"/>
                <w:bottom w:val="none" w:sz="0" w:space="0" w:color="auto"/>
                <w:right w:val="none" w:sz="0" w:space="0" w:color="auto"/>
              </w:divBdr>
              <w:divsChild>
                <w:div w:id="1623805637">
                  <w:marLeft w:val="0"/>
                  <w:marRight w:val="0"/>
                  <w:marTop w:val="0"/>
                  <w:marBottom w:val="0"/>
                  <w:divBdr>
                    <w:top w:val="none" w:sz="0" w:space="0" w:color="auto"/>
                    <w:left w:val="none" w:sz="0" w:space="0" w:color="auto"/>
                    <w:bottom w:val="none" w:sz="0" w:space="0" w:color="auto"/>
                    <w:right w:val="none" w:sz="0" w:space="0" w:color="auto"/>
                  </w:divBdr>
                </w:div>
              </w:divsChild>
            </w:div>
            <w:div w:id="1985232611">
              <w:marLeft w:val="0"/>
              <w:marRight w:val="0"/>
              <w:marTop w:val="0"/>
              <w:marBottom w:val="0"/>
              <w:divBdr>
                <w:top w:val="none" w:sz="0" w:space="0" w:color="auto"/>
                <w:left w:val="none" w:sz="0" w:space="0" w:color="auto"/>
                <w:bottom w:val="none" w:sz="0" w:space="0" w:color="auto"/>
                <w:right w:val="none" w:sz="0" w:space="0" w:color="auto"/>
              </w:divBdr>
              <w:divsChild>
                <w:div w:id="13621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6073">
      <w:bodyDiv w:val="1"/>
      <w:marLeft w:val="0"/>
      <w:marRight w:val="0"/>
      <w:marTop w:val="0"/>
      <w:marBottom w:val="0"/>
      <w:divBdr>
        <w:top w:val="none" w:sz="0" w:space="0" w:color="auto"/>
        <w:left w:val="none" w:sz="0" w:space="0" w:color="auto"/>
        <w:bottom w:val="none" w:sz="0" w:space="0" w:color="auto"/>
        <w:right w:val="none" w:sz="0" w:space="0" w:color="auto"/>
      </w:divBdr>
      <w:divsChild>
        <w:div w:id="1369989269">
          <w:marLeft w:val="0"/>
          <w:marRight w:val="0"/>
          <w:marTop w:val="0"/>
          <w:marBottom w:val="0"/>
          <w:divBdr>
            <w:top w:val="none" w:sz="0" w:space="0" w:color="auto"/>
            <w:left w:val="none" w:sz="0" w:space="0" w:color="auto"/>
            <w:bottom w:val="none" w:sz="0" w:space="0" w:color="auto"/>
            <w:right w:val="none" w:sz="0" w:space="0" w:color="auto"/>
          </w:divBdr>
          <w:divsChild>
            <w:div w:id="1275937521">
              <w:marLeft w:val="0"/>
              <w:marRight w:val="0"/>
              <w:marTop w:val="0"/>
              <w:marBottom w:val="0"/>
              <w:divBdr>
                <w:top w:val="none" w:sz="0" w:space="0" w:color="auto"/>
                <w:left w:val="none" w:sz="0" w:space="0" w:color="auto"/>
                <w:bottom w:val="none" w:sz="0" w:space="0" w:color="auto"/>
                <w:right w:val="none" w:sz="0" w:space="0" w:color="auto"/>
              </w:divBdr>
              <w:divsChild>
                <w:div w:id="803888490">
                  <w:marLeft w:val="0"/>
                  <w:marRight w:val="0"/>
                  <w:marTop w:val="0"/>
                  <w:marBottom w:val="0"/>
                  <w:divBdr>
                    <w:top w:val="none" w:sz="0" w:space="0" w:color="auto"/>
                    <w:left w:val="none" w:sz="0" w:space="0" w:color="auto"/>
                    <w:bottom w:val="none" w:sz="0" w:space="0" w:color="auto"/>
                    <w:right w:val="none" w:sz="0" w:space="0" w:color="auto"/>
                  </w:divBdr>
                </w:div>
              </w:divsChild>
            </w:div>
            <w:div w:id="980500907">
              <w:marLeft w:val="0"/>
              <w:marRight w:val="0"/>
              <w:marTop w:val="0"/>
              <w:marBottom w:val="0"/>
              <w:divBdr>
                <w:top w:val="none" w:sz="0" w:space="0" w:color="auto"/>
                <w:left w:val="none" w:sz="0" w:space="0" w:color="auto"/>
                <w:bottom w:val="none" w:sz="0" w:space="0" w:color="auto"/>
                <w:right w:val="none" w:sz="0" w:space="0" w:color="auto"/>
              </w:divBdr>
              <w:divsChild>
                <w:div w:id="1078094732">
                  <w:marLeft w:val="0"/>
                  <w:marRight w:val="0"/>
                  <w:marTop w:val="0"/>
                  <w:marBottom w:val="0"/>
                  <w:divBdr>
                    <w:top w:val="none" w:sz="0" w:space="0" w:color="auto"/>
                    <w:left w:val="none" w:sz="0" w:space="0" w:color="auto"/>
                    <w:bottom w:val="none" w:sz="0" w:space="0" w:color="auto"/>
                    <w:right w:val="none" w:sz="0" w:space="0" w:color="auto"/>
                  </w:divBdr>
                </w:div>
                <w:div w:id="19004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4289">
      <w:bodyDiv w:val="1"/>
      <w:marLeft w:val="0"/>
      <w:marRight w:val="0"/>
      <w:marTop w:val="0"/>
      <w:marBottom w:val="0"/>
      <w:divBdr>
        <w:top w:val="none" w:sz="0" w:space="0" w:color="auto"/>
        <w:left w:val="none" w:sz="0" w:space="0" w:color="auto"/>
        <w:bottom w:val="none" w:sz="0" w:space="0" w:color="auto"/>
        <w:right w:val="none" w:sz="0" w:space="0" w:color="auto"/>
      </w:divBdr>
      <w:divsChild>
        <w:div w:id="1314480911">
          <w:marLeft w:val="0"/>
          <w:marRight w:val="0"/>
          <w:marTop w:val="0"/>
          <w:marBottom w:val="0"/>
          <w:divBdr>
            <w:top w:val="none" w:sz="0" w:space="0" w:color="auto"/>
            <w:left w:val="none" w:sz="0" w:space="0" w:color="auto"/>
            <w:bottom w:val="none" w:sz="0" w:space="0" w:color="auto"/>
            <w:right w:val="none" w:sz="0" w:space="0" w:color="auto"/>
          </w:divBdr>
          <w:divsChild>
            <w:div w:id="792527641">
              <w:marLeft w:val="0"/>
              <w:marRight w:val="0"/>
              <w:marTop w:val="0"/>
              <w:marBottom w:val="0"/>
              <w:divBdr>
                <w:top w:val="none" w:sz="0" w:space="0" w:color="auto"/>
                <w:left w:val="none" w:sz="0" w:space="0" w:color="auto"/>
                <w:bottom w:val="none" w:sz="0" w:space="0" w:color="auto"/>
                <w:right w:val="none" w:sz="0" w:space="0" w:color="auto"/>
              </w:divBdr>
              <w:divsChild>
                <w:div w:id="7962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2054">
      <w:bodyDiv w:val="1"/>
      <w:marLeft w:val="0"/>
      <w:marRight w:val="0"/>
      <w:marTop w:val="0"/>
      <w:marBottom w:val="0"/>
      <w:divBdr>
        <w:top w:val="none" w:sz="0" w:space="0" w:color="auto"/>
        <w:left w:val="none" w:sz="0" w:space="0" w:color="auto"/>
        <w:bottom w:val="none" w:sz="0" w:space="0" w:color="auto"/>
        <w:right w:val="none" w:sz="0" w:space="0" w:color="auto"/>
      </w:divBdr>
    </w:div>
    <w:div w:id="1281184357">
      <w:bodyDiv w:val="1"/>
      <w:marLeft w:val="0"/>
      <w:marRight w:val="0"/>
      <w:marTop w:val="0"/>
      <w:marBottom w:val="0"/>
      <w:divBdr>
        <w:top w:val="none" w:sz="0" w:space="0" w:color="auto"/>
        <w:left w:val="none" w:sz="0" w:space="0" w:color="auto"/>
        <w:bottom w:val="none" w:sz="0" w:space="0" w:color="auto"/>
        <w:right w:val="none" w:sz="0" w:space="0" w:color="auto"/>
      </w:divBdr>
      <w:divsChild>
        <w:div w:id="1692295664">
          <w:marLeft w:val="0"/>
          <w:marRight w:val="0"/>
          <w:marTop w:val="0"/>
          <w:marBottom w:val="0"/>
          <w:divBdr>
            <w:top w:val="none" w:sz="0" w:space="0" w:color="auto"/>
            <w:left w:val="none" w:sz="0" w:space="0" w:color="auto"/>
            <w:bottom w:val="none" w:sz="0" w:space="0" w:color="auto"/>
            <w:right w:val="none" w:sz="0" w:space="0" w:color="auto"/>
          </w:divBdr>
          <w:divsChild>
            <w:div w:id="205222722">
              <w:marLeft w:val="0"/>
              <w:marRight w:val="0"/>
              <w:marTop w:val="0"/>
              <w:marBottom w:val="0"/>
              <w:divBdr>
                <w:top w:val="none" w:sz="0" w:space="0" w:color="auto"/>
                <w:left w:val="none" w:sz="0" w:space="0" w:color="auto"/>
                <w:bottom w:val="none" w:sz="0" w:space="0" w:color="auto"/>
                <w:right w:val="none" w:sz="0" w:space="0" w:color="auto"/>
              </w:divBdr>
              <w:divsChild>
                <w:div w:id="6893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42241">
      <w:bodyDiv w:val="1"/>
      <w:marLeft w:val="0"/>
      <w:marRight w:val="0"/>
      <w:marTop w:val="0"/>
      <w:marBottom w:val="0"/>
      <w:divBdr>
        <w:top w:val="none" w:sz="0" w:space="0" w:color="auto"/>
        <w:left w:val="none" w:sz="0" w:space="0" w:color="auto"/>
        <w:bottom w:val="none" w:sz="0" w:space="0" w:color="auto"/>
        <w:right w:val="none" w:sz="0" w:space="0" w:color="auto"/>
      </w:divBdr>
    </w:div>
    <w:div w:id="1376999953">
      <w:bodyDiv w:val="1"/>
      <w:marLeft w:val="0"/>
      <w:marRight w:val="0"/>
      <w:marTop w:val="0"/>
      <w:marBottom w:val="0"/>
      <w:divBdr>
        <w:top w:val="none" w:sz="0" w:space="0" w:color="auto"/>
        <w:left w:val="none" w:sz="0" w:space="0" w:color="auto"/>
        <w:bottom w:val="none" w:sz="0" w:space="0" w:color="auto"/>
        <w:right w:val="none" w:sz="0" w:space="0" w:color="auto"/>
      </w:divBdr>
      <w:divsChild>
        <w:div w:id="389229583">
          <w:marLeft w:val="0"/>
          <w:marRight w:val="0"/>
          <w:marTop w:val="0"/>
          <w:marBottom w:val="0"/>
          <w:divBdr>
            <w:top w:val="none" w:sz="0" w:space="0" w:color="auto"/>
            <w:left w:val="none" w:sz="0" w:space="0" w:color="auto"/>
            <w:bottom w:val="none" w:sz="0" w:space="0" w:color="auto"/>
            <w:right w:val="none" w:sz="0" w:space="0" w:color="auto"/>
          </w:divBdr>
          <w:divsChild>
            <w:div w:id="578175458">
              <w:marLeft w:val="0"/>
              <w:marRight w:val="0"/>
              <w:marTop w:val="0"/>
              <w:marBottom w:val="0"/>
              <w:divBdr>
                <w:top w:val="none" w:sz="0" w:space="0" w:color="auto"/>
                <w:left w:val="none" w:sz="0" w:space="0" w:color="auto"/>
                <w:bottom w:val="none" w:sz="0" w:space="0" w:color="auto"/>
                <w:right w:val="none" w:sz="0" w:space="0" w:color="auto"/>
              </w:divBdr>
              <w:divsChild>
                <w:div w:id="10493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687">
      <w:bodyDiv w:val="1"/>
      <w:marLeft w:val="0"/>
      <w:marRight w:val="0"/>
      <w:marTop w:val="0"/>
      <w:marBottom w:val="0"/>
      <w:divBdr>
        <w:top w:val="none" w:sz="0" w:space="0" w:color="auto"/>
        <w:left w:val="none" w:sz="0" w:space="0" w:color="auto"/>
        <w:bottom w:val="none" w:sz="0" w:space="0" w:color="auto"/>
        <w:right w:val="none" w:sz="0" w:space="0" w:color="auto"/>
      </w:divBdr>
    </w:div>
    <w:div w:id="1438791896">
      <w:bodyDiv w:val="1"/>
      <w:marLeft w:val="0"/>
      <w:marRight w:val="0"/>
      <w:marTop w:val="0"/>
      <w:marBottom w:val="0"/>
      <w:divBdr>
        <w:top w:val="none" w:sz="0" w:space="0" w:color="auto"/>
        <w:left w:val="none" w:sz="0" w:space="0" w:color="auto"/>
        <w:bottom w:val="none" w:sz="0" w:space="0" w:color="auto"/>
        <w:right w:val="none" w:sz="0" w:space="0" w:color="auto"/>
      </w:divBdr>
      <w:divsChild>
        <w:div w:id="536821443">
          <w:marLeft w:val="0"/>
          <w:marRight w:val="0"/>
          <w:marTop w:val="0"/>
          <w:marBottom w:val="0"/>
          <w:divBdr>
            <w:top w:val="none" w:sz="0" w:space="0" w:color="auto"/>
            <w:left w:val="none" w:sz="0" w:space="0" w:color="auto"/>
            <w:bottom w:val="none" w:sz="0" w:space="0" w:color="auto"/>
            <w:right w:val="none" w:sz="0" w:space="0" w:color="auto"/>
          </w:divBdr>
          <w:divsChild>
            <w:div w:id="920485484">
              <w:marLeft w:val="0"/>
              <w:marRight w:val="0"/>
              <w:marTop w:val="0"/>
              <w:marBottom w:val="0"/>
              <w:divBdr>
                <w:top w:val="none" w:sz="0" w:space="0" w:color="auto"/>
                <w:left w:val="none" w:sz="0" w:space="0" w:color="auto"/>
                <w:bottom w:val="none" w:sz="0" w:space="0" w:color="auto"/>
                <w:right w:val="none" w:sz="0" w:space="0" w:color="auto"/>
              </w:divBdr>
              <w:divsChild>
                <w:div w:id="3614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33255">
      <w:bodyDiv w:val="1"/>
      <w:marLeft w:val="0"/>
      <w:marRight w:val="0"/>
      <w:marTop w:val="0"/>
      <w:marBottom w:val="0"/>
      <w:divBdr>
        <w:top w:val="none" w:sz="0" w:space="0" w:color="auto"/>
        <w:left w:val="none" w:sz="0" w:space="0" w:color="auto"/>
        <w:bottom w:val="none" w:sz="0" w:space="0" w:color="auto"/>
        <w:right w:val="none" w:sz="0" w:space="0" w:color="auto"/>
      </w:divBdr>
      <w:divsChild>
        <w:div w:id="799957128">
          <w:marLeft w:val="0"/>
          <w:marRight w:val="0"/>
          <w:marTop w:val="0"/>
          <w:marBottom w:val="0"/>
          <w:divBdr>
            <w:top w:val="none" w:sz="0" w:space="0" w:color="auto"/>
            <w:left w:val="none" w:sz="0" w:space="0" w:color="auto"/>
            <w:bottom w:val="none" w:sz="0" w:space="0" w:color="auto"/>
            <w:right w:val="none" w:sz="0" w:space="0" w:color="auto"/>
          </w:divBdr>
          <w:divsChild>
            <w:div w:id="1134522617">
              <w:marLeft w:val="0"/>
              <w:marRight w:val="0"/>
              <w:marTop w:val="0"/>
              <w:marBottom w:val="0"/>
              <w:divBdr>
                <w:top w:val="none" w:sz="0" w:space="0" w:color="auto"/>
                <w:left w:val="none" w:sz="0" w:space="0" w:color="auto"/>
                <w:bottom w:val="none" w:sz="0" w:space="0" w:color="auto"/>
                <w:right w:val="none" w:sz="0" w:space="0" w:color="auto"/>
              </w:divBdr>
              <w:divsChild>
                <w:div w:id="364797343">
                  <w:marLeft w:val="0"/>
                  <w:marRight w:val="0"/>
                  <w:marTop w:val="0"/>
                  <w:marBottom w:val="0"/>
                  <w:divBdr>
                    <w:top w:val="none" w:sz="0" w:space="0" w:color="auto"/>
                    <w:left w:val="none" w:sz="0" w:space="0" w:color="auto"/>
                    <w:bottom w:val="none" w:sz="0" w:space="0" w:color="auto"/>
                    <w:right w:val="none" w:sz="0" w:space="0" w:color="auto"/>
                  </w:divBdr>
                </w:div>
              </w:divsChild>
            </w:div>
            <w:div w:id="1764109573">
              <w:marLeft w:val="0"/>
              <w:marRight w:val="0"/>
              <w:marTop w:val="0"/>
              <w:marBottom w:val="0"/>
              <w:divBdr>
                <w:top w:val="none" w:sz="0" w:space="0" w:color="auto"/>
                <w:left w:val="none" w:sz="0" w:space="0" w:color="auto"/>
                <w:bottom w:val="none" w:sz="0" w:space="0" w:color="auto"/>
                <w:right w:val="none" w:sz="0" w:space="0" w:color="auto"/>
              </w:divBdr>
              <w:divsChild>
                <w:div w:id="453255118">
                  <w:marLeft w:val="0"/>
                  <w:marRight w:val="0"/>
                  <w:marTop w:val="0"/>
                  <w:marBottom w:val="0"/>
                  <w:divBdr>
                    <w:top w:val="none" w:sz="0" w:space="0" w:color="auto"/>
                    <w:left w:val="none" w:sz="0" w:space="0" w:color="auto"/>
                    <w:bottom w:val="none" w:sz="0" w:space="0" w:color="auto"/>
                    <w:right w:val="none" w:sz="0" w:space="0" w:color="auto"/>
                  </w:divBdr>
                </w:div>
                <w:div w:id="741756025">
                  <w:marLeft w:val="0"/>
                  <w:marRight w:val="0"/>
                  <w:marTop w:val="0"/>
                  <w:marBottom w:val="0"/>
                  <w:divBdr>
                    <w:top w:val="none" w:sz="0" w:space="0" w:color="auto"/>
                    <w:left w:val="none" w:sz="0" w:space="0" w:color="auto"/>
                    <w:bottom w:val="none" w:sz="0" w:space="0" w:color="auto"/>
                    <w:right w:val="none" w:sz="0" w:space="0" w:color="auto"/>
                  </w:divBdr>
                </w:div>
              </w:divsChild>
            </w:div>
            <w:div w:id="1548300962">
              <w:marLeft w:val="0"/>
              <w:marRight w:val="0"/>
              <w:marTop w:val="0"/>
              <w:marBottom w:val="0"/>
              <w:divBdr>
                <w:top w:val="none" w:sz="0" w:space="0" w:color="auto"/>
                <w:left w:val="none" w:sz="0" w:space="0" w:color="auto"/>
                <w:bottom w:val="none" w:sz="0" w:space="0" w:color="auto"/>
                <w:right w:val="none" w:sz="0" w:space="0" w:color="auto"/>
              </w:divBdr>
              <w:divsChild>
                <w:div w:id="717898469">
                  <w:marLeft w:val="0"/>
                  <w:marRight w:val="0"/>
                  <w:marTop w:val="0"/>
                  <w:marBottom w:val="0"/>
                  <w:divBdr>
                    <w:top w:val="none" w:sz="0" w:space="0" w:color="auto"/>
                    <w:left w:val="none" w:sz="0" w:space="0" w:color="auto"/>
                    <w:bottom w:val="none" w:sz="0" w:space="0" w:color="auto"/>
                    <w:right w:val="none" w:sz="0" w:space="0" w:color="auto"/>
                  </w:divBdr>
                </w:div>
              </w:divsChild>
            </w:div>
            <w:div w:id="193928949">
              <w:marLeft w:val="0"/>
              <w:marRight w:val="0"/>
              <w:marTop w:val="0"/>
              <w:marBottom w:val="0"/>
              <w:divBdr>
                <w:top w:val="none" w:sz="0" w:space="0" w:color="auto"/>
                <w:left w:val="none" w:sz="0" w:space="0" w:color="auto"/>
                <w:bottom w:val="none" w:sz="0" w:space="0" w:color="auto"/>
                <w:right w:val="none" w:sz="0" w:space="0" w:color="auto"/>
              </w:divBdr>
              <w:divsChild>
                <w:div w:id="531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71306">
      <w:bodyDiv w:val="1"/>
      <w:marLeft w:val="0"/>
      <w:marRight w:val="0"/>
      <w:marTop w:val="0"/>
      <w:marBottom w:val="0"/>
      <w:divBdr>
        <w:top w:val="none" w:sz="0" w:space="0" w:color="auto"/>
        <w:left w:val="none" w:sz="0" w:space="0" w:color="auto"/>
        <w:bottom w:val="none" w:sz="0" w:space="0" w:color="auto"/>
        <w:right w:val="none" w:sz="0" w:space="0" w:color="auto"/>
      </w:divBdr>
      <w:divsChild>
        <w:div w:id="606624053">
          <w:marLeft w:val="0"/>
          <w:marRight w:val="0"/>
          <w:marTop w:val="0"/>
          <w:marBottom w:val="0"/>
          <w:divBdr>
            <w:top w:val="none" w:sz="0" w:space="0" w:color="auto"/>
            <w:left w:val="none" w:sz="0" w:space="0" w:color="auto"/>
            <w:bottom w:val="none" w:sz="0" w:space="0" w:color="auto"/>
            <w:right w:val="none" w:sz="0" w:space="0" w:color="auto"/>
          </w:divBdr>
          <w:divsChild>
            <w:div w:id="713235442">
              <w:marLeft w:val="0"/>
              <w:marRight w:val="0"/>
              <w:marTop w:val="0"/>
              <w:marBottom w:val="0"/>
              <w:divBdr>
                <w:top w:val="none" w:sz="0" w:space="0" w:color="auto"/>
                <w:left w:val="none" w:sz="0" w:space="0" w:color="auto"/>
                <w:bottom w:val="none" w:sz="0" w:space="0" w:color="auto"/>
                <w:right w:val="none" w:sz="0" w:space="0" w:color="auto"/>
              </w:divBdr>
              <w:divsChild>
                <w:div w:id="3516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6065">
      <w:bodyDiv w:val="1"/>
      <w:marLeft w:val="0"/>
      <w:marRight w:val="0"/>
      <w:marTop w:val="0"/>
      <w:marBottom w:val="0"/>
      <w:divBdr>
        <w:top w:val="none" w:sz="0" w:space="0" w:color="auto"/>
        <w:left w:val="none" w:sz="0" w:space="0" w:color="auto"/>
        <w:bottom w:val="none" w:sz="0" w:space="0" w:color="auto"/>
        <w:right w:val="none" w:sz="0" w:space="0" w:color="auto"/>
      </w:divBdr>
      <w:divsChild>
        <w:div w:id="1689988355">
          <w:marLeft w:val="0"/>
          <w:marRight w:val="0"/>
          <w:marTop w:val="0"/>
          <w:marBottom w:val="0"/>
          <w:divBdr>
            <w:top w:val="none" w:sz="0" w:space="0" w:color="auto"/>
            <w:left w:val="none" w:sz="0" w:space="0" w:color="auto"/>
            <w:bottom w:val="none" w:sz="0" w:space="0" w:color="auto"/>
            <w:right w:val="none" w:sz="0" w:space="0" w:color="auto"/>
          </w:divBdr>
          <w:divsChild>
            <w:div w:id="1959531290">
              <w:marLeft w:val="0"/>
              <w:marRight w:val="0"/>
              <w:marTop w:val="0"/>
              <w:marBottom w:val="0"/>
              <w:divBdr>
                <w:top w:val="none" w:sz="0" w:space="0" w:color="auto"/>
                <w:left w:val="none" w:sz="0" w:space="0" w:color="auto"/>
                <w:bottom w:val="none" w:sz="0" w:space="0" w:color="auto"/>
                <w:right w:val="none" w:sz="0" w:space="0" w:color="auto"/>
              </w:divBdr>
              <w:divsChild>
                <w:div w:id="14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62817">
      <w:bodyDiv w:val="1"/>
      <w:marLeft w:val="0"/>
      <w:marRight w:val="0"/>
      <w:marTop w:val="0"/>
      <w:marBottom w:val="0"/>
      <w:divBdr>
        <w:top w:val="none" w:sz="0" w:space="0" w:color="auto"/>
        <w:left w:val="none" w:sz="0" w:space="0" w:color="auto"/>
        <w:bottom w:val="none" w:sz="0" w:space="0" w:color="auto"/>
        <w:right w:val="none" w:sz="0" w:space="0" w:color="auto"/>
      </w:divBdr>
      <w:divsChild>
        <w:div w:id="1823883494">
          <w:marLeft w:val="0"/>
          <w:marRight w:val="0"/>
          <w:marTop w:val="0"/>
          <w:marBottom w:val="0"/>
          <w:divBdr>
            <w:top w:val="none" w:sz="0" w:space="0" w:color="auto"/>
            <w:left w:val="none" w:sz="0" w:space="0" w:color="auto"/>
            <w:bottom w:val="none" w:sz="0" w:space="0" w:color="auto"/>
            <w:right w:val="none" w:sz="0" w:space="0" w:color="auto"/>
          </w:divBdr>
          <w:divsChild>
            <w:div w:id="1588147593">
              <w:marLeft w:val="0"/>
              <w:marRight w:val="0"/>
              <w:marTop w:val="0"/>
              <w:marBottom w:val="0"/>
              <w:divBdr>
                <w:top w:val="none" w:sz="0" w:space="0" w:color="auto"/>
                <w:left w:val="none" w:sz="0" w:space="0" w:color="auto"/>
                <w:bottom w:val="none" w:sz="0" w:space="0" w:color="auto"/>
                <w:right w:val="none" w:sz="0" w:space="0" w:color="auto"/>
              </w:divBdr>
              <w:divsChild>
                <w:div w:id="12915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43172">
      <w:bodyDiv w:val="1"/>
      <w:marLeft w:val="0"/>
      <w:marRight w:val="0"/>
      <w:marTop w:val="0"/>
      <w:marBottom w:val="0"/>
      <w:divBdr>
        <w:top w:val="none" w:sz="0" w:space="0" w:color="auto"/>
        <w:left w:val="none" w:sz="0" w:space="0" w:color="auto"/>
        <w:bottom w:val="none" w:sz="0" w:space="0" w:color="auto"/>
        <w:right w:val="none" w:sz="0" w:space="0" w:color="auto"/>
      </w:divBdr>
      <w:divsChild>
        <w:div w:id="300699413">
          <w:marLeft w:val="0"/>
          <w:marRight w:val="0"/>
          <w:marTop w:val="0"/>
          <w:marBottom w:val="0"/>
          <w:divBdr>
            <w:top w:val="none" w:sz="0" w:space="0" w:color="auto"/>
            <w:left w:val="none" w:sz="0" w:space="0" w:color="auto"/>
            <w:bottom w:val="none" w:sz="0" w:space="0" w:color="auto"/>
            <w:right w:val="none" w:sz="0" w:space="0" w:color="auto"/>
          </w:divBdr>
          <w:divsChild>
            <w:div w:id="87701722">
              <w:marLeft w:val="0"/>
              <w:marRight w:val="0"/>
              <w:marTop w:val="0"/>
              <w:marBottom w:val="0"/>
              <w:divBdr>
                <w:top w:val="none" w:sz="0" w:space="0" w:color="auto"/>
                <w:left w:val="none" w:sz="0" w:space="0" w:color="auto"/>
                <w:bottom w:val="none" w:sz="0" w:space="0" w:color="auto"/>
                <w:right w:val="none" w:sz="0" w:space="0" w:color="auto"/>
              </w:divBdr>
              <w:divsChild>
                <w:div w:id="1360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2910">
      <w:bodyDiv w:val="1"/>
      <w:marLeft w:val="0"/>
      <w:marRight w:val="0"/>
      <w:marTop w:val="0"/>
      <w:marBottom w:val="0"/>
      <w:divBdr>
        <w:top w:val="none" w:sz="0" w:space="0" w:color="auto"/>
        <w:left w:val="none" w:sz="0" w:space="0" w:color="auto"/>
        <w:bottom w:val="none" w:sz="0" w:space="0" w:color="auto"/>
        <w:right w:val="none" w:sz="0" w:space="0" w:color="auto"/>
      </w:divBdr>
    </w:div>
    <w:div w:id="1827624166">
      <w:bodyDiv w:val="1"/>
      <w:marLeft w:val="0"/>
      <w:marRight w:val="0"/>
      <w:marTop w:val="0"/>
      <w:marBottom w:val="0"/>
      <w:divBdr>
        <w:top w:val="none" w:sz="0" w:space="0" w:color="auto"/>
        <w:left w:val="none" w:sz="0" w:space="0" w:color="auto"/>
        <w:bottom w:val="none" w:sz="0" w:space="0" w:color="auto"/>
        <w:right w:val="none" w:sz="0" w:space="0" w:color="auto"/>
      </w:divBdr>
      <w:divsChild>
        <w:div w:id="739596634">
          <w:marLeft w:val="0"/>
          <w:marRight w:val="0"/>
          <w:marTop w:val="0"/>
          <w:marBottom w:val="0"/>
          <w:divBdr>
            <w:top w:val="none" w:sz="0" w:space="0" w:color="auto"/>
            <w:left w:val="none" w:sz="0" w:space="0" w:color="auto"/>
            <w:bottom w:val="none" w:sz="0" w:space="0" w:color="auto"/>
            <w:right w:val="none" w:sz="0" w:space="0" w:color="auto"/>
          </w:divBdr>
          <w:divsChild>
            <w:div w:id="1530797811">
              <w:marLeft w:val="0"/>
              <w:marRight w:val="0"/>
              <w:marTop w:val="0"/>
              <w:marBottom w:val="0"/>
              <w:divBdr>
                <w:top w:val="none" w:sz="0" w:space="0" w:color="auto"/>
                <w:left w:val="none" w:sz="0" w:space="0" w:color="auto"/>
                <w:bottom w:val="none" w:sz="0" w:space="0" w:color="auto"/>
                <w:right w:val="none" w:sz="0" w:space="0" w:color="auto"/>
              </w:divBdr>
              <w:divsChild>
                <w:div w:id="1024207774">
                  <w:marLeft w:val="0"/>
                  <w:marRight w:val="0"/>
                  <w:marTop w:val="0"/>
                  <w:marBottom w:val="0"/>
                  <w:divBdr>
                    <w:top w:val="none" w:sz="0" w:space="0" w:color="auto"/>
                    <w:left w:val="none" w:sz="0" w:space="0" w:color="auto"/>
                    <w:bottom w:val="none" w:sz="0" w:space="0" w:color="auto"/>
                    <w:right w:val="none" w:sz="0" w:space="0" w:color="auto"/>
                  </w:divBdr>
                </w:div>
              </w:divsChild>
            </w:div>
            <w:div w:id="259457217">
              <w:marLeft w:val="0"/>
              <w:marRight w:val="0"/>
              <w:marTop w:val="0"/>
              <w:marBottom w:val="0"/>
              <w:divBdr>
                <w:top w:val="none" w:sz="0" w:space="0" w:color="auto"/>
                <w:left w:val="none" w:sz="0" w:space="0" w:color="auto"/>
                <w:bottom w:val="none" w:sz="0" w:space="0" w:color="auto"/>
                <w:right w:val="none" w:sz="0" w:space="0" w:color="auto"/>
              </w:divBdr>
              <w:divsChild>
                <w:div w:id="1521816494">
                  <w:marLeft w:val="0"/>
                  <w:marRight w:val="0"/>
                  <w:marTop w:val="0"/>
                  <w:marBottom w:val="0"/>
                  <w:divBdr>
                    <w:top w:val="none" w:sz="0" w:space="0" w:color="auto"/>
                    <w:left w:val="none" w:sz="0" w:space="0" w:color="auto"/>
                    <w:bottom w:val="none" w:sz="0" w:space="0" w:color="auto"/>
                    <w:right w:val="none" w:sz="0" w:space="0" w:color="auto"/>
                  </w:divBdr>
                </w:div>
              </w:divsChild>
            </w:div>
            <w:div w:id="1438867911">
              <w:marLeft w:val="0"/>
              <w:marRight w:val="0"/>
              <w:marTop w:val="0"/>
              <w:marBottom w:val="0"/>
              <w:divBdr>
                <w:top w:val="none" w:sz="0" w:space="0" w:color="auto"/>
                <w:left w:val="none" w:sz="0" w:space="0" w:color="auto"/>
                <w:bottom w:val="none" w:sz="0" w:space="0" w:color="auto"/>
                <w:right w:val="none" w:sz="0" w:space="0" w:color="auto"/>
              </w:divBdr>
              <w:divsChild>
                <w:div w:id="5389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70073">
      <w:bodyDiv w:val="1"/>
      <w:marLeft w:val="0"/>
      <w:marRight w:val="0"/>
      <w:marTop w:val="0"/>
      <w:marBottom w:val="0"/>
      <w:divBdr>
        <w:top w:val="none" w:sz="0" w:space="0" w:color="auto"/>
        <w:left w:val="none" w:sz="0" w:space="0" w:color="auto"/>
        <w:bottom w:val="none" w:sz="0" w:space="0" w:color="auto"/>
        <w:right w:val="none" w:sz="0" w:space="0" w:color="auto"/>
      </w:divBdr>
      <w:divsChild>
        <w:div w:id="1812137170">
          <w:marLeft w:val="0"/>
          <w:marRight w:val="0"/>
          <w:marTop w:val="0"/>
          <w:marBottom w:val="0"/>
          <w:divBdr>
            <w:top w:val="none" w:sz="0" w:space="0" w:color="auto"/>
            <w:left w:val="none" w:sz="0" w:space="0" w:color="auto"/>
            <w:bottom w:val="none" w:sz="0" w:space="0" w:color="auto"/>
            <w:right w:val="none" w:sz="0" w:space="0" w:color="auto"/>
          </w:divBdr>
          <w:divsChild>
            <w:div w:id="1193760113">
              <w:marLeft w:val="0"/>
              <w:marRight w:val="0"/>
              <w:marTop w:val="0"/>
              <w:marBottom w:val="0"/>
              <w:divBdr>
                <w:top w:val="none" w:sz="0" w:space="0" w:color="auto"/>
                <w:left w:val="none" w:sz="0" w:space="0" w:color="auto"/>
                <w:bottom w:val="none" w:sz="0" w:space="0" w:color="auto"/>
                <w:right w:val="none" w:sz="0" w:space="0" w:color="auto"/>
              </w:divBdr>
              <w:divsChild>
                <w:div w:id="2677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058">
      <w:bodyDiv w:val="1"/>
      <w:marLeft w:val="0"/>
      <w:marRight w:val="0"/>
      <w:marTop w:val="0"/>
      <w:marBottom w:val="0"/>
      <w:divBdr>
        <w:top w:val="none" w:sz="0" w:space="0" w:color="auto"/>
        <w:left w:val="none" w:sz="0" w:space="0" w:color="auto"/>
        <w:bottom w:val="none" w:sz="0" w:space="0" w:color="auto"/>
        <w:right w:val="none" w:sz="0" w:space="0" w:color="auto"/>
      </w:divBdr>
      <w:divsChild>
        <w:div w:id="1865971253">
          <w:marLeft w:val="0"/>
          <w:marRight w:val="0"/>
          <w:marTop w:val="0"/>
          <w:marBottom w:val="0"/>
          <w:divBdr>
            <w:top w:val="none" w:sz="0" w:space="0" w:color="auto"/>
            <w:left w:val="none" w:sz="0" w:space="0" w:color="auto"/>
            <w:bottom w:val="none" w:sz="0" w:space="0" w:color="auto"/>
            <w:right w:val="none" w:sz="0" w:space="0" w:color="auto"/>
          </w:divBdr>
          <w:divsChild>
            <w:div w:id="1814833131">
              <w:marLeft w:val="0"/>
              <w:marRight w:val="0"/>
              <w:marTop w:val="0"/>
              <w:marBottom w:val="0"/>
              <w:divBdr>
                <w:top w:val="none" w:sz="0" w:space="0" w:color="auto"/>
                <w:left w:val="none" w:sz="0" w:space="0" w:color="auto"/>
                <w:bottom w:val="none" w:sz="0" w:space="0" w:color="auto"/>
                <w:right w:val="none" w:sz="0" w:space="0" w:color="auto"/>
              </w:divBdr>
              <w:divsChild>
                <w:div w:id="14061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3563">
      <w:bodyDiv w:val="1"/>
      <w:marLeft w:val="0"/>
      <w:marRight w:val="0"/>
      <w:marTop w:val="0"/>
      <w:marBottom w:val="0"/>
      <w:divBdr>
        <w:top w:val="none" w:sz="0" w:space="0" w:color="auto"/>
        <w:left w:val="none" w:sz="0" w:space="0" w:color="auto"/>
        <w:bottom w:val="none" w:sz="0" w:space="0" w:color="auto"/>
        <w:right w:val="none" w:sz="0" w:space="0" w:color="auto"/>
      </w:divBdr>
    </w:div>
    <w:div w:id="2033412717">
      <w:bodyDiv w:val="1"/>
      <w:marLeft w:val="0"/>
      <w:marRight w:val="0"/>
      <w:marTop w:val="0"/>
      <w:marBottom w:val="0"/>
      <w:divBdr>
        <w:top w:val="none" w:sz="0" w:space="0" w:color="auto"/>
        <w:left w:val="none" w:sz="0" w:space="0" w:color="auto"/>
        <w:bottom w:val="none" w:sz="0" w:space="0" w:color="auto"/>
        <w:right w:val="none" w:sz="0" w:space="0" w:color="auto"/>
      </w:divBdr>
      <w:divsChild>
        <w:div w:id="786194532">
          <w:marLeft w:val="0"/>
          <w:marRight w:val="0"/>
          <w:marTop w:val="0"/>
          <w:marBottom w:val="0"/>
          <w:divBdr>
            <w:top w:val="none" w:sz="0" w:space="0" w:color="auto"/>
            <w:left w:val="none" w:sz="0" w:space="0" w:color="auto"/>
            <w:bottom w:val="none" w:sz="0" w:space="0" w:color="auto"/>
            <w:right w:val="none" w:sz="0" w:space="0" w:color="auto"/>
          </w:divBdr>
          <w:divsChild>
            <w:div w:id="2011759257">
              <w:marLeft w:val="0"/>
              <w:marRight w:val="0"/>
              <w:marTop w:val="0"/>
              <w:marBottom w:val="0"/>
              <w:divBdr>
                <w:top w:val="none" w:sz="0" w:space="0" w:color="auto"/>
                <w:left w:val="none" w:sz="0" w:space="0" w:color="auto"/>
                <w:bottom w:val="none" w:sz="0" w:space="0" w:color="auto"/>
                <w:right w:val="none" w:sz="0" w:space="0" w:color="auto"/>
              </w:divBdr>
              <w:divsChild>
                <w:div w:id="1022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8665">
      <w:bodyDiv w:val="1"/>
      <w:marLeft w:val="0"/>
      <w:marRight w:val="0"/>
      <w:marTop w:val="0"/>
      <w:marBottom w:val="0"/>
      <w:divBdr>
        <w:top w:val="none" w:sz="0" w:space="0" w:color="auto"/>
        <w:left w:val="none" w:sz="0" w:space="0" w:color="auto"/>
        <w:bottom w:val="none" w:sz="0" w:space="0" w:color="auto"/>
        <w:right w:val="none" w:sz="0" w:space="0" w:color="auto"/>
      </w:divBdr>
      <w:divsChild>
        <w:div w:id="25832294">
          <w:marLeft w:val="0"/>
          <w:marRight w:val="0"/>
          <w:marTop w:val="0"/>
          <w:marBottom w:val="0"/>
          <w:divBdr>
            <w:top w:val="none" w:sz="0" w:space="0" w:color="auto"/>
            <w:left w:val="none" w:sz="0" w:space="0" w:color="auto"/>
            <w:bottom w:val="none" w:sz="0" w:space="0" w:color="auto"/>
            <w:right w:val="none" w:sz="0" w:space="0" w:color="auto"/>
          </w:divBdr>
          <w:divsChild>
            <w:div w:id="424035666">
              <w:marLeft w:val="0"/>
              <w:marRight w:val="0"/>
              <w:marTop w:val="0"/>
              <w:marBottom w:val="0"/>
              <w:divBdr>
                <w:top w:val="none" w:sz="0" w:space="0" w:color="auto"/>
                <w:left w:val="none" w:sz="0" w:space="0" w:color="auto"/>
                <w:bottom w:val="none" w:sz="0" w:space="0" w:color="auto"/>
                <w:right w:val="none" w:sz="0" w:space="0" w:color="auto"/>
              </w:divBdr>
              <w:divsChild>
                <w:div w:id="10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86">
      <w:bodyDiv w:val="1"/>
      <w:marLeft w:val="0"/>
      <w:marRight w:val="0"/>
      <w:marTop w:val="0"/>
      <w:marBottom w:val="0"/>
      <w:divBdr>
        <w:top w:val="none" w:sz="0" w:space="0" w:color="auto"/>
        <w:left w:val="none" w:sz="0" w:space="0" w:color="auto"/>
        <w:bottom w:val="none" w:sz="0" w:space="0" w:color="auto"/>
        <w:right w:val="none" w:sz="0" w:space="0" w:color="auto"/>
      </w:divBdr>
      <w:divsChild>
        <w:div w:id="1121263338">
          <w:marLeft w:val="0"/>
          <w:marRight w:val="0"/>
          <w:marTop w:val="0"/>
          <w:marBottom w:val="0"/>
          <w:divBdr>
            <w:top w:val="none" w:sz="0" w:space="0" w:color="auto"/>
            <w:left w:val="none" w:sz="0" w:space="0" w:color="auto"/>
            <w:bottom w:val="none" w:sz="0" w:space="0" w:color="auto"/>
            <w:right w:val="none" w:sz="0" w:space="0" w:color="auto"/>
          </w:divBdr>
          <w:divsChild>
            <w:div w:id="260603881">
              <w:marLeft w:val="0"/>
              <w:marRight w:val="0"/>
              <w:marTop w:val="0"/>
              <w:marBottom w:val="0"/>
              <w:divBdr>
                <w:top w:val="none" w:sz="0" w:space="0" w:color="auto"/>
                <w:left w:val="none" w:sz="0" w:space="0" w:color="auto"/>
                <w:bottom w:val="none" w:sz="0" w:space="0" w:color="auto"/>
                <w:right w:val="none" w:sz="0" w:space="0" w:color="auto"/>
              </w:divBdr>
              <w:divsChild>
                <w:div w:id="6921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4622</Words>
  <Characters>25421</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Larissa BAHLOU KOULOU</cp:lastModifiedBy>
  <cp:revision>10</cp:revision>
  <dcterms:created xsi:type="dcterms:W3CDTF">2024-01-24T14:14:00Z</dcterms:created>
  <dcterms:modified xsi:type="dcterms:W3CDTF">2024-01-31T12:04:00Z</dcterms:modified>
</cp:coreProperties>
</file>