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F20" w14:textId="616F4812" w:rsidR="00C9723A" w:rsidRPr="00C21D4B" w:rsidRDefault="00C9723A" w:rsidP="00C9723A">
      <w:pPr>
        <w:rPr>
          <w:rFonts w:asciiTheme="minorHAnsi" w:hAnsiTheme="minorHAnsi" w:cstheme="minorHAnsi"/>
          <w:sz w:val="22"/>
          <w:szCs w:val="22"/>
        </w:rPr>
      </w:pPr>
    </w:p>
    <w:p w14:paraId="202D521C" w14:textId="5B0B8DD6" w:rsidR="00C9723A" w:rsidRPr="00C21D4B" w:rsidRDefault="00C9723A" w:rsidP="00C9723A">
      <w:pPr>
        <w:spacing w:before="100" w:beforeAutospacing="1" w:after="100" w:afterAutospacing="1"/>
        <w:rPr>
          <w:rFonts w:asciiTheme="minorHAnsi" w:hAnsiTheme="minorHAnsi" w:cstheme="minorHAnsi"/>
          <w:sz w:val="22"/>
          <w:szCs w:val="22"/>
        </w:rPr>
      </w:pPr>
      <w:r w:rsidRPr="00C21D4B">
        <w:rPr>
          <w:rFonts w:asciiTheme="minorHAnsi" w:hAnsiTheme="minorHAnsi" w:cstheme="minorHAnsi"/>
          <w:sz w:val="22"/>
          <w:szCs w:val="22"/>
        </w:rPr>
        <w:t xml:space="preserve">Union </w:t>
      </w:r>
      <w:r w:rsidR="00C81507" w:rsidRPr="00C21D4B">
        <w:rPr>
          <w:rFonts w:asciiTheme="minorHAnsi" w:hAnsiTheme="minorHAnsi" w:cstheme="minorHAnsi"/>
          <w:sz w:val="22"/>
          <w:szCs w:val="22"/>
        </w:rPr>
        <w:t>Monétaire</w:t>
      </w:r>
      <w:r w:rsidRPr="00C21D4B">
        <w:rPr>
          <w:rFonts w:asciiTheme="minorHAnsi" w:hAnsiTheme="minorHAnsi" w:cstheme="minorHAnsi"/>
          <w:sz w:val="22"/>
          <w:szCs w:val="22"/>
        </w:rPr>
        <w:t xml:space="preserve"> de l'Afrique Centrale </w:t>
      </w:r>
    </w:p>
    <w:p w14:paraId="47ADA14E" w14:textId="052CBBCD" w:rsidR="00C9723A" w:rsidRPr="00C21D4B" w:rsidRDefault="00C9723A" w:rsidP="00C9723A">
      <w:pPr>
        <w:spacing w:before="100" w:beforeAutospacing="1" w:after="100" w:afterAutospacing="1"/>
        <w:rPr>
          <w:rFonts w:asciiTheme="minorHAnsi" w:hAnsiTheme="minorHAnsi" w:cstheme="minorHAnsi"/>
          <w:sz w:val="22"/>
          <w:szCs w:val="22"/>
        </w:rPr>
      </w:pPr>
      <w:r w:rsidRPr="00C21D4B">
        <w:rPr>
          <w:rFonts w:asciiTheme="minorHAnsi" w:hAnsiTheme="minorHAnsi" w:cstheme="minorHAnsi"/>
          <w:sz w:val="22"/>
          <w:szCs w:val="22"/>
        </w:rPr>
        <w:t xml:space="preserve">Commission de Surveillance du Marché </w:t>
      </w:r>
    </w:p>
    <w:p w14:paraId="1B2AC503" w14:textId="77777777" w:rsidR="00C9723A" w:rsidRPr="00C21D4B" w:rsidRDefault="00C9723A" w:rsidP="00C9723A">
      <w:pPr>
        <w:spacing w:before="100" w:beforeAutospacing="1" w:after="100" w:afterAutospacing="1"/>
        <w:ind w:left="284"/>
        <w:rPr>
          <w:rFonts w:asciiTheme="minorHAnsi" w:hAnsiTheme="minorHAnsi" w:cstheme="minorHAnsi"/>
          <w:sz w:val="22"/>
          <w:szCs w:val="22"/>
        </w:rPr>
      </w:pPr>
      <w:r w:rsidRPr="00C21D4B">
        <w:rPr>
          <w:rFonts w:asciiTheme="minorHAnsi" w:hAnsiTheme="minorHAnsi" w:cstheme="minorHAnsi"/>
          <w:sz w:val="22"/>
          <w:szCs w:val="22"/>
        </w:rPr>
        <w:t xml:space="preserve">Financier de l'Afrique centrale </w:t>
      </w:r>
    </w:p>
    <w:p w14:paraId="2E8AB505" w14:textId="52D4C7C0" w:rsidR="00C9723A" w:rsidRPr="00C21D4B" w:rsidRDefault="00C9723A" w:rsidP="00C9723A">
      <w:pPr>
        <w:spacing w:before="100" w:beforeAutospacing="1" w:after="100" w:afterAutospacing="1"/>
        <w:ind w:left="709"/>
        <w:rPr>
          <w:rFonts w:asciiTheme="minorHAnsi" w:hAnsiTheme="minorHAnsi" w:cstheme="minorHAnsi"/>
          <w:sz w:val="22"/>
          <w:szCs w:val="22"/>
        </w:rPr>
      </w:pPr>
      <w:r w:rsidRPr="00C21D4B">
        <w:rPr>
          <w:rFonts w:asciiTheme="minorHAnsi" w:hAnsiTheme="minorHAnsi" w:cstheme="minorHAnsi"/>
          <w:sz w:val="22"/>
          <w:szCs w:val="22"/>
        </w:rPr>
        <w:t xml:space="preserve">COSUMAF </w:t>
      </w:r>
    </w:p>
    <w:p w14:paraId="7210884B" w14:textId="77777777" w:rsidR="00C9723A" w:rsidRPr="00C21D4B" w:rsidRDefault="00C9723A" w:rsidP="00EF5E4D">
      <w:pPr>
        <w:pStyle w:val="NormalWeb"/>
        <w:jc w:val="center"/>
        <w:rPr>
          <w:rFonts w:asciiTheme="minorHAnsi" w:hAnsiTheme="minorHAnsi" w:cstheme="minorHAnsi"/>
          <w:sz w:val="22"/>
          <w:szCs w:val="22"/>
        </w:rPr>
      </w:pPr>
    </w:p>
    <w:p w14:paraId="68410114" w14:textId="37C92DD6" w:rsidR="00EF5E4D" w:rsidRPr="00C21D4B" w:rsidRDefault="00EF5E4D" w:rsidP="00EF5E4D">
      <w:pPr>
        <w:pStyle w:val="NormalWeb"/>
        <w:jc w:val="center"/>
        <w:rPr>
          <w:rFonts w:asciiTheme="minorHAnsi" w:hAnsiTheme="minorHAnsi" w:cstheme="minorHAnsi"/>
          <w:b/>
          <w:sz w:val="22"/>
          <w:szCs w:val="22"/>
        </w:rPr>
      </w:pPr>
      <w:r w:rsidRPr="00C21D4B">
        <w:rPr>
          <w:rFonts w:asciiTheme="minorHAnsi" w:hAnsiTheme="minorHAnsi" w:cstheme="minorHAnsi"/>
          <w:b/>
          <w:sz w:val="22"/>
          <w:szCs w:val="22"/>
        </w:rPr>
        <w:t>INSTRUCTION COSUMAF n</w:t>
      </w:r>
      <w:r w:rsidR="00564435" w:rsidRPr="00C21D4B">
        <w:rPr>
          <w:rFonts w:asciiTheme="minorHAnsi" w:hAnsiTheme="minorHAnsi" w:cstheme="minorHAnsi"/>
          <w:b/>
          <w:sz w:val="22"/>
          <w:szCs w:val="22"/>
        </w:rPr>
        <w:t>°</w:t>
      </w:r>
      <w:r w:rsidRPr="00C21D4B">
        <w:rPr>
          <w:rFonts w:asciiTheme="minorHAnsi" w:hAnsiTheme="minorHAnsi" w:cstheme="minorHAnsi"/>
          <w:b/>
          <w:sz w:val="22"/>
          <w:szCs w:val="22"/>
        </w:rPr>
        <w:t xml:space="preserve"> du </w:t>
      </w:r>
      <w:r w:rsidR="0031620A" w:rsidRPr="00C21D4B">
        <w:rPr>
          <w:rFonts w:asciiTheme="minorHAnsi" w:hAnsiTheme="minorHAnsi" w:cstheme="minorHAnsi"/>
          <w:b/>
          <w:sz w:val="22"/>
          <w:szCs w:val="22"/>
        </w:rPr>
        <w:t>XX/XX</w:t>
      </w:r>
      <w:r w:rsidR="008C6C30">
        <w:rPr>
          <w:rFonts w:asciiTheme="minorHAnsi" w:hAnsiTheme="minorHAnsi" w:cstheme="minorHAnsi"/>
          <w:b/>
          <w:sz w:val="22"/>
          <w:szCs w:val="22"/>
        </w:rPr>
        <w:t>/</w:t>
      </w:r>
      <w:r w:rsidRPr="00C21D4B">
        <w:rPr>
          <w:rFonts w:asciiTheme="minorHAnsi" w:hAnsiTheme="minorHAnsi" w:cstheme="minorHAnsi"/>
          <w:b/>
          <w:sz w:val="22"/>
          <w:szCs w:val="22"/>
        </w:rPr>
        <w:t xml:space="preserve"> 20</w:t>
      </w:r>
      <w:r w:rsidR="0031620A" w:rsidRPr="00C21D4B">
        <w:rPr>
          <w:rFonts w:asciiTheme="minorHAnsi" w:hAnsiTheme="minorHAnsi" w:cstheme="minorHAnsi"/>
          <w:b/>
          <w:sz w:val="22"/>
          <w:szCs w:val="22"/>
        </w:rPr>
        <w:t>2</w:t>
      </w:r>
      <w:r w:rsidR="002A2EE1" w:rsidRPr="00C21D4B">
        <w:rPr>
          <w:rFonts w:asciiTheme="minorHAnsi" w:hAnsiTheme="minorHAnsi" w:cstheme="minorHAnsi"/>
          <w:b/>
          <w:sz w:val="22"/>
          <w:szCs w:val="22"/>
        </w:rPr>
        <w:t>4</w:t>
      </w:r>
    </w:p>
    <w:p w14:paraId="20D34039" w14:textId="0D8D28AD" w:rsidR="00EF5E4D" w:rsidRPr="00C21D4B" w:rsidRDefault="00EF5E4D" w:rsidP="00EF5E4D">
      <w:pPr>
        <w:pStyle w:val="NormalWeb"/>
        <w:jc w:val="center"/>
        <w:rPr>
          <w:rFonts w:asciiTheme="minorHAnsi" w:hAnsiTheme="minorHAnsi" w:cstheme="minorHAnsi"/>
          <w:b/>
          <w:sz w:val="22"/>
          <w:szCs w:val="22"/>
        </w:rPr>
      </w:pPr>
      <w:r w:rsidRPr="00C21D4B">
        <w:rPr>
          <w:rFonts w:asciiTheme="minorHAnsi" w:hAnsiTheme="minorHAnsi" w:cstheme="minorHAnsi"/>
          <w:b/>
          <w:sz w:val="22"/>
          <w:szCs w:val="22"/>
        </w:rPr>
        <w:t xml:space="preserve">RELATIVE </w:t>
      </w:r>
      <w:r w:rsidR="00561FF4" w:rsidRPr="00C21D4B">
        <w:rPr>
          <w:rFonts w:asciiTheme="minorHAnsi" w:hAnsiTheme="minorHAnsi" w:cstheme="minorHAnsi"/>
          <w:b/>
          <w:sz w:val="22"/>
          <w:szCs w:val="22"/>
        </w:rPr>
        <w:t>AUX INFORMATION</w:t>
      </w:r>
      <w:r w:rsidR="0055003F" w:rsidRPr="00C21D4B">
        <w:rPr>
          <w:rFonts w:asciiTheme="minorHAnsi" w:hAnsiTheme="minorHAnsi" w:cstheme="minorHAnsi"/>
          <w:b/>
          <w:sz w:val="22"/>
          <w:szCs w:val="22"/>
        </w:rPr>
        <w:t>S</w:t>
      </w:r>
      <w:r w:rsidR="00561FF4" w:rsidRPr="00C21D4B">
        <w:rPr>
          <w:rFonts w:asciiTheme="minorHAnsi" w:hAnsiTheme="minorHAnsi" w:cstheme="minorHAnsi"/>
          <w:b/>
          <w:sz w:val="22"/>
          <w:szCs w:val="22"/>
        </w:rPr>
        <w:t xml:space="preserve"> </w:t>
      </w:r>
      <w:r w:rsidR="0055003F" w:rsidRPr="00C21D4B">
        <w:rPr>
          <w:rFonts w:asciiTheme="minorHAnsi" w:hAnsiTheme="minorHAnsi" w:cstheme="minorHAnsi"/>
          <w:b/>
          <w:sz w:val="22"/>
          <w:szCs w:val="22"/>
        </w:rPr>
        <w:t>ADRESSEES PAR LES SOCIETES DE GESTION D’OPC A</w:t>
      </w:r>
      <w:r w:rsidR="00561FF4" w:rsidRPr="00C21D4B">
        <w:rPr>
          <w:rFonts w:asciiTheme="minorHAnsi" w:hAnsiTheme="minorHAnsi" w:cstheme="minorHAnsi"/>
          <w:b/>
          <w:sz w:val="22"/>
          <w:szCs w:val="22"/>
        </w:rPr>
        <w:t xml:space="preserve"> LA COSUMAF</w:t>
      </w:r>
      <w:r w:rsidR="002A2EE1" w:rsidRPr="00C21D4B">
        <w:rPr>
          <w:rFonts w:asciiTheme="minorHAnsi" w:hAnsiTheme="minorHAnsi" w:cstheme="minorHAnsi"/>
          <w:b/>
          <w:sz w:val="22"/>
          <w:szCs w:val="22"/>
        </w:rPr>
        <w:t xml:space="preserve">  </w:t>
      </w:r>
    </w:p>
    <w:p w14:paraId="64401E0F" w14:textId="655543E7" w:rsidR="00EF5E4D" w:rsidRPr="00C21D4B" w:rsidRDefault="00564435" w:rsidP="00564435">
      <w:pPr>
        <w:pStyle w:val="NormalWeb"/>
        <w:jc w:val="center"/>
        <w:rPr>
          <w:rFonts w:asciiTheme="minorHAnsi" w:hAnsiTheme="minorHAnsi" w:cstheme="minorHAnsi"/>
          <w:sz w:val="22"/>
          <w:szCs w:val="22"/>
        </w:rPr>
      </w:pPr>
      <w:r w:rsidRPr="00C21D4B">
        <w:rPr>
          <w:rFonts w:asciiTheme="minorHAnsi" w:hAnsiTheme="minorHAnsi" w:cstheme="minorHAnsi"/>
          <w:sz w:val="22"/>
          <w:szCs w:val="22"/>
        </w:rPr>
        <w:t>***</w:t>
      </w:r>
    </w:p>
    <w:p w14:paraId="63538A05" w14:textId="1CE21A69" w:rsidR="00EF5E4D" w:rsidRPr="00C21D4B" w:rsidRDefault="00EF5E4D" w:rsidP="004765F7">
      <w:pPr>
        <w:pStyle w:val="NormalWeb"/>
        <w:jc w:val="both"/>
        <w:rPr>
          <w:rFonts w:asciiTheme="minorHAnsi" w:hAnsiTheme="minorHAnsi" w:cstheme="minorHAnsi"/>
          <w:sz w:val="22"/>
          <w:szCs w:val="22"/>
        </w:rPr>
      </w:pPr>
      <w:r w:rsidRPr="00C21D4B">
        <w:rPr>
          <w:rFonts w:asciiTheme="minorHAnsi" w:hAnsiTheme="minorHAnsi" w:cstheme="minorHAnsi"/>
          <w:sz w:val="22"/>
          <w:szCs w:val="22"/>
        </w:rPr>
        <w:t>LA COMMISSION DE SURVEILLANCE DU MARCHE FINANCIER DE L'AFRIQ</w:t>
      </w:r>
      <w:r w:rsidR="00DC1AAD" w:rsidRPr="00C21D4B">
        <w:rPr>
          <w:rFonts w:asciiTheme="minorHAnsi" w:hAnsiTheme="minorHAnsi" w:cstheme="minorHAnsi"/>
          <w:sz w:val="22"/>
          <w:szCs w:val="22"/>
        </w:rPr>
        <w:t>U</w:t>
      </w:r>
      <w:r w:rsidRPr="00C21D4B">
        <w:rPr>
          <w:rFonts w:asciiTheme="minorHAnsi" w:hAnsiTheme="minorHAnsi" w:cstheme="minorHAnsi"/>
          <w:sz w:val="22"/>
          <w:szCs w:val="22"/>
        </w:rPr>
        <w:t xml:space="preserve">E CENTRALE </w:t>
      </w:r>
    </w:p>
    <w:p w14:paraId="16E2CE51" w14:textId="654D3D9B" w:rsidR="00EF5E4D" w:rsidRPr="00C21D4B" w:rsidRDefault="00EF5E4D" w:rsidP="004765F7">
      <w:pPr>
        <w:pStyle w:val="NormalWeb"/>
        <w:jc w:val="both"/>
        <w:rPr>
          <w:rFonts w:asciiTheme="minorHAnsi" w:hAnsiTheme="minorHAnsi" w:cstheme="minorHAnsi"/>
          <w:sz w:val="22"/>
          <w:szCs w:val="22"/>
        </w:rPr>
      </w:pPr>
      <w:r w:rsidRPr="00C21D4B">
        <w:rPr>
          <w:rFonts w:asciiTheme="minorHAnsi" w:hAnsiTheme="minorHAnsi" w:cstheme="minorHAnsi"/>
          <w:sz w:val="22"/>
          <w:szCs w:val="22"/>
        </w:rPr>
        <w:t>Vu l'Acte Additionnel n</w:t>
      </w:r>
      <w:r w:rsidR="00EF5F0C" w:rsidRPr="00C21D4B">
        <w:rPr>
          <w:rFonts w:asciiTheme="minorHAnsi" w:hAnsiTheme="minorHAnsi" w:cstheme="minorHAnsi"/>
          <w:sz w:val="22"/>
          <w:szCs w:val="22"/>
        </w:rPr>
        <w:t>°</w:t>
      </w:r>
      <w:r w:rsidRPr="00C21D4B">
        <w:rPr>
          <w:rFonts w:asciiTheme="minorHAnsi" w:hAnsiTheme="minorHAnsi" w:cstheme="minorHAnsi"/>
          <w:sz w:val="22"/>
          <w:szCs w:val="22"/>
        </w:rPr>
        <w:t xml:space="preserve"> 03/01-CEMAC-CE</w:t>
      </w:r>
      <w:r w:rsidR="00C81507">
        <w:rPr>
          <w:rFonts w:asciiTheme="minorHAnsi" w:hAnsiTheme="minorHAnsi" w:cstheme="minorHAnsi"/>
          <w:sz w:val="22"/>
          <w:szCs w:val="22"/>
        </w:rPr>
        <w:t>-</w:t>
      </w:r>
      <w:r w:rsidRPr="00C21D4B">
        <w:rPr>
          <w:rFonts w:asciiTheme="minorHAnsi" w:hAnsiTheme="minorHAnsi" w:cstheme="minorHAnsi"/>
          <w:sz w:val="22"/>
          <w:szCs w:val="22"/>
        </w:rPr>
        <w:t xml:space="preserve"> 03 en date du 8 </w:t>
      </w:r>
      <w:r w:rsidR="00C9723A" w:rsidRPr="00C21D4B">
        <w:rPr>
          <w:rFonts w:asciiTheme="minorHAnsi" w:hAnsiTheme="minorHAnsi" w:cstheme="minorHAnsi"/>
          <w:sz w:val="22"/>
          <w:szCs w:val="22"/>
        </w:rPr>
        <w:t>décembre</w:t>
      </w:r>
      <w:r w:rsidRPr="00C21D4B">
        <w:rPr>
          <w:rFonts w:asciiTheme="minorHAnsi" w:hAnsiTheme="minorHAnsi" w:cstheme="minorHAnsi"/>
          <w:sz w:val="22"/>
          <w:szCs w:val="22"/>
        </w:rPr>
        <w:t xml:space="preserve"> 2001 portant </w:t>
      </w:r>
      <w:r w:rsidR="00C9723A" w:rsidRPr="00C21D4B">
        <w:rPr>
          <w:rFonts w:asciiTheme="minorHAnsi" w:hAnsiTheme="minorHAnsi" w:cstheme="minorHAnsi"/>
          <w:sz w:val="22"/>
          <w:szCs w:val="22"/>
        </w:rPr>
        <w:t>création</w:t>
      </w:r>
      <w:r w:rsidRPr="00C21D4B">
        <w:rPr>
          <w:rFonts w:asciiTheme="minorHAnsi" w:hAnsiTheme="minorHAnsi" w:cstheme="minorHAnsi"/>
          <w:sz w:val="22"/>
          <w:szCs w:val="22"/>
        </w:rPr>
        <w:t xml:space="preserve"> de la Commission de Surveillance du Marché Financier de l'Afrique Centrale (COS</w:t>
      </w:r>
      <w:r w:rsidR="00C9723A" w:rsidRPr="00C21D4B">
        <w:rPr>
          <w:rFonts w:asciiTheme="minorHAnsi" w:hAnsiTheme="minorHAnsi" w:cstheme="minorHAnsi"/>
          <w:sz w:val="22"/>
          <w:szCs w:val="22"/>
        </w:rPr>
        <w:t>U</w:t>
      </w:r>
      <w:r w:rsidRPr="00C21D4B">
        <w:rPr>
          <w:rFonts w:asciiTheme="minorHAnsi" w:hAnsiTheme="minorHAnsi" w:cstheme="minorHAnsi"/>
          <w:sz w:val="22"/>
          <w:szCs w:val="22"/>
        </w:rPr>
        <w:t xml:space="preserve">MAF) </w:t>
      </w:r>
      <w:r w:rsidRPr="00C21D4B">
        <w:rPr>
          <w:rFonts w:asciiTheme="minorHAnsi" w:hAnsiTheme="minorHAnsi" w:cstheme="minorHAnsi"/>
          <w:position w:val="-4"/>
          <w:sz w:val="22"/>
          <w:szCs w:val="22"/>
        </w:rPr>
        <w:t xml:space="preserve">; </w:t>
      </w:r>
    </w:p>
    <w:p w14:paraId="1611AD81" w14:textId="2329BC40" w:rsidR="00EF5E4D" w:rsidRPr="00C21D4B" w:rsidRDefault="00EF5E4D" w:rsidP="004765F7">
      <w:pPr>
        <w:pStyle w:val="NormalWeb"/>
        <w:jc w:val="both"/>
        <w:rPr>
          <w:rFonts w:asciiTheme="minorHAnsi" w:hAnsiTheme="minorHAnsi" w:cstheme="minorHAnsi"/>
          <w:sz w:val="22"/>
          <w:szCs w:val="22"/>
        </w:rPr>
      </w:pPr>
      <w:r w:rsidRPr="00C21D4B">
        <w:rPr>
          <w:rFonts w:asciiTheme="minorHAnsi" w:hAnsiTheme="minorHAnsi" w:cstheme="minorHAnsi"/>
          <w:sz w:val="22"/>
          <w:szCs w:val="22"/>
        </w:rPr>
        <w:t xml:space="preserve">Vu le </w:t>
      </w:r>
      <w:r w:rsidR="00EF5F0C" w:rsidRPr="00C21D4B">
        <w:rPr>
          <w:rFonts w:asciiTheme="minorHAnsi" w:hAnsiTheme="minorHAnsi" w:cstheme="minorHAnsi"/>
          <w:sz w:val="22"/>
          <w:szCs w:val="22"/>
        </w:rPr>
        <w:t>Règlement N°01/22/CEMAC/UMAC/CM/COSUMAF du 21 juillet 2022 portant organisation et fonctionnement du marché financier de l’Afrique Centrale</w:t>
      </w:r>
      <w:r w:rsidR="003F1CC5" w:rsidRPr="00C21D4B">
        <w:rPr>
          <w:rFonts w:asciiTheme="minorHAnsi" w:hAnsiTheme="minorHAnsi" w:cstheme="minorHAnsi"/>
          <w:sz w:val="22"/>
          <w:szCs w:val="22"/>
        </w:rPr>
        <w:t>,</w:t>
      </w:r>
    </w:p>
    <w:p w14:paraId="3F39EA8E" w14:textId="56B7F91B" w:rsidR="00EF5E4D" w:rsidRPr="00C21D4B" w:rsidRDefault="00EF5E4D" w:rsidP="004765F7">
      <w:pPr>
        <w:pStyle w:val="NormalWeb"/>
        <w:jc w:val="both"/>
        <w:rPr>
          <w:rFonts w:asciiTheme="minorHAnsi" w:hAnsiTheme="minorHAnsi" w:cstheme="minorHAnsi"/>
          <w:sz w:val="22"/>
          <w:szCs w:val="22"/>
        </w:rPr>
      </w:pPr>
      <w:r w:rsidRPr="00C21D4B">
        <w:rPr>
          <w:rFonts w:asciiTheme="minorHAnsi" w:hAnsiTheme="minorHAnsi" w:cstheme="minorHAnsi"/>
          <w:sz w:val="22"/>
          <w:szCs w:val="22"/>
        </w:rPr>
        <w:t xml:space="preserve">Vu </w:t>
      </w:r>
      <w:r w:rsidR="00C9723A" w:rsidRPr="00C21D4B">
        <w:rPr>
          <w:rFonts w:asciiTheme="minorHAnsi" w:hAnsiTheme="minorHAnsi" w:cstheme="minorHAnsi"/>
          <w:sz w:val="22"/>
          <w:szCs w:val="22"/>
        </w:rPr>
        <w:t>l</w:t>
      </w:r>
      <w:r w:rsidRPr="00C21D4B">
        <w:rPr>
          <w:rFonts w:asciiTheme="minorHAnsi" w:hAnsiTheme="minorHAnsi" w:cstheme="minorHAnsi"/>
          <w:sz w:val="22"/>
          <w:szCs w:val="22"/>
        </w:rPr>
        <w:t xml:space="preserve">e </w:t>
      </w:r>
      <w:r w:rsidR="003F1CC5" w:rsidRPr="00C21D4B">
        <w:rPr>
          <w:rFonts w:asciiTheme="minorHAnsi" w:hAnsiTheme="minorHAnsi" w:cstheme="minorHAnsi"/>
          <w:sz w:val="22"/>
          <w:szCs w:val="22"/>
        </w:rPr>
        <w:t>Règlement</w:t>
      </w:r>
      <w:r w:rsidRPr="00C21D4B">
        <w:rPr>
          <w:rFonts w:asciiTheme="minorHAnsi" w:hAnsiTheme="minorHAnsi" w:cstheme="minorHAnsi"/>
          <w:sz w:val="22"/>
          <w:szCs w:val="22"/>
        </w:rPr>
        <w:t xml:space="preserve"> </w:t>
      </w:r>
      <w:r w:rsidR="00C21D4B" w:rsidRPr="00C21D4B">
        <w:rPr>
          <w:rFonts w:asciiTheme="minorHAnsi" w:hAnsiTheme="minorHAnsi" w:cstheme="minorHAnsi"/>
          <w:sz w:val="22"/>
          <w:szCs w:val="22"/>
        </w:rPr>
        <w:t>Général</w:t>
      </w:r>
      <w:r w:rsidRPr="00C21D4B">
        <w:rPr>
          <w:rFonts w:asciiTheme="minorHAnsi" w:hAnsiTheme="minorHAnsi" w:cstheme="minorHAnsi"/>
          <w:sz w:val="22"/>
          <w:szCs w:val="22"/>
        </w:rPr>
        <w:t xml:space="preserve"> de la Commission de Surveillance du Marché Financier de l'Afrique Centrale, </w:t>
      </w:r>
    </w:p>
    <w:p w14:paraId="2BE8285F" w14:textId="01E93B09" w:rsidR="00EF5E4D" w:rsidRPr="00C21D4B" w:rsidRDefault="00EF5E4D" w:rsidP="004765F7">
      <w:pPr>
        <w:pStyle w:val="NormalWeb"/>
        <w:jc w:val="both"/>
        <w:rPr>
          <w:rFonts w:asciiTheme="minorHAnsi" w:hAnsiTheme="minorHAnsi" w:cstheme="minorHAnsi"/>
          <w:sz w:val="22"/>
          <w:szCs w:val="22"/>
        </w:rPr>
      </w:pPr>
      <w:r w:rsidRPr="00C21D4B">
        <w:rPr>
          <w:rFonts w:asciiTheme="minorHAnsi" w:hAnsiTheme="minorHAnsi" w:cstheme="minorHAnsi"/>
          <w:sz w:val="22"/>
          <w:szCs w:val="22"/>
        </w:rPr>
        <w:t xml:space="preserve">En sa séance </w:t>
      </w:r>
      <w:r w:rsidRPr="008A3A6C">
        <w:rPr>
          <w:rFonts w:asciiTheme="minorHAnsi" w:hAnsiTheme="minorHAnsi" w:cstheme="minorHAnsi"/>
          <w:sz w:val="22"/>
          <w:szCs w:val="22"/>
        </w:rPr>
        <w:t xml:space="preserve">du </w:t>
      </w:r>
      <w:r w:rsidR="00DC1AAD" w:rsidRPr="008A3A6C">
        <w:rPr>
          <w:rFonts w:asciiTheme="minorHAnsi" w:hAnsiTheme="minorHAnsi" w:cstheme="minorHAnsi"/>
          <w:sz w:val="22"/>
          <w:szCs w:val="22"/>
        </w:rPr>
        <w:t>X</w:t>
      </w:r>
      <w:r w:rsidRPr="008A3A6C">
        <w:rPr>
          <w:rFonts w:asciiTheme="minorHAnsi" w:hAnsiTheme="minorHAnsi" w:cstheme="minorHAnsi"/>
          <w:sz w:val="22"/>
          <w:szCs w:val="22"/>
        </w:rPr>
        <w:t> ;</w:t>
      </w:r>
    </w:p>
    <w:p w14:paraId="76DCAC7C" w14:textId="3F8A65F0" w:rsidR="00EF5E4D" w:rsidRPr="00C21D4B" w:rsidRDefault="00EF5E4D" w:rsidP="004765F7">
      <w:pPr>
        <w:pStyle w:val="NormalWeb"/>
        <w:jc w:val="center"/>
        <w:rPr>
          <w:rFonts w:asciiTheme="minorHAnsi" w:hAnsiTheme="minorHAnsi" w:cstheme="minorHAnsi"/>
          <w:sz w:val="22"/>
          <w:szCs w:val="22"/>
        </w:rPr>
      </w:pPr>
      <w:r w:rsidRPr="00C21D4B">
        <w:rPr>
          <w:rFonts w:asciiTheme="minorHAnsi" w:hAnsiTheme="minorHAnsi" w:cstheme="minorHAnsi"/>
          <w:sz w:val="22"/>
          <w:szCs w:val="22"/>
        </w:rPr>
        <w:t>ADOPTE L'INSTRUCTION DONT LA TENEUR SUIT</w:t>
      </w:r>
      <w:r w:rsidR="004765F7" w:rsidRPr="00C21D4B">
        <w:rPr>
          <w:rFonts w:asciiTheme="minorHAnsi" w:hAnsiTheme="minorHAnsi" w:cstheme="minorHAnsi"/>
          <w:sz w:val="22"/>
          <w:szCs w:val="22"/>
        </w:rPr>
        <w:t xml:space="preserve"> </w:t>
      </w:r>
      <w:r w:rsidRPr="00C21D4B">
        <w:rPr>
          <w:rFonts w:asciiTheme="minorHAnsi" w:hAnsiTheme="minorHAnsi" w:cstheme="minorHAnsi"/>
          <w:sz w:val="22"/>
          <w:szCs w:val="22"/>
        </w:rPr>
        <w:t>:</w:t>
      </w:r>
    </w:p>
    <w:p w14:paraId="3D3A53DD" w14:textId="3A2FAF82" w:rsidR="00EE0C7A" w:rsidRPr="00C21D4B" w:rsidRDefault="004765F7" w:rsidP="00C9723A">
      <w:pPr>
        <w:rPr>
          <w:rFonts w:asciiTheme="minorHAnsi" w:hAnsiTheme="minorHAnsi" w:cstheme="minorHAnsi"/>
          <w:sz w:val="22"/>
          <w:szCs w:val="22"/>
        </w:rPr>
      </w:pPr>
      <w:r w:rsidRPr="00C21D4B">
        <w:rPr>
          <w:rFonts w:asciiTheme="minorHAnsi" w:hAnsiTheme="minorHAnsi" w:cstheme="minorHAnsi"/>
          <w:sz w:val="22"/>
          <w:szCs w:val="22"/>
        </w:rPr>
        <w:br w:type="page"/>
      </w:r>
    </w:p>
    <w:p w14:paraId="119D1759" w14:textId="46A380FF" w:rsidR="00CA78EC" w:rsidRPr="00C21D4B" w:rsidRDefault="00CA78EC" w:rsidP="00ED6269">
      <w:pPr>
        <w:pStyle w:val="NormalWeb"/>
        <w:shd w:val="clear" w:color="auto" w:fill="FFFFFF" w:themeFill="background1"/>
        <w:rPr>
          <w:rFonts w:asciiTheme="minorHAnsi" w:hAnsiTheme="minorHAnsi" w:cstheme="minorHAnsi"/>
          <w:b/>
          <w:bCs/>
          <w:sz w:val="22"/>
          <w:szCs w:val="22"/>
        </w:rPr>
      </w:pPr>
      <w:r w:rsidRPr="00C21D4B">
        <w:rPr>
          <w:rFonts w:asciiTheme="minorHAnsi" w:hAnsiTheme="minorHAnsi" w:cstheme="minorHAnsi"/>
          <w:b/>
          <w:bCs/>
          <w:sz w:val="22"/>
          <w:szCs w:val="22"/>
        </w:rPr>
        <w:lastRenderedPageBreak/>
        <w:t>CHAPITRE PRELIMINAIRE</w:t>
      </w:r>
      <w:r w:rsidR="00024AD8" w:rsidRPr="00C21D4B">
        <w:rPr>
          <w:rFonts w:asciiTheme="minorHAnsi" w:hAnsiTheme="minorHAnsi" w:cstheme="minorHAnsi"/>
          <w:b/>
          <w:bCs/>
          <w:sz w:val="22"/>
          <w:szCs w:val="22"/>
        </w:rPr>
        <w:t> : CHAMP D’APPLICATION</w:t>
      </w:r>
    </w:p>
    <w:p w14:paraId="00789D04" w14:textId="502409E9" w:rsidR="00EF5E4D" w:rsidRPr="00C21D4B" w:rsidRDefault="00EF5E4D" w:rsidP="00ED6269">
      <w:pPr>
        <w:pStyle w:val="NormalWeb"/>
        <w:shd w:val="clear" w:color="auto" w:fill="FFFFFF" w:themeFill="background1"/>
        <w:rPr>
          <w:rFonts w:asciiTheme="minorHAnsi" w:hAnsiTheme="minorHAnsi" w:cstheme="minorHAnsi"/>
          <w:b/>
          <w:bCs/>
          <w:sz w:val="22"/>
          <w:szCs w:val="22"/>
        </w:rPr>
      </w:pPr>
      <w:r w:rsidRPr="00C21D4B">
        <w:rPr>
          <w:rFonts w:asciiTheme="minorHAnsi" w:hAnsiTheme="minorHAnsi" w:cstheme="minorHAnsi"/>
          <w:b/>
          <w:bCs/>
          <w:sz w:val="22"/>
          <w:szCs w:val="22"/>
        </w:rPr>
        <w:t xml:space="preserve">ARTICLE PREMIER </w:t>
      </w:r>
    </w:p>
    <w:p w14:paraId="040CB618" w14:textId="09AE2CF5" w:rsidR="0031620A" w:rsidRPr="00C21D4B" w:rsidRDefault="0031620A" w:rsidP="000F4995">
      <w:pPr>
        <w:pStyle w:val="NormalWeb"/>
        <w:rPr>
          <w:rFonts w:asciiTheme="minorHAnsi" w:hAnsiTheme="minorHAnsi" w:cstheme="minorHAnsi"/>
          <w:sz w:val="22"/>
          <w:szCs w:val="22"/>
        </w:rPr>
      </w:pPr>
      <w:r w:rsidRPr="00C21D4B">
        <w:rPr>
          <w:rFonts w:asciiTheme="minorHAnsi" w:hAnsiTheme="minorHAnsi" w:cstheme="minorHAnsi"/>
          <w:sz w:val="22"/>
          <w:szCs w:val="22"/>
        </w:rPr>
        <w:t xml:space="preserve">La présente </w:t>
      </w:r>
      <w:r w:rsidR="00B47A48" w:rsidRPr="00C21D4B">
        <w:rPr>
          <w:rFonts w:asciiTheme="minorHAnsi" w:hAnsiTheme="minorHAnsi" w:cstheme="minorHAnsi"/>
          <w:sz w:val="22"/>
          <w:szCs w:val="22"/>
        </w:rPr>
        <w:t>I</w:t>
      </w:r>
      <w:r w:rsidRPr="00C21D4B">
        <w:rPr>
          <w:rFonts w:asciiTheme="minorHAnsi" w:hAnsiTheme="minorHAnsi" w:cstheme="minorHAnsi"/>
          <w:sz w:val="22"/>
          <w:szCs w:val="22"/>
        </w:rPr>
        <w:t xml:space="preserve">nstruction s’applique </w:t>
      </w:r>
      <w:proofErr w:type="spellStart"/>
      <w:r w:rsidRPr="00C21D4B">
        <w:rPr>
          <w:rFonts w:asciiTheme="minorHAnsi" w:hAnsiTheme="minorHAnsi" w:cstheme="minorHAnsi"/>
          <w:sz w:val="22"/>
          <w:szCs w:val="22"/>
        </w:rPr>
        <w:t>a</w:t>
      </w:r>
      <w:proofErr w:type="spellEnd"/>
      <w:r w:rsidRPr="00C21D4B">
        <w:rPr>
          <w:rFonts w:asciiTheme="minorHAnsi" w:hAnsiTheme="minorHAnsi" w:cstheme="minorHAnsi"/>
          <w:sz w:val="22"/>
          <w:szCs w:val="22"/>
        </w:rPr>
        <w:t xml:space="preserve">̀ l’ensemble des </w:t>
      </w:r>
      <w:r w:rsidR="00060D3D" w:rsidRPr="00C21D4B">
        <w:rPr>
          <w:rFonts w:asciiTheme="minorHAnsi" w:hAnsiTheme="minorHAnsi" w:cstheme="minorHAnsi"/>
          <w:sz w:val="22"/>
          <w:szCs w:val="22"/>
        </w:rPr>
        <w:t>S</w:t>
      </w:r>
      <w:r w:rsidRPr="00C21D4B">
        <w:rPr>
          <w:rFonts w:asciiTheme="minorHAnsi" w:hAnsiTheme="minorHAnsi" w:cstheme="minorHAnsi"/>
          <w:sz w:val="22"/>
          <w:szCs w:val="22"/>
        </w:rPr>
        <w:t xml:space="preserve">ociétés de </w:t>
      </w:r>
      <w:r w:rsidR="00060D3D" w:rsidRPr="00C21D4B">
        <w:rPr>
          <w:rFonts w:asciiTheme="minorHAnsi" w:hAnsiTheme="minorHAnsi" w:cstheme="minorHAnsi"/>
          <w:sz w:val="22"/>
          <w:szCs w:val="22"/>
        </w:rPr>
        <w:t>G</w:t>
      </w:r>
      <w:r w:rsidRPr="00C21D4B">
        <w:rPr>
          <w:rFonts w:asciiTheme="minorHAnsi" w:hAnsiTheme="minorHAnsi" w:cstheme="minorHAnsi"/>
          <w:sz w:val="22"/>
          <w:szCs w:val="22"/>
        </w:rPr>
        <w:t>estion d’OPC</w:t>
      </w:r>
      <w:r w:rsidR="000F4995" w:rsidRPr="00C21D4B">
        <w:rPr>
          <w:rFonts w:asciiTheme="minorHAnsi" w:hAnsiTheme="minorHAnsi" w:cstheme="minorHAnsi"/>
          <w:sz w:val="22"/>
          <w:szCs w:val="22"/>
        </w:rPr>
        <w:t xml:space="preserve"> quel que soit le type OPC géré.</w:t>
      </w:r>
      <w:r w:rsidRPr="00C21D4B">
        <w:rPr>
          <w:rFonts w:asciiTheme="minorHAnsi" w:hAnsiTheme="minorHAnsi" w:cstheme="minorHAnsi"/>
          <w:sz w:val="22"/>
          <w:szCs w:val="22"/>
        </w:rPr>
        <w:t xml:space="preserve"> </w:t>
      </w:r>
    </w:p>
    <w:p w14:paraId="6ADC52B4" w14:textId="77777777" w:rsidR="00C21D4B" w:rsidRDefault="00CA78EC" w:rsidP="00ED6269">
      <w:pPr>
        <w:pStyle w:val="NormalWeb"/>
        <w:shd w:val="clear" w:color="auto" w:fill="FFFFFF" w:themeFill="background1"/>
        <w:rPr>
          <w:rFonts w:asciiTheme="minorHAnsi" w:hAnsiTheme="minorHAnsi" w:cstheme="minorHAnsi"/>
          <w:b/>
          <w:bCs/>
          <w:sz w:val="22"/>
          <w:szCs w:val="22"/>
        </w:rPr>
      </w:pPr>
      <w:r w:rsidRPr="00C21D4B">
        <w:rPr>
          <w:rFonts w:asciiTheme="minorHAnsi" w:hAnsiTheme="minorHAnsi" w:cstheme="minorHAnsi"/>
          <w:b/>
          <w:bCs/>
          <w:sz w:val="22"/>
          <w:szCs w:val="22"/>
        </w:rPr>
        <w:t>CHAPITRE 1</w:t>
      </w:r>
      <w:r w:rsidR="0055003F" w:rsidRPr="00C21D4B">
        <w:rPr>
          <w:rFonts w:asciiTheme="minorHAnsi" w:hAnsiTheme="minorHAnsi" w:cstheme="minorHAnsi"/>
          <w:b/>
          <w:bCs/>
          <w:sz w:val="22"/>
          <w:szCs w:val="22"/>
        </w:rPr>
        <w:t xml:space="preserve"> INFORMATIONS A FOURNIR SUR </w:t>
      </w:r>
      <w:r w:rsidR="009D4402" w:rsidRPr="00C21D4B">
        <w:rPr>
          <w:rFonts w:asciiTheme="minorHAnsi" w:hAnsiTheme="minorHAnsi" w:cstheme="minorHAnsi"/>
          <w:b/>
          <w:bCs/>
          <w:sz w:val="22"/>
          <w:szCs w:val="22"/>
        </w:rPr>
        <w:t>L’ACTIVITE D</w:t>
      </w:r>
      <w:r w:rsidR="0055003F" w:rsidRPr="00C21D4B">
        <w:rPr>
          <w:rFonts w:asciiTheme="minorHAnsi" w:hAnsiTheme="minorHAnsi" w:cstheme="minorHAnsi"/>
          <w:b/>
          <w:bCs/>
          <w:sz w:val="22"/>
          <w:szCs w:val="22"/>
        </w:rPr>
        <w:t>ES SOCIETES DE GESTION D’OPC</w:t>
      </w:r>
    </w:p>
    <w:p w14:paraId="76D51287" w14:textId="215DB1B0" w:rsidR="00EF5E4D" w:rsidRPr="00C21D4B" w:rsidRDefault="00EF5E4D" w:rsidP="00ED6269">
      <w:pPr>
        <w:pStyle w:val="NormalWeb"/>
        <w:shd w:val="clear" w:color="auto" w:fill="FFFFFF" w:themeFill="background1"/>
        <w:rPr>
          <w:rFonts w:asciiTheme="minorHAnsi" w:hAnsiTheme="minorHAnsi" w:cstheme="minorHAnsi"/>
          <w:b/>
          <w:bCs/>
          <w:sz w:val="22"/>
          <w:szCs w:val="22"/>
        </w:rPr>
      </w:pPr>
      <w:r w:rsidRPr="00C21D4B">
        <w:rPr>
          <w:rFonts w:asciiTheme="minorHAnsi" w:hAnsiTheme="minorHAnsi" w:cstheme="minorHAnsi"/>
          <w:b/>
          <w:bCs/>
          <w:sz w:val="22"/>
          <w:szCs w:val="22"/>
        </w:rPr>
        <w:t xml:space="preserve">ARTICLE 2 </w:t>
      </w:r>
    </w:p>
    <w:tbl>
      <w:tblPr>
        <w:tblStyle w:val="Grilledutableau"/>
        <w:tblW w:w="9493" w:type="dxa"/>
        <w:tblLayout w:type="fixed"/>
        <w:tblLook w:val="04A0" w:firstRow="1" w:lastRow="0" w:firstColumn="1" w:lastColumn="0" w:noHBand="0" w:noVBand="1"/>
      </w:tblPr>
      <w:tblGrid>
        <w:gridCol w:w="336"/>
        <w:gridCol w:w="1640"/>
        <w:gridCol w:w="1755"/>
        <w:gridCol w:w="1934"/>
        <w:gridCol w:w="1616"/>
        <w:gridCol w:w="2212"/>
      </w:tblGrid>
      <w:tr w:rsidR="00060D3D" w:rsidRPr="00C21D4B" w14:paraId="186BA754" w14:textId="77777777" w:rsidTr="00060D3D">
        <w:tc>
          <w:tcPr>
            <w:tcW w:w="336" w:type="dxa"/>
          </w:tcPr>
          <w:p w14:paraId="45F7F370" w14:textId="77777777" w:rsidR="00561FF4" w:rsidRPr="00C21D4B" w:rsidRDefault="00561FF4" w:rsidP="00ED6269">
            <w:pPr>
              <w:pStyle w:val="NormalWeb"/>
              <w:rPr>
                <w:rFonts w:asciiTheme="minorHAnsi" w:hAnsiTheme="minorHAnsi" w:cstheme="minorHAnsi"/>
                <w:b/>
                <w:bCs/>
                <w:sz w:val="22"/>
                <w:szCs w:val="22"/>
              </w:rPr>
            </w:pPr>
          </w:p>
        </w:tc>
        <w:tc>
          <w:tcPr>
            <w:tcW w:w="1640" w:type="dxa"/>
          </w:tcPr>
          <w:p w14:paraId="5442F969" w14:textId="77777777" w:rsidR="00561FF4" w:rsidRPr="00C21D4B" w:rsidRDefault="00561FF4" w:rsidP="00ED6269">
            <w:pPr>
              <w:pStyle w:val="NormalWeb"/>
              <w:rPr>
                <w:rFonts w:asciiTheme="minorHAnsi" w:hAnsiTheme="minorHAnsi" w:cstheme="minorHAnsi"/>
                <w:b/>
                <w:bCs/>
                <w:sz w:val="22"/>
                <w:szCs w:val="22"/>
              </w:rPr>
            </w:pPr>
          </w:p>
        </w:tc>
        <w:tc>
          <w:tcPr>
            <w:tcW w:w="1755" w:type="dxa"/>
          </w:tcPr>
          <w:p w14:paraId="2867164D" w14:textId="29EA9FD9" w:rsidR="00561FF4" w:rsidRPr="00C21D4B" w:rsidRDefault="00561FF4"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Marché/instrument principal</w:t>
            </w:r>
          </w:p>
        </w:tc>
        <w:tc>
          <w:tcPr>
            <w:tcW w:w="1934" w:type="dxa"/>
          </w:tcPr>
          <w:p w14:paraId="15CF43B2" w14:textId="64E021C2" w:rsidR="00561FF4" w:rsidRPr="00C21D4B" w:rsidRDefault="00561FF4"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Deuxième marché/instrument</w:t>
            </w:r>
          </w:p>
        </w:tc>
        <w:tc>
          <w:tcPr>
            <w:tcW w:w="1616" w:type="dxa"/>
          </w:tcPr>
          <w:p w14:paraId="4B64AE39" w14:textId="6BDF929B" w:rsidR="00561FF4" w:rsidRPr="00C21D4B" w:rsidRDefault="00561FF4"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Troisième marché/instrument</w:t>
            </w:r>
          </w:p>
        </w:tc>
        <w:tc>
          <w:tcPr>
            <w:tcW w:w="2212" w:type="dxa"/>
          </w:tcPr>
          <w:p w14:paraId="707CA123" w14:textId="43E862D1" w:rsidR="00561FF4" w:rsidRPr="00C21D4B" w:rsidRDefault="00561FF4"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Quatrième marché/instrument</w:t>
            </w:r>
          </w:p>
        </w:tc>
      </w:tr>
      <w:tr w:rsidR="00BF65D9" w:rsidRPr="00C21D4B" w14:paraId="2DC11072" w14:textId="77777777" w:rsidTr="00060D3D">
        <w:tc>
          <w:tcPr>
            <w:tcW w:w="336" w:type="dxa"/>
          </w:tcPr>
          <w:p w14:paraId="74FEF1FE" w14:textId="7EDC4E73" w:rsidR="00561FF4" w:rsidRPr="00C21D4B" w:rsidRDefault="00561FF4"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1</w:t>
            </w:r>
          </w:p>
        </w:tc>
        <w:tc>
          <w:tcPr>
            <w:tcW w:w="1640" w:type="dxa"/>
          </w:tcPr>
          <w:p w14:paraId="73968B1E" w14:textId="4A46B4E8" w:rsidR="00561FF4" w:rsidRPr="00C21D4B" w:rsidRDefault="00561FF4"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 xml:space="preserve">Principaux marchés sur lesquels </w:t>
            </w:r>
            <w:r w:rsidR="00E515E7" w:rsidRPr="00C21D4B">
              <w:rPr>
                <w:rFonts w:asciiTheme="minorHAnsi" w:hAnsiTheme="minorHAnsi" w:cstheme="minorHAnsi"/>
                <w:b/>
                <w:bCs/>
                <w:sz w:val="22"/>
                <w:szCs w:val="22"/>
              </w:rPr>
              <w:t>intervient</w:t>
            </w:r>
            <w:r w:rsidR="003C7958" w:rsidRPr="00C21D4B">
              <w:rPr>
                <w:rFonts w:asciiTheme="minorHAnsi" w:hAnsiTheme="minorHAnsi" w:cstheme="minorHAnsi"/>
                <w:b/>
                <w:bCs/>
                <w:sz w:val="22"/>
                <w:szCs w:val="22"/>
              </w:rPr>
              <w:t xml:space="preserve"> </w:t>
            </w:r>
            <w:r w:rsidRPr="00C21D4B">
              <w:rPr>
                <w:rFonts w:asciiTheme="minorHAnsi" w:hAnsiTheme="minorHAnsi" w:cstheme="minorHAnsi"/>
                <w:b/>
                <w:bCs/>
                <w:sz w:val="22"/>
                <w:szCs w:val="22"/>
              </w:rPr>
              <w:t>la société de gestion d’OPC</w:t>
            </w:r>
            <w:r w:rsidR="00BF65D9" w:rsidRPr="00C21D4B">
              <w:rPr>
                <w:rFonts w:asciiTheme="minorHAnsi" w:hAnsiTheme="minorHAnsi" w:cstheme="minorHAnsi"/>
                <w:b/>
                <w:bCs/>
                <w:sz w:val="22"/>
                <w:szCs w:val="22"/>
              </w:rPr>
              <w:t xml:space="preserve"> </w:t>
            </w:r>
          </w:p>
        </w:tc>
        <w:tc>
          <w:tcPr>
            <w:tcW w:w="1755" w:type="dxa"/>
          </w:tcPr>
          <w:p w14:paraId="7163E2D3" w14:textId="77777777" w:rsidR="00561FF4" w:rsidRPr="00C21D4B" w:rsidRDefault="00561FF4" w:rsidP="00ED6269">
            <w:pPr>
              <w:pStyle w:val="NormalWeb"/>
              <w:rPr>
                <w:rFonts w:asciiTheme="minorHAnsi" w:hAnsiTheme="minorHAnsi" w:cstheme="minorHAnsi"/>
                <w:b/>
                <w:bCs/>
                <w:sz w:val="22"/>
                <w:szCs w:val="22"/>
              </w:rPr>
            </w:pPr>
          </w:p>
        </w:tc>
        <w:tc>
          <w:tcPr>
            <w:tcW w:w="1934" w:type="dxa"/>
          </w:tcPr>
          <w:p w14:paraId="2001AC45" w14:textId="77777777" w:rsidR="00561FF4" w:rsidRPr="00C21D4B" w:rsidRDefault="00561FF4" w:rsidP="00ED6269">
            <w:pPr>
              <w:pStyle w:val="NormalWeb"/>
              <w:rPr>
                <w:rFonts w:asciiTheme="minorHAnsi" w:hAnsiTheme="minorHAnsi" w:cstheme="minorHAnsi"/>
                <w:b/>
                <w:bCs/>
                <w:sz w:val="22"/>
                <w:szCs w:val="22"/>
              </w:rPr>
            </w:pPr>
          </w:p>
        </w:tc>
        <w:tc>
          <w:tcPr>
            <w:tcW w:w="1616" w:type="dxa"/>
          </w:tcPr>
          <w:p w14:paraId="7B3A9107" w14:textId="77777777" w:rsidR="00561FF4" w:rsidRPr="00C21D4B" w:rsidRDefault="00561FF4" w:rsidP="00ED6269">
            <w:pPr>
              <w:pStyle w:val="NormalWeb"/>
              <w:rPr>
                <w:rFonts w:asciiTheme="minorHAnsi" w:hAnsiTheme="minorHAnsi" w:cstheme="minorHAnsi"/>
                <w:b/>
                <w:bCs/>
                <w:sz w:val="22"/>
                <w:szCs w:val="22"/>
              </w:rPr>
            </w:pPr>
          </w:p>
        </w:tc>
        <w:tc>
          <w:tcPr>
            <w:tcW w:w="2212" w:type="dxa"/>
          </w:tcPr>
          <w:p w14:paraId="10DAC211" w14:textId="77777777" w:rsidR="00561FF4" w:rsidRPr="00C21D4B" w:rsidRDefault="00561FF4" w:rsidP="00ED6269">
            <w:pPr>
              <w:pStyle w:val="NormalWeb"/>
              <w:rPr>
                <w:rFonts w:asciiTheme="minorHAnsi" w:hAnsiTheme="minorHAnsi" w:cstheme="minorHAnsi"/>
                <w:b/>
                <w:bCs/>
                <w:sz w:val="22"/>
                <w:szCs w:val="22"/>
              </w:rPr>
            </w:pPr>
          </w:p>
        </w:tc>
      </w:tr>
      <w:tr w:rsidR="00BF65D9" w:rsidRPr="00C21D4B" w14:paraId="7E0CF7E1" w14:textId="77777777" w:rsidTr="00060D3D">
        <w:tc>
          <w:tcPr>
            <w:tcW w:w="336" w:type="dxa"/>
          </w:tcPr>
          <w:p w14:paraId="62A0AE9E" w14:textId="64BA8145" w:rsidR="00561FF4" w:rsidRPr="00C21D4B" w:rsidRDefault="00561FF4"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2</w:t>
            </w:r>
          </w:p>
        </w:tc>
        <w:tc>
          <w:tcPr>
            <w:tcW w:w="1640" w:type="dxa"/>
          </w:tcPr>
          <w:p w14:paraId="4957CEFF" w14:textId="03409D2B" w:rsidR="00561FF4" w:rsidRPr="00C21D4B" w:rsidRDefault="00BF65D9"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 xml:space="preserve">Principaux instruments </w:t>
            </w:r>
            <w:r w:rsidR="00E515E7" w:rsidRPr="00C21D4B">
              <w:rPr>
                <w:rFonts w:asciiTheme="minorHAnsi" w:hAnsiTheme="minorHAnsi" w:cstheme="minorHAnsi"/>
                <w:b/>
                <w:bCs/>
                <w:sz w:val="22"/>
                <w:szCs w:val="22"/>
              </w:rPr>
              <w:t xml:space="preserve">gérés </w:t>
            </w:r>
            <w:r w:rsidRPr="00C21D4B">
              <w:rPr>
                <w:rFonts w:asciiTheme="minorHAnsi" w:hAnsiTheme="minorHAnsi" w:cstheme="minorHAnsi"/>
                <w:b/>
                <w:bCs/>
                <w:sz w:val="22"/>
                <w:szCs w:val="22"/>
              </w:rPr>
              <w:t xml:space="preserve"> par la société de gestion d’OPC </w:t>
            </w:r>
          </w:p>
        </w:tc>
        <w:tc>
          <w:tcPr>
            <w:tcW w:w="1755" w:type="dxa"/>
          </w:tcPr>
          <w:p w14:paraId="48ACE02E" w14:textId="77777777" w:rsidR="00561FF4" w:rsidRPr="00C21D4B" w:rsidRDefault="00561FF4" w:rsidP="00ED6269">
            <w:pPr>
              <w:pStyle w:val="NormalWeb"/>
              <w:rPr>
                <w:rFonts w:asciiTheme="minorHAnsi" w:hAnsiTheme="minorHAnsi" w:cstheme="minorHAnsi"/>
                <w:b/>
                <w:bCs/>
                <w:sz w:val="22"/>
                <w:szCs w:val="22"/>
              </w:rPr>
            </w:pPr>
          </w:p>
        </w:tc>
        <w:tc>
          <w:tcPr>
            <w:tcW w:w="1934" w:type="dxa"/>
          </w:tcPr>
          <w:p w14:paraId="2B2132DB" w14:textId="77777777" w:rsidR="00561FF4" w:rsidRPr="00C21D4B" w:rsidRDefault="00561FF4" w:rsidP="00ED6269">
            <w:pPr>
              <w:pStyle w:val="NormalWeb"/>
              <w:rPr>
                <w:rFonts w:asciiTheme="minorHAnsi" w:hAnsiTheme="minorHAnsi" w:cstheme="minorHAnsi"/>
                <w:b/>
                <w:bCs/>
                <w:sz w:val="22"/>
                <w:szCs w:val="22"/>
              </w:rPr>
            </w:pPr>
          </w:p>
        </w:tc>
        <w:tc>
          <w:tcPr>
            <w:tcW w:w="1616" w:type="dxa"/>
          </w:tcPr>
          <w:p w14:paraId="33A8D5D9" w14:textId="77777777" w:rsidR="00561FF4" w:rsidRPr="00C21D4B" w:rsidRDefault="00561FF4" w:rsidP="00ED6269">
            <w:pPr>
              <w:pStyle w:val="NormalWeb"/>
              <w:rPr>
                <w:rFonts w:asciiTheme="minorHAnsi" w:hAnsiTheme="minorHAnsi" w:cstheme="minorHAnsi"/>
                <w:b/>
                <w:bCs/>
                <w:sz w:val="22"/>
                <w:szCs w:val="22"/>
              </w:rPr>
            </w:pPr>
          </w:p>
        </w:tc>
        <w:tc>
          <w:tcPr>
            <w:tcW w:w="2212" w:type="dxa"/>
          </w:tcPr>
          <w:p w14:paraId="6F20BAF3" w14:textId="77777777" w:rsidR="00561FF4" w:rsidRPr="00C21D4B" w:rsidRDefault="00561FF4" w:rsidP="00ED6269">
            <w:pPr>
              <w:pStyle w:val="NormalWeb"/>
              <w:rPr>
                <w:rFonts w:asciiTheme="minorHAnsi" w:hAnsiTheme="minorHAnsi" w:cstheme="minorHAnsi"/>
                <w:b/>
                <w:bCs/>
                <w:sz w:val="22"/>
                <w:szCs w:val="22"/>
              </w:rPr>
            </w:pPr>
          </w:p>
        </w:tc>
      </w:tr>
      <w:tr w:rsidR="00BF65D9" w:rsidRPr="00C21D4B" w14:paraId="3551FB62" w14:textId="77777777" w:rsidTr="00060D3D">
        <w:tc>
          <w:tcPr>
            <w:tcW w:w="336" w:type="dxa"/>
          </w:tcPr>
          <w:p w14:paraId="528E7D0E" w14:textId="61FE18B1" w:rsidR="00BF65D9" w:rsidRPr="00C21D4B" w:rsidRDefault="00BF65D9"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3</w:t>
            </w:r>
          </w:p>
        </w:tc>
        <w:tc>
          <w:tcPr>
            <w:tcW w:w="1640" w:type="dxa"/>
          </w:tcPr>
          <w:p w14:paraId="3F6067EA" w14:textId="60DA331E" w:rsidR="00BF65D9" w:rsidRPr="00C21D4B" w:rsidRDefault="00BF65D9"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Valeur totale des actifs gérés conformément à l’Annexe I</w:t>
            </w:r>
          </w:p>
        </w:tc>
        <w:tc>
          <w:tcPr>
            <w:tcW w:w="3689" w:type="dxa"/>
            <w:gridSpan w:val="2"/>
          </w:tcPr>
          <w:p w14:paraId="5F2FE176" w14:textId="12460B70" w:rsidR="00BF65D9" w:rsidRPr="00C21D4B" w:rsidRDefault="00BF65D9"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En FCFA</w:t>
            </w:r>
          </w:p>
        </w:tc>
        <w:tc>
          <w:tcPr>
            <w:tcW w:w="3828" w:type="dxa"/>
            <w:gridSpan w:val="2"/>
          </w:tcPr>
          <w:p w14:paraId="73A53118" w14:textId="77777777" w:rsidR="00BF65D9" w:rsidRPr="00C21D4B" w:rsidRDefault="00BF65D9" w:rsidP="00ED6269">
            <w:pPr>
              <w:pStyle w:val="NormalWeb"/>
              <w:rPr>
                <w:rFonts w:asciiTheme="minorHAnsi" w:hAnsiTheme="minorHAnsi" w:cstheme="minorHAnsi"/>
                <w:b/>
                <w:bCs/>
                <w:sz w:val="22"/>
                <w:szCs w:val="22"/>
              </w:rPr>
            </w:pPr>
          </w:p>
        </w:tc>
      </w:tr>
    </w:tbl>
    <w:p w14:paraId="2FE2EF3D" w14:textId="2D5F60FE" w:rsidR="00EF5E4D" w:rsidRPr="00C21D4B" w:rsidRDefault="00EF5E4D" w:rsidP="00ED6269">
      <w:pPr>
        <w:pStyle w:val="NormalWeb"/>
        <w:shd w:val="clear" w:color="auto" w:fill="FFFFFF" w:themeFill="background1"/>
        <w:rPr>
          <w:rFonts w:asciiTheme="minorHAnsi" w:hAnsiTheme="minorHAnsi" w:cstheme="minorHAnsi"/>
          <w:b/>
          <w:bCs/>
          <w:sz w:val="22"/>
          <w:szCs w:val="22"/>
        </w:rPr>
      </w:pPr>
      <w:r w:rsidRPr="00C21D4B">
        <w:rPr>
          <w:rFonts w:asciiTheme="minorHAnsi" w:hAnsiTheme="minorHAnsi" w:cstheme="minorHAnsi"/>
          <w:b/>
          <w:bCs/>
          <w:sz w:val="22"/>
          <w:szCs w:val="22"/>
        </w:rPr>
        <w:t xml:space="preserve">ARTICLE 3 </w:t>
      </w:r>
    </w:p>
    <w:tbl>
      <w:tblPr>
        <w:tblStyle w:val="Grilledutableau"/>
        <w:tblW w:w="9067" w:type="dxa"/>
        <w:tblLook w:val="04A0" w:firstRow="1" w:lastRow="0" w:firstColumn="1" w:lastColumn="0" w:noHBand="0" w:noVBand="1"/>
      </w:tblPr>
      <w:tblGrid>
        <w:gridCol w:w="850"/>
        <w:gridCol w:w="1917"/>
        <w:gridCol w:w="1131"/>
        <w:gridCol w:w="1204"/>
        <w:gridCol w:w="1324"/>
        <w:gridCol w:w="2641"/>
      </w:tblGrid>
      <w:tr w:rsidR="00C20F84" w:rsidRPr="00C21D4B" w14:paraId="5440F12C" w14:textId="77777777" w:rsidTr="00B309D3">
        <w:tc>
          <w:tcPr>
            <w:tcW w:w="868" w:type="dxa"/>
          </w:tcPr>
          <w:p w14:paraId="19738841" w14:textId="6B42817E" w:rsidR="00B309D3" w:rsidRPr="00C21D4B" w:rsidRDefault="00B309D3"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Nom de l’OPC</w:t>
            </w:r>
          </w:p>
        </w:tc>
        <w:tc>
          <w:tcPr>
            <w:tcW w:w="1956" w:type="dxa"/>
          </w:tcPr>
          <w:p w14:paraId="003EF711" w14:textId="358BD079" w:rsidR="00B309D3" w:rsidRPr="00C21D4B" w:rsidRDefault="00B309D3"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 xml:space="preserve">Code d’identification </w:t>
            </w:r>
          </w:p>
        </w:tc>
        <w:tc>
          <w:tcPr>
            <w:tcW w:w="1152" w:type="dxa"/>
          </w:tcPr>
          <w:p w14:paraId="0A98E54D" w14:textId="225B7D72" w:rsidR="00B309D3" w:rsidRPr="00C21D4B" w:rsidRDefault="00B309D3"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Date de création</w:t>
            </w:r>
          </w:p>
        </w:tc>
        <w:tc>
          <w:tcPr>
            <w:tcW w:w="1264" w:type="dxa"/>
          </w:tcPr>
          <w:p w14:paraId="26A16F33" w14:textId="1EEAA9F4" w:rsidR="00B309D3" w:rsidRPr="00C21D4B" w:rsidRDefault="00B309D3"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Types de fonds</w:t>
            </w:r>
          </w:p>
        </w:tc>
        <w:tc>
          <w:tcPr>
            <w:tcW w:w="992" w:type="dxa"/>
          </w:tcPr>
          <w:p w14:paraId="1A33D089" w14:textId="6ED5A6B8" w:rsidR="00B309D3" w:rsidRPr="00C21D4B" w:rsidRDefault="00C20F84" w:rsidP="00ED6269">
            <w:pPr>
              <w:pStyle w:val="NormalWeb"/>
              <w:rPr>
                <w:rFonts w:asciiTheme="minorHAnsi" w:hAnsiTheme="minorHAnsi" w:cstheme="minorHAnsi"/>
                <w:b/>
                <w:bCs/>
                <w:sz w:val="22"/>
                <w:szCs w:val="22"/>
              </w:rPr>
            </w:pPr>
            <w:r>
              <w:rPr>
                <w:rFonts w:asciiTheme="minorHAnsi" w:hAnsiTheme="minorHAnsi" w:cstheme="minorHAnsi"/>
                <w:b/>
                <w:bCs/>
                <w:sz w:val="22"/>
                <w:szCs w:val="22"/>
              </w:rPr>
              <w:t>Valeur nette d’inventaire (</w:t>
            </w:r>
            <w:r w:rsidR="00B309D3" w:rsidRPr="00C21D4B">
              <w:rPr>
                <w:rFonts w:asciiTheme="minorHAnsi" w:hAnsiTheme="minorHAnsi" w:cstheme="minorHAnsi"/>
                <w:b/>
                <w:bCs/>
                <w:sz w:val="22"/>
                <w:szCs w:val="22"/>
              </w:rPr>
              <w:t>VIN</w:t>
            </w:r>
            <w:r>
              <w:rPr>
                <w:rFonts w:asciiTheme="minorHAnsi" w:hAnsiTheme="minorHAnsi" w:cstheme="minorHAnsi"/>
                <w:b/>
                <w:bCs/>
                <w:sz w:val="22"/>
                <w:szCs w:val="22"/>
              </w:rPr>
              <w:t>)</w:t>
            </w:r>
          </w:p>
        </w:tc>
        <w:tc>
          <w:tcPr>
            <w:tcW w:w="2835" w:type="dxa"/>
          </w:tcPr>
          <w:p w14:paraId="50D3DA45" w14:textId="7D2A2821" w:rsidR="00B309D3" w:rsidRPr="00C21D4B" w:rsidRDefault="00B309D3" w:rsidP="00ED6269">
            <w:pPr>
              <w:pStyle w:val="NormalWeb"/>
              <w:rPr>
                <w:rFonts w:asciiTheme="minorHAnsi" w:hAnsiTheme="minorHAnsi" w:cstheme="minorHAnsi"/>
                <w:b/>
                <w:bCs/>
                <w:sz w:val="22"/>
                <w:szCs w:val="22"/>
              </w:rPr>
            </w:pPr>
            <w:r w:rsidRPr="00C21D4B">
              <w:rPr>
                <w:rFonts w:asciiTheme="minorHAnsi" w:hAnsiTheme="minorHAnsi" w:cstheme="minorHAnsi"/>
                <w:b/>
                <w:bCs/>
                <w:sz w:val="22"/>
                <w:szCs w:val="22"/>
              </w:rPr>
              <w:t>OPC de la zone CEMAC</w:t>
            </w:r>
            <w:r w:rsidR="00060D3D" w:rsidRPr="00C21D4B">
              <w:rPr>
                <w:rFonts w:asciiTheme="minorHAnsi" w:hAnsiTheme="minorHAnsi" w:cstheme="minorHAnsi"/>
                <w:b/>
                <w:bCs/>
                <w:sz w:val="22"/>
                <w:szCs w:val="22"/>
              </w:rPr>
              <w:t xml:space="preserve"> (Oui/Non)</w:t>
            </w:r>
          </w:p>
        </w:tc>
      </w:tr>
      <w:tr w:rsidR="00C20F84" w:rsidRPr="00C21D4B" w14:paraId="2EBFFAE5" w14:textId="77777777" w:rsidTr="00B309D3">
        <w:tc>
          <w:tcPr>
            <w:tcW w:w="868" w:type="dxa"/>
          </w:tcPr>
          <w:p w14:paraId="5A70FC0D" w14:textId="77777777" w:rsidR="00B309D3" w:rsidRPr="00C21D4B" w:rsidRDefault="00B309D3" w:rsidP="00ED6269">
            <w:pPr>
              <w:pStyle w:val="NormalWeb"/>
              <w:rPr>
                <w:rFonts w:asciiTheme="minorHAnsi" w:hAnsiTheme="minorHAnsi" w:cstheme="minorHAnsi"/>
                <w:b/>
                <w:bCs/>
                <w:sz w:val="22"/>
                <w:szCs w:val="22"/>
              </w:rPr>
            </w:pPr>
          </w:p>
        </w:tc>
        <w:tc>
          <w:tcPr>
            <w:tcW w:w="1956" w:type="dxa"/>
          </w:tcPr>
          <w:p w14:paraId="3B825B1C" w14:textId="77777777" w:rsidR="00B309D3" w:rsidRPr="00C21D4B" w:rsidRDefault="00B309D3" w:rsidP="00ED6269">
            <w:pPr>
              <w:pStyle w:val="NormalWeb"/>
              <w:rPr>
                <w:rFonts w:asciiTheme="minorHAnsi" w:hAnsiTheme="minorHAnsi" w:cstheme="minorHAnsi"/>
                <w:b/>
                <w:bCs/>
                <w:sz w:val="22"/>
                <w:szCs w:val="22"/>
              </w:rPr>
            </w:pPr>
          </w:p>
        </w:tc>
        <w:tc>
          <w:tcPr>
            <w:tcW w:w="1152" w:type="dxa"/>
          </w:tcPr>
          <w:p w14:paraId="12EE1997" w14:textId="77777777" w:rsidR="00B309D3" w:rsidRPr="00C21D4B" w:rsidRDefault="00B309D3" w:rsidP="00ED6269">
            <w:pPr>
              <w:pStyle w:val="NormalWeb"/>
              <w:rPr>
                <w:rFonts w:asciiTheme="minorHAnsi" w:hAnsiTheme="minorHAnsi" w:cstheme="minorHAnsi"/>
                <w:b/>
                <w:bCs/>
                <w:sz w:val="22"/>
                <w:szCs w:val="22"/>
              </w:rPr>
            </w:pPr>
          </w:p>
        </w:tc>
        <w:tc>
          <w:tcPr>
            <w:tcW w:w="1264" w:type="dxa"/>
          </w:tcPr>
          <w:p w14:paraId="53587638" w14:textId="77777777" w:rsidR="00B309D3" w:rsidRPr="00C21D4B" w:rsidRDefault="00B309D3" w:rsidP="00ED6269">
            <w:pPr>
              <w:pStyle w:val="NormalWeb"/>
              <w:rPr>
                <w:rFonts w:asciiTheme="minorHAnsi" w:hAnsiTheme="minorHAnsi" w:cstheme="minorHAnsi"/>
                <w:b/>
                <w:bCs/>
                <w:sz w:val="22"/>
                <w:szCs w:val="22"/>
              </w:rPr>
            </w:pPr>
          </w:p>
        </w:tc>
        <w:tc>
          <w:tcPr>
            <w:tcW w:w="992" w:type="dxa"/>
          </w:tcPr>
          <w:p w14:paraId="03BC1D50" w14:textId="77777777" w:rsidR="00B309D3" w:rsidRPr="00C21D4B" w:rsidRDefault="00B309D3" w:rsidP="00ED6269">
            <w:pPr>
              <w:pStyle w:val="NormalWeb"/>
              <w:rPr>
                <w:rFonts w:asciiTheme="minorHAnsi" w:hAnsiTheme="minorHAnsi" w:cstheme="minorHAnsi"/>
                <w:b/>
                <w:bCs/>
                <w:sz w:val="22"/>
                <w:szCs w:val="22"/>
              </w:rPr>
            </w:pPr>
          </w:p>
        </w:tc>
        <w:tc>
          <w:tcPr>
            <w:tcW w:w="2835" w:type="dxa"/>
          </w:tcPr>
          <w:p w14:paraId="62BD26CE" w14:textId="65EAC177" w:rsidR="00B309D3" w:rsidRPr="00C21D4B" w:rsidRDefault="00B309D3" w:rsidP="00ED6269">
            <w:pPr>
              <w:pStyle w:val="NormalWeb"/>
              <w:rPr>
                <w:rFonts w:asciiTheme="minorHAnsi" w:hAnsiTheme="minorHAnsi" w:cstheme="minorHAnsi"/>
                <w:b/>
                <w:bCs/>
                <w:sz w:val="22"/>
                <w:szCs w:val="22"/>
              </w:rPr>
            </w:pPr>
          </w:p>
        </w:tc>
      </w:tr>
      <w:tr w:rsidR="00C20F84" w:rsidRPr="00C21D4B" w14:paraId="067CA489" w14:textId="77777777" w:rsidTr="00B309D3">
        <w:tc>
          <w:tcPr>
            <w:tcW w:w="868" w:type="dxa"/>
          </w:tcPr>
          <w:p w14:paraId="1608F3E4" w14:textId="77777777" w:rsidR="00B309D3" w:rsidRPr="00C21D4B" w:rsidRDefault="00B309D3" w:rsidP="00ED6269">
            <w:pPr>
              <w:pStyle w:val="NormalWeb"/>
              <w:rPr>
                <w:rFonts w:asciiTheme="minorHAnsi" w:hAnsiTheme="minorHAnsi" w:cstheme="minorHAnsi"/>
                <w:b/>
                <w:bCs/>
                <w:sz w:val="22"/>
                <w:szCs w:val="22"/>
              </w:rPr>
            </w:pPr>
          </w:p>
        </w:tc>
        <w:tc>
          <w:tcPr>
            <w:tcW w:w="1956" w:type="dxa"/>
          </w:tcPr>
          <w:p w14:paraId="70813D5A" w14:textId="77777777" w:rsidR="00B309D3" w:rsidRPr="00C21D4B" w:rsidRDefault="00B309D3" w:rsidP="00ED6269">
            <w:pPr>
              <w:pStyle w:val="NormalWeb"/>
              <w:rPr>
                <w:rFonts w:asciiTheme="minorHAnsi" w:hAnsiTheme="minorHAnsi" w:cstheme="minorHAnsi"/>
                <w:b/>
                <w:bCs/>
                <w:sz w:val="22"/>
                <w:szCs w:val="22"/>
              </w:rPr>
            </w:pPr>
          </w:p>
        </w:tc>
        <w:tc>
          <w:tcPr>
            <w:tcW w:w="1152" w:type="dxa"/>
          </w:tcPr>
          <w:p w14:paraId="291BA97F" w14:textId="77777777" w:rsidR="00B309D3" w:rsidRPr="00C21D4B" w:rsidRDefault="00B309D3" w:rsidP="00ED6269">
            <w:pPr>
              <w:pStyle w:val="NormalWeb"/>
              <w:rPr>
                <w:rFonts w:asciiTheme="minorHAnsi" w:hAnsiTheme="minorHAnsi" w:cstheme="minorHAnsi"/>
                <w:b/>
                <w:bCs/>
                <w:sz w:val="22"/>
                <w:szCs w:val="22"/>
              </w:rPr>
            </w:pPr>
          </w:p>
        </w:tc>
        <w:tc>
          <w:tcPr>
            <w:tcW w:w="1264" w:type="dxa"/>
          </w:tcPr>
          <w:p w14:paraId="25423419" w14:textId="77777777" w:rsidR="00B309D3" w:rsidRPr="00C21D4B" w:rsidRDefault="00B309D3" w:rsidP="00ED6269">
            <w:pPr>
              <w:pStyle w:val="NormalWeb"/>
              <w:rPr>
                <w:rFonts w:asciiTheme="minorHAnsi" w:hAnsiTheme="minorHAnsi" w:cstheme="minorHAnsi"/>
                <w:b/>
                <w:bCs/>
                <w:sz w:val="22"/>
                <w:szCs w:val="22"/>
              </w:rPr>
            </w:pPr>
          </w:p>
        </w:tc>
        <w:tc>
          <w:tcPr>
            <w:tcW w:w="992" w:type="dxa"/>
          </w:tcPr>
          <w:p w14:paraId="77D55714" w14:textId="77777777" w:rsidR="00B309D3" w:rsidRPr="00C21D4B" w:rsidRDefault="00B309D3" w:rsidP="00ED6269">
            <w:pPr>
              <w:pStyle w:val="NormalWeb"/>
              <w:rPr>
                <w:rFonts w:asciiTheme="minorHAnsi" w:hAnsiTheme="minorHAnsi" w:cstheme="minorHAnsi"/>
                <w:b/>
                <w:bCs/>
                <w:sz w:val="22"/>
                <w:szCs w:val="22"/>
              </w:rPr>
            </w:pPr>
          </w:p>
        </w:tc>
        <w:tc>
          <w:tcPr>
            <w:tcW w:w="2835" w:type="dxa"/>
          </w:tcPr>
          <w:p w14:paraId="4E7A9CB7" w14:textId="77777777" w:rsidR="00B309D3" w:rsidRPr="00C21D4B" w:rsidRDefault="00B309D3" w:rsidP="00ED6269">
            <w:pPr>
              <w:pStyle w:val="NormalWeb"/>
              <w:rPr>
                <w:rFonts w:asciiTheme="minorHAnsi" w:hAnsiTheme="minorHAnsi" w:cstheme="minorHAnsi"/>
                <w:b/>
                <w:bCs/>
                <w:sz w:val="22"/>
                <w:szCs w:val="22"/>
              </w:rPr>
            </w:pPr>
          </w:p>
        </w:tc>
      </w:tr>
      <w:tr w:rsidR="00C20F84" w:rsidRPr="00C21D4B" w14:paraId="7B3FCAAF" w14:textId="77777777" w:rsidTr="00B309D3">
        <w:tc>
          <w:tcPr>
            <w:tcW w:w="868" w:type="dxa"/>
          </w:tcPr>
          <w:p w14:paraId="76C0CF64" w14:textId="77777777" w:rsidR="00B309D3" w:rsidRPr="00C21D4B" w:rsidRDefault="00B309D3" w:rsidP="00ED6269">
            <w:pPr>
              <w:pStyle w:val="NormalWeb"/>
              <w:rPr>
                <w:rFonts w:asciiTheme="minorHAnsi" w:hAnsiTheme="minorHAnsi" w:cstheme="minorHAnsi"/>
                <w:b/>
                <w:bCs/>
                <w:sz w:val="22"/>
                <w:szCs w:val="22"/>
              </w:rPr>
            </w:pPr>
          </w:p>
        </w:tc>
        <w:tc>
          <w:tcPr>
            <w:tcW w:w="1956" w:type="dxa"/>
          </w:tcPr>
          <w:p w14:paraId="5DE1354C" w14:textId="77777777" w:rsidR="00B309D3" w:rsidRPr="00C21D4B" w:rsidRDefault="00B309D3" w:rsidP="00ED6269">
            <w:pPr>
              <w:pStyle w:val="NormalWeb"/>
              <w:rPr>
                <w:rFonts w:asciiTheme="minorHAnsi" w:hAnsiTheme="minorHAnsi" w:cstheme="minorHAnsi"/>
                <w:b/>
                <w:bCs/>
                <w:sz w:val="22"/>
                <w:szCs w:val="22"/>
              </w:rPr>
            </w:pPr>
          </w:p>
        </w:tc>
        <w:tc>
          <w:tcPr>
            <w:tcW w:w="1152" w:type="dxa"/>
          </w:tcPr>
          <w:p w14:paraId="23C69C1F" w14:textId="77777777" w:rsidR="00B309D3" w:rsidRPr="00C21D4B" w:rsidRDefault="00B309D3" w:rsidP="00ED6269">
            <w:pPr>
              <w:pStyle w:val="NormalWeb"/>
              <w:rPr>
                <w:rFonts w:asciiTheme="minorHAnsi" w:hAnsiTheme="minorHAnsi" w:cstheme="minorHAnsi"/>
                <w:b/>
                <w:bCs/>
                <w:sz w:val="22"/>
                <w:szCs w:val="22"/>
              </w:rPr>
            </w:pPr>
          </w:p>
        </w:tc>
        <w:tc>
          <w:tcPr>
            <w:tcW w:w="1264" w:type="dxa"/>
          </w:tcPr>
          <w:p w14:paraId="1560203D" w14:textId="77777777" w:rsidR="00B309D3" w:rsidRPr="00C21D4B" w:rsidRDefault="00B309D3" w:rsidP="00ED6269">
            <w:pPr>
              <w:pStyle w:val="NormalWeb"/>
              <w:rPr>
                <w:rFonts w:asciiTheme="minorHAnsi" w:hAnsiTheme="minorHAnsi" w:cstheme="minorHAnsi"/>
                <w:b/>
                <w:bCs/>
                <w:sz w:val="22"/>
                <w:szCs w:val="22"/>
              </w:rPr>
            </w:pPr>
          </w:p>
        </w:tc>
        <w:tc>
          <w:tcPr>
            <w:tcW w:w="992" w:type="dxa"/>
          </w:tcPr>
          <w:p w14:paraId="23C188DF" w14:textId="77777777" w:rsidR="00B309D3" w:rsidRPr="00C21D4B" w:rsidRDefault="00B309D3" w:rsidP="00ED6269">
            <w:pPr>
              <w:pStyle w:val="NormalWeb"/>
              <w:rPr>
                <w:rFonts w:asciiTheme="minorHAnsi" w:hAnsiTheme="minorHAnsi" w:cstheme="minorHAnsi"/>
                <w:b/>
                <w:bCs/>
                <w:sz w:val="22"/>
                <w:szCs w:val="22"/>
              </w:rPr>
            </w:pPr>
          </w:p>
        </w:tc>
        <w:tc>
          <w:tcPr>
            <w:tcW w:w="2835" w:type="dxa"/>
          </w:tcPr>
          <w:p w14:paraId="52AC9C24" w14:textId="77777777" w:rsidR="00B309D3" w:rsidRPr="00C21D4B" w:rsidRDefault="00B309D3" w:rsidP="00ED6269">
            <w:pPr>
              <w:pStyle w:val="NormalWeb"/>
              <w:rPr>
                <w:rFonts w:asciiTheme="minorHAnsi" w:hAnsiTheme="minorHAnsi" w:cstheme="minorHAnsi"/>
                <w:b/>
                <w:bCs/>
                <w:sz w:val="22"/>
                <w:szCs w:val="22"/>
              </w:rPr>
            </w:pPr>
          </w:p>
        </w:tc>
      </w:tr>
    </w:tbl>
    <w:p w14:paraId="1D01F2B6" w14:textId="77777777" w:rsidR="005177BC" w:rsidRDefault="005177BC" w:rsidP="005177BC">
      <w:pPr>
        <w:pStyle w:val="NormalWeb"/>
        <w:shd w:val="clear" w:color="auto" w:fill="FFFFFF" w:themeFill="background1"/>
        <w:rPr>
          <w:rFonts w:asciiTheme="minorHAnsi" w:hAnsiTheme="minorHAnsi" w:cstheme="minorHAnsi"/>
          <w:b/>
          <w:bCs/>
          <w:sz w:val="22"/>
          <w:szCs w:val="22"/>
        </w:rPr>
      </w:pPr>
    </w:p>
    <w:p w14:paraId="3DA970B6" w14:textId="4D331320" w:rsidR="00BF65D9" w:rsidRPr="00C21D4B" w:rsidRDefault="00EB5572" w:rsidP="005177BC">
      <w:pPr>
        <w:pStyle w:val="NormalWeb"/>
        <w:shd w:val="clear" w:color="auto" w:fill="FFFFFF" w:themeFill="background1"/>
        <w:rPr>
          <w:rFonts w:asciiTheme="minorHAnsi" w:hAnsiTheme="minorHAnsi" w:cstheme="minorHAnsi"/>
          <w:b/>
          <w:bCs/>
          <w:sz w:val="22"/>
          <w:szCs w:val="22"/>
        </w:rPr>
      </w:pPr>
      <w:r w:rsidRPr="00C21D4B">
        <w:rPr>
          <w:rFonts w:asciiTheme="minorHAnsi" w:hAnsiTheme="minorHAnsi" w:cstheme="minorHAnsi"/>
          <w:b/>
          <w:bCs/>
          <w:sz w:val="22"/>
          <w:szCs w:val="22"/>
        </w:rPr>
        <w:t xml:space="preserve">CHAPITRE 2 </w:t>
      </w:r>
      <w:r w:rsidR="00B309D3" w:rsidRPr="00C21D4B">
        <w:rPr>
          <w:rFonts w:asciiTheme="minorHAnsi" w:hAnsiTheme="minorHAnsi" w:cstheme="minorHAnsi"/>
          <w:b/>
          <w:bCs/>
          <w:sz w:val="22"/>
          <w:szCs w:val="22"/>
        </w:rPr>
        <w:t>INFORMATION</w:t>
      </w:r>
      <w:r w:rsidR="00FE6BAE" w:rsidRPr="00C21D4B">
        <w:rPr>
          <w:rFonts w:asciiTheme="minorHAnsi" w:hAnsiTheme="minorHAnsi" w:cstheme="minorHAnsi"/>
          <w:b/>
          <w:bCs/>
          <w:sz w:val="22"/>
          <w:szCs w:val="22"/>
        </w:rPr>
        <w:t>S</w:t>
      </w:r>
      <w:r w:rsidR="00B309D3" w:rsidRPr="00C21D4B">
        <w:rPr>
          <w:rFonts w:asciiTheme="minorHAnsi" w:hAnsiTheme="minorHAnsi" w:cstheme="minorHAnsi"/>
          <w:b/>
          <w:bCs/>
          <w:sz w:val="22"/>
          <w:szCs w:val="22"/>
        </w:rPr>
        <w:t xml:space="preserve"> A FOURNIR SUR LES OPC</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7"/>
        <w:gridCol w:w="1365"/>
        <w:gridCol w:w="442"/>
        <w:gridCol w:w="284"/>
        <w:gridCol w:w="723"/>
        <w:gridCol w:w="178"/>
        <w:gridCol w:w="545"/>
        <w:gridCol w:w="723"/>
        <w:gridCol w:w="723"/>
        <w:gridCol w:w="1789"/>
        <w:gridCol w:w="1301"/>
      </w:tblGrid>
      <w:tr w:rsidR="00D15D17" w:rsidRPr="00C21D4B" w14:paraId="39D1394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C2B2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032E3"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Type d’informations</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ACFF76"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Informations</w:t>
            </w:r>
          </w:p>
        </w:tc>
      </w:tr>
      <w:tr w:rsidR="00D15D17" w:rsidRPr="00C21D4B" w14:paraId="45285D32"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2A8ED905"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Identification de l’OPC</w:t>
            </w:r>
          </w:p>
        </w:tc>
      </w:tr>
      <w:tr w:rsidR="00D15D17" w:rsidRPr="00C21D4B" w14:paraId="0E2DC13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C32D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w:t>
            </w:r>
          </w:p>
        </w:tc>
        <w:tc>
          <w:tcPr>
            <w:tcW w:w="1807"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87164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Nom de l’OPC</w:t>
            </w:r>
          </w:p>
        </w:tc>
        <w:tc>
          <w:tcPr>
            <w:tcW w:w="3176" w:type="dxa"/>
            <w:gridSpan w:val="6"/>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6DA5A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7838F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OPC de la CEMAC : Oui/Non</w:t>
            </w:r>
          </w:p>
        </w:tc>
      </w:tr>
      <w:tr w:rsidR="00D15D17" w:rsidRPr="00C21D4B" w14:paraId="345DC35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9DC8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2</w:t>
            </w:r>
          </w:p>
        </w:tc>
        <w:tc>
          <w:tcPr>
            <w:tcW w:w="1807"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F064E" w14:textId="06E1AE06" w:rsidR="00D15D17" w:rsidRPr="00C21D4B" w:rsidRDefault="00060D3D"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 xml:space="preserve">Société de Gestion </w:t>
            </w:r>
            <w:r w:rsidR="00D15D17" w:rsidRPr="00C21D4B">
              <w:rPr>
                <w:rFonts w:asciiTheme="minorHAnsi" w:hAnsiTheme="minorHAnsi" w:cstheme="minorHAnsi"/>
                <w:b/>
                <w:bCs/>
                <w:color w:val="000000"/>
                <w:sz w:val="22"/>
                <w:szCs w:val="22"/>
              </w:rPr>
              <w:t>de l’OPC</w:t>
            </w:r>
          </w:p>
        </w:tc>
        <w:tc>
          <w:tcPr>
            <w:tcW w:w="3176" w:type="dxa"/>
            <w:gridSpan w:val="6"/>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1CC8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2144EB" w14:textId="77777777" w:rsidR="00D15D17" w:rsidRPr="00C21D4B" w:rsidRDefault="00D15D17" w:rsidP="005364C7">
            <w:pPr>
              <w:spacing w:before="60" w:after="60"/>
              <w:rPr>
                <w:rFonts w:asciiTheme="minorHAnsi" w:hAnsiTheme="minorHAnsi" w:cstheme="minorHAnsi"/>
                <w:color w:val="000000"/>
                <w:sz w:val="22"/>
                <w:szCs w:val="22"/>
              </w:rPr>
            </w:pPr>
          </w:p>
        </w:tc>
      </w:tr>
      <w:tr w:rsidR="00D15D17" w:rsidRPr="00C21D4B" w14:paraId="713E66A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1B9D8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76EB0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Nom de l’OPC</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22709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46018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6A75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0ECD32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521C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CEA8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Gestionnaire de l’OPC</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5D980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9E3FB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FF8DB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7AC041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DCDB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3</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7AE9E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Codes d’identification du fonds, le cas échéant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6C5B1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EFA48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88803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B2A1AF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25CA1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4</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67EC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Date de création de l’OPC</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F9F7B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A0675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9623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8B87A2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8818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5</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6D895C" w14:textId="22766ECD"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Devise principale de l’OPC </w:t>
            </w:r>
            <w:r w:rsidRPr="00C21D4B">
              <w:rPr>
                <w:rFonts w:asciiTheme="minorHAnsi" w:hAnsiTheme="minorHAnsi" w:cstheme="minorHAnsi"/>
                <w:b/>
                <w:bCs/>
                <w:color w:val="000000"/>
                <w:sz w:val="22"/>
                <w:szCs w:val="22"/>
              </w:rPr>
              <w:t>selon la norme</w:t>
            </w:r>
            <w:r w:rsidR="00C21D4B">
              <w:rPr>
                <w:rFonts w:asciiTheme="minorHAnsi" w:hAnsiTheme="minorHAnsi" w:cstheme="minorHAnsi"/>
                <w:b/>
                <w:bCs/>
                <w:color w:val="000000"/>
                <w:sz w:val="22"/>
                <w:szCs w:val="22"/>
              </w:rPr>
              <w:t xml:space="preserve"> </w:t>
            </w:r>
            <w:r w:rsidRPr="00C21D4B">
              <w:rPr>
                <w:rFonts w:asciiTheme="minorHAnsi" w:hAnsiTheme="minorHAnsi" w:cstheme="minorHAnsi"/>
                <w:b/>
                <w:bCs/>
                <w:color w:val="000000"/>
                <w:sz w:val="22"/>
                <w:szCs w:val="22"/>
              </w:rPr>
              <w:t xml:space="preserve"> ISO 4217 et actifs gérés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3B512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Devise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A64BD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Total actifs gérés</w:t>
            </w:r>
          </w:p>
        </w:tc>
      </w:tr>
      <w:tr w:rsidR="00D15D17" w:rsidRPr="00C21D4B" w14:paraId="5BE664D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331E7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6</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2444C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Identité du ou des courtiers principaux de l’OPC</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6E2FD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E773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A05B9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ACFCEC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B702F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7</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9916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Droit applicable aux trois sources de financement principales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4CD85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36D7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5B90D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51ABC9F"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213CD096" w14:textId="1596F430"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 xml:space="preserve">Instruments </w:t>
            </w:r>
            <w:r w:rsidR="00FE6BAE" w:rsidRPr="00C21D4B">
              <w:rPr>
                <w:rFonts w:asciiTheme="minorHAnsi" w:hAnsiTheme="minorHAnsi" w:cstheme="minorHAnsi"/>
                <w:b/>
                <w:bCs/>
                <w:color w:val="000000"/>
                <w:sz w:val="22"/>
                <w:szCs w:val="22"/>
              </w:rPr>
              <w:t>composant le portefeuille</w:t>
            </w:r>
            <w:r w:rsidR="003C7958" w:rsidRPr="00C21D4B">
              <w:rPr>
                <w:rFonts w:asciiTheme="minorHAnsi" w:hAnsiTheme="minorHAnsi" w:cstheme="minorHAnsi"/>
                <w:b/>
                <w:bCs/>
                <w:color w:val="000000"/>
                <w:sz w:val="22"/>
                <w:szCs w:val="22"/>
              </w:rPr>
              <w:t xml:space="preserve"> </w:t>
            </w:r>
            <w:r w:rsidRPr="00C21D4B">
              <w:rPr>
                <w:rFonts w:asciiTheme="minorHAnsi" w:hAnsiTheme="minorHAnsi" w:cstheme="minorHAnsi"/>
                <w:b/>
                <w:bCs/>
                <w:color w:val="000000"/>
                <w:sz w:val="22"/>
                <w:szCs w:val="22"/>
              </w:rPr>
              <w:t>et différents types d’expositions</w:t>
            </w:r>
          </w:p>
        </w:tc>
      </w:tr>
      <w:tr w:rsidR="00D15D17" w:rsidRPr="00C21D4B" w14:paraId="3C270DC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C2E71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8</w:t>
            </w:r>
          </w:p>
        </w:tc>
        <w:tc>
          <w:tcPr>
            <w:tcW w:w="8073" w:type="dxa"/>
            <w:gridSpan w:val="10"/>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85A90" w14:textId="317BB51D"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Détail des expositions prises et principales catégories d’actifs dans lesquelles l’OPC a investi à la date de déclaration</w:t>
            </w:r>
            <w:r w:rsidR="003E1E7F" w:rsidRPr="00C21D4B">
              <w:rPr>
                <w:rFonts w:asciiTheme="minorHAnsi" w:hAnsiTheme="minorHAnsi" w:cstheme="minorHAnsi"/>
                <w:b/>
                <w:bCs/>
                <w:color w:val="000000"/>
                <w:sz w:val="22"/>
                <w:szCs w:val="22"/>
              </w:rPr>
              <w:t xml:space="preserve"> </w:t>
            </w:r>
            <w:r w:rsidRPr="00C21D4B">
              <w:rPr>
                <w:rFonts w:asciiTheme="minorHAnsi" w:hAnsiTheme="minorHAnsi" w:cstheme="minorHAnsi"/>
                <w:b/>
                <w:bCs/>
                <w:color w:val="000000"/>
                <w:sz w:val="22"/>
                <w:szCs w:val="22"/>
              </w:rPr>
              <w:t>:</w:t>
            </w:r>
            <w:r w:rsidR="00BB2E7B" w:rsidRPr="00C21D4B">
              <w:rPr>
                <w:rFonts w:asciiTheme="minorHAnsi" w:hAnsiTheme="minorHAnsi" w:cstheme="minorHAnsi"/>
                <w:b/>
                <w:bCs/>
                <w:color w:val="000000"/>
                <w:sz w:val="22"/>
                <w:szCs w:val="22"/>
              </w:rPr>
              <w:t xml:space="preserve"> </w:t>
            </w:r>
          </w:p>
        </w:tc>
      </w:tr>
      <w:tr w:rsidR="00D15D17" w:rsidRPr="00C21D4B" w14:paraId="24E27F3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49098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06"/>
              <w:gridCol w:w="2046"/>
            </w:tblGrid>
            <w:tr w:rsidR="00D15D17" w:rsidRPr="00C21D4B" w14:paraId="62A72222" w14:textId="77777777" w:rsidTr="005364C7">
              <w:tc>
                <w:tcPr>
                  <w:tcW w:w="0" w:type="auto"/>
                  <w:shd w:val="clear" w:color="auto" w:fill="auto"/>
                  <w:hideMark/>
                </w:tcPr>
                <w:p w14:paraId="29FF3F49"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402B92AF"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Titres</w:t>
                  </w:r>
                </w:p>
              </w:tc>
            </w:tr>
          </w:tbl>
          <w:p w14:paraId="40D55508"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2BF63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915B7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longue (positions acheteuses)</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DF87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courte (positions vendeuses)</w:t>
            </w:r>
          </w:p>
        </w:tc>
      </w:tr>
      <w:tr w:rsidR="00D15D17" w:rsidRPr="00C21D4B" w14:paraId="56ACE0B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38515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94DB4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Trésorerie et équivalents de trésorerie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C415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3F36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75B14C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3514A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6664D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3891C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Certificats de dépôt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3E810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E8A05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BB1122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39B9F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A0FD9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E870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Effets de commerce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FE7E8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4874A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BF084D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130F7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44BD7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246BE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 dépôts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4C13D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A235A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FA56AF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24B85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FEC9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E35B2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Autres éléments liquides et quasi liquides (à </w:t>
            </w:r>
            <w:r w:rsidRPr="00C21D4B">
              <w:rPr>
                <w:rFonts w:asciiTheme="minorHAnsi" w:hAnsiTheme="minorHAnsi" w:cstheme="minorHAnsi"/>
                <w:i/>
                <w:iCs/>
                <w:color w:val="000000"/>
                <w:sz w:val="22"/>
                <w:szCs w:val="22"/>
              </w:rPr>
              <w:lastRenderedPageBreak/>
              <w:t>l’exclusion des titres d’État)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CD74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4AF4F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F5E1E9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059CD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5F8BE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Actions cotées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7BB1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206F6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B2DAD7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8DAA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7A0BC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2348A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Actions émises par des établissements financiers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6392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EC7AB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65F039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65151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E6B8D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D233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4D918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5EFD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080D5F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1994B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6A263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Actions non cotées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49C72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69161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3F7016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9DDA6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D12BB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Obligations de sociétés autres que des établissements financiers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6D41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832A3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827437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DB79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805C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825D6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investissement (</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4769B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AFFA6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0FF14B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53656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6C77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FC59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spéculative (non-</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B76F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1F9E0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1A37F8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B837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EEF7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Obligations de sociétés émises par des établissements financiers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507B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F5B16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99CE5E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613AD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1AEBD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5CD7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investissement (</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379FC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F9577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C58557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2C331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B1F73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4DED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spéculative (non-</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C6390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8751C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9BEDCB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4B0B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B621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Obligations souveraines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027B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40530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B74E24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5F46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EF04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F4EF9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Obligations CEMAC avec une maturité résiduelle de 0 à 1 an</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77FB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0B7AD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E153F7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19728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4C138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6754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Obligations CEMAC avec une maturité </w:t>
            </w:r>
            <w:r w:rsidRPr="00C21D4B">
              <w:rPr>
                <w:rFonts w:asciiTheme="minorHAnsi" w:hAnsiTheme="minorHAnsi" w:cstheme="minorHAnsi"/>
                <w:i/>
                <w:iCs/>
                <w:color w:val="000000"/>
                <w:sz w:val="22"/>
                <w:szCs w:val="22"/>
              </w:rPr>
              <w:lastRenderedPageBreak/>
              <w:t>résiduelle supérieure à 1 an</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1D8D4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C1423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408743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31C1F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EB81A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DA3B8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Obligations non-CEMAC avec une maturité résiduelle de 0 à 1 an</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2ADC5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50E0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BFD0A9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5E5EA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136B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7D818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Obligations non-CEMAC avec une maturité résiduelle supérieure à 1 an</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DEA02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229D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F10CFD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8CB7C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73DEA1" w14:textId="3340012E"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Obligations convertibles émises par des établissements </w:t>
            </w:r>
            <w:r w:rsidR="00532DA8" w:rsidRPr="00C21D4B">
              <w:rPr>
                <w:rFonts w:asciiTheme="minorHAnsi" w:hAnsiTheme="minorHAnsi" w:cstheme="minorHAnsi"/>
                <w:color w:val="000000"/>
                <w:sz w:val="22"/>
                <w:szCs w:val="22"/>
              </w:rPr>
              <w:t xml:space="preserve">autres que des établissements </w:t>
            </w:r>
            <w:r w:rsidRPr="00C21D4B">
              <w:rPr>
                <w:rFonts w:asciiTheme="minorHAnsi" w:hAnsiTheme="minorHAnsi" w:cstheme="minorHAnsi"/>
                <w:color w:val="000000"/>
                <w:sz w:val="22"/>
                <w:szCs w:val="22"/>
              </w:rPr>
              <w:t>financiers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30B84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1B5EC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339B88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23E2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6355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9B4D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investissement (</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B21E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F67B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C60A73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A15D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40B6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660C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spéculative (non-</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7AD35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0B44F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2EA19B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FAF43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78C8AB" w14:textId="397A1FF9"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Obligations convertibles </w:t>
            </w:r>
            <w:r w:rsidR="00FE6BAE" w:rsidRPr="00C21D4B">
              <w:rPr>
                <w:rFonts w:asciiTheme="minorHAnsi" w:hAnsiTheme="minorHAnsi" w:cstheme="minorHAnsi"/>
                <w:color w:val="000000"/>
                <w:sz w:val="22"/>
                <w:szCs w:val="22"/>
              </w:rPr>
              <w:t xml:space="preserve">émises par des </w:t>
            </w:r>
            <w:r w:rsidRPr="00C21D4B">
              <w:rPr>
                <w:rFonts w:asciiTheme="minorHAnsi" w:hAnsiTheme="minorHAnsi" w:cstheme="minorHAnsi"/>
                <w:color w:val="000000"/>
                <w:sz w:val="22"/>
                <w:szCs w:val="22"/>
              </w:rPr>
              <w:t>établissements financiers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B6E8F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32E7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EFE8A1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E9E73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57D90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2D0C1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investissement (</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6FEC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D888A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ADE4BD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055D8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168D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002C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spéculative (non-</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F7841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93C44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F3E3D7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101B6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6E20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Prêts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4B050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DDF5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6709CB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7BEF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F4E17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9873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Prêts à effet de levier</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460B2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2772E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53A354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387E7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590D6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3DE4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 prêts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53ADB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3C815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BC4814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1BB73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51B16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Produits structurés/titrisés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0454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3F058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942DBA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A0948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6FC68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210D8E" w14:textId="1D295A44"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Titres adossés à des actifs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11BD8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FCB3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D639D0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F1B97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4C04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305608" w14:textId="6EE36951"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Titres adossés à des crédits hypothécaires résidentiels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61314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ABFF0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858D58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8B647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9A041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CD966" w14:textId="760A6E2B"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Titres adossés à des crédits hypothécaires commerciaux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4D0A7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97BDC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5DFB08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05AD5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8772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6070D0" w14:textId="441EA15E" w:rsidR="00D15D17" w:rsidRPr="00C21D4B" w:rsidRDefault="001454C3"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Titres adossés à des crédits hypothécaires </w:t>
            </w:r>
            <w:r w:rsidR="00D15D17" w:rsidRPr="00C21D4B">
              <w:rPr>
                <w:rFonts w:asciiTheme="minorHAnsi" w:hAnsiTheme="minorHAnsi" w:cstheme="minorHAnsi"/>
                <w:i/>
                <w:iCs/>
                <w:color w:val="000000"/>
                <w:sz w:val="22"/>
                <w:szCs w:val="22"/>
              </w:rPr>
              <w:t xml:space="preserve">d’agence publique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D48AE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E1CF6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D44C62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836D9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1088E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01B13" w14:textId="66216651"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Titres courts adossés à des actifs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FB5AA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0AB3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D511A7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1AA7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A5863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1A2CBD" w14:textId="2A5F2318"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Obligations adossées à des créances/à des prêts bancaires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3432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A4DA2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25F1D2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708E4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0F5E8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B7E4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Certificats structurés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18139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4E26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BB5704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EE4BC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E708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8EE2D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Produits indiciels cotés (Exchange </w:t>
            </w:r>
            <w:proofErr w:type="spellStart"/>
            <w:r w:rsidRPr="00C21D4B">
              <w:rPr>
                <w:rFonts w:asciiTheme="minorHAnsi" w:hAnsiTheme="minorHAnsi" w:cstheme="minorHAnsi"/>
                <w:i/>
                <w:iCs/>
                <w:color w:val="000000"/>
                <w:sz w:val="22"/>
                <w:szCs w:val="22"/>
              </w:rPr>
              <w:t>traded</w:t>
            </w:r>
            <w:proofErr w:type="spellEnd"/>
            <w:r w:rsidRPr="00C21D4B">
              <w:rPr>
                <w:rFonts w:asciiTheme="minorHAnsi" w:hAnsiTheme="minorHAnsi" w:cstheme="minorHAnsi"/>
                <w:i/>
                <w:iCs/>
                <w:color w:val="000000"/>
                <w:sz w:val="22"/>
                <w:szCs w:val="22"/>
              </w:rPr>
              <w:t xml:space="preserve"> </w:t>
            </w:r>
            <w:proofErr w:type="spellStart"/>
            <w:r w:rsidRPr="00C21D4B">
              <w:rPr>
                <w:rFonts w:asciiTheme="minorHAnsi" w:hAnsiTheme="minorHAnsi" w:cstheme="minorHAnsi"/>
                <w:i/>
                <w:iCs/>
                <w:color w:val="000000"/>
                <w:sz w:val="22"/>
                <w:szCs w:val="22"/>
              </w:rPr>
              <w:t>products</w:t>
            </w:r>
            <w:proofErr w:type="spellEnd"/>
            <w:r w:rsidRPr="00C21D4B">
              <w:rPr>
                <w:rFonts w:asciiTheme="minorHAnsi" w:hAnsiTheme="minorHAnsi" w:cstheme="minorHAnsi"/>
                <w:i/>
                <w:iCs/>
                <w:color w:val="000000"/>
                <w:sz w:val="22"/>
                <w:szCs w:val="22"/>
              </w:rPr>
              <w:t xml:space="preserve"> – ETP)</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089F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90C3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A7723B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0D10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7F915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F8BA3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0C752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F6E9E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219DCB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A13E0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017"/>
              <w:gridCol w:w="3726"/>
            </w:tblGrid>
            <w:tr w:rsidR="00D15D17" w:rsidRPr="00C21D4B" w14:paraId="78CC487B" w14:textId="77777777" w:rsidTr="005364C7">
              <w:tc>
                <w:tcPr>
                  <w:tcW w:w="0" w:type="auto"/>
                  <w:shd w:val="clear" w:color="auto" w:fill="auto"/>
                  <w:hideMark/>
                </w:tcPr>
                <w:p w14:paraId="7FD56EA0"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3A01F978"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Dérivés</w:t>
                  </w:r>
                </w:p>
              </w:tc>
            </w:tr>
          </w:tbl>
          <w:p w14:paraId="5005995C"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D92FE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longue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0E428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courte</w:t>
            </w:r>
          </w:p>
        </w:tc>
      </w:tr>
      <w:tr w:rsidR="00D15D17" w:rsidRPr="00C21D4B" w14:paraId="713A85E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35AD3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2156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sur actions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3B84B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5E56F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4E78CB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123F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DF4E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A107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Dérivés liés à des établissements financiers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6CCC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6A811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2805B1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0D891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11DE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F626D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 dérivés sur actions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D488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4E41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F4C9E3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4706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CA005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à revenu fixe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7B9B9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CBA1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AD2E93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F4A8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AD1A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Contrats d’échange sur risque de crédit </w:t>
            </w:r>
            <w:r w:rsidRPr="00C21D4B">
              <w:rPr>
                <w:rFonts w:asciiTheme="minorHAnsi" w:hAnsiTheme="minorHAnsi" w:cstheme="minorHAnsi"/>
                <w:i/>
                <w:iCs/>
                <w:color w:val="000000"/>
                <w:sz w:val="22"/>
                <w:szCs w:val="22"/>
              </w:rPr>
              <w:t>(CDS)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096E0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CFAAA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07D18C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AACD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D497B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CDB78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xml:space="preserve">CDS financiers mono-émetteurs (single </w:t>
            </w:r>
            <w:proofErr w:type="spellStart"/>
            <w:r w:rsidRPr="00C21D4B">
              <w:rPr>
                <w:rFonts w:asciiTheme="minorHAnsi" w:hAnsiTheme="minorHAnsi" w:cstheme="minorHAnsi"/>
                <w:i/>
                <w:iCs/>
                <w:color w:val="000000"/>
                <w:sz w:val="22"/>
                <w:szCs w:val="22"/>
              </w:rPr>
              <w:t>name</w:t>
            </w:r>
            <w:proofErr w:type="spellEnd"/>
            <w:r w:rsidRPr="00C21D4B">
              <w:rPr>
                <w:rFonts w:asciiTheme="minorHAnsi" w:hAnsiTheme="minorHAnsi" w:cstheme="minorHAnsi"/>
                <w:i/>
                <w:iCs/>
                <w:color w:val="000000"/>
                <w:sz w:val="22"/>
                <w:szCs w:val="22"/>
              </w:rPr>
              <w: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07752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26970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D8EBEE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2B477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62095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0CDEF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CDS souverains mono-émetteurs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18DF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3FB1A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FFA863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3EE4C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DBBB5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AE43E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 CDS mono-émetteurs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0E71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D365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1E0564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CBBC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BDD26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3CDFC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CDS indiciels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2B26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623D8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4A2754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5A34D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9D02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457C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Exotique (y compris sur tranches de produits de crédit)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C7D8F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DC332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8D2BAA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AA53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20760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5D0F4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brute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133F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A2E887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4EAC0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A2D7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de change (à des fins d’investissement)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FB69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AC1F0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5FBD9B2"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34FC1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6E7A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de taux d’intérêt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E2A6F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C711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39C78D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DB670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0CE19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38555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longue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2E0C5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courte</w:t>
            </w:r>
          </w:p>
        </w:tc>
      </w:tr>
      <w:tr w:rsidR="00D15D17" w:rsidRPr="00C21D4B" w14:paraId="655905C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4A70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185FA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sur matières premières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19843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F2454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A680BA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F20E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DDD23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6B72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Énergie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3D93A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6863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5546D1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3E28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654AB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08FB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670F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E9906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3BDA17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A10B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9095B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77"/>
              <w:gridCol w:w="1474"/>
            </w:tblGrid>
            <w:tr w:rsidR="00D15D17" w:rsidRPr="00C21D4B" w14:paraId="46C853E8" w14:textId="77777777" w:rsidTr="005364C7">
              <w:tc>
                <w:tcPr>
                  <w:tcW w:w="0" w:type="auto"/>
                  <w:shd w:val="clear" w:color="auto" w:fill="auto"/>
                  <w:hideMark/>
                </w:tcPr>
                <w:p w14:paraId="3DCBBD9B"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sz w:val="22"/>
                      <w:szCs w:val="22"/>
                    </w:rPr>
                    <w:t>—</w:t>
                  </w:r>
                </w:p>
              </w:tc>
              <w:tc>
                <w:tcPr>
                  <w:tcW w:w="0" w:type="auto"/>
                  <w:shd w:val="clear" w:color="auto" w:fill="auto"/>
                  <w:hideMark/>
                </w:tcPr>
                <w:p w14:paraId="4C35CB62"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i/>
                      <w:iCs/>
                      <w:sz w:val="22"/>
                      <w:szCs w:val="22"/>
                    </w:rPr>
                    <w:t>Pétrole brut</w:t>
                  </w:r>
                </w:p>
              </w:tc>
            </w:tr>
          </w:tbl>
          <w:p w14:paraId="0E47B4F0"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F523D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DDCD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72450E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E8DE2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A02CC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84"/>
              <w:gridCol w:w="1467"/>
            </w:tblGrid>
            <w:tr w:rsidR="00D15D17" w:rsidRPr="00C21D4B" w14:paraId="7A51033C" w14:textId="77777777" w:rsidTr="005364C7">
              <w:tc>
                <w:tcPr>
                  <w:tcW w:w="0" w:type="auto"/>
                  <w:shd w:val="clear" w:color="auto" w:fill="auto"/>
                  <w:hideMark/>
                </w:tcPr>
                <w:p w14:paraId="27E3A71D"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sz w:val="22"/>
                      <w:szCs w:val="22"/>
                    </w:rPr>
                    <w:t>—</w:t>
                  </w:r>
                </w:p>
              </w:tc>
              <w:tc>
                <w:tcPr>
                  <w:tcW w:w="0" w:type="auto"/>
                  <w:shd w:val="clear" w:color="auto" w:fill="auto"/>
                  <w:hideMark/>
                </w:tcPr>
                <w:p w14:paraId="638EDA13"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i/>
                      <w:iCs/>
                      <w:sz w:val="22"/>
                      <w:szCs w:val="22"/>
                    </w:rPr>
                    <w:t>Gaz naturel</w:t>
                  </w:r>
                </w:p>
              </w:tc>
            </w:tr>
          </w:tbl>
          <w:p w14:paraId="10F60A10"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ECC5A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685B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80E82B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3FF00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E8150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26"/>
              <w:gridCol w:w="1425"/>
            </w:tblGrid>
            <w:tr w:rsidR="00D15D17" w:rsidRPr="00C21D4B" w14:paraId="6D9A97DD" w14:textId="77777777" w:rsidTr="005364C7">
              <w:tc>
                <w:tcPr>
                  <w:tcW w:w="0" w:type="auto"/>
                  <w:shd w:val="clear" w:color="auto" w:fill="auto"/>
                  <w:hideMark/>
                </w:tcPr>
                <w:p w14:paraId="447BC19A"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sz w:val="22"/>
                      <w:szCs w:val="22"/>
                    </w:rPr>
                    <w:t>—</w:t>
                  </w:r>
                </w:p>
              </w:tc>
              <w:tc>
                <w:tcPr>
                  <w:tcW w:w="0" w:type="auto"/>
                  <w:shd w:val="clear" w:color="auto" w:fill="auto"/>
                  <w:hideMark/>
                </w:tcPr>
                <w:p w14:paraId="5ABF07C9"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i/>
                      <w:iCs/>
                      <w:sz w:val="22"/>
                      <w:szCs w:val="22"/>
                    </w:rPr>
                    <w:t>Electricité</w:t>
                  </w:r>
                </w:p>
              </w:tc>
            </w:tr>
          </w:tbl>
          <w:p w14:paraId="5EC0DE10"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13F17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2434E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5B7EE8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9AFE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9DE95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D7FD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Métaux précieux</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DBDF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9D46F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3B319D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45D25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A2F04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9A9B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 Or</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1FBE7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DAF34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935136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4534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ADD5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9848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 matières premières ou marchandises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E24E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AA76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879A2D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3723D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67213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71E53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74401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CB474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4C1A69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7FEB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3CE0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00"/>
              <w:gridCol w:w="1551"/>
            </w:tblGrid>
            <w:tr w:rsidR="00D15D17" w:rsidRPr="00C21D4B" w14:paraId="4806AAE6" w14:textId="77777777" w:rsidTr="005364C7">
              <w:tc>
                <w:tcPr>
                  <w:tcW w:w="0" w:type="auto"/>
                  <w:shd w:val="clear" w:color="auto" w:fill="auto"/>
                  <w:hideMark/>
                </w:tcPr>
                <w:p w14:paraId="1C23E60B"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sz w:val="22"/>
                      <w:szCs w:val="22"/>
                    </w:rPr>
                    <w:t>—</w:t>
                  </w:r>
                </w:p>
              </w:tc>
              <w:tc>
                <w:tcPr>
                  <w:tcW w:w="0" w:type="auto"/>
                  <w:shd w:val="clear" w:color="auto" w:fill="auto"/>
                  <w:hideMark/>
                </w:tcPr>
                <w:p w14:paraId="283D0572"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i/>
                      <w:iCs/>
                      <w:sz w:val="22"/>
                      <w:szCs w:val="22"/>
                    </w:rPr>
                    <w:t>Métaux industriels</w:t>
                  </w:r>
                </w:p>
              </w:tc>
            </w:tr>
          </w:tbl>
          <w:p w14:paraId="42D71425"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C9A1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F7B1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AB9E3C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2130D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BB29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1"/>
              <w:gridCol w:w="1260"/>
            </w:tblGrid>
            <w:tr w:rsidR="00D15D17" w:rsidRPr="00C21D4B" w14:paraId="5C6928EC" w14:textId="77777777" w:rsidTr="005364C7">
              <w:tc>
                <w:tcPr>
                  <w:tcW w:w="0" w:type="auto"/>
                  <w:shd w:val="clear" w:color="auto" w:fill="auto"/>
                  <w:hideMark/>
                </w:tcPr>
                <w:p w14:paraId="50DE7EA7"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sz w:val="22"/>
                      <w:szCs w:val="22"/>
                    </w:rPr>
                    <w:t>—</w:t>
                  </w:r>
                </w:p>
              </w:tc>
              <w:tc>
                <w:tcPr>
                  <w:tcW w:w="0" w:type="auto"/>
                  <w:shd w:val="clear" w:color="auto" w:fill="auto"/>
                  <w:hideMark/>
                </w:tcPr>
                <w:p w14:paraId="02ADB0ED"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i/>
                      <w:iCs/>
                      <w:sz w:val="22"/>
                      <w:szCs w:val="22"/>
                    </w:rPr>
                    <w:t>Bétail</w:t>
                  </w:r>
                </w:p>
              </w:tc>
            </w:tr>
          </w:tbl>
          <w:p w14:paraId="4953C1C0"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CAF5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1EF56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DAAA3E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646EA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F61EA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00"/>
              <w:gridCol w:w="1551"/>
            </w:tblGrid>
            <w:tr w:rsidR="00D15D17" w:rsidRPr="00C21D4B" w14:paraId="62CA8F46" w14:textId="77777777" w:rsidTr="005364C7">
              <w:tc>
                <w:tcPr>
                  <w:tcW w:w="0" w:type="auto"/>
                  <w:shd w:val="clear" w:color="auto" w:fill="auto"/>
                  <w:hideMark/>
                </w:tcPr>
                <w:p w14:paraId="50032E5B"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sz w:val="22"/>
                      <w:szCs w:val="22"/>
                    </w:rPr>
                    <w:t>—</w:t>
                  </w:r>
                </w:p>
              </w:tc>
              <w:tc>
                <w:tcPr>
                  <w:tcW w:w="0" w:type="auto"/>
                  <w:shd w:val="clear" w:color="auto" w:fill="auto"/>
                  <w:hideMark/>
                </w:tcPr>
                <w:p w14:paraId="251647BB"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i/>
                      <w:iCs/>
                      <w:sz w:val="22"/>
                      <w:szCs w:val="22"/>
                    </w:rPr>
                    <w:t>Produits agricoles</w:t>
                  </w:r>
                </w:p>
              </w:tc>
            </w:tr>
          </w:tbl>
          <w:p w14:paraId="0FE74F11"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D1027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8470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96124E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5F8BA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D1CE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Autres dérivés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CA62D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3FCB2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E8AB6D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0AED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37"/>
              <w:gridCol w:w="4506"/>
            </w:tblGrid>
            <w:tr w:rsidR="00D15D17" w:rsidRPr="00C21D4B" w14:paraId="5394B060" w14:textId="77777777" w:rsidTr="005364C7">
              <w:tc>
                <w:tcPr>
                  <w:tcW w:w="0" w:type="auto"/>
                  <w:shd w:val="clear" w:color="auto" w:fill="auto"/>
                  <w:hideMark/>
                </w:tcPr>
                <w:p w14:paraId="26D16067"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c)</w:t>
                  </w:r>
                </w:p>
              </w:tc>
              <w:tc>
                <w:tcPr>
                  <w:tcW w:w="0" w:type="auto"/>
                  <w:shd w:val="clear" w:color="auto" w:fill="auto"/>
                  <w:hideMark/>
                </w:tcPr>
                <w:p w14:paraId="496C1CAB"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Actifs physiques (corporels/réels)</w:t>
                  </w:r>
                </w:p>
              </w:tc>
            </w:tr>
          </w:tbl>
          <w:p w14:paraId="0A3F2E11"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D6F7D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longue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E359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8A773E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9495B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4172B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 Biens immobiliers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B98E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857A0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68974A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5329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42990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F4A69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Immobilier résidentiel</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A79F9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10D5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18F5D5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4D37C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60E87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C1FE2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Immobilier commercial</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402CD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04BB3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83F0D8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D829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7B179" w14:textId="6701CB75"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w:t>
            </w:r>
            <w:r w:rsidR="003E1E7F" w:rsidRPr="00C21D4B">
              <w:rPr>
                <w:rFonts w:asciiTheme="minorHAnsi" w:hAnsiTheme="minorHAnsi" w:cstheme="minorHAnsi"/>
                <w:color w:val="000000"/>
                <w:sz w:val="22"/>
                <w:szCs w:val="22"/>
              </w:rPr>
              <w:t xml:space="preserve"> </w:t>
            </w:r>
            <w:r w:rsidRPr="00C21D4B">
              <w:rPr>
                <w:rFonts w:asciiTheme="minorHAnsi" w:hAnsiTheme="minorHAnsi" w:cstheme="minorHAnsi"/>
                <w:color w:val="000000"/>
                <w:sz w:val="22"/>
                <w:szCs w:val="22"/>
              </w:rPr>
              <w:t>: Matières premières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B0536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7DB96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28F053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F6846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4147A4" w14:textId="4AE72829"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w:t>
            </w:r>
            <w:r w:rsidR="003E1E7F" w:rsidRPr="00C21D4B">
              <w:rPr>
                <w:rFonts w:asciiTheme="minorHAnsi" w:hAnsiTheme="minorHAnsi" w:cstheme="minorHAnsi"/>
                <w:color w:val="000000"/>
                <w:sz w:val="22"/>
                <w:szCs w:val="22"/>
              </w:rPr>
              <w:t xml:space="preserve"> </w:t>
            </w:r>
            <w:r w:rsidRPr="00C21D4B">
              <w:rPr>
                <w:rFonts w:asciiTheme="minorHAnsi" w:hAnsiTheme="minorHAnsi" w:cstheme="minorHAnsi"/>
                <w:color w:val="000000"/>
                <w:sz w:val="22"/>
                <w:szCs w:val="22"/>
              </w:rPr>
              <w:t>: Bois de construction</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66469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AE7A1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E6137B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8240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1A6BDE" w14:textId="20FC92E0"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w:t>
            </w:r>
            <w:r w:rsidR="003E1E7F" w:rsidRPr="00C21D4B">
              <w:rPr>
                <w:rFonts w:asciiTheme="minorHAnsi" w:hAnsiTheme="minorHAnsi" w:cstheme="minorHAnsi"/>
                <w:color w:val="000000"/>
                <w:sz w:val="22"/>
                <w:szCs w:val="22"/>
              </w:rPr>
              <w:t xml:space="preserve"> </w:t>
            </w:r>
            <w:r w:rsidRPr="00C21D4B">
              <w:rPr>
                <w:rFonts w:asciiTheme="minorHAnsi" w:hAnsiTheme="minorHAnsi" w:cstheme="minorHAnsi"/>
                <w:color w:val="000000"/>
                <w:sz w:val="22"/>
                <w:szCs w:val="22"/>
              </w:rPr>
              <w:t>: Objets d’art et de collection</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9095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D7A1A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533459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4571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D790D" w14:textId="149B5705"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w:t>
            </w:r>
            <w:r w:rsidR="003E1E7F" w:rsidRPr="00C21D4B">
              <w:rPr>
                <w:rFonts w:asciiTheme="minorHAnsi" w:hAnsiTheme="minorHAnsi" w:cstheme="minorHAnsi"/>
                <w:color w:val="000000"/>
                <w:sz w:val="22"/>
                <w:szCs w:val="22"/>
              </w:rPr>
              <w:t xml:space="preserve"> </w:t>
            </w:r>
            <w:r w:rsidRPr="00C21D4B">
              <w:rPr>
                <w:rFonts w:asciiTheme="minorHAnsi" w:hAnsiTheme="minorHAnsi" w:cstheme="minorHAnsi"/>
                <w:color w:val="000000"/>
                <w:sz w:val="22"/>
                <w:szCs w:val="22"/>
              </w:rPr>
              <w:t>: Moyens de transport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09B8F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08F1D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CD412F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015BF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31EFB7" w14:textId="266624C6"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w:t>
            </w:r>
            <w:r w:rsidR="003E1E7F" w:rsidRPr="00C21D4B">
              <w:rPr>
                <w:rFonts w:asciiTheme="minorHAnsi" w:hAnsiTheme="minorHAnsi" w:cstheme="minorHAnsi"/>
                <w:color w:val="000000"/>
                <w:sz w:val="22"/>
                <w:szCs w:val="22"/>
              </w:rPr>
              <w:t xml:space="preserve"> </w:t>
            </w:r>
            <w:r w:rsidRPr="00C21D4B">
              <w:rPr>
                <w:rFonts w:asciiTheme="minorHAnsi" w:hAnsiTheme="minorHAnsi" w:cstheme="minorHAnsi"/>
                <w:color w:val="000000"/>
                <w:sz w:val="22"/>
                <w:szCs w:val="22"/>
              </w:rPr>
              <w:t>: Autres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C6294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2A74E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EEE322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E8856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66"/>
              <w:gridCol w:w="4477"/>
            </w:tblGrid>
            <w:tr w:rsidR="00D15D17" w:rsidRPr="00C21D4B" w14:paraId="479C0227" w14:textId="77777777" w:rsidTr="005364C7">
              <w:tc>
                <w:tcPr>
                  <w:tcW w:w="0" w:type="auto"/>
                  <w:shd w:val="clear" w:color="auto" w:fill="auto"/>
                  <w:hideMark/>
                </w:tcPr>
                <w:p w14:paraId="49522A3D"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d)</w:t>
                  </w:r>
                </w:p>
              </w:tc>
              <w:tc>
                <w:tcPr>
                  <w:tcW w:w="0" w:type="auto"/>
                  <w:shd w:val="clear" w:color="auto" w:fill="auto"/>
                  <w:hideMark/>
                </w:tcPr>
                <w:p w14:paraId="702B48FD"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Organismes de placement collectif</w:t>
                  </w:r>
                </w:p>
              </w:tc>
            </w:tr>
          </w:tbl>
          <w:p w14:paraId="470B6FE7"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0D3A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longue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5556C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0385F6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08098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20211" w14:textId="3F30283F"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Investissements dans des OPC gérés par </w:t>
            </w:r>
            <w:r w:rsidR="003E1E7F" w:rsidRPr="00C21D4B">
              <w:rPr>
                <w:rFonts w:asciiTheme="minorHAnsi" w:hAnsiTheme="minorHAnsi" w:cstheme="minorHAnsi"/>
                <w:color w:val="000000"/>
                <w:sz w:val="22"/>
                <w:szCs w:val="22"/>
              </w:rPr>
              <w:t>la Société de Gestion</w:t>
            </w:r>
            <w:r w:rsidRPr="00C21D4B">
              <w:rPr>
                <w:rFonts w:asciiTheme="minorHAnsi" w:hAnsiTheme="minorHAnsi" w:cstheme="minorHAnsi"/>
                <w:color w:val="000000"/>
                <w:sz w:val="22"/>
                <w:szCs w:val="22"/>
              </w:rPr>
              <w:t xml:space="preserve"> de l’OPC</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F61C5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AA317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36EF83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AFA1B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DCD4E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FC8A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Fonds du marché monétaire et OPC de gestion de liquidités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1D04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0790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82540A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4986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C7025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B12DB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OPC indiciels cotés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3410E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99A6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A07CD0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2E1B5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DB95D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0F829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 OPC</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0B00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3D844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0619D4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50E1C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F35D07" w14:textId="28B270F1"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Investissements dans des OPC non gérés par </w:t>
            </w:r>
            <w:r w:rsidR="003E1E7F" w:rsidRPr="00C21D4B">
              <w:rPr>
                <w:rFonts w:asciiTheme="minorHAnsi" w:hAnsiTheme="minorHAnsi" w:cstheme="minorHAnsi"/>
                <w:color w:val="000000"/>
                <w:sz w:val="22"/>
                <w:szCs w:val="22"/>
              </w:rPr>
              <w:t>la Société de Gestion</w:t>
            </w:r>
            <w:r w:rsidRPr="00C21D4B">
              <w:rPr>
                <w:rFonts w:asciiTheme="minorHAnsi" w:hAnsiTheme="minorHAnsi" w:cstheme="minorHAnsi"/>
                <w:color w:val="000000"/>
                <w:sz w:val="22"/>
                <w:szCs w:val="22"/>
              </w:rPr>
              <w:t xml:space="preserve"> de l’OPC</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48A1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7194A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2DF09F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B338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54F5F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6C236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Fonds du marché monétaire et OPC de gestion de liquidités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6DBC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79D4A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8A984A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8D3A2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FC5DE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AA62A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OPC indiciels cotés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82EF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4ED76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A56A5C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38B8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DB4F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3E3D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Autres OPC</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38517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9B5D4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D0D659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23224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0"/>
              <w:gridCol w:w="2572"/>
            </w:tblGrid>
            <w:tr w:rsidR="00D15D17" w:rsidRPr="00C21D4B" w14:paraId="7E5B9594" w14:textId="77777777" w:rsidTr="005364C7">
              <w:tc>
                <w:tcPr>
                  <w:tcW w:w="0" w:type="auto"/>
                  <w:shd w:val="clear" w:color="auto" w:fill="auto"/>
                  <w:hideMark/>
                </w:tcPr>
                <w:p w14:paraId="13E6ED37"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e)</w:t>
                  </w:r>
                </w:p>
              </w:tc>
              <w:tc>
                <w:tcPr>
                  <w:tcW w:w="0" w:type="auto"/>
                  <w:shd w:val="clear" w:color="auto" w:fill="auto"/>
                  <w:hideMark/>
                </w:tcPr>
                <w:p w14:paraId="1D270E48"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Investissements dans d’autres catégories d’actifs</w:t>
                  </w:r>
                </w:p>
              </w:tc>
            </w:tr>
          </w:tbl>
          <w:p w14:paraId="1A863C2A"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BED23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3D30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longue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13E38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courte</w:t>
            </w:r>
          </w:p>
        </w:tc>
      </w:tr>
      <w:tr w:rsidR="00D15D17" w:rsidRPr="00C21D4B" w14:paraId="71AB922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0076F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E0419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Total autres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0F44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7368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2EB5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443787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13577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9</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FFE3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Valeur des volumes échangés dans chaque catégorie d’actifs sur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97AF5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D602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CEE56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B630B7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10AC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06"/>
              <w:gridCol w:w="2046"/>
            </w:tblGrid>
            <w:tr w:rsidR="00D15D17" w:rsidRPr="00C21D4B" w14:paraId="1BC77BBA" w14:textId="77777777" w:rsidTr="005364C7">
              <w:tc>
                <w:tcPr>
                  <w:tcW w:w="0" w:type="auto"/>
                  <w:shd w:val="clear" w:color="auto" w:fill="auto"/>
                  <w:hideMark/>
                </w:tcPr>
                <w:p w14:paraId="0AB65752"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1040AA07"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Titres</w:t>
                  </w:r>
                </w:p>
              </w:tc>
            </w:tr>
          </w:tbl>
          <w:p w14:paraId="4EE2565A"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1794F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B5CA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de marché</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ECCC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D3DD5C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BCBDC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C8A55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Trésorerie et équivalents de trésorerie</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7C3A6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A1B1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4D799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8A8D36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3F9AF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90E3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Actions cotées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12F99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FE1D1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AF42F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62CEFC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C1D50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164E8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Actions non cotées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CE5FF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453E6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78F3C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1C69F9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F6D6D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CEF7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Obligations de sociétés autres que des établissements financiers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9C722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39FD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840B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F78AAC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E637A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1F7E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04AE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investissement (</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05A48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84D1F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72EE9E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B91C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53FC8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0B5ED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Catégorie spéculative (non-</w:t>
            </w:r>
            <w:proofErr w:type="spellStart"/>
            <w:r w:rsidRPr="00C21D4B">
              <w:rPr>
                <w:rFonts w:asciiTheme="minorHAnsi" w:hAnsiTheme="minorHAnsi" w:cstheme="minorHAnsi"/>
                <w:i/>
                <w:iCs/>
                <w:color w:val="000000"/>
                <w:sz w:val="22"/>
                <w:szCs w:val="22"/>
              </w:rPr>
              <w:t>investment</w:t>
            </w:r>
            <w:proofErr w:type="spellEnd"/>
            <w:r w:rsidRPr="00C21D4B">
              <w:rPr>
                <w:rFonts w:asciiTheme="minorHAnsi" w:hAnsiTheme="minorHAnsi" w:cstheme="minorHAnsi"/>
                <w:i/>
                <w:iCs/>
                <w:color w:val="000000"/>
                <w:sz w:val="22"/>
                <w:szCs w:val="22"/>
              </w:rPr>
              <w:t xml:space="preserve"> grade)</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378B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7AC6F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E989BA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F775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212DB3" w14:textId="4105F7D8"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Obligations d</w:t>
            </w:r>
            <w:r w:rsidR="00222C9C" w:rsidRPr="00C21D4B">
              <w:rPr>
                <w:rFonts w:asciiTheme="minorHAnsi" w:hAnsiTheme="minorHAnsi" w:cstheme="minorHAnsi"/>
                <w:color w:val="000000"/>
                <w:sz w:val="22"/>
                <w:szCs w:val="22"/>
              </w:rPr>
              <w:t>es</w:t>
            </w:r>
            <w:r w:rsidR="005177BC">
              <w:rPr>
                <w:rFonts w:asciiTheme="minorHAnsi" w:hAnsiTheme="minorHAnsi" w:cstheme="minorHAnsi"/>
                <w:color w:val="000000"/>
                <w:sz w:val="22"/>
                <w:szCs w:val="22"/>
              </w:rPr>
              <w:t xml:space="preserve"> </w:t>
            </w:r>
            <w:r w:rsidRPr="00C21D4B">
              <w:rPr>
                <w:rFonts w:asciiTheme="minorHAnsi" w:hAnsiTheme="minorHAnsi" w:cstheme="minorHAnsi"/>
                <w:color w:val="000000"/>
                <w:sz w:val="22"/>
                <w:szCs w:val="22"/>
              </w:rPr>
              <w:t>établissements financiers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E30CC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6D5B6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591C1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8E24DE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98B0C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1E0D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Obligations souveraines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A596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A506C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02076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29F310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3C18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B4569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Dont: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AFD6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Obligations d’États membres de la CEMAC</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883FB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02485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85DA38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282B6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15530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1DFF44" w14:textId="5C2E5B2D"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Obligations de pays non membre</w:t>
            </w:r>
            <w:r w:rsidR="00222C9C" w:rsidRPr="00C21D4B">
              <w:rPr>
                <w:rFonts w:asciiTheme="minorHAnsi" w:hAnsiTheme="minorHAnsi" w:cstheme="minorHAnsi"/>
                <w:i/>
                <w:iCs/>
                <w:color w:val="000000"/>
                <w:sz w:val="22"/>
                <w:szCs w:val="22"/>
              </w:rPr>
              <w:t>s</w:t>
            </w:r>
            <w:r w:rsidRPr="00C21D4B">
              <w:rPr>
                <w:rFonts w:asciiTheme="minorHAnsi" w:hAnsiTheme="minorHAnsi" w:cstheme="minorHAnsi"/>
                <w:i/>
                <w:iCs/>
                <w:color w:val="000000"/>
                <w:sz w:val="22"/>
                <w:szCs w:val="22"/>
              </w:rPr>
              <w:t xml:space="preserve"> de la CEMAC</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6AC7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A440F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EB99FA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7D47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F230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Obligations convertibles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6F0A0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DF68A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BED9E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8907EB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2F81E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97041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Prêts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83936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BBD6F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32090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C6880F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B4A3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BF2B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Produits structurés/titrisés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BD15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FAD58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DEEE4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CEBBAC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27AB9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90"/>
              <w:gridCol w:w="2162"/>
            </w:tblGrid>
            <w:tr w:rsidR="00D15D17" w:rsidRPr="00C21D4B" w14:paraId="5E6B0DE1" w14:textId="77777777" w:rsidTr="005364C7">
              <w:tc>
                <w:tcPr>
                  <w:tcW w:w="0" w:type="auto"/>
                  <w:shd w:val="clear" w:color="auto" w:fill="auto"/>
                  <w:hideMark/>
                </w:tcPr>
                <w:p w14:paraId="2CEF8EDC"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7D486C2E"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Dérivés</w:t>
                  </w:r>
                </w:p>
              </w:tc>
            </w:tr>
          </w:tbl>
          <w:p w14:paraId="4C00639A"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9F63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68869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notionnelle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FEF43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de marché</w:t>
            </w:r>
          </w:p>
        </w:tc>
      </w:tr>
      <w:tr w:rsidR="00D15D17" w:rsidRPr="00C21D4B" w14:paraId="086A7D9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8FAC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9444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sur actions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6D93D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E5BF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B65B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146343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0EEB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2825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à revenu fixe</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3E8BA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7FABC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ECE62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8E94F6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4F12B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8D579C" w14:textId="7CF9227E"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Contrats d’échange sur risque de crédit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66E75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C5F57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759B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95376C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988D7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78070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de change (à des fins d’investissement)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1F6C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55E1D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C637B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272B50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00F60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EB68C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de taux d’intérêt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FDA6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0ABD7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14725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15D7E3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8272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22FC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sur matières premières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8F926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F03A3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6C7D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32D007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FC82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6ED85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Autres dérivés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6E365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28161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E4C38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E7D6D8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77651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61"/>
              <w:gridCol w:w="2591"/>
            </w:tblGrid>
            <w:tr w:rsidR="00D15D17" w:rsidRPr="00C21D4B" w14:paraId="3DFBC818" w14:textId="77777777" w:rsidTr="005364C7">
              <w:tc>
                <w:tcPr>
                  <w:tcW w:w="0" w:type="auto"/>
                  <w:shd w:val="clear" w:color="auto" w:fill="auto"/>
                  <w:hideMark/>
                </w:tcPr>
                <w:p w14:paraId="0F6F0253"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c)</w:t>
                  </w:r>
                </w:p>
              </w:tc>
              <w:tc>
                <w:tcPr>
                  <w:tcW w:w="0" w:type="auto"/>
                  <w:shd w:val="clear" w:color="auto" w:fill="auto"/>
                  <w:hideMark/>
                </w:tcPr>
                <w:p w14:paraId="30B8D623"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Actifs physiques (corporels/réels)</w:t>
                  </w:r>
                </w:p>
              </w:tc>
            </w:tr>
          </w:tbl>
          <w:p w14:paraId="7F381037"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D3037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38E53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de marché</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BF3C6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71D0BE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DF7E6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001AD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 Matières premières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28E8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F1FA5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E227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87610E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F044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4ADD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 Biens immobiliers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E60A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CEEC6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50811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EBDCE9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2250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3A4E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 Bois de construction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DB366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39FA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D0C26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75DD8E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AC52E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F510C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 Objets d’art et de collection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9095B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CCE3B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482FC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7D287B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57208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802F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 Moyens de transport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64D0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256E6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08C74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F958CD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ACB6D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EE532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Actifs physiques: Autres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F805B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FFE01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44F5C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275A12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48DAC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2565"/>
            </w:tblGrid>
            <w:tr w:rsidR="00D15D17" w:rsidRPr="00C21D4B" w14:paraId="5EA4BD6B" w14:textId="77777777" w:rsidTr="005364C7">
              <w:tc>
                <w:tcPr>
                  <w:tcW w:w="0" w:type="auto"/>
                  <w:shd w:val="clear" w:color="auto" w:fill="auto"/>
                  <w:hideMark/>
                </w:tcPr>
                <w:p w14:paraId="50FD4FB1"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d)</w:t>
                  </w:r>
                </w:p>
              </w:tc>
              <w:tc>
                <w:tcPr>
                  <w:tcW w:w="0" w:type="auto"/>
                  <w:shd w:val="clear" w:color="auto" w:fill="auto"/>
                  <w:hideMark/>
                </w:tcPr>
                <w:p w14:paraId="20E725E0"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Organismes de placement collectif</w:t>
                  </w:r>
                </w:p>
              </w:tc>
            </w:tr>
          </w:tbl>
          <w:p w14:paraId="710390CD"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D70DF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40BD7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B233A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D5A130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B45A8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9"/>
              <w:gridCol w:w="2553"/>
            </w:tblGrid>
            <w:tr w:rsidR="00D15D17" w:rsidRPr="00C21D4B" w14:paraId="0A43BC9A" w14:textId="77777777" w:rsidTr="005364C7">
              <w:tc>
                <w:tcPr>
                  <w:tcW w:w="0" w:type="auto"/>
                  <w:shd w:val="clear" w:color="auto" w:fill="auto"/>
                  <w:hideMark/>
                </w:tcPr>
                <w:p w14:paraId="73024642"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e)</w:t>
                  </w:r>
                </w:p>
              </w:tc>
              <w:tc>
                <w:tcPr>
                  <w:tcW w:w="0" w:type="auto"/>
                  <w:shd w:val="clear" w:color="auto" w:fill="auto"/>
                  <w:hideMark/>
                </w:tcPr>
                <w:p w14:paraId="394E41EC"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Autres catégories d’actifs</w:t>
                  </w:r>
                </w:p>
              </w:tc>
            </w:tr>
          </w:tbl>
          <w:p w14:paraId="63A70675"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AF9E4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57F99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EC9A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54BE12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9914A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BB0F5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Devise des expositions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480B9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1864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B95DA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88EACF5"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4B08B82E"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Profil de risque de l’OPC</w:t>
            </w:r>
          </w:p>
        </w:tc>
      </w:tr>
      <w:tr w:rsidR="00D15D17" w:rsidRPr="00C21D4B" w14:paraId="535F87E3"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048DEA3B" w14:textId="2A92FE08" w:rsidR="00D15D17" w:rsidRPr="00C21D4B" w:rsidRDefault="00D15D17" w:rsidP="00A3057B">
            <w:pPr>
              <w:pStyle w:val="Paragraphedeliste"/>
              <w:numPr>
                <w:ilvl w:val="0"/>
                <w:numId w:val="12"/>
              </w:numPr>
              <w:spacing w:before="60" w:after="60"/>
              <w:ind w:right="195"/>
              <w:jc w:val="center"/>
              <w:rPr>
                <w:rFonts w:cstheme="minorHAnsi"/>
                <w:b/>
                <w:bCs/>
                <w:color w:val="000000"/>
                <w:sz w:val="22"/>
                <w:szCs w:val="22"/>
              </w:rPr>
            </w:pPr>
            <w:r w:rsidRPr="00C21D4B">
              <w:rPr>
                <w:rFonts w:cstheme="minorHAnsi"/>
                <w:b/>
                <w:bCs/>
                <w:color w:val="000000"/>
                <w:sz w:val="22"/>
                <w:szCs w:val="22"/>
              </w:rPr>
              <w:t>Profil de risque de marché</w:t>
            </w:r>
          </w:p>
        </w:tc>
      </w:tr>
      <w:tr w:rsidR="00D15D17" w:rsidRPr="00C21D4B" w14:paraId="34E701F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ED00F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10</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4B7E2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Rendement annuel attendu des investissements/TRI dans des conditions normales de marché (en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33069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FBA3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DA861AC"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1D43D0A7" w14:textId="19D8DBFC" w:rsidR="00D15D17" w:rsidRPr="00C21D4B" w:rsidRDefault="00D15D17" w:rsidP="00A3057B">
            <w:pPr>
              <w:pStyle w:val="Paragraphedeliste"/>
              <w:numPr>
                <w:ilvl w:val="0"/>
                <w:numId w:val="12"/>
              </w:numPr>
              <w:spacing w:before="60" w:after="60"/>
              <w:ind w:right="195"/>
              <w:jc w:val="center"/>
              <w:rPr>
                <w:rFonts w:cstheme="minorHAnsi"/>
                <w:b/>
                <w:bCs/>
                <w:color w:val="000000"/>
                <w:sz w:val="22"/>
                <w:szCs w:val="22"/>
              </w:rPr>
            </w:pPr>
            <w:r w:rsidRPr="00C21D4B">
              <w:rPr>
                <w:rFonts w:cstheme="minorHAnsi"/>
                <w:b/>
                <w:bCs/>
                <w:color w:val="000000"/>
                <w:sz w:val="22"/>
                <w:szCs w:val="22"/>
              </w:rPr>
              <w:t>Profil de risque de contrepartie</w:t>
            </w:r>
          </w:p>
        </w:tc>
      </w:tr>
      <w:tr w:rsidR="00D15D17" w:rsidRPr="00C21D4B" w14:paraId="762D065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7D68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11</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ACF69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Mécanismes de négociation et de compensation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CF5F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F5E3C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2FD5E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7C28882"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59C75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4565"/>
            </w:tblGrid>
            <w:tr w:rsidR="00D15D17" w:rsidRPr="00C21D4B" w14:paraId="6F175EF7" w14:textId="77777777" w:rsidTr="005364C7">
              <w:tc>
                <w:tcPr>
                  <w:tcW w:w="0" w:type="auto"/>
                  <w:shd w:val="clear" w:color="auto" w:fill="auto"/>
                  <w:hideMark/>
                </w:tcPr>
                <w:p w14:paraId="67425A28"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778997C8"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Estimation du % (en valeur de marché) de titres négociés:</w:t>
                  </w:r>
                </w:p>
                <w:p w14:paraId="7490B908"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i/>
                      <w:iCs/>
                      <w:sz w:val="22"/>
                      <w:szCs w:val="22"/>
                    </w:rPr>
                    <w:lastRenderedPageBreak/>
                    <w:t>(ne rien indiquer en l’absence de négociation de titres)</w:t>
                  </w:r>
                </w:p>
              </w:tc>
            </w:tr>
          </w:tbl>
          <w:p w14:paraId="6EA31BB2"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6A602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lastRenderedPageBreak/>
              <w:t>%</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7353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524A2E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FBACC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142E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sur un marché réglementé</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0C9F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2038F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34F19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225D8E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8AD74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1AAB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de gré à gré</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AE115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CADB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0147A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46D06C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E376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2A978A5A" w14:textId="77777777" w:rsidTr="005364C7">
              <w:tc>
                <w:tcPr>
                  <w:tcW w:w="0" w:type="auto"/>
                  <w:shd w:val="clear" w:color="auto" w:fill="auto"/>
                  <w:hideMark/>
                </w:tcPr>
                <w:p w14:paraId="43A1754A"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241D7B2A" w14:textId="0D4221EA"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Estimation du % (en volume) de dérivés négociés</w:t>
                  </w:r>
                  <w:r w:rsidR="003E1E7F" w:rsidRPr="00C21D4B">
                    <w:rPr>
                      <w:rFonts w:asciiTheme="minorHAnsi" w:hAnsiTheme="minorHAnsi" w:cstheme="minorHAnsi"/>
                      <w:b/>
                      <w:bCs/>
                      <w:sz w:val="22"/>
                      <w:szCs w:val="22"/>
                    </w:rPr>
                    <w:t xml:space="preserve"> </w:t>
                  </w:r>
                  <w:r w:rsidRPr="00C21D4B">
                    <w:rPr>
                      <w:rFonts w:asciiTheme="minorHAnsi" w:hAnsiTheme="minorHAnsi" w:cstheme="minorHAnsi"/>
                      <w:b/>
                      <w:bCs/>
                      <w:sz w:val="22"/>
                      <w:szCs w:val="22"/>
                    </w:rPr>
                    <w:t>:</w:t>
                  </w:r>
                </w:p>
                <w:p w14:paraId="1A0AC796"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i/>
                      <w:iCs/>
                      <w:sz w:val="22"/>
                      <w:szCs w:val="22"/>
                    </w:rPr>
                    <w:t>(ne rien indiquer en l’absence de négociation de dérivés)</w:t>
                  </w:r>
                </w:p>
              </w:tc>
            </w:tr>
          </w:tbl>
          <w:p w14:paraId="12A375C4"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E9963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35077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E5FF9F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9B4E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8D7C4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sur un marché réglementé</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E657E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C7597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C0F41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A839E0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05E8C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C0D96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de gré à gré</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61824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D0260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EB50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D0FB402"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1DC9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61"/>
              <w:gridCol w:w="4582"/>
            </w:tblGrid>
            <w:tr w:rsidR="00D15D17" w:rsidRPr="00C21D4B" w14:paraId="7EA5B9F1" w14:textId="77777777" w:rsidTr="005364C7">
              <w:tc>
                <w:tcPr>
                  <w:tcW w:w="0" w:type="auto"/>
                  <w:shd w:val="clear" w:color="auto" w:fill="auto"/>
                  <w:hideMark/>
                </w:tcPr>
                <w:p w14:paraId="3D885E3A"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c)</w:t>
                  </w:r>
                </w:p>
              </w:tc>
              <w:tc>
                <w:tcPr>
                  <w:tcW w:w="0" w:type="auto"/>
                  <w:shd w:val="clear" w:color="auto" w:fill="auto"/>
                  <w:hideMark/>
                </w:tcPr>
                <w:p w14:paraId="3393BB1A" w14:textId="7CAD3468"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Estimation du % (en volume) d’opérations sur dérivés compensés:</w:t>
                  </w:r>
                </w:p>
                <w:p w14:paraId="457D9ABA"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i/>
                      <w:iCs/>
                      <w:sz w:val="22"/>
                      <w:szCs w:val="22"/>
                    </w:rPr>
                    <w:t>(ne rien indiquer en l’absence de négociation de dérivés)</w:t>
                  </w:r>
                </w:p>
              </w:tc>
            </w:tr>
          </w:tbl>
          <w:p w14:paraId="36DB53BA"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27E61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363F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2F2FA0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79752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F9356" w14:textId="3EE42F06" w:rsidR="00D15D17" w:rsidRPr="00C21D4B" w:rsidRDefault="00D15D17" w:rsidP="005364C7">
            <w:pPr>
              <w:spacing w:before="60" w:after="6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418F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0F9E7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3E2A8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13B9E7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6DB43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A81A4A" w14:textId="52ECC6A8" w:rsidR="00D15D17" w:rsidRPr="00C21D4B" w:rsidRDefault="00D15D17" w:rsidP="005364C7">
            <w:pPr>
              <w:spacing w:before="60" w:after="6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05876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29A59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C2336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B41F1A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3AE1B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1BEA78A2" w14:textId="77777777" w:rsidTr="005364C7">
              <w:tc>
                <w:tcPr>
                  <w:tcW w:w="0" w:type="auto"/>
                  <w:shd w:val="clear" w:color="auto" w:fill="auto"/>
                  <w:hideMark/>
                </w:tcPr>
                <w:p w14:paraId="68F31DCC"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d)</w:t>
                  </w:r>
                </w:p>
              </w:tc>
              <w:tc>
                <w:tcPr>
                  <w:tcW w:w="0" w:type="auto"/>
                  <w:shd w:val="clear" w:color="auto" w:fill="auto"/>
                  <w:hideMark/>
                </w:tcPr>
                <w:p w14:paraId="51CB0AE7"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Estimation du % (en valeur de marché) d’opérations de pension compensées:</w:t>
                  </w:r>
                </w:p>
                <w:p w14:paraId="756E1A0E"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i/>
                      <w:iCs/>
                      <w:sz w:val="22"/>
                      <w:szCs w:val="22"/>
                    </w:rPr>
                    <w:t>(ne rien indiquer en l’absence d’opérations de pension)</w:t>
                  </w:r>
                </w:p>
              </w:tc>
            </w:tr>
          </w:tbl>
          <w:p w14:paraId="0D22A7E9"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904CF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E4955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2C3B09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FDB8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F661D4" w14:textId="3FE9ACD7" w:rsidR="00D15D17" w:rsidRPr="00C21D4B" w:rsidRDefault="00D15D17" w:rsidP="005364C7">
            <w:pPr>
              <w:spacing w:before="60" w:after="6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3BEE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0A42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6310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0DFD0F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5B2D1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C70DC" w14:textId="0298913F" w:rsidR="00D15D17" w:rsidRPr="00C21D4B" w:rsidRDefault="00D15D17" w:rsidP="005364C7">
            <w:pPr>
              <w:spacing w:before="60" w:after="6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E2B50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470F2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1C331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D6DF6C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61749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C1C5C7" w14:textId="3208C8E6" w:rsidR="00D15D17" w:rsidRPr="00C21D4B" w:rsidRDefault="00D15D17" w:rsidP="005364C7">
            <w:pPr>
              <w:spacing w:before="60" w:after="6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CD3AB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53172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AC6A1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FE82D4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A0F9A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12</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96287A" w14:textId="147EFC4D"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Valeur des collatéraux et autres soutiens de crédit que l’OPC a fournis à l’ensemble des contreparties</w:t>
            </w:r>
            <w:r w:rsidR="003E1E7F" w:rsidRPr="00C21D4B">
              <w:rPr>
                <w:rFonts w:asciiTheme="minorHAnsi" w:hAnsiTheme="minorHAnsi" w:cstheme="minorHAnsi"/>
                <w:b/>
                <w:bCs/>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9B9B9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AE11A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2AE628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1DCF1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4565"/>
            </w:tblGrid>
            <w:tr w:rsidR="00D15D17" w:rsidRPr="00C21D4B" w14:paraId="52682C11" w14:textId="77777777" w:rsidTr="005364C7">
              <w:tc>
                <w:tcPr>
                  <w:tcW w:w="0" w:type="auto"/>
                  <w:shd w:val="clear" w:color="auto" w:fill="auto"/>
                  <w:hideMark/>
                </w:tcPr>
                <w:p w14:paraId="479D83BC"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00D3A4DC"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Valeur des collatéraux fournis sous forme de trésorerie et équivalents de trésorerie</w:t>
                  </w:r>
                </w:p>
              </w:tc>
            </w:tr>
          </w:tbl>
          <w:p w14:paraId="016F5F19"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FF5A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9F207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2AF428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074BB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4DEA4B73" w14:textId="77777777" w:rsidTr="005364C7">
              <w:tc>
                <w:tcPr>
                  <w:tcW w:w="0" w:type="auto"/>
                  <w:shd w:val="clear" w:color="auto" w:fill="auto"/>
                  <w:hideMark/>
                </w:tcPr>
                <w:p w14:paraId="2DF1A712"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2AA3185C"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Valeur des collatéraux fournis sous forme d’autres titres (à l’exclusion de la trésorerie et des équivalents de trésorerie)</w:t>
                  </w:r>
                </w:p>
              </w:tc>
            </w:tr>
          </w:tbl>
          <w:p w14:paraId="305D664D"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2A648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60412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A29AEA2"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9880C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61"/>
              <w:gridCol w:w="4582"/>
            </w:tblGrid>
            <w:tr w:rsidR="00D15D17" w:rsidRPr="00C21D4B" w14:paraId="6E2E09F5" w14:textId="77777777" w:rsidTr="005364C7">
              <w:tc>
                <w:tcPr>
                  <w:tcW w:w="0" w:type="auto"/>
                  <w:shd w:val="clear" w:color="auto" w:fill="auto"/>
                  <w:hideMark/>
                </w:tcPr>
                <w:p w14:paraId="0D910134"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c)</w:t>
                  </w:r>
                </w:p>
              </w:tc>
              <w:tc>
                <w:tcPr>
                  <w:tcW w:w="0" w:type="auto"/>
                  <w:shd w:val="clear" w:color="auto" w:fill="auto"/>
                  <w:hideMark/>
                </w:tcPr>
                <w:p w14:paraId="0EE7D048"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Valeur des autres types de collatéraux et de soutiens de crédit fournis (inclure la valeur faciale des lettres de crédit et autres soutiens de crédit similaires à des tiers)</w:t>
                  </w:r>
                </w:p>
              </w:tc>
            </w:tr>
          </w:tbl>
          <w:p w14:paraId="7740F7DB"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71968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A795C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087D23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1D77A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13</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845D26" w14:textId="5C2CE01C"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Sur le montant des collatéraux et autres soutiens de crédit que le fonds déclarant a fourni à des contreparties</w:t>
            </w:r>
            <w:r w:rsidR="003E1E7F" w:rsidRPr="00C21D4B">
              <w:rPr>
                <w:rFonts w:asciiTheme="minorHAnsi" w:hAnsiTheme="minorHAnsi" w:cstheme="minorHAnsi"/>
                <w:b/>
                <w:bCs/>
                <w:color w:val="000000"/>
                <w:sz w:val="22"/>
                <w:szCs w:val="22"/>
              </w:rPr>
              <w:t xml:space="preserve"> </w:t>
            </w:r>
            <w:r w:rsidRPr="00C21D4B">
              <w:rPr>
                <w:rFonts w:asciiTheme="minorHAnsi" w:hAnsiTheme="minorHAnsi" w:cstheme="minorHAnsi"/>
                <w:b/>
                <w:bCs/>
                <w:color w:val="000000"/>
                <w:sz w:val="22"/>
                <w:szCs w:val="22"/>
              </w:rPr>
              <w:t xml:space="preserve">: quel est le pourcentage </w:t>
            </w:r>
            <w:r w:rsidR="005177BC" w:rsidRPr="00C21D4B">
              <w:rPr>
                <w:rFonts w:asciiTheme="minorHAnsi" w:hAnsiTheme="minorHAnsi" w:cstheme="minorHAnsi"/>
                <w:b/>
                <w:bCs/>
                <w:color w:val="000000"/>
                <w:sz w:val="22"/>
                <w:szCs w:val="22"/>
              </w:rPr>
              <w:t xml:space="preserve">ré </w:t>
            </w:r>
            <w:r w:rsidR="005177BC">
              <w:rPr>
                <w:rFonts w:asciiTheme="minorHAnsi" w:hAnsiTheme="minorHAnsi" w:cstheme="minorHAnsi"/>
                <w:b/>
                <w:bCs/>
                <w:color w:val="000000"/>
                <w:sz w:val="22"/>
                <w:szCs w:val="22"/>
              </w:rPr>
              <w:t>-</w:t>
            </w:r>
            <w:r w:rsidR="005177BC" w:rsidRPr="00C21D4B">
              <w:rPr>
                <w:rFonts w:asciiTheme="minorHAnsi" w:hAnsiTheme="minorHAnsi" w:cstheme="minorHAnsi"/>
                <w:b/>
                <w:bCs/>
                <w:color w:val="000000"/>
                <w:sz w:val="22"/>
                <w:szCs w:val="22"/>
              </w:rPr>
              <w:t>hypothéqué</w:t>
            </w:r>
            <w:r w:rsidRPr="00C21D4B">
              <w:rPr>
                <w:rFonts w:asciiTheme="minorHAnsi" w:hAnsiTheme="minorHAnsi" w:cstheme="minorHAnsi"/>
                <w:b/>
                <w:bCs/>
                <w:color w:val="000000"/>
                <w:sz w:val="22"/>
                <w:szCs w:val="22"/>
              </w:rPr>
              <w:t xml:space="preserve"> par ces contreparties</w:t>
            </w:r>
            <w:r w:rsidR="003E1E7F" w:rsidRPr="00C21D4B">
              <w:rPr>
                <w:rFonts w:asciiTheme="minorHAnsi" w:hAnsiTheme="minorHAnsi" w:cstheme="minorHAnsi"/>
                <w:b/>
                <w:bCs/>
                <w:color w:val="000000"/>
                <w:sz w:val="22"/>
                <w:szCs w:val="22"/>
              </w:rPr>
              <w:t xml:space="preserve"> </w:t>
            </w:r>
            <w:r w:rsidRPr="00C21D4B">
              <w:rPr>
                <w:rFonts w:asciiTheme="minorHAnsi" w:hAnsiTheme="minorHAnsi" w:cstheme="minorHAnsi"/>
                <w:b/>
                <w:bCs/>
                <w:color w:val="000000"/>
                <w:sz w:val="22"/>
                <w:szCs w:val="22"/>
              </w:rPr>
              <w: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F62A9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D782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128EC22"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98D55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14</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DFF8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Trois plus importantes expositions à des contreparties (hors CCP)</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81382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544D5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F8D770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F7BE2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4565"/>
            </w:tblGrid>
            <w:tr w:rsidR="00D15D17" w:rsidRPr="00C21D4B" w14:paraId="44FBA5BF" w14:textId="77777777" w:rsidTr="005364C7">
              <w:tc>
                <w:tcPr>
                  <w:tcW w:w="0" w:type="auto"/>
                  <w:shd w:val="clear" w:color="auto" w:fill="auto"/>
                  <w:hideMark/>
                </w:tcPr>
                <w:p w14:paraId="2046A3EE"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510B990F" w14:textId="31474F10"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Indiquer les trois contreparties sur lesquelles l’OPC détient les expositions nettes au risque de contrepartie les plus importantes en valeur de marché, mesurées en % de la</w:t>
                  </w:r>
                  <w:r w:rsidR="00C4647A" w:rsidRPr="00C21D4B">
                    <w:rPr>
                      <w:rFonts w:asciiTheme="minorHAnsi" w:hAnsiTheme="minorHAnsi" w:cstheme="minorHAnsi"/>
                      <w:b/>
                      <w:bCs/>
                      <w:sz w:val="22"/>
                      <w:szCs w:val="22"/>
                    </w:rPr>
                    <w:t xml:space="preserve"> Valeur nette d’inventaire</w:t>
                  </w:r>
                  <w:r w:rsidRPr="00C21D4B">
                    <w:rPr>
                      <w:rFonts w:asciiTheme="minorHAnsi" w:hAnsiTheme="minorHAnsi" w:cstheme="minorHAnsi"/>
                      <w:b/>
                      <w:bCs/>
                      <w:sz w:val="22"/>
                      <w:szCs w:val="22"/>
                    </w:rPr>
                    <w:t xml:space="preserve"> </w:t>
                  </w:r>
                  <w:r w:rsidR="00C4647A" w:rsidRPr="00C21D4B">
                    <w:rPr>
                      <w:rFonts w:asciiTheme="minorHAnsi" w:hAnsiTheme="minorHAnsi" w:cstheme="minorHAnsi"/>
                      <w:b/>
                      <w:bCs/>
                      <w:sz w:val="22"/>
                      <w:szCs w:val="22"/>
                    </w:rPr>
                    <w:t>(</w:t>
                  </w:r>
                  <w:r w:rsidRPr="00C21D4B">
                    <w:rPr>
                      <w:rFonts w:asciiTheme="minorHAnsi" w:hAnsiTheme="minorHAnsi" w:cstheme="minorHAnsi"/>
                      <w:b/>
                      <w:bCs/>
                      <w:sz w:val="22"/>
                      <w:szCs w:val="22"/>
                    </w:rPr>
                    <w:t>VIN</w:t>
                  </w:r>
                  <w:r w:rsidR="00C4647A" w:rsidRPr="00C21D4B">
                    <w:rPr>
                      <w:rFonts w:asciiTheme="minorHAnsi" w:hAnsiTheme="minorHAnsi" w:cstheme="minorHAnsi"/>
                      <w:b/>
                      <w:bCs/>
                      <w:sz w:val="22"/>
                      <w:szCs w:val="22"/>
                    </w:rPr>
                    <w:t>)</w:t>
                  </w:r>
                  <w:r w:rsidRPr="00C21D4B">
                    <w:rPr>
                      <w:rFonts w:asciiTheme="minorHAnsi" w:hAnsiTheme="minorHAnsi" w:cstheme="minorHAnsi"/>
                      <w:b/>
                      <w:bCs/>
                      <w:sz w:val="22"/>
                      <w:szCs w:val="22"/>
                    </w:rPr>
                    <w:t xml:space="preserve"> de l’OPC</w:t>
                  </w:r>
                </w:p>
              </w:tc>
            </w:tr>
          </w:tbl>
          <w:p w14:paraId="05126D4D"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7DF7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Nom</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3BBE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Exposition totale</w:t>
            </w:r>
          </w:p>
        </w:tc>
      </w:tr>
      <w:tr w:rsidR="00D15D17" w:rsidRPr="00C21D4B" w14:paraId="43C6A56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1CDC4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A7BB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Contrepartie 1</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9B82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09CC3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EC27F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5A181C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C3EC0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2CEA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Contrepartie 2</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FF2ED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B4DB3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A1F5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B1BCF8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CB77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61F1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Contrepartie 3</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3F2F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7E16A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37BB5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7FB3C1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F63C4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5CCC2870" w14:textId="77777777" w:rsidTr="005364C7">
              <w:tc>
                <w:tcPr>
                  <w:tcW w:w="0" w:type="auto"/>
                  <w:shd w:val="clear" w:color="auto" w:fill="auto"/>
                  <w:hideMark/>
                </w:tcPr>
                <w:p w14:paraId="657414E9"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31531EAA" w14:textId="2A44617B"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 xml:space="preserve">Indiquer les trois contreparties détenant les expositions nettes au risque de contrepartie de l’OPC les plus importantes en valeur de marché, mesurées en % de la </w:t>
                  </w:r>
                  <w:r w:rsidR="00C4647A" w:rsidRPr="00C21D4B">
                    <w:rPr>
                      <w:rFonts w:asciiTheme="minorHAnsi" w:hAnsiTheme="minorHAnsi" w:cstheme="minorHAnsi"/>
                      <w:b/>
                      <w:bCs/>
                      <w:sz w:val="22"/>
                      <w:szCs w:val="22"/>
                    </w:rPr>
                    <w:t>valeur nette d’inventaire (</w:t>
                  </w:r>
                  <w:r w:rsidRPr="00C21D4B">
                    <w:rPr>
                      <w:rFonts w:asciiTheme="minorHAnsi" w:hAnsiTheme="minorHAnsi" w:cstheme="minorHAnsi"/>
                      <w:b/>
                      <w:bCs/>
                      <w:sz w:val="22"/>
                      <w:szCs w:val="22"/>
                    </w:rPr>
                    <w:t>VIN</w:t>
                  </w:r>
                  <w:r w:rsidR="00C4647A" w:rsidRPr="00C21D4B">
                    <w:rPr>
                      <w:rFonts w:asciiTheme="minorHAnsi" w:hAnsiTheme="minorHAnsi" w:cstheme="minorHAnsi"/>
                      <w:b/>
                      <w:bCs/>
                      <w:sz w:val="22"/>
                      <w:szCs w:val="22"/>
                    </w:rPr>
                    <w:t>)</w:t>
                  </w:r>
                  <w:r w:rsidRPr="00C21D4B">
                    <w:rPr>
                      <w:rFonts w:asciiTheme="minorHAnsi" w:hAnsiTheme="minorHAnsi" w:cstheme="minorHAnsi"/>
                      <w:b/>
                      <w:bCs/>
                      <w:sz w:val="22"/>
                      <w:szCs w:val="22"/>
                    </w:rPr>
                    <w:t xml:space="preserve"> de l’OPC</w:t>
                  </w:r>
                </w:p>
              </w:tc>
            </w:tr>
          </w:tbl>
          <w:p w14:paraId="1F3831DF"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E020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Nom</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01252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Exposition totale</w:t>
            </w:r>
          </w:p>
        </w:tc>
      </w:tr>
      <w:tr w:rsidR="00D15D17" w:rsidRPr="00C21D4B" w14:paraId="51E9AEC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DCA1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7E14E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Contrepartie 1</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F44E8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4CFB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511D9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41CA54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20E1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43320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Contrepartie 2</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29CF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D986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BDC43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333786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C887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0B9BD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Contrepartie 3</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553F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5285D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E6616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B9D5E9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9E9B9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15</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C32AE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Compensation directe via des contreparties centrales de compensation (CCP)</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52756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6DD55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BCF53E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41A7E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4565"/>
            </w:tblGrid>
            <w:tr w:rsidR="00D15D17" w:rsidRPr="00C21D4B" w14:paraId="15110DA3" w14:textId="77777777" w:rsidTr="005364C7">
              <w:tc>
                <w:tcPr>
                  <w:tcW w:w="0" w:type="auto"/>
                  <w:shd w:val="clear" w:color="auto" w:fill="auto"/>
                  <w:hideMark/>
                </w:tcPr>
                <w:p w14:paraId="44D44BB3"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1F68DDC8" w14:textId="4F243CC2"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Durant la période couverte par la déclaration, l’OPC a-</w:t>
                  </w:r>
                  <w:r w:rsidR="003C7958" w:rsidRPr="00C21D4B">
                    <w:rPr>
                      <w:rFonts w:asciiTheme="minorHAnsi" w:hAnsiTheme="minorHAnsi" w:cstheme="minorHAnsi"/>
                      <w:b/>
                      <w:bCs/>
                      <w:sz w:val="22"/>
                      <w:szCs w:val="22"/>
                    </w:rPr>
                    <w:t xml:space="preserve"> </w:t>
                  </w:r>
                  <w:r w:rsidRPr="00C21D4B">
                    <w:rPr>
                      <w:rFonts w:asciiTheme="minorHAnsi" w:hAnsiTheme="minorHAnsi" w:cstheme="minorHAnsi"/>
                      <w:b/>
                      <w:bCs/>
                      <w:sz w:val="22"/>
                      <w:szCs w:val="22"/>
                    </w:rPr>
                    <w:t>t-il compensé directement des opérations en passant par une CCP?</w:t>
                  </w:r>
                </w:p>
              </w:tc>
            </w:tr>
          </w:tbl>
          <w:p w14:paraId="4A44E0BC"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6E60D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Oui</w:t>
            </w:r>
          </w:p>
          <w:p w14:paraId="5885079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Non (passez directement à la question 18)</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80371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14A33D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D20B1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7B52F0EA" w14:textId="77777777" w:rsidTr="005364C7">
              <w:tc>
                <w:tcPr>
                  <w:tcW w:w="0" w:type="auto"/>
                  <w:shd w:val="clear" w:color="auto" w:fill="auto"/>
                  <w:hideMark/>
                </w:tcPr>
                <w:p w14:paraId="33FFC00B"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75774304"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En cas de réponse affirmative au point 18 a), indiquer les deux principales CCP concernées, en termes d’exposition nette au risque de crédit</w:t>
                  </w:r>
                </w:p>
              </w:tc>
            </w:tr>
          </w:tbl>
          <w:p w14:paraId="37F13E5D"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F24B4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Nom</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3EC64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Valeur détenue</w:t>
            </w:r>
          </w:p>
        </w:tc>
      </w:tr>
      <w:tr w:rsidR="00D15D17" w:rsidRPr="00C21D4B" w14:paraId="3F31C7E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39DF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BFE4E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CCP 1</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E038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9B45E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D5E7F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C3806F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FA1F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857CE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CCP 2</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4E98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50C56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0D71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17061AB"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0C70E0E5"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3.   Profil de liquidité</w:t>
            </w:r>
          </w:p>
        </w:tc>
      </w:tr>
      <w:tr w:rsidR="00D15D17" w:rsidRPr="00C21D4B" w14:paraId="08FA4A83"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2F5FCAF8"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Profil de liquidité du portefeuille</w:t>
            </w:r>
          </w:p>
        </w:tc>
      </w:tr>
      <w:tr w:rsidR="00D15D17" w:rsidRPr="00C21D4B" w14:paraId="5730C6C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0942D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16</w:t>
            </w:r>
          </w:p>
        </w:tc>
        <w:tc>
          <w:tcPr>
            <w:tcW w:w="8073" w:type="dxa"/>
            <w:gridSpan w:val="10"/>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55A48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Profil de liquidité des investisseurs</w:t>
            </w:r>
          </w:p>
          <w:p w14:paraId="2396470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Pourcentage du portefeuille liquidable sous:</w:t>
            </w:r>
          </w:p>
        </w:tc>
      </w:tr>
      <w:tr w:rsidR="00D15D17" w:rsidRPr="00C21D4B" w14:paraId="29BB8F5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462F8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9740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 jour ou moins</w:t>
            </w:r>
          </w:p>
        </w:tc>
        <w:tc>
          <w:tcPr>
            <w:tcW w:w="726"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6112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 à 7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CCFDE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8 à 30 jours</w:t>
            </w:r>
          </w:p>
        </w:tc>
        <w:tc>
          <w:tcPr>
            <w:tcW w:w="723"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346C1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31 à 90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48A6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91 à 180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DE3A2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181 à 365 jours</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6AC95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plus de 365 jours</w:t>
            </w:r>
          </w:p>
        </w:tc>
      </w:tr>
      <w:tr w:rsidR="00D15D17" w:rsidRPr="00C21D4B" w14:paraId="3151C36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75AF1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CA62E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6"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40896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E37C8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CE73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ADF35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DB88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7C4AE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AA8FC62"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11CB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17</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7715A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Montant de liquidités non soumises à restrictions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5C57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F42E8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A7FB7A7"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2FE6F632"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Profil de liquidité des investisseurs</w:t>
            </w:r>
          </w:p>
        </w:tc>
      </w:tr>
      <w:tr w:rsidR="00D15D17" w:rsidRPr="00C21D4B" w14:paraId="247A21B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5533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18</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454A4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Profil de liquidité des investisseurs</w:t>
            </w:r>
          </w:p>
          <w:p w14:paraId="683E7614" w14:textId="5A2AC4C8"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Pourcentage des actions d’investisseurs (en % de la </w:t>
            </w:r>
            <w:r w:rsidR="00C4647A" w:rsidRPr="00C21D4B">
              <w:rPr>
                <w:rFonts w:asciiTheme="minorHAnsi" w:hAnsiTheme="minorHAnsi" w:cstheme="minorHAnsi"/>
                <w:color w:val="000000"/>
                <w:sz w:val="22"/>
                <w:szCs w:val="22"/>
              </w:rPr>
              <w:t>valeur nette d’inventaire (</w:t>
            </w:r>
            <w:r w:rsidRPr="00C21D4B">
              <w:rPr>
                <w:rFonts w:asciiTheme="minorHAnsi" w:hAnsiTheme="minorHAnsi" w:cstheme="minorHAnsi"/>
                <w:color w:val="000000"/>
                <w:sz w:val="22"/>
                <w:szCs w:val="22"/>
              </w:rPr>
              <w:t>VIN de l’OPC) remboursables sous</w:t>
            </w:r>
            <w:r w:rsidR="003E1E7F" w:rsidRPr="00C21D4B">
              <w:rPr>
                <w:rFonts w:asciiTheme="minorHAnsi" w:hAnsiTheme="minorHAnsi" w:cstheme="minorHAnsi"/>
                <w:color w:val="000000"/>
                <w:sz w:val="22"/>
                <w:szCs w:val="22"/>
              </w:rPr>
              <w:t xml:space="preserve"> </w:t>
            </w:r>
            <w:r w:rsidRPr="00C21D4B">
              <w:rPr>
                <w:rFonts w:asciiTheme="minorHAnsi" w:hAnsiTheme="minorHAnsi" w:cstheme="minorHAnsi"/>
                <w:color w:val="000000"/>
                <w:sz w:val="22"/>
                <w:szCs w:val="22"/>
              </w:rPr>
              <w: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4CEA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B7EFD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CB1C74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6D46C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41D29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 jour ou moins</w:t>
            </w:r>
          </w:p>
        </w:tc>
        <w:tc>
          <w:tcPr>
            <w:tcW w:w="726"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95DB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 à 7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CC6A4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8 à 30 jours</w:t>
            </w:r>
          </w:p>
        </w:tc>
        <w:tc>
          <w:tcPr>
            <w:tcW w:w="723"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150B5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31 à 90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61F82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91 à 180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78E1C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181 à 365 jours</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7B712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plus de 365 jours</w:t>
            </w:r>
          </w:p>
        </w:tc>
      </w:tr>
      <w:tr w:rsidR="00D15D17" w:rsidRPr="00C21D4B" w14:paraId="1C0F2C6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36D94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39E3C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6"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E581C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143D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84ECB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B1A1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A5328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916CF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4255E0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276D5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19</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9AA17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Remboursement des investisseurs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30F33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EC25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A37DF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E0AA6F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5FE6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4565"/>
            </w:tblGrid>
            <w:tr w:rsidR="00D15D17" w:rsidRPr="00C21D4B" w14:paraId="7C64F872" w14:textId="77777777" w:rsidTr="005364C7">
              <w:tc>
                <w:tcPr>
                  <w:tcW w:w="0" w:type="auto"/>
                  <w:shd w:val="clear" w:color="auto" w:fill="auto"/>
                  <w:hideMark/>
                </w:tcPr>
                <w:p w14:paraId="1D4D7B8E"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4089AAA9" w14:textId="2DF0E368"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L’O</w:t>
                  </w:r>
                  <w:r w:rsidR="00DD0C9E" w:rsidRPr="00C21D4B">
                    <w:rPr>
                      <w:rFonts w:asciiTheme="minorHAnsi" w:hAnsiTheme="minorHAnsi" w:cstheme="minorHAnsi"/>
                      <w:b/>
                      <w:bCs/>
                      <w:sz w:val="22"/>
                      <w:szCs w:val="22"/>
                    </w:rPr>
                    <w:t>P</w:t>
                  </w:r>
                  <w:r w:rsidRPr="00C21D4B">
                    <w:rPr>
                      <w:rFonts w:asciiTheme="minorHAnsi" w:hAnsiTheme="minorHAnsi" w:cstheme="minorHAnsi"/>
                      <w:b/>
                      <w:bCs/>
                      <w:sz w:val="22"/>
                      <w:szCs w:val="22"/>
                    </w:rPr>
                    <w:t>C offre-t-il d’ordinaire aux investisseurs un droit de retrait/remboursement</w:t>
                  </w:r>
                  <w:r w:rsidR="003E1E7F" w:rsidRPr="00C21D4B">
                    <w:rPr>
                      <w:rFonts w:asciiTheme="minorHAnsi" w:hAnsiTheme="minorHAnsi" w:cstheme="minorHAnsi"/>
                      <w:b/>
                      <w:bCs/>
                      <w:sz w:val="22"/>
                      <w:szCs w:val="22"/>
                    </w:rPr>
                    <w:t xml:space="preserve"> </w:t>
                  </w:r>
                  <w:r w:rsidRPr="00C21D4B">
                    <w:rPr>
                      <w:rFonts w:asciiTheme="minorHAnsi" w:hAnsiTheme="minorHAnsi" w:cstheme="minorHAnsi"/>
                      <w:b/>
                      <w:bCs/>
                      <w:sz w:val="22"/>
                      <w:szCs w:val="22"/>
                    </w:rPr>
                    <w:t>?</w:t>
                  </w:r>
                </w:p>
              </w:tc>
            </w:tr>
          </w:tbl>
          <w:p w14:paraId="489C3290"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4C8F9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Oui</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2E309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Non</w:t>
            </w:r>
          </w:p>
        </w:tc>
      </w:tr>
      <w:tr w:rsidR="00D15D17" w:rsidRPr="00C21D4B" w14:paraId="6FB1B05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3F53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D44F7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F9A9C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3027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C21A9D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C8082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16A79A1E" w14:textId="77777777" w:rsidTr="005364C7">
              <w:tc>
                <w:tcPr>
                  <w:tcW w:w="0" w:type="auto"/>
                  <w:shd w:val="clear" w:color="auto" w:fill="auto"/>
                  <w:hideMark/>
                </w:tcPr>
                <w:p w14:paraId="2AED7957"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7354C8C8" w14:textId="6EFF6065"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Quelle est la fréquence des remboursements aux investisseurs</w:t>
                  </w:r>
                  <w:r w:rsidR="003E1E7F" w:rsidRPr="00C21D4B">
                    <w:rPr>
                      <w:rFonts w:asciiTheme="minorHAnsi" w:hAnsiTheme="minorHAnsi" w:cstheme="minorHAnsi"/>
                      <w:b/>
                      <w:bCs/>
                      <w:sz w:val="22"/>
                      <w:szCs w:val="22"/>
                    </w:rPr>
                    <w:t xml:space="preserve"> </w:t>
                  </w:r>
                  <w:r w:rsidRPr="00C21D4B">
                    <w:rPr>
                      <w:rFonts w:asciiTheme="minorHAnsi" w:hAnsiTheme="minorHAnsi" w:cstheme="minorHAnsi"/>
                      <w:b/>
                      <w:bCs/>
                      <w:sz w:val="22"/>
                      <w:szCs w:val="22"/>
                    </w:rPr>
                    <w:t xml:space="preserve">? </w:t>
                  </w:r>
                  <w:proofErr w:type="gramStart"/>
                  <w:r w:rsidRPr="00C21D4B">
                    <w:rPr>
                      <w:rFonts w:asciiTheme="minorHAnsi" w:hAnsiTheme="minorHAnsi" w:cstheme="minorHAnsi"/>
                      <w:b/>
                      <w:bCs/>
                      <w:sz w:val="22"/>
                      <w:szCs w:val="22"/>
                    </w:rPr>
                    <w:t>(</w:t>
                  </w:r>
                  <w:r w:rsidR="003E1E7F" w:rsidRPr="00C21D4B">
                    <w:rPr>
                      <w:rFonts w:asciiTheme="minorHAnsi" w:hAnsiTheme="minorHAnsi" w:cstheme="minorHAnsi"/>
                      <w:b/>
                      <w:bCs/>
                      <w:sz w:val="22"/>
                      <w:szCs w:val="22"/>
                    </w:rPr>
                    <w:t xml:space="preserve"> </w:t>
                  </w:r>
                  <w:r w:rsidRPr="00C21D4B">
                    <w:rPr>
                      <w:rFonts w:asciiTheme="minorHAnsi" w:hAnsiTheme="minorHAnsi" w:cstheme="minorHAnsi"/>
                      <w:b/>
                      <w:bCs/>
                      <w:sz w:val="22"/>
                      <w:szCs w:val="22"/>
                    </w:rPr>
                    <w:t>si</w:t>
                  </w:r>
                  <w:proofErr w:type="gramEnd"/>
                  <w:r w:rsidRPr="00C21D4B">
                    <w:rPr>
                      <w:rFonts w:asciiTheme="minorHAnsi" w:hAnsiTheme="minorHAnsi" w:cstheme="minorHAnsi"/>
                      <w:b/>
                      <w:bCs/>
                      <w:sz w:val="22"/>
                      <w:szCs w:val="22"/>
                    </w:rPr>
                    <w:t xml:space="preserve"> plusieurs catégories d’actions ou de parts sont concernées, indiquer la plus importante en pourcentage de la </w:t>
                  </w:r>
                  <w:r w:rsidR="00C4647A" w:rsidRPr="00C21D4B">
                    <w:rPr>
                      <w:rFonts w:asciiTheme="minorHAnsi" w:hAnsiTheme="minorHAnsi" w:cstheme="minorHAnsi"/>
                      <w:b/>
                      <w:bCs/>
                      <w:sz w:val="22"/>
                      <w:szCs w:val="22"/>
                    </w:rPr>
                    <w:t>valeur nette d’inventaire (</w:t>
                  </w:r>
                  <w:r w:rsidRPr="00C21D4B">
                    <w:rPr>
                      <w:rFonts w:asciiTheme="minorHAnsi" w:hAnsiTheme="minorHAnsi" w:cstheme="minorHAnsi"/>
                      <w:b/>
                      <w:bCs/>
                      <w:sz w:val="22"/>
                      <w:szCs w:val="22"/>
                    </w:rPr>
                    <w:t>VIN)</w:t>
                  </w:r>
                </w:p>
              </w:tc>
            </w:tr>
          </w:tbl>
          <w:p w14:paraId="36D0354F"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99EB5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[Un seul choix possible]</w:t>
            </w:r>
          </w:p>
          <w:p w14:paraId="67E5778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quotidienne</w:t>
            </w:r>
          </w:p>
          <w:p w14:paraId="6927BF6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hebdomadaire</w:t>
            </w:r>
          </w:p>
          <w:p w14:paraId="34E5A25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bihebdomadaire</w:t>
            </w:r>
          </w:p>
          <w:p w14:paraId="68919CA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mensuelle</w:t>
            </w:r>
          </w:p>
          <w:p w14:paraId="353288B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trimestrielle</w:t>
            </w:r>
          </w:p>
          <w:p w14:paraId="6EB4494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Semestrielle</w:t>
            </w:r>
          </w:p>
          <w:p w14:paraId="156BC60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Annuelle</w:t>
            </w:r>
          </w:p>
          <w:p w14:paraId="62985B4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Autres</w:t>
            </w:r>
          </w:p>
          <w:p w14:paraId="09F3564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Sans objet</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41388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A94F9B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D9C6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61"/>
              <w:gridCol w:w="4582"/>
            </w:tblGrid>
            <w:tr w:rsidR="00D15D17" w:rsidRPr="00C21D4B" w14:paraId="504EBD0B" w14:textId="77777777" w:rsidTr="005364C7">
              <w:tc>
                <w:tcPr>
                  <w:tcW w:w="0" w:type="auto"/>
                  <w:shd w:val="clear" w:color="auto" w:fill="auto"/>
                  <w:hideMark/>
                </w:tcPr>
                <w:p w14:paraId="17E63300"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c)</w:t>
                  </w:r>
                </w:p>
              </w:tc>
              <w:tc>
                <w:tcPr>
                  <w:tcW w:w="0" w:type="auto"/>
                  <w:shd w:val="clear" w:color="auto" w:fill="auto"/>
                  <w:hideMark/>
                </w:tcPr>
                <w:p w14:paraId="753F4C15" w14:textId="40891A20"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Quel est le délai de préavis (en jours) à respecter pour les remboursements</w:t>
                  </w:r>
                  <w:r w:rsidR="003E1E7F" w:rsidRPr="00C21D4B">
                    <w:rPr>
                      <w:rFonts w:asciiTheme="minorHAnsi" w:hAnsiTheme="minorHAnsi" w:cstheme="minorHAnsi"/>
                      <w:b/>
                      <w:bCs/>
                      <w:sz w:val="22"/>
                      <w:szCs w:val="22"/>
                    </w:rPr>
                    <w:t xml:space="preserve"> </w:t>
                  </w:r>
                  <w:r w:rsidRPr="00C21D4B">
                    <w:rPr>
                      <w:rFonts w:asciiTheme="minorHAnsi" w:hAnsiTheme="minorHAnsi" w:cstheme="minorHAnsi"/>
                      <w:b/>
                      <w:bCs/>
                      <w:sz w:val="22"/>
                      <w:szCs w:val="22"/>
                    </w:rPr>
                    <w:t>?</w:t>
                  </w:r>
                </w:p>
                <w:p w14:paraId="1856AD9A"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i/>
                      <w:iCs/>
                      <w:sz w:val="22"/>
                      <w:szCs w:val="22"/>
                    </w:rPr>
                    <w:t>(indiquer un délai pondéré en fonction des actifs si plusieurs catégories d’actions ou de parts sont concernées)</w:t>
                  </w:r>
                </w:p>
              </w:tc>
            </w:tr>
          </w:tbl>
          <w:p w14:paraId="77B72F80"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A63FE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EE6B3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EBE655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3C092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4369F219" w14:textId="77777777" w:rsidTr="005364C7">
              <w:tc>
                <w:tcPr>
                  <w:tcW w:w="0" w:type="auto"/>
                  <w:shd w:val="clear" w:color="auto" w:fill="auto"/>
                  <w:hideMark/>
                </w:tcPr>
                <w:p w14:paraId="7A377DFF"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d)</w:t>
                  </w:r>
                </w:p>
              </w:tc>
              <w:tc>
                <w:tcPr>
                  <w:tcW w:w="0" w:type="auto"/>
                  <w:shd w:val="clear" w:color="auto" w:fill="auto"/>
                  <w:hideMark/>
                </w:tcPr>
                <w:p w14:paraId="3DE98A43"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Quelle est la période de verrouillage (</w:t>
                  </w:r>
                  <w:r w:rsidRPr="00C21D4B">
                    <w:rPr>
                      <w:rFonts w:asciiTheme="minorHAnsi" w:hAnsiTheme="minorHAnsi" w:cstheme="minorHAnsi"/>
                      <w:b/>
                      <w:bCs/>
                      <w:i/>
                      <w:iCs/>
                      <w:sz w:val="22"/>
                      <w:szCs w:val="22"/>
                    </w:rPr>
                    <w:t>lock-up</w:t>
                  </w:r>
                  <w:r w:rsidRPr="00C21D4B">
                    <w:rPr>
                      <w:rFonts w:asciiTheme="minorHAnsi" w:hAnsiTheme="minorHAnsi" w:cstheme="minorHAnsi"/>
                      <w:b/>
                      <w:bCs/>
                      <w:sz w:val="22"/>
                      <w:szCs w:val="22"/>
                    </w:rPr>
                    <w:t>) pour l’investisseur, en jours (indiquer un délai pondéré en fonction des actifs si plusieurs catégories d’actions ou de parts sont concernées)</w:t>
                  </w:r>
                </w:p>
              </w:tc>
            </w:tr>
          </w:tbl>
          <w:p w14:paraId="5279870B"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E824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9542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6EE99C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436AA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20</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5FD957" w14:textId="559E474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Traitement spécial ou préférentiel</w:t>
            </w:r>
            <w:r w:rsidR="003E1E7F" w:rsidRPr="00C21D4B">
              <w:rPr>
                <w:rFonts w:asciiTheme="minorHAnsi" w:hAnsiTheme="minorHAnsi" w:cstheme="minorHAnsi"/>
                <w:b/>
                <w:bCs/>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21D9C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ACE58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FEA720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8F300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4565"/>
            </w:tblGrid>
            <w:tr w:rsidR="00D15D17" w:rsidRPr="00C21D4B" w14:paraId="2733D7AF" w14:textId="77777777" w:rsidTr="005364C7">
              <w:tc>
                <w:tcPr>
                  <w:tcW w:w="0" w:type="auto"/>
                  <w:shd w:val="clear" w:color="auto" w:fill="auto"/>
                  <w:hideMark/>
                </w:tcPr>
                <w:p w14:paraId="52316ABB"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4CD87601" w14:textId="62CE8D2D"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À la date de déclaration, quel pourcentage de la</w:t>
                  </w:r>
                  <w:r w:rsidR="00C4647A" w:rsidRPr="00C21D4B">
                    <w:rPr>
                      <w:rFonts w:asciiTheme="minorHAnsi" w:hAnsiTheme="minorHAnsi" w:cstheme="minorHAnsi"/>
                      <w:b/>
                      <w:bCs/>
                      <w:sz w:val="22"/>
                      <w:szCs w:val="22"/>
                    </w:rPr>
                    <w:t xml:space="preserve"> valeur nette d’inventaire</w:t>
                  </w:r>
                  <w:r w:rsidR="003C7958" w:rsidRPr="00C21D4B">
                    <w:rPr>
                      <w:rFonts w:asciiTheme="minorHAnsi" w:hAnsiTheme="minorHAnsi" w:cstheme="minorHAnsi"/>
                      <w:b/>
                      <w:bCs/>
                      <w:sz w:val="22"/>
                      <w:szCs w:val="22"/>
                    </w:rPr>
                    <w:t xml:space="preserve"> </w:t>
                  </w:r>
                  <w:r w:rsidR="00814D88" w:rsidRPr="00C21D4B">
                    <w:rPr>
                      <w:rFonts w:asciiTheme="minorHAnsi" w:hAnsiTheme="minorHAnsi" w:cstheme="minorHAnsi"/>
                      <w:b/>
                      <w:bCs/>
                      <w:sz w:val="22"/>
                      <w:szCs w:val="22"/>
                    </w:rPr>
                    <w:t>(VIN) de</w:t>
                  </w:r>
                  <w:r w:rsidRPr="00C21D4B">
                    <w:rPr>
                      <w:rFonts w:asciiTheme="minorHAnsi" w:hAnsiTheme="minorHAnsi" w:cstheme="minorHAnsi"/>
                      <w:b/>
                      <w:bCs/>
                      <w:sz w:val="22"/>
                      <w:szCs w:val="22"/>
                    </w:rPr>
                    <w:t xml:space="preserve"> l’OPC fait l’objet des dispositions suivantes</w:t>
                  </w:r>
                  <w:r w:rsidR="003E1E7F" w:rsidRPr="00C21D4B">
                    <w:rPr>
                      <w:rFonts w:asciiTheme="minorHAnsi" w:hAnsiTheme="minorHAnsi" w:cstheme="minorHAnsi"/>
                      <w:b/>
                      <w:bCs/>
                      <w:sz w:val="22"/>
                      <w:szCs w:val="22"/>
                    </w:rPr>
                    <w:t xml:space="preserve"> </w:t>
                  </w:r>
                  <w:r w:rsidRPr="00C21D4B">
                    <w:rPr>
                      <w:rFonts w:asciiTheme="minorHAnsi" w:hAnsiTheme="minorHAnsi" w:cstheme="minorHAnsi"/>
                      <w:b/>
                      <w:bCs/>
                      <w:sz w:val="22"/>
                      <w:szCs w:val="22"/>
                    </w:rPr>
                    <w:t>:</w:t>
                  </w:r>
                </w:p>
              </w:tc>
            </w:tr>
          </w:tbl>
          <w:p w14:paraId="0AE62DD1"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786B37"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i/>
                <w:iCs/>
                <w:color w:val="000000"/>
                <w:sz w:val="22"/>
                <w:szCs w:val="22"/>
              </w:rPr>
              <w:t>% de la VIN</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B5F0F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BE541D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61E4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64ADF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cantonnement d’actifs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728F3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EDB49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3686F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83C58A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1CD71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734C9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échelonnement des remboursements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4D22A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37418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DA92B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BD8E41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22634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7556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Suspension de la négociation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3927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63DA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86E3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939AB7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B2EAF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EE0BA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Autres dispositions prises pour la gestion d’actifs illiquides </w:t>
            </w:r>
            <w:r w:rsidRPr="00C21D4B">
              <w:rPr>
                <w:rFonts w:asciiTheme="minorHAnsi" w:hAnsiTheme="minorHAnsi" w:cstheme="minorHAnsi"/>
                <w:i/>
                <w:iCs/>
                <w:color w:val="000000"/>
                <w:sz w:val="22"/>
                <w:szCs w:val="22"/>
              </w:rPr>
              <w:t>(préciser)</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20FC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37C9D"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[Type]</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065A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r>
      <w:tr w:rsidR="00D15D17" w:rsidRPr="00C21D4B" w14:paraId="0B21632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3B33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B0488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DA8E2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C295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1B9B4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64C9A6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610B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1BD06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17321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EAB14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9F6E0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67F999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B163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73FEAADE" w14:textId="77777777" w:rsidTr="005364C7">
              <w:tc>
                <w:tcPr>
                  <w:tcW w:w="0" w:type="auto"/>
                  <w:shd w:val="clear" w:color="auto" w:fill="auto"/>
                  <w:hideMark/>
                </w:tcPr>
                <w:p w14:paraId="111FFE72"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13711350"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Indiquer le pourcentage d’actifs de l’OPC, en valeur nette d’inventaire, faisant actuellement l’objet d’un traitement spécial du fait de leur nature non liquide</w:t>
                  </w:r>
                </w:p>
              </w:tc>
            </w:tr>
          </w:tbl>
          <w:p w14:paraId="0BEDF971"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87220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30D59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B9A03E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3305A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B9C93" w14:textId="60B256E3"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Traitements spéciaux en % de la </w:t>
            </w:r>
            <w:r w:rsidR="00C4647A" w:rsidRPr="00C21D4B">
              <w:rPr>
                <w:rFonts w:asciiTheme="minorHAnsi" w:hAnsiTheme="minorHAnsi" w:cstheme="minorHAnsi"/>
                <w:color w:val="000000"/>
                <w:sz w:val="22"/>
                <w:szCs w:val="22"/>
              </w:rPr>
              <w:t>valeur nette d’inventaire (</w:t>
            </w:r>
            <w:r w:rsidRPr="00C21D4B">
              <w:rPr>
                <w:rFonts w:asciiTheme="minorHAnsi" w:hAnsiTheme="minorHAnsi" w:cstheme="minorHAnsi"/>
                <w:color w:val="000000"/>
                <w:sz w:val="22"/>
                <w:szCs w:val="22"/>
              </w:rPr>
              <w:t>VIN</w:t>
            </w:r>
            <w:r w:rsidR="00C4647A"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6277E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9E1A0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5A55C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CF4664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94360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61"/>
              <w:gridCol w:w="4582"/>
            </w:tblGrid>
            <w:tr w:rsidR="00D15D17" w:rsidRPr="00C21D4B" w14:paraId="7F8EA54F" w14:textId="77777777" w:rsidTr="005364C7">
              <w:tc>
                <w:tcPr>
                  <w:tcW w:w="0" w:type="auto"/>
                  <w:shd w:val="clear" w:color="auto" w:fill="auto"/>
                  <w:hideMark/>
                </w:tcPr>
                <w:p w14:paraId="36EA1345"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c)</w:t>
                  </w:r>
                </w:p>
              </w:tc>
              <w:tc>
                <w:tcPr>
                  <w:tcW w:w="0" w:type="auto"/>
                  <w:shd w:val="clear" w:color="auto" w:fill="auto"/>
                  <w:hideMark/>
                </w:tcPr>
                <w:p w14:paraId="4CF21EA6"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Certains investisseurs bénéficient-ils d’un traitement préférentiel ou du droit de bénéficier d’un traitement préférentiel (par exemple en vertu d’une lettre d’avenant) et ont-ils de ce fait été signalés à l’ensemble des investisseurs ?</w:t>
                  </w:r>
                </w:p>
              </w:tc>
            </w:tr>
          </w:tbl>
          <w:p w14:paraId="1E68D431"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A1257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(Oui ou Non)</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26C22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52020A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03BC0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31DB43C5" w14:textId="77777777" w:rsidTr="005364C7">
              <w:tc>
                <w:tcPr>
                  <w:tcW w:w="0" w:type="auto"/>
                  <w:shd w:val="clear" w:color="auto" w:fill="auto"/>
                  <w:hideMark/>
                </w:tcPr>
                <w:p w14:paraId="65505DE2"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d)</w:t>
                  </w:r>
                </w:p>
              </w:tc>
              <w:tc>
                <w:tcPr>
                  <w:tcW w:w="0" w:type="auto"/>
                  <w:shd w:val="clear" w:color="auto" w:fill="auto"/>
                  <w:hideMark/>
                </w:tcPr>
                <w:p w14:paraId="572E9A1E"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Dans l’affirmative, veuillez indiquer tous les traitements préférentiels appliqués:</w:t>
                  </w:r>
                </w:p>
              </w:tc>
            </w:tr>
          </w:tbl>
          <w:p w14:paraId="43C3B25C"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9E4C7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E7366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3604D8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2A3A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E165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en matière d’information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CBD00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F9C22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AA2B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A285DC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BC74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67E8D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en matière d’accords concernant la liquidité</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5BA2D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226A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11E91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D1FD5F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2017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1E32B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en matière de perception de frais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8BF76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9E5C3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3ABB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4E385A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F2A3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E415A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dans d’autres domaines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1FFAB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E318A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35900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EE1C8D2"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B567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21</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03A2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Indiquer comment se répartit la propriété des parts d’OPC entre les différents groupes d’investisseurs (en % de la VIN des actifs du FIA; indiquer prioritairement les bénéficiaires effectifs, s’ils sont connus ou identifiables)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43520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F371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B86245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E1FB1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22</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6AF3FA" w14:textId="0421363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Financement de la liquidité</w:t>
            </w:r>
            <w:r w:rsidR="003E1E7F" w:rsidRPr="00C21D4B">
              <w:rPr>
                <w:rFonts w:asciiTheme="minorHAnsi" w:hAnsiTheme="minorHAnsi" w:cstheme="minorHAnsi"/>
                <w:b/>
                <w:bCs/>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1EAE7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6D8C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3DCDEE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C778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4565"/>
            </w:tblGrid>
            <w:tr w:rsidR="00D15D17" w:rsidRPr="00C21D4B" w14:paraId="097D3694" w14:textId="77777777" w:rsidTr="005364C7">
              <w:tc>
                <w:tcPr>
                  <w:tcW w:w="0" w:type="auto"/>
                  <w:shd w:val="clear" w:color="auto" w:fill="auto"/>
                  <w:hideMark/>
                </w:tcPr>
                <w:p w14:paraId="68F2DED8"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485BEC18"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Indiquer la somme des emprunts contractés par l’OPC et des sources de financement en espèces dont il dispose (en y incluant toutes les lignes de crédit, utilisées ou non, confirmées ou non, ainsi que tout financement à terme)</w:t>
                  </w:r>
                </w:p>
              </w:tc>
            </w:tr>
          </w:tbl>
          <w:p w14:paraId="23A387C9"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9CF07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C1621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860A77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610A6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3498C0BA" w14:textId="77777777" w:rsidTr="005364C7">
              <w:tc>
                <w:tcPr>
                  <w:tcW w:w="0" w:type="auto"/>
                  <w:shd w:val="clear" w:color="auto" w:fill="auto"/>
                  <w:hideMark/>
                </w:tcPr>
                <w:p w14:paraId="64D814BC"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50A066E8"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Répartir le montant indiqué au point a) entre les différentes périodes suivantes, en fonction de la durée maximale pour laquelle le créancier s’est engagé contractuellement à fournir le financement:</w:t>
                  </w:r>
                </w:p>
              </w:tc>
            </w:tr>
          </w:tbl>
          <w:p w14:paraId="63266F5E"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B542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27F7F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BE543F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05F0F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13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FA801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 jour ou moins</w:t>
            </w:r>
          </w:p>
        </w:tc>
        <w:tc>
          <w:tcPr>
            <w:tcW w:w="726"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1CE0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 à 7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198ED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8 à 30 jours</w:t>
            </w:r>
          </w:p>
        </w:tc>
        <w:tc>
          <w:tcPr>
            <w:tcW w:w="723"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91BF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31 à 90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3322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91 à 180 jours</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A8681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181 à 365 jours</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AF588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plus de 365 jours</w:t>
            </w:r>
          </w:p>
        </w:tc>
      </w:tr>
      <w:tr w:rsidR="00D15D17" w:rsidRPr="00C21D4B" w14:paraId="371ADEA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6DF2E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6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0BCE3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6"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F33FC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E3157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BBD52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ECAE8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7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052F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3090" w:type="dxa"/>
            <w:gridSpan w:val="2"/>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AC03C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F4A0ED6"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1CDCD7A8"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4.   Risques liés aux emprunts</w:t>
            </w:r>
          </w:p>
        </w:tc>
      </w:tr>
      <w:tr w:rsidR="00D15D17" w:rsidRPr="00C21D4B" w14:paraId="54F8B23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281A8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23</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8EB7BD" w14:textId="09298A5D"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Valeur des emprunts de liquidités ou de titres</w:t>
            </w:r>
            <w:r w:rsidR="003E1E7F" w:rsidRPr="00C21D4B">
              <w:rPr>
                <w:rFonts w:asciiTheme="minorHAnsi" w:hAnsiTheme="minorHAnsi" w:cstheme="minorHAnsi"/>
                <w:b/>
                <w:bCs/>
                <w:color w:val="000000"/>
                <w:sz w:val="22"/>
                <w:szCs w:val="22"/>
              </w:rPr>
              <w:t xml:space="preserve"> </w:t>
            </w:r>
            <w:r w:rsidRPr="00C21D4B">
              <w:rPr>
                <w:rFonts w:asciiTheme="minorHAnsi" w:hAnsiTheme="minorHAnsi" w:cstheme="minorHAnsi"/>
                <w:b/>
                <w:bCs/>
                <w:color w:val="000000"/>
                <w:sz w:val="22"/>
                <w:szCs w:val="22"/>
              </w:rPr>
              <w:t>:</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2B897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4FF0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6CF26F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9DFC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B333B" w14:textId="19ADD5F9"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Emprunts de liquidités non garantis</w:t>
            </w:r>
            <w:r w:rsidR="003E1E7F" w:rsidRPr="00C21D4B">
              <w:rPr>
                <w:rFonts w:asciiTheme="minorHAnsi" w:hAnsiTheme="minorHAnsi" w:cstheme="minorHAnsi"/>
                <w:color w:val="000000"/>
                <w:sz w:val="22"/>
                <w:szCs w:val="22"/>
              </w:rPr>
              <w:t xml:space="preserve"> </w:t>
            </w: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99390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D65C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78CB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63CE16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7D3B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20D29E" w14:textId="32614B20"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Emprunts de liquidités garantis ou collatéralisés</w:t>
            </w:r>
            <w:bookmarkStart w:id="0" w:name="_GoBack"/>
            <w:bookmarkEnd w:id="0"/>
            <w:r w:rsidRPr="00C21D4B">
              <w:rPr>
                <w:rFonts w:asciiTheme="minorHAnsi" w:hAnsiTheme="minorHAnsi" w:cstheme="minorHAnsi"/>
                <w:color w:val="000000"/>
                <w:sz w:val="22"/>
                <w:szCs w:val="22"/>
              </w:rPr>
              <w:t xml:space="preserve"> – Via un courtier principal</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3CBC6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4C6C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1AE12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EBBAB4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A0CBE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BBCE7E" w14:textId="598BEAAF"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Emprunts de liquidités garantis ou collatéralisés – Via une opération de pension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ED5C4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F961C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2947F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7C1F3D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75C2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6F9F8" w14:textId="67B7102B"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Emprunts de liquidités garantis ou collatéralisés – Via un courtier principal</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0629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43A10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5B01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D66414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495D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24</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E6047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Valeur des emprunts intégrés à des instruments financiers</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555F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00BD2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8CB261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27FF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4957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négociés en bourse: exposition brute, déduction faite de la marge fournie</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651B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AAE4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EBD15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C245DD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1034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67296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Dérivés négociés de gré à gré: exposition brute, déduction faite de la marge fournie</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AC759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7F09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46407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3BB654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2FD81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25</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0E669"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Valeur des titres empruntés pour des positions courtes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1402A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B625C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3C86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1A1161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29B43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26</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F40817" w14:textId="75604885"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 xml:space="preserve">Levier </w:t>
            </w:r>
            <w:r w:rsidR="003E1E7F" w:rsidRPr="00C21D4B">
              <w:rPr>
                <w:rFonts w:asciiTheme="minorHAnsi" w:hAnsiTheme="minorHAnsi" w:cstheme="minorHAnsi"/>
                <w:b/>
                <w:bCs/>
                <w:color w:val="000000"/>
                <w:sz w:val="22"/>
                <w:szCs w:val="22"/>
              </w:rPr>
              <w:t>de l’OPC</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E706F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0201F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119C2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D8D47E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9E6A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2574"/>
            </w:tblGrid>
            <w:tr w:rsidR="00D15D17" w:rsidRPr="00C21D4B" w14:paraId="190CA5B2" w14:textId="77777777" w:rsidTr="005364C7">
              <w:tc>
                <w:tcPr>
                  <w:tcW w:w="0" w:type="auto"/>
                  <w:shd w:val="clear" w:color="auto" w:fill="auto"/>
                  <w:hideMark/>
                </w:tcPr>
                <w:p w14:paraId="217223CE"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32D463FD"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calculé selon la méthode brute</w:t>
                  </w:r>
                </w:p>
              </w:tc>
            </w:tr>
          </w:tbl>
          <w:p w14:paraId="153D6DC4"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8B25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ED86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4F9ED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0F778F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0CC37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2565"/>
            </w:tblGrid>
            <w:tr w:rsidR="00D15D17" w:rsidRPr="00C21D4B" w14:paraId="3A9A55BE" w14:textId="77777777" w:rsidTr="005364C7">
              <w:tc>
                <w:tcPr>
                  <w:tcW w:w="0" w:type="auto"/>
                  <w:shd w:val="clear" w:color="auto" w:fill="auto"/>
                  <w:hideMark/>
                </w:tcPr>
                <w:p w14:paraId="14B43FF8"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6206D15A"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calculé selon la méthode de l’engagement</w:t>
                  </w:r>
                </w:p>
              </w:tc>
            </w:tr>
          </w:tbl>
          <w:p w14:paraId="4DD83104" w14:textId="77777777" w:rsidR="00D15D17" w:rsidRPr="00C21D4B" w:rsidRDefault="00D15D17" w:rsidP="005364C7">
            <w:pPr>
              <w:spacing w:after="300"/>
              <w:rPr>
                <w:rFonts w:asciiTheme="minorHAnsi" w:hAnsiTheme="minorHAnsi" w:cstheme="minorHAnsi"/>
                <w:color w:val="000000"/>
                <w:sz w:val="22"/>
                <w:szCs w:val="22"/>
              </w:rPr>
            </w:pP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DD3BD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4EB68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BDFF4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C1C7329" w14:textId="77777777" w:rsidTr="005364C7">
        <w:tc>
          <w:tcPr>
            <w:tcW w:w="0" w:type="auto"/>
            <w:gridSpan w:val="11"/>
            <w:tcBorders>
              <w:top w:val="single" w:sz="6" w:space="0" w:color="DDDDDD"/>
            </w:tcBorders>
            <w:shd w:val="clear" w:color="auto" w:fill="auto"/>
            <w:tcMar>
              <w:top w:w="120" w:type="dxa"/>
              <w:left w:w="120" w:type="dxa"/>
              <w:bottom w:w="120" w:type="dxa"/>
              <w:right w:w="120" w:type="dxa"/>
            </w:tcMar>
            <w:hideMark/>
          </w:tcPr>
          <w:p w14:paraId="40E8C00C" w14:textId="77777777" w:rsidR="00D15D17" w:rsidRPr="00C21D4B" w:rsidRDefault="00D15D17" w:rsidP="005364C7">
            <w:pPr>
              <w:spacing w:before="60" w:after="60"/>
              <w:ind w:right="195"/>
              <w:jc w:val="center"/>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5.   Risques opérationnels et autres</w:t>
            </w:r>
          </w:p>
        </w:tc>
      </w:tr>
      <w:tr w:rsidR="00D15D17" w:rsidRPr="00C21D4B" w14:paraId="07274DF3"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7ACDD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27</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70100"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Nombre total de positions ouvertes:</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2E45A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3CE2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793D0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5A4B1D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E6284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28</w:t>
            </w:r>
          </w:p>
        </w:tc>
        <w:tc>
          <w:tcPr>
            <w:tcW w:w="8073" w:type="dxa"/>
            <w:gridSpan w:val="10"/>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45D8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b/>
                <w:bCs/>
                <w:color w:val="000000"/>
                <w:sz w:val="22"/>
                <w:szCs w:val="22"/>
              </w:rPr>
              <w:t>Profil de risque historique</w:t>
            </w:r>
          </w:p>
        </w:tc>
      </w:tr>
      <w:tr w:rsidR="00D15D17" w:rsidRPr="00C21D4B" w14:paraId="22232E7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46C4D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8"/>
              <w:gridCol w:w="4565"/>
            </w:tblGrid>
            <w:tr w:rsidR="00D15D17" w:rsidRPr="00C21D4B" w14:paraId="3504B53D" w14:textId="77777777" w:rsidTr="005364C7">
              <w:tc>
                <w:tcPr>
                  <w:tcW w:w="0" w:type="auto"/>
                  <w:shd w:val="clear" w:color="auto" w:fill="auto"/>
                  <w:hideMark/>
                </w:tcPr>
                <w:p w14:paraId="27F9659C"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a)</w:t>
                  </w:r>
                </w:p>
              </w:tc>
              <w:tc>
                <w:tcPr>
                  <w:tcW w:w="0" w:type="auto"/>
                  <w:shd w:val="clear" w:color="auto" w:fill="auto"/>
                  <w:hideMark/>
                </w:tcPr>
                <w:p w14:paraId="25BBE9CA"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Rendement brut des investissements ou TRI de l’OPC sur la période de déclaration (en %, avant déduction des frais de gestion ou des commissions liées aux résultats)</w:t>
                  </w:r>
                </w:p>
              </w:tc>
            </w:tr>
          </w:tbl>
          <w:p w14:paraId="10A9AA3F"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F4F87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EDF02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94104C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9349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2242C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w:t>
            </w:r>
            <w:r w:rsidRPr="00C21D4B">
              <w:rPr>
                <w:rFonts w:asciiTheme="minorHAnsi" w:hAnsiTheme="minorHAnsi" w:cstheme="minorHAnsi"/>
                <w:color w:val="000000"/>
                <w:sz w:val="22"/>
                <w:szCs w:val="22"/>
                <w:vertAlign w:val="superscript"/>
              </w:rPr>
              <w:t>er</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92E5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240CF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2F4A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65D2FF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1637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32B5E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w:t>
            </w:r>
            <w:r w:rsidRPr="00C21D4B">
              <w:rPr>
                <w:rFonts w:asciiTheme="minorHAnsi" w:hAnsiTheme="minorHAnsi" w:cstheme="minorHAnsi"/>
                <w:color w:val="000000"/>
                <w:sz w:val="22"/>
                <w:szCs w:val="22"/>
                <w:vertAlign w:val="superscript"/>
              </w:rPr>
              <w:t>e</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797D0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BDE65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A29A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2148D6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6862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54609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09D74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4532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47A86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61A79D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825AC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E250E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466D0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D0BD5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FBB34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4A09EE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C2453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E71E3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Dernier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ECA6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8572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A3EBF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2DD76FF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BD51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56"/>
            </w:tblGrid>
            <w:tr w:rsidR="00D15D17" w:rsidRPr="00C21D4B" w14:paraId="26609438" w14:textId="77777777" w:rsidTr="005364C7">
              <w:tc>
                <w:tcPr>
                  <w:tcW w:w="0" w:type="auto"/>
                  <w:shd w:val="clear" w:color="auto" w:fill="auto"/>
                  <w:hideMark/>
                </w:tcPr>
                <w:p w14:paraId="382B75EE"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b)</w:t>
                  </w:r>
                </w:p>
              </w:tc>
              <w:tc>
                <w:tcPr>
                  <w:tcW w:w="0" w:type="auto"/>
                  <w:shd w:val="clear" w:color="auto" w:fill="auto"/>
                  <w:hideMark/>
                </w:tcPr>
                <w:p w14:paraId="7657EE5E"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Rendement net des investissements ou TRI de l’OPC sur la période de déclaration (en %, déduction faite des frais de gestion ou des commissions liées aux résultats)</w:t>
                  </w:r>
                </w:p>
              </w:tc>
            </w:tr>
          </w:tbl>
          <w:p w14:paraId="6222FCC9"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8A00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12EA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A0A8B8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F04D5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D5172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w:t>
            </w:r>
            <w:r w:rsidRPr="00C21D4B">
              <w:rPr>
                <w:rFonts w:asciiTheme="minorHAnsi" w:hAnsiTheme="minorHAnsi" w:cstheme="minorHAnsi"/>
                <w:color w:val="000000"/>
                <w:sz w:val="22"/>
                <w:szCs w:val="22"/>
                <w:vertAlign w:val="superscript"/>
              </w:rPr>
              <w:t>er</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E5B3E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4112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36D7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83C256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8719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4AB83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w:t>
            </w:r>
            <w:r w:rsidRPr="00C21D4B">
              <w:rPr>
                <w:rFonts w:asciiTheme="minorHAnsi" w:hAnsiTheme="minorHAnsi" w:cstheme="minorHAnsi"/>
                <w:color w:val="000000"/>
                <w:sz w:val="22"/>
                <w:szCs w:val="22"/>
                <w:vertAlign w:val="superscript"/>
              </w:rPr>
              <w:t>e</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8B358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91963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3DC1A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177F5C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73973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7C042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8EFD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D6D01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F913C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2FD051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1CE0A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E46A0C"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52B5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1CB8C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E9235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948D7A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B9FAD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89A4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Dernier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A402B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90DA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5DC48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985A947"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67B2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61"/>
              <w:gridCol w:w="4582"/>
            </w:tblGrid>
            <w:tr w:rsidR="00D15D17" w:rsidRPr="00C21D4B" w14:paraId="1F648EBB" w14:textId="77777777" w:rsidTr="005364C7">
              <w:tc>
                <w:tcPr>
                  <w:tcW w:w="0" w:type="auto"/>
                  <w:shd w:val="clear" w:color="auto" w:fill="auto"/>
                  <w:hideMark/>
                </w:tcPr>
                <w:p w14:paraId="74309F86"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c)</w:t>
                  </w:r>
                </w:p>
              </w:tc>
              <w:tc>
                <w:tcPr>
                  <w:tcW w:w="0" w:type="auto"/>
                  <w:shd w:val="clear" w:color="auto" w:fill="auto"/>
                  <w:hideMark/>
                </w:tcPr>
                <w:p w14:paraId="0864D5A3"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Variations de la valeur d’inventaire nette de l’OPC sur la période de déclaration (en %, après prise en compte de l’impact des souscriptions et remboursements)</w:t>
                  </w:r>
                </w:p>
              </w:tc>
            </w:tr>
          </w:tbl>
          <w:p w14:paraId="6FC45E78"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906D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378F6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A4C1552"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BBE57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5F6D9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w:t>
            </w:r>
            <w:r w:rsidRPr="00C21D4B">
              <w:rPr>
                <w:rFonts w:asciiTheme="minorHAnsi" w:hAnsiTheme="minorHAnsi" w:cstheme="minorHAnsi"/>
                <w:color w:val="000000"/>
                <w:sz w:val="22"/>
                <w:szCs w:val="22"/>
                <w:vertAlign w:val="superscript"/>
              </w:rPr>
              <w:t>er</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FCCFE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1208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A5AD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32EF29F"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AA02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3E4525"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w:t>
            </w:r>
            <w:r w:rsidRPr="00C21D4B">
              <w:rPr>
                <w:rFonts w:asciiTheme="minorHAnsi" w:hAnsiTheme="minorHAnsi" w:cstheme="minorHAnsi"/>
                <w:color w:val="000000"/>
                <w:sz w:val="22"/>
                <w:szCs w:val="22"/>
                <w:vertAlign w:val="superscript"/>
              </w:rPr>
              <w:t>e</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F5B8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9747F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B1E87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75DDE5C"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E80C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3E0811"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8352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AB6C1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D6E51"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A8585F8"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284D7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059C6"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F0B35B"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1D8D4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C13E7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3F27BE1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712A7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764FD2"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Dernier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E12786"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B5F97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F8C5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E1275A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B48C6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17"/>
              <w:gridCol w:w="4526"/>
            </w:tblGrid>
            <w:tr w:rsidR="00D15D17" w:rsidRPr="00C21D4B" w14:paraId="0DC23400" w14:textId="77777777" w:rsidTr="005364C7">
              <w:tc>
                <w:tcPr>
                  <w:tcW w:w="0" w:type="auto"/>
                  <w:shd w:val="clear" w:color="auto" w:fill="auto"/>
                  <w:hideMark/>
                </w:tcPr>
                <w:p w14:paraId="137B955A"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d)</w:t>
                  </w:r>
                </w:p>
              </w:tc>
              <w:tc>
                <w:tcPr>
                  <w:tcW w:w="0" w:type="auto"/>
                  <w:shd w:val="clear" w:color="auto" w:fill="auto"/>
                  <w:hideMark/>
                </w:tcPr>
                <w:p w14:paraId="071D6541"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Souscriptions sur la période de déclaration</w:t>
                  </w:r>
                </w:p>
              </w:tc>
            </w:tr>
          </w:tbl>
          <w:p w14:paraId="6E519F1E"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5227C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DBE8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F3733BE"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8DEF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D716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w:t>
            </w:r>
            <w:r w:rsidRPr="00C21D4B">
              <w:rPr>
                <w:rFonts w:asciiTheme="minorHAnsi" w:hAnsiTheme="minorHAnsi" w:cstheme="minorHAnsi"/>
                <w:color w:val="000000"/>
                <w:sz w:val="22"/>
                <w:szCs w:val="22"/>
                <w:vertAlign w:val="superscript"/>
              </w:rPr>
              <w:t>er</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8482EA"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9F269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97878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301AE40"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C8B08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280C58"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w:t>
            </w:r>
            <w:r w:rsidRPr="00C21D4B">
              <w:rPr>
                <w:rFonts w:asciiTheme="minorHAnsi" w:hAnsiTheme="minorHAnsi" w:cstheme="minorHAnsi"/>
                <w:color w:val="000000"/>
                <w:sz w:val="22"/>
                <w:szCs w:val="22"/>
                <w:vertAlign w:val="superscript"/>
              </w:rPr>
              <w:t>e</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6E70B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E834F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45B36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A95946D"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689B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E21BA"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40AAD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7FFBC"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4A972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A0FBCBB"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BEA9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3B09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B90B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B84D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4D79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246F781"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C83BF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B100AB"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Dernier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7371D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E4320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5F40D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472C07A4"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91FEB0"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4983" w:type="dxa"/>
            <w:gridSpan w:val="8"/>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1"/>
              <w:gridCol w:w="4552"/>
            </w:tblGrid>
            <w:tr w:rsidR="00D15D17" w:rsidRPr="00C21D4B" w14:paraId="256F24E4" w14:textId="77777777" w:rsidTr="005364C7">
              <w:tc>
                <w:tcPr>
                  <w:tcW w:w="0" w:type="auto"/>
                  <w:shd w:val="clear" w:color="auto" w:fill="auto"/>
                  <w:hideMark/>
                </w:tcPr>
                <w:p w14:paraId="06E44BDB" w14:textId="77777777" w:rsidR="00D15D17" w:rsidRPr="00C21D4B" w:rsidRDefault="00D15D17" w:rsidP="005364C7">
                  <w:pPr>
                    <w:spacing w:before="120"/>
                    <w:jc w:val="both"/>
                    <w:rPr>
                      <w:rFonts w:asciiTheme="minorHAnsi" w:hAnsiTheme="minorHAnsi" w:cstheme="minorHAnsi"/>
                      <w:sz w:val="22"/>
                      <w:szCs w:val="22"/>
                    </w:rPr>
                  </w:pPr>
                  <w:r w:rsidRPr="00C21D4B">
                    <w:rPr>
                      <w:rFonts w:asciiTheme="minorHAnsi" w:hAnsiTheme="minorHAnsi" w:cstheme="minorHAnsi"/>
                      <w:b/>
                      <w:bCs/>
                      <w:sz w:val="22"/>
                      <w:szCs w:val="22"/>
                    </w:rPr>
                    <w:t>e)</w:t>
                  </w:r>
                </w:p>
              </w:tc>
              <w:tc>
                <w:tcPr>
                  <w:tcW w:w="0" w:type="auto"/>
                  <w:shd w:val="clear" w:color="auto" w:fill="auto"/>
                  <w:hideMark/>
                </w:tcPr>
                <w:p w14:paraId="7F3EC096" w14:textId="77777777" w:rsidR="00D15D17" w:rsidRPr="00C21D4B" w:rsidRDefault="00D15D17" w:rsidP="005364C7">
                  <w:pPr>
                    <w:rPr>
                      <w:rFonts w:asciiTheme="minorHAnsi" w:hAnsiTheme="minorHAnsi" w:cstheme="minorHAnsi"/>
                      <w:sz w:val="22"/>
                      <w:szCs w:val="22"/>
                    </w:rPr>
                  </w:pPr>
                  <w:r w:rsidRPr="00C21D4B">
                    <w:rPr>
                      <w:rFonts w:asciiTheme="minorHAnsi" w:hAnsiTheme="minorHAnsi" w:cstheme="minorHAnsi"/>
                      <w:b/>
                      <w:bCs/>
                      <w:sz w:val="22"/>
                      <w:szCs w:val="22"/>
                    </w:rPr>
                    <w:t>Remboursements sur la période de déclaration</w:t>
                  </w:r>
                </w:p>
              </w:tc>
            </w:tr>
          </w:tbl>
          <w:p w14:paraId="33E715F9" w14:textId="77777777" w:rsidR="00D15D17" w:rsidRPr="00C21D4B" w:rsidRDefault="00D15D17" w:rsidP="005364C7">
            <w:pPr>
              <w:spacing w:after="300"/>
              <w:rPr>
                <w:rFonts w:asciiTheme="minorHAnsi" w:hAnsiTheme="minorHAnsi" w:cstheme="minorHAnsi"/>
                <w:color w:val="000000"/>
                <w:sz w:val="22"/>
                <w:szCs w:val="22"/>
              </w:rPr>
            </w:pP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42AE7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2B461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5AE3C77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DF60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43F6A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1</w:t>
            </w:r>
            <w:r w:rsidRPr="00C21D4B">
              <w:rPr>
                <w:rFonts w:asciiTheme="minorHAnsi" w:hAnsiTheme="minorHAnsi" w:cstheme="minorHAnsi"/>
                <w:color w:val="000000"/>
                <w:sz w:val="22"/>
                <w:szCs w:val="22"/>
                <w:vertAlign w:val="superscript"/>
              </w:rPr>
              <w:t>er</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5B5B8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D366F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211307"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685654DA"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7E47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B57B74"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2</w:t>
            </w:r>
            <w:r w:rsidRPr="00C21D4B">
              <w:rPr>
                <w:rFonts w:asciiTheme="minorHAnsi" w:hAnsiTheme="minorHAnsi" w:cstheme="minorHAnsi"/>
                <w:color w:val="000000"/>
                <w:sz w:val="22"/>
                <w:szCs w:val="22"/>
                <w:vertAlign w:val="superscript"/>
              </w:rPr>
              <w:t>e</w:t>
            </w:r>
            <w:r w:rsidRPr="00C21D4B">
              <w:rPr>
                <w:rFonts w:asciiTheme="minorHAnsi" w:hAnsiTheme="minorHAnsi" w:cstheme="minorHAnsi"/>
                <w:color w:val="000000"/>
                <w:sz w:val="22"/>
                <w:szCs w:val="22"/>
              </w:rPr>
              <w:t>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4E0EA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94B35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21ED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0AE99E69"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2303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00CC4F"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AA9EC2"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994AD3"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D84C0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1BCB1D96"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6ECAE8"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AF8EE"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DC8359"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7D2B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4B60BE"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r w:rsidR="00D15D17" w:rsidRPr="00C21D4B" w14:paraId="79CA63F5" w14:textId="77777777" w:rsidTr="005364C7">
        <w:tc>
          <w:tcPr>
            <w:tcW w:w="97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3ABEAF"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lastRenderedPageBreak/>
              <w:t> </w:t>
            </w:r>
          </w:p>
        </w:tc>
        <w:tc>
          <w:tcPr>
            <w:tcW w:w="2992"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22C73" w14:textId="77777777" w:rsidR="00D15D17" w:rsidRPr="00C21D4B" w:rsidRDefault="00D15D17" w:rsidP="005364C7">
            <w:pPr>
              <w:spacing w:before="60" w:after="60"/>
              <w:rPr>
                <w:rFonts w:asciiTheme="minorHAnsi" w:hAnsiTheme="minorHAnsi" w:cstheme="minorHAnsi"/>
                <w:color w:val="000000"/>
                <w:sz w:val="22"/>
                <w:szCs w:val="22"/>
              </w:rPr>
            </w:pPr>
            <w:r w:rsidRPr="00C21D4B">
              <w:rPr>
                <w:rFonts w:asciiTheme="minorHAnsi" w:hAnsiTheme="minorHAnsi" w:cstheme="minorHAnsi"/>
                <w:color w:val="000000"/>
                <w:sz w:val="22"/>
                <w:szCs w:val="22"/>
              </w:rPr>
              <w:t>Dernier mois de la période de déclaration</w:t>
            </w:r>
          </w:p>
        </w:tc>
        <w:tc>
          <w:tcPr>
            <w:tcW w:w="1991" w:type="dxa"/>
            <w:gridSpan w:val="3"/>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FE855"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78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0D354"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c>
          <w:tcPr>
            <w:tcW w:w="130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81E2D" w14:textId="77777777" w:rsidR="00D15D17" w:rsidRPr="00C21D4B" w:rsidRDefault="00D15D17" w:rsidP="005364C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w:t>
            </w:r>
          </w:p>
        </w:tc>
      </w:tr>
    </w:tbl>
    <w:p w14:paraId="4216887F" w14:textId="1AF76298" w:rsidR="00D15D17" w:rsidRPr="00C21D4B" w:rsidRDefault="00D15D17" w:rsidP="00D15D1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Les valeurs monétaires sont à indiquer dans la monnaie principale de l’OPC.</w:t>
      </w:r>
    </w:p>
    <w:p w14:paraId="0C0B5866" w14:textId="77777777" w:rsidR="008A3A6C" w:rsidRDefault="008A3A6C" w:rsidP="00D15D17">
      <w:pPr>
        <w:spacing w:before="240" w:after="120"/>
        <w:jc w:val="both"/>
        <w:rPr>
          <w:rFonts w:asciiTheme="minorHAnsi" w:hAnsiTheme="minorHAnsi" w:cstheme="minorHAnsi"/>
          <w:b/>
          <w:bCs/>
          <w:color w:val="000000"/>
          <w:sz w:val="22"/>
          <w:szCs w:val="22"/>
        </w:rPr>
      </w:pPr>
    </w:p>
    <w:p w14:paraId="757F4062" w14:textId="77777777" w:rsidR="00D15D17" w:rsidRPr="00C21D4B" w:rsidRDefault="00D15D17" w:rsidP="00D15D17">
      <w:pPr>
        <w:spacing w:before="240" w:after="120"/>
        <w:jc w:val="both"/>
        <w:rPr>
          <w:rFonts w:asciiTheme="minorHAnsi" w:hAnsiTheme="minorHAnsi" w:cstheme="minorHAnsi"/>
          <w:b/>
          <w:bCs/>
          <w:color w:val="000000"/>
          <w:sz w:val="22"/>
          <w:szCs w:val="22"/>
        </w:rPr>
      </w:pPr>
      <w:r w:rsidRPr="00C21D4B">
        <w:rPr>
          <w:rFonts w:asciiTheme="minorHAnsi" w:hAnsiTheme="minorHAnsi" w:cstheme="minorHAnsi"/>
          <w:b/>
          <w:bCs/>
          <w:color w:val="000000"/>
          <w:sz w:val="22"/>
          <w:szCs w:val="22"/>
        </w:rPr>
        <w:t>Résultat des simulations de crise</w:t>
      </w:r>
    </w:p>
    <w:p w14:paraId="38A760ED" w14:textId="10288256" w:rsidR="006118FD" w:rsidRDefault="00D15D17" w:rsidP="00D15D17">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Veuillez indiquer le </w:t>
      </w:r>
      <w:r w:rsidRPr="00C21D4B">
        <w:rPr>
          <w:rFonts w:asciiTheme="minorHAnsi" w:hAnsiTheme="minorHAnsi" w:cstheme="minorHAnsi"/>
          <w:b/>
          <w:bCs/>
          <w:color w:val="000000"/>
          <w:sz w:val="22"/>
          <w:szCs w:val="22"/>
        </w:rPr>
        <w:t>résultat des simulations de crise</w:t>
      </w:r>
      <w:r w:rsidRPr="00C21D4B">
        <w:rPr>
          <w:rFonts w:asciiTheme="minorHAnsi" w:hAnsiTheme="minorHAnsi" w:cstheme="minorHAnsi"/>
          <w:color w:val="000000"/>
          <w:sz w:val="22"/>
          <w:szCs w:val="22"/>
        </w:rPr>
        <w:t> </w:t>
      </w:r>
      <w:r w:rsidR="003C7958" w:rsidRPr="00C21D4B">
        <w:rPr>
          <w:rFonts w:asciiTheme="minorHAnsi" w:hAnsiTheme="minorHAnsi" w:cstheme="minorHAnsi"/>
          <w:color w:val="000000"/>
          <w:sz w:val="22"/>
          <w:szCs w:val="22"/>
        </w:rPr>
        <w:t>réalisées.</w:t>
      </w:r>
    </w:p>
    <w:p w14:paraId="28F2C2A0" w14:textId="77777777" w:rsidR="008A3A6C" w:rsidRDefault="008A3A6C" w:rsidP="00D15D17">
      <w:pPr>
        <w:spacing w:before="120"/>
        <w:jc w:val="both"/>
        <w:rPr>
          <w:rFonts w:asciiTheme="minorHAnsi" w:hAnsiTheme="minorHAnsi" w:cstheme="minorHAnsi"/>
          <w:color w:val="000000"/>
          <w:sz w:val="22"/>
          <w:szCs w:val="22"/>
        </w:rPr>
      </w:pPr>
    </w:p>
    <w:p w14:paraId="04213DEF" w14:textId="77777777" w:rsidR="008A3A6C" w:rsidRDefault="008A3A6C" w:rsidP="00D15D17">
      <w:pPr>
        <w:spacing w:before="120"/>
        <w:jc w:val="both"/>
        <w:rPr>
          <w:rFonts w:asciiTheme="minorHAnsi" w:hAnsiTheme="minorHAnsi" w:cstheme="minorHAnsi"/>
          <w:color w:val="000000"/>
          <w:sz w:val="22"/>
          <w:szCs w:val="22"/>
        </w:rPr>
      </w:pPr>
    </w:p>
    <w:p w14:paraId="0A51AA15" w14:textId="77777777" w:rsidR="008A3A6C" w:rsidRDefault="008A3A6C" w:rsidP="00D15D17">
      <w:pPr>
        <w:spacing w:before="120"/>
        <w:jc w:val="both"/>
        <w:rPr>
          <w:rFonts w:asciiTheme="minorHAnsi" w:hAnsiTheme="minorHAnsi" w:cstheme="minorHAnsi"/>
          <w:color w:val="000000"/>
          <w:sz w:val="22"/>
          <w:szCs w:val="22"/>
        </w:rPr>
      </w:pPr>
    </w:p>
    <w:p w14:paraId="79F69A34" w14:textId="77777777" w:rsidR="008A3A6C" w:rsidRDefault="008A3A6C" w:rsidP="00D15D17">
      <w:pPr>
        <w:spacing w:before="120"/>
        <w:jc w:val="both"/>
        <w:rPr>
          <w:rFonts w:asciiTheme="minorHAnsi" w:hAnsiTheme="minorHAnsi" w:cstheme="minorHAnsi"/>
          <w:color w:val="000000"/>
          <w:sz w:val="22"/>
          <w:szCs w:val="22"/>
        </w:rPr>
      </w:pPr>
    </w:p>
    <w:p w14:paraId="0486AE09" w14:textId="77777777" w:rsidR="008A3A6C" w:rsidRDefault="008A3A6C" w:rsidP="00D15D17">
      <w:pPr>
        <w:spacing w:before="120"/>
        <w:jc w:val="both"/>
        <w:rPr>
          <w:rFonts w:asciiTheme="minorHAnsi" w:hAnsiTheme="minorHAnsi" w:cstheme="minorHAnsi"/>
          <w:color w:val="000000"/>
          <w:sz w:val="22"/>
          <w:szCs w:val="22"/>
        </w:rPr>
      </w:pPr>
    </w:p>
    <w:p w14:paraId="3DCF4D89" w14:textId="77777777" w:rsidR="008A3A6C" w:rsidRDefault="008A3A6C" w:rsidP="00D15D17">
      <w:pPr>
        <w:spacing w:before="120"/>
        <w:jc w:val="both"/>
        <w:rPr>
          <w:rFonts w:asciiTheme="minorHAnsi" w:hAnsiTheme="minorHAnsi" w:cstheme="minorHAnsi"/>
          <w:color w:val="000000"/>
          <w:sz w:val="22"/>
          <w:szCs w:val="22"/>
        </w:rPr>
      </w:pPr>
    </w:p>
    <w:p w14:paraId="54DE586F" w14:textId="77777777" w:rsidR="008A3A6C" w:rsidRDefault="008A3A6C" w:rsidP="00D15D17">
      <w:pPr>
        <w:spacing w:before="120"/>
        <w:jc w:val="both"/>
        <w:rPr>
          <w:rFonts w:asciiTheme="minorHAnsi" w:hAnsiTheme="minorHAnsi" w:cstheme="minorHAnsi"/>
          <w:color w:val="000000"/>
          <w:sz w:val="22"/>
          <w:szCs w:val="22"/>
        </w:rPr>
      </w:pPr>
    </w:p>
    <w:p w14:paraId="70F38817" w14:textId="77777777" w:rsidR="008A3A6C" w:rsidRDefault="008A3A6C" w:rsidP="00D15D17">
      <w:pPr>
        <w:spacing w:before="120"/>
        <w:jc w:val="both"/>
        <w:rPr>
          <w:rFonts w:asciiTheme="minorHAnsi" w:hAnsiTheme="minorHAnsi" w:cstheme="minorHAnsi"/>
          <w:color w:val="000000"/>
          <w:sz w:val="22"/>
          <w:szCs w:val="22"/>
        </w:rPr>
      </w:pPr>
    </w:p>
    <w:p w14:paraId="49B8DE87" w14:textId="77777777" w:rsidR="008A3A6C" w:rsidRDefault="008A3A6C" w:rsidP="00D15D17">
      <w:pPr>
        <w:spacing w:before="120"/>
        <w:jc w:val="both"/>
        <w:rPr>
          <w:rFonts w:asciiTheme="minorHAnsi" w:hAnsiTheme="minorHAnsi" w:cstheme="minorHAnsi"/>
          <w:color w:val="000000"/>
          <w:sz w:val="22"/>
          <w:szCs w:val="22"/>
        </w:rPr>
      </w:pPr>
    </w:p>
    <w:p w14:paraId="543DCAC4" w14:textId="77777777" w:rsidR="008A3A6C" w:rsidRDefault="008A3A6C" w:rsidP="00D15D17">
      <w:pPr>
        <w:spacing w:before="120"/>
        <w:jc w:val="both"/>
        <w:rPr>
          <w:rFonts w:asciiTheme="minorHAnsi" w:hAnsiTheme="minorHAnsi" w:cstheme="minorHAnsi"/>
          <w:color w:val="000000"/>
          <w:sz w:val="22"/>
          <w:szCs w:val="22"/>
        </w:rPr>
      </w:pPr>
    </w:p>
    <w:p w14:paraId="3832D324" w14:textId="77777777" w:rsidR="008A3A6C" w:rsidRDefault="008A3A6C" w:rsidP="008A3A6C">
      <w:pPr>
        <w:spacing w:before="100" w:beforeAutospacing="1" w:after="100" w:afterAutospacing="1"/>
        <w:ind w:left="3544"/>
        <w:jc w:val="right"/>
        <w:rPr>
          <w:rFonts w:cstheme="minorHAnsi"/>
          <w:sz w:val="22"/>
          <w:szCs w:val="22"/>
        </w:rPr>
      </w:pPr>
      <w:r>
        <w:rPr>
          <w:rFonts w:cstheme="minorHAnsi"/>
          <w:sz w:val="22"/>
          <w:szCs w:val="22"/>
        </w:rPr>
        <w:t xml:space="preserve">Fait </w:t>
      </w:r>
      <w:proofErr w:type="spellStart"/>
      <w:r>
        <w:rPr>
          <w:rFonts w:cstheme="minorHAnsi"/>
          <w:sz w:val="22"/>
          <w:szCs w:val="22"/>
        </w:rPr>
        <w:t>a</w:t>
      </w:r>
      <w:proofErr w:type="spellEnd"/>
      <w:r>
        <w:rPr>
          <w:rFonts w:cstheme="minorHAnsi"/>
          <w:sz w:val="22"/>
          <w:szCs w:val="22"/>
        </w:rPr>
        <w:t>̀ Libreville, le X/X/2024</w:t>
      </w:r>
    </w:p>
    <w:p w14:paraId="10DADD01" w14:textId="77777777" w:rsidR="008A3A6C" w:rsidRDefault="008A3A6C" w:rsidP="008A3A6C">
      <w:pPr>
        <w:spacing w:before="100" w:beforeAutospacing="1" w:after="100" w:afterAutospacing="1"/>
        <w:ind w:left="3544"/>
        <w:jc w:val="right"/>
        <w:rPr>
          <w:rFonts w:cstheme="minorHAnsi"/>
          <w:sz w:val="22"/>
          <w:szCs w:val="22"/>
        </w:rPr>
      </w:pPr>
      <w:r>
        <w:rPr>
          <w:rFonts w:cstheme="minorHAnsi"/>
          <w:sz w:val="22"/>
          <w:szCs w:val="22"/>
        </w:rPr>
        <w:t xml:space="preserve">Signé le XX/XX/2024 </w:t>
      </w:r>
    </w:p>
    <w:p w14:paraId="375D296F" w14:textId="77777777" w:rsidR="008A3A6C" w:rsidRDefault="008A3A6C" w:rsidP="008A3A6C">
      <w:pPr>
        <w:spacing w:before="100" w:beforeAutospacing="1" w:after="100" w:afterAutospacing="1"/>
        <w:ind w:left="3544"/>
        <w:jc w:val="right"/>
        <w:rPr>
          <w:rFonts w:cstheme="minorHAnsi"/>
          <w:sz w:val="22"/>
          <w:szCs w:val="22"/>
        </w:rPr>
      </w:pPr>
      <w:r>
        <w:rPr>
          <w:rFonts w:cstheme="minorHAnsi"/>
          <w:sz w:val="22"/>
          <w:szCs w:val="22"/>
        </w:rPr>
        <w:t xml:space="preserve">Pour la COSUMAF, </w:t>
      </w:r>
    </w:p>
    <w:p w14:paraId="46D1280B" w14:textId="77777777" w:rsidR="00357E87" w:rsidRDefault="00357E87" w:rsidP="00357E87">
      <w:pPr>
        <w:spacing w:before="100" w:beforeAutospacing="1" w:after="100" w:afterAutospacing="1"/>
        <w:jc w:val="both"/>
        <w:rPr>
          <w:rFonts w:asciiTheme="minorHAnsi" w:hAnsiTheme="minorHAnsi" w:cstheme="minorHAnsi"/>
          <w:color w:val="000000"/>
          <w:sz w:val="22"/>
          <w:szCs w:val="22"/>
        </w:rPr>
      </w:pPr>
    </w:p>
    <w:p w14:paraId="60FA07C2" w14:textId="77777777" w:rsidR="00357E87" w:rsidRDefault="00357E87" w:rsidP="00357E87">
      <w:pPr>
        <w:spacing w:before="100" w:beforeAutospacing="1" w:after="100" w:afterAutospacing="1"/>
        <w:jc w:val="both"/>
        <w:rPr>
          <w:rFonts w:asciiTheme="minorHAnsi" w:hAnsiTheme="minorHAnsi" w:cstheme="minorHAnsi"/>
          <w:color w:val="000000"/>
          <w:sz w:val="22"/>
          <w:szCs w:val="22"/>
        </w:rPr>
      </w:pPr>
    </w:p>
    <w:p w14:paraId="73088E8A" w14:textId="77777777" w:rsidR="00357E87" w:rsidRDefault="00357E87" w:rsidP="00357E87">
      <w:pPr>
        <w:spacing w:before="100" w:beforeAutospacing="1" w:after="100" w:afterAutospacing="1"/>
        <w:jc w:val="both"/>
        <w:rPr>
          <w:rFonts w:asciiTheme="minorHAnsi" w:hAnsiTheme="minorHAnsi" w:cstheme="minorHAnsi"/>
          <w:color w:val="000000"/>
          <w:sz w:val="22"/>
          <w:szCs w:val="22"/>
        </w:rPr>
      </w:pPr>
    </w:p>
    <w:p w14:paraId="2A514802" w14:textId="77777777" w:rsidR="00357E87" w:rsidRDefault="00357E87" w:rsidP="00357E87">
      <w:pPr>
        <w:spacing w:before="100" w:beforeAutospacing="1" w:after="100" w:afterAutospacing="1"/>
        <w:jc w:val="both"/>
        <w:rPr>
          <w:rFonts w:asciiTheme="minorHAnsi" w:hAnsiTheme="minorHAnsi" w:cstheme="minorHAnsi"/>
          <w:color w:val="000000"/>
          <w:sz w:val="22"/>
          <w:szCs w:val="22"/>
        </w:rPr>
      </w:pPr>
    </w:p>
    <w:p w14:paraId="0B444295" w14:textId="77777777" w:rsidR="00357E87" w:rsidRDefault="00357E87" w:rsidP="00357E87">
      <w:pPr>
        <w:spacing w:before="100" w:beforeAutospacing="1" w:after="100" w:afterAutospacing="1"/>
        <w:jc w:val="both"/>
        <w:rPr>
          <w:rFonts w:asciiTheme="minorHAnsi" w:hAnsiTheme="minorHAnsi" w:cstheme="minorHAnsi"/>
          <w:color w:val="000000"/>
          <w:sz w:val="22"/>
          <w:szCs w:val="22"/>
        </w:rPr>
      </w:pPr>
    </w:p>
    <w:p w14:paraId="54BAF70A" w14:textId="77777777" w:rsidR="00357E87" w:rsidRDefault="00357E87" w:rsidP="00357E87">
      <w:pPr>
        <w:spacing w:before="100" w:beforeAutospacing="1" w:after="100" w:afterAutospacing="1"/>
        <w:jc w:val="both"/>
        <w:rPr>
          <w:rFonts w:asciiTheme="minorHAnsi" w:hAnsiTheme="minorHAnsi" w:cstheme="minorHAnsi"/>
          <w:color w:val="000000"/>
          <w:sz w:val="22"/>
          <w:szCs w:val="22"/>
        </w:rPr>
      </w:pPr>
    </w:p>
    <w:p w14:paraId="23A41B38" w14:textId="77777777" w:rsidR="00357E87" w:rsidRDefault="00357E87" w:rsidP="00357E87">
      <w:pPr>
        <w:spacing w:before="100" w:beforeAutospacing="1" w:after="100" w:afterAutospacing="1"/>
        <w:jc w:val="both"/>
        <w:rPr>
          <w:rFonts w:asciiTheme="minorHAnsi" w:hAnsiTheme="minorHAnsi" w:cstheme="minorHAnsi"/>
          <w:color w:val="000000"/>
          <w:sz w:val="22"/>
          <w:szCs w:val="22"/>
        </w:rPr>
      </w:pPr>
    </w:p>
    <w:p w14:paraId="69B4EBFD" w14:textId="77777777" w:rsidR="00357E87" w:rsidRDefault="00357E87" w:rsidP="00357E87">
      <w:pPr>
        <w:spacing w:before="100" w:beforeAutospacing="1" w:after="100" w:afterAutospacing="1"/>
        <w:jc w:val="both"/>
        <w:rPr>
          <w:rFonts w:asciiTheme="minorHAnsi" w:hAnsiTheme="minorHAnsi" w:cstheme="minorHAnsi"/>
          <w:color w:val="000000"/>
          <w:sz w:val="22"/>
          <w:szCs w:val="22"/>
        </w:rPr>
      </w:pPr>
    </w:p>
    <w:p w14:paraId="467CFFA6" w14:textId="47C76096" w:rsidR="008A3A6C" w:rsidRDefault="008A3A6C" w:rsidP="00357E87">
      <w:pPr>
        <w:spacing w:before="100" w:beforeAutospacing="1" w:after="100" w:afterAutospacing="1"/>
        <w:jc w:val="both"/>
        <w:rPr>
          <w:rFonts w:cstheme="minorHAnsi"/>
          <w:sz w:val="22"/>
          <w:szCs w:val="22"/>
        </w:rPr>
      </w:pPr>
      <w:r>
        <w:rPr>
          <w:rFonts w:cstheme="minorHAnsi"/>
          <w:sz w:val="22"/>
          <w:szCs w:val="22"/>
        </w:rPr>
        <w:t xml:space="preserve"> </w:t>
      </w:r>
    </w:p>
    <w:p w14:paraId="254624C6" w14:textId="0EFD7DE6" w:rsidR="008A3A6C" w:rsidRPr="008A3A6C" w:rsidRDefault="008A3A6C" w:rsidP="00B26CCE">
      <w:pPr>
        <w:rPr>
          <w:rFonts w:asciiTheme="minorHAnsi" w:hAnsiTheme="minorHAnsi" w:cstheme="minorHAnsi"/>
          <w:sz w:val="22"/>
          <w:szCs w:val="22"/>
        </w:rPr>
      </w:pPr>
    </w:p>
    <w:p w14:paraId="5D12CE10" w14:textId="12E279AB" w:rsidR="00FB2B0A" w:rsidRPr="00C21D4B" w:rsidRDefault="00452B49" w:rsidP="00FB2B0A">
      <w:pPr>
        <w:pStyle w:val="NormalWeb"/>
        <w:shd w:val="clear" w:color="auto" w:fill="FFFFFF" w:themeFill="background1"/>
        <w:rPr>
          <w:rFonts w:asciiTheme="minorHAnsi" w:hAnsiTheme="minorHAnsi" w:cstheme="minorHAnsi"/>
          <w:b/>
          <w:bCs/>
          <w:sz w:val="22"/>
          <w:szCs w:val="22"/>
          <w:u w:val="single"/>
        </w:rPr>
      </w:pPr>
      <w:r w:rsidRPr="00C21D4B">
        <w:rPr>
          <w:rFonts w:asciiTheme="minorHAnsi" w:hAnsiTheme="minorHAnsi" w:cstheme="minorHAnsi"/>
          <w:b/>
          <w:bCs/>
          <w:sz w:val="22"/>
          <w:szCs w:val="22"/>
        </w:rPr>
        <w:lastRenderedPageBreak/>
        <w:t>A</w:t>
      </w:r>
      <w:r w:rsidR="00C74FB0" w:rsidRPr="00C21D4B">
        <w:rPr>
          <w:rFonts w:asciiTheme="minorHAnsi" w:hAnsiTheme="minorHAnsi" w:cstheme="minorHAnsi"/>
          <w:b/>
          <w:bCs/>
          <w:sz w:val="22"/>
          <w:szCs w:val="22"/>
        </w:rPr>
        <w:t>NNEXE</w:t>
      </w:r>
      <w:r w:rsidRPr="00C21D4B">
        <w:rPr>
          <w:rFonts w:asciiTheme="minorHAnsi" w:hAnsiTheme="minorHAnsi" w:cstheme="minorHAnsi"/>
          <w:b/>
          <w:bCs/>
          <w:sz w:val="22"/>
          <w:szCs w:val="22"/>
        </w:rPr>
        <w:t xml:space="preserve"> I – </w:t>
      </w:r>
      <w:r w:rsidRPr="00C21D4B">
        <w:rPr>
          <w:rFonts w:asciiTheme="minorHAnsi" w:hAnsiTheme="minorHAnsi" w:cstheme="minorHAnsi"/>
          <w:b/>
          <w:bCs/>
          <w:sz w:val="22"/>
          <w:szCs w:val="22"/>
          <w:u w:val="single"/>
        </w:rPr>
        <w:t>CALCUL DE LA VALEUR TOTALE DES ACTIFS GERES</w:t>
      </w:r>
    </w:p>
    <w:p w14:paraId="594F8C84" w14:textId="4AB9F89C" w:rsidR="00452B49" w:rsidRPr="00C21D4B" w:rsidRDefault="00452B49" w:rsidP="00A3057B">
      <w:pPr>
        <w:pStyle w:val="Paragraphedeliste"/>
        <w:numPr>
          <w:ilvl w:val="0"/>
          <w:numId w:val="13"/>
        </w:numPr>
        <w:spacing w:before="120"/>
        <w:jc w:val="both"/>
        <w:rPr>
          <w:rFonts w:cstheme="minorHAnsi"/>
          <w:color w:val="000000"/>
          <w:sz w:val="22"/>
          <w:szCs w:val="22"/>
        </w:rPr>
      </w:pPr>
      <w:r w:rsidRPr="00C21D4B">
        <w:rPr>
          <w:rFonts w:cstheme="minorHAnsi"/>
          <w:color w:val="000000"/>
          <w:sz w:val="22"/>
          <w:szCs w:val="22"/>
        </w:rPr>
        <w:t>Pour pouvoir calculer la valeur totale des actifs gérés, une société de gestion d’OPC doit</w:t>
      </w:r>
      <w:r w:rsidR="0093236E" w:rsidRPr="00C21D4B">
        <w:rPr>
          <w:rFonts w:cstheme="minorHAnsi"/>
          <w:color w:val="000000"/>
          <w:sz w:val="22"/>
          <w:szCs w:val="22"/>
        </w:rPr>
        <w:t xml:space="preserve"> </w:t>
      </w:r>
      <w:r w:rsidRPr="00C21D4B">
        <w:rPr>
          <w:rFonts w:cstheme="minorHAnsi"/>
          <w:color w:val="000000"/>
          <w:sz w:val="22"/>
          <w:szCs w:val="22"/>
        </w:rPr>
        <w:t>:</w:t>
      </w:r>
    </w:p>
    <w:p w14:paraId="11036803" w14:textId="77777777" w:rsidR="0093236E" w:rsidRPr="00C21D4B" w:rsidRDefault="0093236E" w:rsidP="0093236E">
      <w:pPr>
        <w:pStyle w:val="Paragraphedeliste"/>
        <w:spacing w:before="120"/>
        <w:jc w:val="both"/>
        <w:rPr>
          <w:rFonts w:cstheme="minorHAnsi"/>
          <w:color w:val="000000"/>
          <w:sz w:val="22"/>
          <w:szCs w:val="22"/>
        </w:rPr>
      </w:pPr>
    </w:p>
    <w:tbl>
      <w:tblPr>
        <w:tblW w:w="5000" w:type="pct"/>
        <w:tblCellMar>
          <w:left w:w="0" w:type="dxa"/>
          <w:right w:w="0" w:type="dxa"/>
        </w:tblCellMar>
        <w:tblLook w:val="04A0" w:firstRow="1" w:lastRow="0" w:firstColumn="1" w:lastColumn="0" w:noHBand="0" w:noVBand="1"/>
      </w:tblPr>
      <w:tblGrid>
        <w:gridCol w:w="9"/>
        <w:gridCol w:w="9057"/>
      </w:tblGrid>
      <w:tr w:rsidR="00452B49" w:rsidRPr="00C21D4B" w14:paraId="4C0EC76F" w14:textId="77777777" w:rsidTr="00452B49">
        <w:tc>
          <w:tcPr>
            <w:tcW w:w="0" w:type="auto"/>
            <w:shd w:val="clear" w:color="auto" w:fill="auto"/>
            <w:hideMark/>
          </w:tcPr>
          <w:p w14:paraId="5BCE9C83" w14:textId="2A13CE9E" w:rsidR="00452B49" w:rsidRPr="00C21D4B" w:rsidRDefault="00452B49" w:rsidP="00A3057B">
            <w:pPr>
              <w:pStyle w:val="Paragraphedeliste"/>
              <w:numPr>
                <w:ilvl w:val="0"/>
                <w:numId w:val="9"/>
              </w:numPr>
              <w:spacing w:before="120"/>
              <w:jc w:val="both"/>
              <w:rPr>
                <w:rFonts w:eastAsia="Times New Roman" w:cstheme="minorHAnsi"/>
                <w:color w:val="000000"/>
                <w:sz w:val="22"/>
                <w:szCs w:val="22"/>
                <w:lang w:eastAsia="fr-FR"/>
              </w:rPr>
            </w:pPr>
          </w:p>
        </w:tc>
        <w:tc>
          <w:tcPr>
            <w:tcW w:w="0" w:type="auto"/>
            <w:shd w:val="clear" w:color="auto" w:fill="auto"/>
            <w:hideMark/>
          </w:tcPr>
          <w:p w14:paraId="20573166" w14:textId="7D0E01A0" w:rsidR="00452B49" w:rsidRPr="00C21D4B" w:rsidRDefault="00452B49" w:rsidP="00A3057B">
            <w:pPr>
              <w:pStyle w:val="Paragraphedeliste"/>
              <w:numPr>
                <w:ilvl w:val="0"/>
                <w:numId w:val="10"/>
              </w:numPr>
              <w:spacing w:before="120"/>
              <w:jc w:val="both"/>
              <w:rPr>
                <w:rFonts w:eastAsia="Times New Roman" w:cstheme="minorHAnsi"/>
                <w:color w:val="000000"/>
                <w:sz w:val="22"/>
                <w:szCs w:val="22"/>
                <w:lang w:eastAsia="fr-FR"/>
              </w:rPr>
            </w:pPr>
            <w:r w:rsidRPr="00C21D4B">
              <w:rPr>
                <w:rFonts w:eastAsia="Times New Roman" w:cstheme="minorHAnsi"/>
                <w:color w:val="000000"/>
                <w:sz w:val="22"/>
                <w:szCs w:val="22"/>
                <w:lang w:eastAsia="fr-FR"/>
              </w:rPr>
              <w:t xml:space="preserve">identifier tous les OPC pour lesquels </w:t>
            </w:r>
            <w:r w:rsidR="005E794B" w:rsidRPr="00C21D4B">
              <w:rPr>
                <w:rFonts w:eastAsia="Times New Roman" w:cstheme="minorHAnsi"/>
                <w:color w:val="000000"/>
                <w:sz w:val="22"/>
                <w:szCs w:val="22"/>
                <w:lang w:eastAsia="fr-FR"/>
              </w:rPr>
              <w:t xml:space="preserve">elle </w:t>
            </w:r>
            <w:r w:rsidRPr="00C21D4B">
              <w:rPr>
                <w:rFonts w:eastAsia="Times New Roman" w:cstheme="minorHAnsi"/>
                <w:color w:val="000000"/>
                <w:sz w:val="22"/>
                <w:szCs w:val="22"/>
                <w:lang w:eastAsia="fr-FR"/>
              </w:rPr>
              <w:t xml:space="preserve"> a été désigné</w:t>
            </w:r>
            <w:r w:rsidR="005E794B" w:rsidRPr="00C21D4B">
              <w:rPr>
                <w:rFonts w:eastAsia="Times New Roman" w:cstheme="minorHAnsi"/>
                <w:color w:val="000000"/>
                <w:sz w:val="22"/>
                <w:szCs w:val="22"/>
                <w:lang w:eastAsia="fr-FR"/>
              </w:rPr>
              <w:t>e ;</w:t>
            </w:r>
          </w:p>
        </w:tc>
      </w:tr>
    </w:tbl>
    <w:p w14:paraId="6E05BBB2" w14:textId="77777777" w:rsidR="00452B49" w:rsidRPr="00C21D4B" w:rsidRDefault="00452B49" w:rsidP="00452B49">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452B49" w:rsidRPr="00C21D4B" w14:paraId="26E7E058" w14:textId="77777777" w:rsidTr="00452B49">
        <w:tc>
          <w:tcPr>
            <w:tcW w:w="0" w:type="auto"/>
            <w:shd w:val="clear" w:color="auto" w:fill="auto"/>
            <w:hideMark/>
          </w:tcPr>
          <w:p w14:paraId="6CFE9BB7" w14:textId="03BD5BFB" w:rsidR="00452B49" w:rsidRPr="00C21D4B" w:rsidRDefault="00452B49" w:rsidP="00452B49">
            <w:pPr>
              <w:pStyle w:val="Paragraphedeliste"/>
              <w:spacing w:before="120"/>
              <w:jc w:val="both"/>
              <w:rPr>
                <w:rFonts w:eastAsia="Times New Roman" w:cstheme="minorHAnsi"/>
                <w:color w:val="000000"/>
                <w:sz w:val="22"/>
                <w:szCs w:val="22"/>
                <w:lang w:eastAsia="fr-FR"/>
              </w:rPr>
            </w:pPr>
          </w:p>
        </w:tc>
        <w:tc>
          <w:tcPr>
            <w:tcW w:w="0" w:type="auto"/>
            <w:shd w:val="clear" w:color="auto" w:fill="auto"/>
            <w:hideMark/>
          </w:tcPr>
          <w:p w14:paraId="7EA8A5A6" w14:textId="3F053B0F" w:rsidR="00452B49" w:rsidRPr="00C21D4B" w:rsidRDefault="00452B49" w:rsidP="00A3057B">
            <w:pPr>
              <w:pStyle w:val="Paragraphedeliste"/>
              <w:numPr>
                <w:ilvl w:val="0"/>
                <w:numId w:val="10"/>
              </w:numPr>
              <w:spacing w:before="120"/>
              <w:jc w:val="both"/>
              <w:rPr>
                <w:rFonts w:eastAsia="Times New Roman" w:cstheme="minorHAnsi"/>
                <w:color w:val="000000"/>
                <w:sz w:val="22"/>
                <w:szCs w:val="22"/>
                <w:lang w:eastAsia="fr-FR"/>
              </w:rPr>
            </w:pPr>
            <w:r w:rsidRPr="00C21D4B">
              <w:rPr>
                <w:rFonts w:eastAsia="Times New Roman" w:cstheme="minorHAnsi"/>
                <w:color w:val="000000"/>
                <w:sz w:val="22"/>
                <w:szCs w:val="22"/>
                <w:lang w:eastAsia="fr-FR"/>
              </w:rPr>
              <w:t>identifier le portefeuille d’actifs de chaque OPC géré et déterminer la valeur correspondante des actifs gérés, y compris des actifs acquis grâce à l’effet de levier, en appliquant pour cela les règles d’évaluation prévues par la législation du pays dans lequel l’OPC est établi et/ou prévues par le règlement ou les documents constitutifs du FIA;</w:t>
            </w:r>
          </w:p>
        </w:tc>
      </w:tr>
    </w:tbl>
    <w:p w14:paraId="2896605E" w14:textId="77777777" w:rsidR="00452B49" w:rsidRPr="00C21D4B" w:rsidRDefault="00452B49" w:rsidP="00452B49">
      <w:pPr>
        <w:rPr>
          <w:rFonts w:asciiTheme="minorHAnsi" w:hAnsiTheme="minorHAnsi" w:cstheme="minorHAnsi"/>
          <w:vanish/>
          <w:sz w:val="22"/>
          <w:szCs w:val="22"/>
        </w:rPr>
      </w:pPr>
    </w:p>
    <w:tbl>
      <w:tblPr>
        <w:tblW w:w="5392" w:type="pct"/>
        <w:tblLayout w:type="fixed"/>
        <w:tblCellMar>
          <w:left w:w="0" w:type="dxa"/>
          <w:right w:w="0" w:type="dxa"/>
        </w:tblCellMar>
        <w:tblLook w:val="04A0" w:firstRow="1" w:lastRow="0" w:firstColumn="1" w:lastColumn="0" w:noHBand="0" w:noVBand="1"/>
      </w:tblPr>
      <w:tblGrid>
        <w:gridCol w:w="710"/>
        <w:gridCol w:w="9067"/>
      </w:tblGrid>
      <w:tr w:rsidR="00452B49" w:rsidRPr="00C21D4B" w14:paraId="6DD48B18" w14:textId="77777777" w:rsidTr="00452B49">
        <w:tc>
          <w:tcPr>
            <w:tcW w:w="363" w:type="pct"/>
            <w:shd w:val="clear" w:color="auto" w:fill="auto"/>
            <w:hideMark/>
          </w:tcPr>
          <w:p w14:paraId="2BFBCC2B" w14:textId="21720767" w:rsidR="00452B49" w:rsidRPr="00C21D4B" w:rsidRDefault="00452B49" w:rsidP="00A3057B">
            <w:pPr>
              <w:pStyle w:val="Paragraphedeliste"/>
              <w:numPr>
                <w:ilvl w:val="0"/>
                <w:numId w:val="10"/>
              </w:numPr>
              <w:spacing w:before="120"/>
              <w:jc w:val="both"/>
              <w:rPr>
                <w:rFonts w:eastAsia="Times New Roman" w:cstheme="minorHAnsi"/>
                <w:color w:val="000000"/>
                <w:sz w:val="22"/>
                <w:szCs w:val="22"/>
                <w:lang w:eastAsia="fr-FR"/>
              </w:rPr>
            </w:pPr>
          </w:p>
        </w:tc>
        <w:tc>
          <w:tcPr>
            <w:tcW w:w="4637" w:type="pct"/>
            <w:shd w:val="clear" w:color="auto" w:fill="auto"/>
            <w:hideMark/>
          </w:tcPr>
          <w:p w14:paraId="75D4552D" w14:textId="1D6154C8" w:rsidR="00452B49" w:rsidRPr="00C21D4B" w:rsidRDefault="00452B49" w:rsidP="00452B49">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faire la somme des valeurs des actifs gérés pour tous les </w:t>
            </w:r>
            <w:r w:rsidR="0093236E" w:rsidRPr="00C21D4B">
              <w:rPr>
                <w:rFonts w:asciiTheme="minorHAnsi" w:hAnsiTheme="minorHAnsi" w:cstheme="minorHAnsi"/>
                <w:color w:val="000000"/>
                <w:sz w:val="22"/>
                <w:szCs w:val="22"/>
              </w:rPr>
              <w:t xml:space="preserve">OPC </w:t>
            </w:r>
            <w:r w:rsidRPr="00C21D4B">
              <w:rPr>
                <w:rFonts w:asciiTheme="minorHAnsi" w:hAnsiTheme="minorHAnsi" w:cstheme="minorHAnsi"/>
                <w:color w:val="000000"/>
                <w:sz w:val="22"/>
                <w:szCs w:val="22"/>
              </w:rPr>
              <w:t>gérés</w:t>
            </w:r>
            <w:r w:rsidR="0093236E" w:rsidRPr="00C21D4B">
              <w:rPr>
                <w:rFonts w:asciiTheme="minorHAnsi" w:hAnsiTheme="minorHAnsi" w:cstheme="minorHAnsi"/>
                <w:color w:val="000000"/>
                <w:sz w:val="22"/>
                <w:szCs w:val="22"/>
              </w:rPr>
              <w:t>.</w:t>
            </w:r>
          </w:p>
        </w:tc>
      </w:tr>
    </w:tbl>
    <w:p w14:paraId="3DB2BF3F" w14:textId="6B0FF16A" w:rsidR="00452B49" w:rsidRPr="00C21D4B" w:rsidRDefault="00452B49" w:rsidP="00452B49">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Aux fins du paragraphe 1, les OPC gérés par le</w:t>
      </w:r>
      <w:r w:rsidR="0063332B" w:rsidRPr="00C21D4B">
        <w:rPr>
          <w:rFonts w:asciiTheme="minorHAnsi" w:hAnsiTheme="minorHAnsi" w:cstheme="minorHAnsi"/>
          <w:color w:val="000000"/>
          <w:sz w:val="22"/>
          <w:szCs w:val="22"/>
        </w:rPr>
        <w:t xml:space="preserve">s </w:t>
      </w:r>
      <w:r w:rsidR="0093236E" w:rsidRPr="00C21D4B">
        <w:rPr>
          <w:rFonts w:asciiTheme="minorHAnsi" w:hAnsiTheme="minorHAnsi" w:cstheme="minorHAnsi"/>
          <w:color w:val="000000"/>
          <w:sz w:val="22"/>
          <w:szCs w:val="22"/>
        </w:rPr>
        <w:t>S</w:t>
      </w:r>
      <w:r w:rsidR="0063332B" w:rsidRPr="00C21D4B">
        <w:rPr>
          <w:rFonts w:asciiTheme="minorHAnsi" w:hAnsiTheme="minorHAnsi" w:cstheme="minorHAnsi"/>
          <w:color w:val="000000"/>
          <w:sz w:val="22"/>
          <w:szCs w:val="22"/>
        </w:rPr>
        <w:t xml:space="preserve">ociétés de </w:t>
      </w:r>
      <w:r w:rsidR="0093236E" w:rsidRPr="00C21D4B">
        <w:rPr>
          <w:rFonts w:asciiTheme="minorHAnsi" w:hAnsiTheme="minorHAnsi" w:cstheme="minorHAnsi"/>
          <w:color w:val="000000"/>
          <w:sz w:val="22"/>
          <w:szCs w:val="22"/>
        </w:rPr>
        <w:t>G</w:t>
      </w:r>
      <w:r w:rsidR="0063332B" w:rsidRPr="00C21D4B">
        <w:rPr>
          <w:rFonts w:asciiTheme="minorHAnsi" w:hAnsiTheme="minorHAnsi" w:cstheme="minorHAnsi"/>
          <w:color w:val="000000"/>
          <w:sz w:val="22"/>
          <w:szCs w:val="22"/>
        </w:rPr>
        <w:t>estion d’OPC</w:t>
      </w:r>
      <w:r w:rsidRPr="00C21D4B">
        <w:rPr>
          <w:rFonts w:asciiTheme="minorHAnsi" w:hAnsiTheme="minorHAnsi" w:cstheme="minorHAnsi"/>
          <w:color w:val="000000"/>
          <w:sz w:val="22"/>
          <w:szCs w:val="22"/>
        </w:rPr>
        <w:t xml:space="preserve"> pour lesquels ce</w:t>
      </w:r>
      <w:r w:rsidR="005E794B" w:rsidRPr="00C21D4B">
        <w:rPr>
          <w:rFonts w:asciiTheme="minorHAnsi" w:hAnsiTheme="minorHAnsi" w:cstheme="minorHAnsi"/>
          <w:color w:val="000000"/>
          <w:sz w:val="22"/>
          <w:szCs w:val="22"/>
        </w:rPr>
        <w:t>s</w:t>
      </w:r>
      <w:r w:rsidRPr="00C21D4B">
        <w:rPr>
          <w:rFonts w:asciiTheme="minorHAnsi" w:hAnsiTheme="minorHAnsi" w:cstheme="minorHAnsi"/>
          <w:color w:val="000000"/>
          <w:sz w:val="22"/>
          <w:szCs w:val="22"/>
        </w:rPr>
        <w:t xml:space="preserve"> derni</w:t>
      </w:r>
      <w:r w:rsidR="005E794B" w:rsidRPr="00C21D4B">
        <w:rPr>
          <w:rFonts w:asciiTheme="minorHAnsi" w:hAnsiTheme="minorHAnsi" w:cstheme="minorHAnsi"/>
          <w:color w:val="000000"/>
          <w:sz w:val="22"/>
          <w:szCs w:val="22"/>
        </w:rPr>
        <w:t>ères</w:t>
      </w:r>
      <w:r w:rsidRPr="00C21D4B">
        <w:rPr>
          <w:rFonts w:asciiTheme="minorHAnsi" w:hAnsiTheme="minorHAnsi" w:cstheme="minorHAnsi"/>
          <w:color w:val="000000"/>
          <w:sz w:val="22"/>
          <w:szCs w:val="22"/>
        </w:rPr>
        <w:t xml:space="preserve"> </w:t>
      </w:r>
      <w:r w:rsidR="005E794B" w:rsidRPr="00C21D4B">
        <w:rPr>
          <w:rFonts w:asciiTheme="minorHAnsi" w:hAnsiTheme="minorHAnsi" w:cstheme="minorHAnsi"/>
          <w:color w:val="000000"/>
          <w:sz w:val="22"/>
          <w:szCs w:val="22"/>
        </w:rPr>
        <w:t>ont</w:t>
      </w:r>
      <w:r w:rsidRPr="00C21D4B">
        <w:rPr>
          <w:rFonts w:asciiTheme="minorHAnsi" w:hAnsiTheme="minorHAnsi" w:cstheme="minorHAnsi"/>
          <w:color w:val="000000"/>
          <w:sz w:val="22"/>
          <w:szCs w:val="22"/>
        </w:rPr>
        <w:t xml:space="preserve"> délégué des fonctions sont inclus dans le calcul. Les portefeuilles de l’OPC que la </w:t>
      </w:r>
      <w:r w:rsidR="0093236E" w:rsidRPr="00C21D4B">
        <w:rPr>
          <w:rFonts w:asciiTheme="minorHAnsi" w:hAnsiTheme="minorHAnsi" w:cstheme="minorHAnsi"/>
          <w:color w:val="000000"/>
          <w:sz w:val="22"/>
          <w:szCs w:val="22"/>
        </w:rPr>
        <w:t>S</w:t>
      </w:r>
      <w:r w:rsidRPr="00C21D4B">
        <w:rPr>
          <w:rFonts w:asciiTheme="minorHAnsi" w:hAnsiTheme="minorHAnsi" w:cstheme="minorHAnsi"/>
          <w:color w:val="000000"/>
          <w:sz w:val="22"/>
          <w:szCs w:val="22"/>
        </w:rPr>
        <w:t xml:space="preserve">ociété de </w:t>
      </w:r>
      <w:r w:rsidR="0093236E" w:rsidRPr="00C21D4B">
        <w:rPr>
          <w:rFonts w:asciiTheme="minorHAnsi" w:hAnsiTheme="minorHAnsi" w:cstheme="minorHAnsi"/>
          <w:color w:val="000000"/>
          <w:sz w:val="22"/>
          <w:szCs w:val="22"/>
        </w:rPr>
        <w:t>G</w:t>
      </w:r>
      <w:r w:rsidRPr="00C21D4B">
        <w:rPr>
          <w:rFonts w:asciiTheme="minorHAnsi" w:hAnsiTheme="minorHAnsi" w:cstheme="minorHAnsi"/>
          <w:color w:val="000000"/>
          <w:sz w:val="22"/>
          <w:szCs w:val="22"/>
        </w:rPr>
        <w:t>estion d’OPC gère par délégation sont en revanche exclus du calcul.</w:t>
      </w:r>
    </w:p>
    <w:p w14:paraId="7C6C5736" w14:textId="344A806C" w:rsidR="0093236E" w:rsidRPr="00C21D4B" w:rsidRDefault="00452B49" w:rsidP="00A3057B">
      <w:pPr>
        <w:pStyle w:val="Paragraphedeliste"/>
        <w:numPr>
          <w:ilvl w:val="0"/>
          <w:numId w:val="13"/>
        </w:numPr>
        <w:spacing w:before="120"/>
        <w:jc w:val="both"/>
        <w:rPr>
          <w:rFonts w:cstheme="minorHAnsi"/>
          <w:color w:val="000000"/>
          <w:sz w:val="22"/>
          <w:szCs w:val="22"/>
        </w:rPr>
      </w:pPr>
      <w:r w:rsidRPr="00C21D4B">
        <w:rPr>
          <w:rFonts w:cstheme="minorHAnsi"/>
          <w:color w:val="000000"/>
          <w:sz w:val="22"/>
          <w:szCs w:val="22"/>
        </w:rPr>
        <w:t xml:space="preserve">Aux fins du calcul de la valeur totale des actifs gérés, chaque position d’instrument dérivé, y compris tout dérivé incorporé dans des valeurs mobilières, est convertie en sa position équivalente sur l’actif sous-jacent de cet instrument dérivé en appliquant les méthodes de conversion </w:t>
      </w:r>
      <w:r w:rsidR="0063332B" w:rsidRPr="00C21D4B">
        <w:rPr>
          <w:rFonts w:cstheme="minorHAnsi"/>
          <w:color w:val="000000"/>
          <w:sz w:val="22"/>
          <w:szCs w:val="22"/>
        </w:rPr>
        <w:t>précisées dans une circulaire de la COSUMAF</w:t>
      </w:r>
      <w:r w:rsidRPr="00C21D4B">
        <w:rPr>
          <w:rFonts w:cstheme="minorHAnsi"/>
          <w:color w:val="000000"/>
          <w:sz w:val="22"/>
          <w:szCs w:val="22"/>
        </w:rPr>
        <w:t>. La valeur absolue de cette position équivalente est alors employée pour le calcul de la valeur total</w:t>
      </w:r>
      <w:r w:rsidR="00D764BD" w:rsidRPr="00C21D4B">
        <w:rPr>
          <w:rFonts w:cstheme="minorHAnsi"/>
          <w:color w:val="000000"/>
          <w:sz w:val="22"/>
          <w:szCs w:val="22"/>
        </w:rPr>
        <w:t>e</w:t>
      </w:r>
      <w:r w:rsidRPr="00C21D4B">
        <w:rPr>
          <w:rFonts w:cstheme="minorHAnsi"/>
          <w:color w:val="000000"/>
          <w:sz w:val="22"/>
          <w:szCs w:val="22"/>
        </w:rPr>
        <w:t xml:space="preserve"> des actifs gérés.</w:t>
      </w:r>
    </w:p>
    <w:p w14:paraId="2A6B29F3" w14:textId="77777777" w:rsidR="0093236E" w:rsidRPr="00C21D4B" w:rsidRDefault="0093236E" w:rsidP="0093236E">
      <w:pPr>
        <w:pStyle w:val="Paragraphedeliste"/>
        <w:spacing w:before="120"/>
        <w:jc w:val="both"/>
        <w:rPr>
          <w:rFonts w:cstheme="minorHAnsi"/>
          <w:color w:val="000000"/>
          <w:sz w:val="22"/>
          <w:szCs w:val="22"/>
        </w:rPr>
      </w:pPr>
    </w:p>
    <w:p w14:paraId="0401B58B" w14:textId="772F78B5" w:rsidR="0093236E" w:rsidRPr="00C21D4B" w:rsidRDefault="0093236E" w:rsidP="00A3057B">
      <w:pPr>
        <w:pStyle w:val="Paragraphedeliste"/>
        <w:numPr>
          <w:ilvl w:val="0"/>
          <w:numId w:val="13"/>
        </w:numPr>
        <w:spacing w:before="120"/>
        <w:jc w:val="both"/>
        <w:rPr>
          <w:rFonts w:cstheme="minorHAnsi"/>
          <w:color w:val="000000"/>
          <w:sz w:val="22"/>
          <w:szCs w:val="22"/>
        </w:rPr>
      </w:pPr>
      <w:r w:rsidRPr="00C21D4B">
        <w:rPr>
          <w:rFonts w:cstheme="minorHAnsi"/>
          <w:color w:val="000000"/>
          <w:sz w:val="22"/>
          <w:szCs w:val="22"/>
        </w:rPr>
        <w:t>Lorsqu’un OPC</w:t>
      </w:r>
      <w:r w:rsidR="00452B49" w:rsidRPr="00C21D4B">
        <w:rPr>
          <w:rFonts w:cstheme="minorHAnsi"/>
          <w:color w:val="000000"/>
          <w:sz w:val="22"/>
          <w:szCs w:val="22"/>
        </w:rPr>
        <w:t xml:space="preserve"> investit dans d’autres </w:t>
      </w:r>
      <w:r w:rsidR="0063332B" w:rsidRPr="00C21D4B">
        <w:rPr>
          <w:rFonts w:cstheme="minorHAnsi"/>
          <w:color w:val="000000"/>
          <w:sz w:val="22"/>
          <w:szCs w:val="22"/>
        </w:rPr>
        <w:t>OPC</w:t>
      </w:r>
      <w:r w:rsidR="00452B49" w:rsidRPr="00C21D4B">
        <w:rPr>
          <w:rFonts w:cstheme="minorHAnsi"/>
          <w:color w:val="000000"/>
          <w:sz w:val="22"/>
          <w:szCs w:val="22"/>
        </w:rPr>
        <w:t xml:space="preserve"> gérés par </w:t>
      </w:r>
      <w:r w:rsidR="0063332B" w:rsidRPr="00C21D4B">
        <w:rPr>
          <w:rFonts w:cstheme="minorHAnsi"/>
          <w:color w:val="000000"/>
          <w:sz w:val="22"/>
          <w:szCs w:val="22"/>
        </w:rPr>
        <w:t xml:space="preserve">la même </w:t>
      </w:r>
      <w:r w:rsidRPr="00C21D4B">
        <w:rPr>
          <w:rFonts w:cstheme="minorHAnsi"/>
          <w:color w:val="000000"/>
          <w:sz w:val="22"/>
          <w:szCs w:val="22"/>
        </w:rPr>
        <w:t>S</w:t>
      </w:r>
      <w:r w:rsidR="0063332B" w:rsidRPr="00C21D4B">
        <w:rPr>
          <w:rFonts w:cstheme="minorHAnsi"/>
          <w:color w:val="000000"/>
          <w:sz w:val="22"/>
          <w:szCs w:val="22"/>
        </w:rPr>
        <w:t xml:space="preserve">ociété de </w:t>
      </w:r>
      <w:r w:rsidRPr="00C21D4B">
        <w:rPr>
          <w:rFonts w:cstheme="minorHAnsi"/>
          <w:color w:val="000000"/>
          <w:sz w:val="22"/>
          <w:szCs w:val="22"/>
        </w:rPr>
        <w:t>G</w:t>
      </w:r>
      <w:r w:rsidR="0063332B" w:rsidRPr="00C21D4B">
        <w:rPr>
          <w:rFonts w:cstheme="minorHAnsi"/>
          <w:color w:val="000000"/>
          <w:sz w:val="22"/>
          <w:szCs w:val="22"/>
        </w:rPr>
        <w:t>estion d’OPC</w:t>
      </w:r>
      <w:r w:rsidR="00452B49" w:rsidRPr="00C21D4B">
        <w:rPr>
          <w:rFonts w:cstheme="minorHAnsi"/>
          <w:color w:val="000000"/>
          <w:sz w:val="22"/>
          <w:szCs w:val="22"/>
        </w:rPr>
        <w:t>, cet investissement peut être exclu du calcul des actifs gérés d</w:t>
      </w:r>
      <w:r w:rsidR="003D2E2F" w:rsidRPr="00C21D4B">
        <w:rPr>
          <w:rFonts w:cstheme="minorHAnsi"/>
          <w:color w:val="000000"/>
          <w:sz w:val="22"/>
          <w:szCs w:val="22"/>
        </w:rPr>
        <w:t xml:space="preserve">e la </w:t>
      </w:r>
      <w:r w:rsidRPr="00C21D4B">
        <w:rPr>
          <w:rFonts w:cstheme="minorHAnsi"/>
          <w:color w:val="000000"/>
          <w:sz w:val="22"/>
          <w:szCs w:val="22"/>
        </w:rPr>
        <w:t>S</w:t>
      </w:r>
      <w:r w:rsidR="003D2E2F" w:rsidRPr="00C21D4B">
        <w:rPr>
          <w:rFonts w:cstheme="minorHAnsi"/>
          <w:color w:val="000000"/>
          <w:sz w:val="22"/>
          <w:szCs w:val="22"/>
        </w:rPr>
        <w:t xml:space="preserve">ociété de </w:t>
      </w:r>
      <w:r w:rsidRPr="00C21D4B">
        <w:rPr>
          <w:rFonts w:cstheme="minorHAnsi"/>
          <w:color w:val="000000"/>
          <w:sz w:val="22"/>
          <w:szCs w:val="22"/>
        </w:rPr>
        <w:t>G</w:t>
      </w:r>
      <w:r w:rsidR="003D2E2F" w:rsidRPr="00C21D4B">
        <w:rPr>
          <w:rFonts w:cstheme="minorHAnsi"/>
          <w:color w:val="000000"/>
          <w:sz w:val="22"/>
          <w:szCs w:val="22"/>
        </w:rPr>
        <w:t>estion d’OPC</w:t>
      </w:r>
      <w:r w:rsidR="00452B49" w:rsidRPr="00C21D4B">
        <w:rPr>
          <w:rFonts w:cstheme="minorHAnsi"/>
          <w:color w:val="000000"/>
          <w:sz w:val="22"/>
          <w:szCs w:val="22"/>
        </w:rPr>
        <w:t>.</w:t>
      </w:r>
    </w:p>
    <w:p w14:paraId="509E4C7E" w14:textId="77777777" w:rsidR="0093236E" w:rsidRPr="00C21D4B" w:rsidRDefault="0093236E" w:rsidP="0093236E">
      <w:pPr>
        <w:pStyle w:val="Paragraphedeliste"/>
        <w:rPr>
          <w:rFonts w:cstheme="minorHAnsi"/>
          <w:color w:val="000000"/>
          <w:sz w:val="22"/>
          <w:szCs w:val="22"/>
        </w:rPr>
      </w:pPr>
    </w:p>
    <w:p w14:paraId="4B623492" w14:textId="6C702DF3" w:rsidR="0093236E" w:rsidRPr="00C21D4B" w:rsidRDefault="00452B49" w:rsidP="00A3057B">
      <w:pPr>
        <w:pStyle w:val="Paragraphedeliste"/>
        <w:numPr>
          <w:ilvl w:val="0"/>
          <w:numId w:val="13"/>
        </w:numPr>
        <w:spacing w:before="120"/>
        <w:jc w:val="both"/>
        <w:rPr>
          <w:rFonts w:cstheme="minorHAnsi"/>
          <w:color w:val="000000"/>
          <w:sz w:val="22"/>
          <w:szCs w:val="22"/>
        </w:rPr>
      </w:pPr>
      <w:r w:rsidRPr="00C21D4B">
        <w:rPr>
          <w:rFonts w:cstheme="minorHAnsi"/>
          <w:color w:val="000000"/>
          <w:sz w:val="22"/>
          <w:szCs w:val="22"/>
        </w:rPr>
        <w:t xml:space="preserve">Lorsqu’un compartiment au sein d’un </w:t>
      </w:r>
      <w:r w:rsidR="0093236E" w:rsidRPr="00C21D4B">
        <w:rPr>
          <w:rFonts w:cstheme="minorHAnsi"/>
          <w:color w:val="000000"/>
          <w:sz w:val="22"/>
          <w:szCs w:val="22"/>
        </w:rPr>
        <w:t>OPC</w:t>
      </w:r>
      <w:r w:rsidRPr="00C21D4B">
        <w:rPr>
          <w:rFonts w:cstheme="minorHAnsi"/>
          <w:color w:val="000000"/>
          <w:sz w:val="22"/>
          <w:szCs w:val="22"/>
        </w:rPr>
        <w:t xml:space="preserve"> géré de manière interne ou externe investit dans un autre compartiment de ce même </w:t>
      </w:r>
      <w:r w:rsidR="0093236E" w:rsidRPr="00C21D4B">
        <w:rPr>
          <w:rFonts w:cstheme="minorHAnsi"/>
          <w:color w:val="000000"/>
          <w:sz w:val="22"/>
          <w:szCs w:val="22"/>
        </w:rPr>
        <w:t>OPC</w:t>
      </w:r>
      <w:r w:rsidR="00D764BD" w:rsidRPr="00C21D4B">
        <w:rPr>
          <w:rFonts w:cstheme="minorHAnsi"/>
          <w:color w:val="000000"/>
          <w:sz w:val="22"/>
          <w:szCs w:val="22"/>
        </w:rPr>
        <w:t>,</w:t>
      </w:r>
      <w:r w:rsidRPr="00C21D4B">
        <w:rPr>
          <w:rFonts w:cstheme="minorHAnsi"/>
          <w:color w:val="000000"/>
          <w:sz w:val="22"/>
          <w:szCs w:val="22"/>
        </w:rPr>
        <w:t xml:space="preserve"> cet investissement peut être exclu du calcul des actifs gérés </w:t>
      </w:r>
      <w:r w:rsidR="0093236E" w:rsidRPr="00C21D4B">
        <w:rPr>
          <w:rFonts w:cstheme="minorHAnsi"/>
          <w:color w:val="000000"/>
          <w:sz w:val="22"/>
          <w:szCs w:val="22"/>
        </w:rPr>
        <w:t>de la Société de Gestion d’OPC</w:t>
      </w:r>
      <w:r w:rsidRPr="00C21D4B">
        <w:rPr>
          <w:rFonts w:cstheme="minorHAnsi"/>
          <w:color w:val="000000"/>
          <w:sz w:val="22"/>
          <w:szCs w:val="22"/>
        </w:rPr>
        <w:t>.</w:t>
      </w:r>
    </w:p>
    <w:p w14:paraId="1187AE9E" w14:textId="77777777" w:rsidR="0093236E" w:rsidRPr="00C21D4B" w:rsidRDefault="0093236E" w:rsidP="0093236E">
      <w:pPr>
        <w:pStyle w:val="Paragraphedeliste"/>
        <w:rPr>
          <w:rFonts w:cstheme="minorHAnsi"/>
          <w:color w:val="000000"/>
          <w:sz w:val="22"/>
          <w:szCs w:val="22"/>
        </w:rPr>
      </w:pPr>
    </w:p>
    <w:p w14:paraId="3DC6A008" w14:textId="06B9B0D5" w:rsidR="00452B49" w:rsidRPr="00C21D4B" w:rsidRDefault="00452B49" w:rsidP="00A3057B">
      <w:pPr>
        <w:pStyle w:val="Paragraphedeliste"/>
        <w:numPr>
          <w:ilvl w:val="0"/>
          <w:numId w:val="13"/>
        </w:numPr>
        <w:spacing w:before="120"/>
        <w:jc w:val="both"/>
        <w:rPr>
          <w:rFonts w:cstheme="minorHAnsi"/>
          <w:color w:val="000000"/>
          <w:sz w:val="22"/>
          <w:szCs w:val="22"/>
        </w:rPr>
      </w:pPr>
      <w:r w:rsidRPr="00C21D4B">
        <w:rPr>
          <w:rFonts w:cstheme="minorHAnsi"/>
          <w:color w:val="000000"/>
          <w:sz w:val="22"/>
          <w:szCs w:val="22"/>
        </w:rPr>
        <w:t xml:space="preserve">La valeur totale des actifs gérés est calculée conformément aux paragraphes 1 à 4 au moins une fois par an et à partir des valeurs d’actifs les plus récentes dont on puisse disposer. La valeur d’actif la plus récente dont on puisse disposer pour chaque </w:t>
      </w:r>
      <w:r w:rsidR="003D2E2F" w:rsidRPr="00C21D4B">
        <w:rPr>
          <w:rFonts w:cstheme="minorHAnsi"/>
          <w:color w:val="000000"/>
          <w:sz w:val="22"/>
          <w:szCs w:val="22"/>
        </w:rPr>
        <w:t>OPC</w:t>
      </w:r>
      <w:r w:rsidRPr="00C21D4B">
        <w:rPr>
          <w:rFonts w:cstheme="minorHAnsi"/>
          <w:color w:val="000000"/>
          <w:sz w:val="22"/>
          <w:szCs w:val="22"/>
        </w:rPr>
        <w:t xml:space="preserve"> est établie au cours des </w:t>
      </w:r>
      <w:r w:rsidR="0093236E" w:rsidRPr="00C21D4B">
        <w:rPr>
          <w:rFonts w:cstheme="minorHAnsi"/>
          <w:color w:val="000000"/>
          <w:sz w:val="22"/>
          <w:szCs w:val="22"/>
        </w:rPr>
        <w:t>douze (</w:t>
      </w:r>
      <w:r w:rsidRPr="00C21D4B">
        <w:rPr>
          <w:rFonts w:cstheme="minorHAnsi"/>
          <w:color w:val="000000"/>
          <w:sz w:val="22"/>
          <w:szCs w:val="22"/>
        </w:rPr>
        <w:t>12</w:t>
      </w:r>
      <w:r w:rsidR="0093236E" w:rsidRPr="00C21D4B">
        <w:rPr>
          <w:rFonts w:cstheme="minorHAnsi"/>
          <w:color w:val="000000"/>
          <w:sz w:val="22"/>
          <w:szCs w:val="22"/>
        </w:rPr>
        <w:t>)</w:t>
      </w:r>
      <w:r w:rsidRPr="00C21D4B">
        <w:rPr>
          <w:rFonts w:cstheme="minorHAnsi"/>
          <w:color w:val="000000"/>
          <w:sz w:val="22"/>
          <w:szCs w:val="22"/>
        </w:rPr>
        <w:t xml:space="preserve"> mois précédant la date de calcul du seuil conformément à la première phrase de ce paragraphe. </w:t>
      </w:r>
      <w:r w:rsidR="0093236E" w:rsidRPr="00C21D4B">
        <w:rPr>
          <w:rFonts w:cstheme="minorHAnsi"/>
          <w:color w:val="000000"/>
          <w:sz w:val="22"/>
          <w:szCs w:val="22"/>
        </w:rPr>
        <w:t>La Société de Gestion d’OPC</w:t>
      </w:r>
      <w:r w:rsidRPr="00C21D4B">
        <w:rPr>
          <w:rFonts w:cstheme="minorHAnsi"/>
          <w:color w:val="000000"/>
          <w:sz w:val="22"/>
          <w:szCs w:val="22"/>
        </w:rPr>
        <w:t xml:space="preserve"> fixe une date de calcul du seuil et l’applique invariablement. Tout changement ultérieur de la date choisie doit être justifié auprès de l’autorité compétente. Pour choisir la date de calcul du seuil, le gestionnaire tient compte du moment auquel intervient l’évaluation des actifs gérés et de la fréquence de cette évaluation</w:t>
      </w:r>
      <w:r w:rsidR="009D2B33" w:rsidRPr="00C21D4B">
        <w:rPr>
          <w:rFonts w:cstheme="minorHAnsi"/>
          <w:color w:val="000000"/>
          <w:sz w:val="22"/>
          <w:szCs w:val="22"/>
        </w:rPr>
        <w:t>.</w:t>
      </w:r>
    </w:p>
    <w:p w14:paraId="6B12EA16" w14:textId="173DC4A8" w:rsidR="003D2E2F" w:rsidRPr="00C21D4B" w:rsidRDefault="003D2E2F">
      <w:pPr>
        <w:rPr>
          <w:rFonts w:asciiTheme="minorHAnsi" w:hAnsiTheme="minorHAnsi" w:cstheme="minorHAnsi"/>
          <w:b/>
          <w:bCs/>
          <w:sz w:val="22"/>
          <w:szCs w:val="22"/>
        </w:rPr>
      </w:pPr>
      <w:r w:rsidRPr="00C21D4B">
        <w:rPr>
          <w:rFonts w:asciiTheme="minorHAnsi" w:hAnsiTheme="minorHAnsi" w:cstheme="minorHAnsi"/>
          <w:b/>
          <w:bCs/>
          <w:sz w:val="22"/>
          <w:szCs w:val="22"/>
        </w:rPr>
        <w:br w:type="page"/>
      </w:r>
    </w:p>
    <w:p w14:paraId="2F2FB00D" w14:textId="5DAD533C" w:rsidR="003D2E2F" w:rsidRPr="00C21D4B" w:rsidRDefault="003D2E2F" w:rsidP="003D2E2F">
      <w:pPr>
        <w:pStyle w:val="NormalWeb"/>
        <w:shd w:val="clear" w:color="auto" w:fill="FFFFFF" w:themeFill="background1"/>
        <w:rPr>
          <w:rFonts w:asciiTheme="minorHAnsi" w:hAnsiTheme="minorHAnsi" w:cstheme="minorHAnsi"/>
          <w:b/>
          <w:bCs/>
          <w:sz w:val="22"/>
          <w:szCs w:val="22"/>
          <w:u w:val="single"/>
        </w:rPr>
      </w:pPr>
      <w:r w:rsidRPr="00C21D4B">
        <w:rPr>
          <w:rFonts w:asciiTheme="minorHAnsi" w:hAnsiTheme="minorHAnsi" w:cstheme="minorHAnsi"/>
          <w:b/>
          <w:bCs/>
          <w:sz w:val="22"/>
          <w:szCs w:val="22"/>
        </w:rPr>
        <w:lastRenderedPageBreak/>
        <w:t>A</w:t>
      </w:r>
      <w:r w:rsidR="00D60167" w:rsidRPr="00C21D4B">
        <w:rPr>
          <w:rFonts w:asciiTheme="minorHAnsi" w:hAnsiTheme="minorHAnsi" w:cstheme="minorHAnsi"/>
          <w:b/>
          <w:bCs/>
          <w:sz w:val="22"/>
          <w:szCs w:val="22"/>
        </w:rPr>
        <w:t>NNEXE</w:t>
      </w:r>
      <w:r w:rsidRPr="00C21D4B">
        <w:rPr>
          <w:rFonts w:asciiTheme="minorHAnsi" w:hAnsiTheme="minorHAnsi" w:cstheme="minorHAnsi"/>
          <w:b/>
          <w:bCs/>
          <w:sz w:val="22"/>
          <w:szCs w:val="22"/>
        </w:rPr>
        <w:t xml:space="preserve"> I</w:t>
      </w:r>
      <w:r w:rsidR="00A82A4F" w:rsidRPr="00C21D4B">
        <w:rPr>
          <w:rFonts w:asciiTheme="minorHAnsi" w:hAnsiTheme="minorHAnsi" w:cstheme="minorHAnsi"/>
          <w:b/>
          <w:bCs/>
          <w:sz w:val="22"/>
          <w:szCs w:val="22"/>
        </w:rPr>
        <w:t>I</w:t>
      </w:r>
      <w:r w:rsidRPr="00C21D4B">
        <w:rPr>
          <w:rFonts w:asciiTheme="minorHAnsi" w:hAnsiTheme="minorHAnsi" w:cstheme="minorHAnsi"/>
          <w:b/>
          <w:bCs/>
          <w:sz w:val="22"/>
          <w:szCs w:val="22"/>
        </w:rPr>
        <w:t xml:space="preserve"> – </w:t>
      </w:r>
      <w:r w:rsidRPr="00C21D4B">
        <w:rPr>
          <w:rFonts w:asciiTheme="minorHAnsi" w:hAnsiTheme="minorHAnsi" w:cstheme="minorHAnsi"/>
          <w:b/>
          <w:bCs/>
          <w:sz w:val="22"/>
          <w:szCs w:val="22"/>
          <w:u w:val="single"/>
        </w:rPr>
        <w:t>CALCUL DE L’EFFET DE LEVIER</w:t>
      </w:r>
    </w:p>
    <w:p w14:paraId="1AF2D8FD" w14:textId="3484F5B2" w:rsidR="003D2E2F" w:rsidRPr="00C21D4B" w:rsidRDefault="003D2E2F" w:rsidP="00A3057B">
      <w:pPr>
        <w:pStyle w:val="Paragraphedeliste"/>
        <w:numPr>
          <w:ilvl w:val="0"/>
          <w:numId w:val="14"/>
        </w:numPr>
        <w:spacing w:before="120"/>
        <w:jc w:val="both"/>
        <w:rPr>
          <w:rFonts w:cstheme="minorHAnsi"/>
          <w:color w:val="000000"/>
          <w:sz w:val="22"/>
          <w:szCs w:val="22"/>
        </w:rPr>
      </w:pPr>
      <w:r w:rsidRPr="00C21D4B">
        <w:rPr>
          <w:rFonts w:cstheme="minorHAnsi"/>
          <w:color w:val="000000"/>
          <w:sz w:val="22"/>
          <w:szCs w:val="22"/>
        </w:rPr>
        <w:t>Le levier d’un OPC est exprimé sous la forme d’un ratio entre l’exposition de cet OPC et sa valeur nette d’inventaire.</w:t>
      </w:r>
    </w:p>
    <w:p w14:paraId="2CBEF335" w14:textId="77777777" w:rsidR="00F24BA6" w:rsidRPr="00C21D4B" w:rsidRDefault="00F24BA6" w:rsidP="00F24BA6">
      <w:pPr>
        <w:pStyle w:val="Paragraphedeliste"/>
        <w:spacing w:before="120"/>
        <w:jc w:val="both"/>
        <w:rPr>
          <w:rFonts w:cstheme="minorHAnsi"/>
          <w:color w:val="000000"/>
          <w:sz w:val="22"/>
          <w:szCs w:val="22"/>
        </w:rPr>
      </w:pPr>
    </w:p>
    <w:p w14:paraId="23654388" w14:textId="24C25231" w:rsidR="00F24BA6" w:rsidRPr="00C21D4B" w:rsidRDefault="003D2E2F" w:rsidP="00A3057B">
      <w:pPr>
        <w:pStyle w:val="Paragraphedeliste"/>
        <w:numPr>
          <w:ilvl w:val="0"/>
          <w:numId w:val="14"/>
        </w:numPr>
        <w:spacing w:before="120"/>
        <w:jc w:val="both"/>
        <w:rPr>
          <w:rFonts w:cstheme="minorHAnsi"/>
          <w:color w:val="000000"/>
          <w:sz w:val="22"/>
          <w:szCs w:val="22"/>
        </w:rPr>
      </w:pPr>
      <w:r w:rsidRPr="00C21D4B">
        <w:rPr>
          <w:rFonts w:cstheme="minorHAnsi"/>
          <w:color w:val="000000"/>
          <w:sz w:val="22"/>
          <w:szCs w:val="22"/>
        </w:rPr>
        <w:t xml:space="preserve">L’exposition des OPC gérés est calculée par les </w:t>
      </w:r>
      <w:r w:rsidR="001D67E6" w:rsidRPr="00C21D4B">
        <w:rPr>
          <w:rFonts w:cstheme="minorHAnsi"/>
          <w:color w:val="000000"/>
          <w:sz w:val="22"/>
          <w:szCs w:val="22"/>
        </w:rPr>
        <w:t>S</w:t>
      </w:r>
      <w:r w:rsidRPr="00C21D4B">
        <w:rPr>
          <w:rFonts w:cstheme="minorHAnsi"/>
          <w:color w:val="000000"/>
          <w:sz w:val="22"/>
          <w:szCs w:val="22"/>
        </w:rPr>
        <w:t xml:space="preserve">ociétés de </w:t>
      </w:r>
      <w:r w:rsidR="001D67E6" w:rsidRPr="00C21D4B">
        <w:rPr>
          <w:rFonts w:cstheme="minorHAnsi"/>
          <w:color w:val="000000"/>
          <w:sz w:val="22"/>
          <w:szCs w:val="22"/>
        </w:rPr>
        <w:t>G</w:t>
      </w:r>
      <w:r w:rsidRPr="00C21D4B">
        <w:rPr>
          <w:rFonts w:cstheme="minorHAnsi"/>
          <w:color w:val="000000"/>
          <w:sz w:val="22"/>
          <w:szCs w:val="22"/>
        </w:rPr>
        <w:t xml:space="preserve">estion d’OPC selon la méthode brute  et selon la méthode du calcul de l’engagement tel qu’indiqué </w:t>
      </w:r>
      <w:r w:rsidR="00BD02FB" w:rsidRPr="00C21D4B">
        <w:rPr>
          <w:rFonts w:cstheme="minorHAnsi"/>
          <w:color w:val="000000"/>
          <w:sz w:val="22"/>
          <w:szCs w:val="22"/>
        </w:rPr>
        <w:t>à l’</w:t>
      </w:r>
      <w:r w:rsidR="00D60167" w:rsidRPr="00C21D4B">
        <w:rPr>
          <w:rFonts w:cstheme="minorHAnsi"/>
          <w:color w:val="000000"/>
          <w:sz w:val="22"/>
          <w:szCs w:val="22"/>
        </w:rPr>
        <w:t>annexe</w:t>
      </w:r>
      <w:r w:rsidR="00BD02FB" w:rsidRPr="00C21D4B">
        <w:rPr>
          <w:rFonts w:cstheme="minorHAnsi"/>
          <w:color w:val="000000"/>
          <w:sz w:val="22"/>
          <w:szCs w:val="22"/>
        </w:rPr>
        <w:t xml:space="preserve"> III</w:t>
      </w:r>
      <w:r w:rsidR="00F24BA6" w:rsidRPr="00C21D4B">
        <w:rPr>
          <w:rFonts w:cstheme="minorHAnsi"/>
          <w:color w:val="000000"/>
          <w:sz w:val="22"/>
          <w:szCs w:val="22"/>
        </w:rPr>
        <w:t>.</w:t>
      </w:r>
    </w:p>
    <w:p w14:paraId="149F912F" w14:textId="77777777" w:rsidR="00F24BA6" w:rsidRPr="00C21D4B" w:rsidRDefault="00F24BA6" w:rsidP="00F24BA6">
      <w:pPr>
        <w:spacing w:before="120"/>
        <w:jc w:val="both"/>
        <w:rPr>
          <w:rFonts w:asciiTheme="minorHAnsi" w:hAnsiTheme="minorHAnsi" w:cstheme="minorHAnsi"/>
          <w:color w:val="000000"/>
          <w:sz w:val="22"/>
          <w:szCs w:val="22"/>
        </w:rPr>
      </w:pPr>
    </w:p>
    <w:p w14:paraId="14D0F8F1" w14:textId="60EFA349" w:rsidR="00F24BA6" w:rsidRPr="00C21D4B" w:rsidRDefault="003D2E2F" w:rsidP="00A3057B">
      <w:pPr>
        <w:pStyle w:val="Paragraphedeliste"/>
        <w:numPr>
          <w:ilvl w:val="0"/>
          <w:numId w:val="14"/>
        </w:numPr>
        <w:spacing w:before="120"/>
        <w:jc w:val="both"/>
        <w:rPr>
          <w:rFonts w:cstheme="minorHAnsi"/>
          <w:color w:val="000000"/>
          <w:sz w:val="22"/>
          <w:szCs w:val="22"/>
        </w:rPr>
      </w:pPr>
      <w:r w:rsidRPr="00C21D4B">
        <w:rPr>
          <w:rFonts w:cstheme="minorHAnsi"/>
          <w:color w:val="000000"/>
          <w:sz w:val="22"/>
          <w:szCs w:val="22"/>
        </w:rPr>
        <w:t xml:space="preserve">L’exposition attachée aux structures financières ou juridiques impliquant </w:t>
      </w:r>
      <w:r w:rsidR="001D67E6" w:rsidRPr="00C21D4B">
        <w:rPr>
          <w:rFonts w:cstheme="minorHAnsi"/>
          <w:color w:val="000000"/>
          <w:sz w:val="22"/>
          <w:szCs w:val="22"/>
        </w:rPr>
        <w:t>des tiers contrôlés</w:t>
      </w:r>
      <w:r w:rsidRPr="00C21D4B">
        <w:rPr>
          <w:rFonts w:cstheme="minorHAnsi"/>
          <w:color w:val="000000"/>
          <w:sz w:val="22"/>
          <w:szCs w:val="22"/>
        </w:rPr>
        <w:t xml:space="preserve"> par </w:t>
      </w:r>
      <w:r w:rsidR="00A82A4F" w:rsidRPr="00C21D4B">
        <w:rPr>
          <w:rFonts w:cstheme="minorHAnsi"/>
          <w:color w:val="000000"/>
          <w:sz w:val="22"/>
          <w:szCs w:val="22"/>
        </w:rPr>
        <w:t>l’OPC</w:t>
      </w:r>
      <w:r w:rsidRPr="00C21D4B">
        <w:rPr>
          <w:rFonts w:cstheme="minorHAnsi"/>
          <w:color w:val="000000"/>
          <w:sz w:val="22"/>
          <w:szCs w:val="22"/>
        </w:rPr>
        <w:t xml:space="preserve"> concerné est incluse dans le calcul de l’exposition lorsque les structures en question ont été spécifiquement créées pour augmenter l’exposition directement ou indirectement au niveau </w:t>
      </w:r>
      <w:r w:rsidR="00A82A4F" w:rsidRPr="00C21D4B">
        <w:rPr>
          <w:rFonts w:cstheme="minorHAnsi"/>
          <w:color w:val="000000"/>
          <w:sz w:val="22"/>
          <w:szCs w:val="22"/>
        </w:rPr>
        <w:t>de l’OPC</w:t>
      </w:r>
      <w:r w:rsidRPr="00C21D4B">
        <w:rPr>
          <w:rFonts w:cstheme="minorHAnsi"/>
          <w:color w:val="000000"/>
          <w:sz w:val="22"/>
          <w:szCs w:val="22"/>
        </w:rPr>
        <w:t xml:space="preserve">. Pour les </w:t>
      </w:r>
      <w:r w:rsidR="00A82A4F" w:rsidRPr="00C21D4B">
        <w:rPr>
          <w:rFonts w:cstheme="minorHAnsi"/>
          <w:color w:val="000000"/>
          <w:sz w:val="22"/>
          <w:szCs w:val="22"/>
        </w:rPr>
        <w:t>OPC</w:t>
      </w:r>
      <w:r w:rsidRPr="00C21D4B">
        <w:rPr>
          <w:rFonts w:cstheme="minorHAnsi"/>
          <w:color w:val="000000"/>
          <w:sz w:val="22"/>
          <w:szCs w:val="22"/>
        </w:rPr>
        <w:t xml:space="preserve"> dont la politique principale en matière d’investissement consiste à acquérir le contrôle de sociétés ou d’émetteurs non cotés, </w:t>
      </w:r>
      <w:r w:rsidR="001D67E6" w:rsidRPr="00C21D4B">
        <w:rPr>
          <w:rFonts w:cstheme="minorHAnsi"/>
          <w:color w:val="000000"/>
          <w:sz w:val="22"/>
          <w:szCs w:val="22"/>
        </w:rPr>
        <w:t>la Société de Gestion d’OPC</w:t>
      </w:r>
      <w:r w:rsidRPr="00C21D4B">
        <w:rPr>
          <w:rFonts w:cstheme="minorHAnsi"/>
          <w:color w:val="000000"/>
          <w:sz w:val="22"/>
          <w:szCs w:val="22"/>
        </w:rPr>
        <w:t xml:space="preserve"> n’inclut pas, dans le calcul de l’effet de levier, l’exposition existant au niveau de ces sociétés et émetteurs non cotés si l</w:t>
      </w:r>
      <w:r w:rsidR="00A82A4F" w:rsidRPr="00C21D4B">
        <w:rPr>
          <w:rFonts w:cstheme="minorHAnsi"/>
          <w:color w:val="000000"/>
          <w:sz w:val="22"/>
          <w:szCs w:val="22"/>
        </w:rPr>
        <w:t>’OPC</w:t>
      </w:r>
      <w:r w:rsidRPr="00C21D4B">
        <w:rPr>
          <w:rFonts w:cstheme="minorHAnsi"/>
          <w:color w:val="000000"/>
          <w:sz w:val="22"/>
          <w:szCs w:val="22"/>
        </w:rPr>
        <w:t xml:space="preserve"> ou </w:t>
      </w:r>
      <w:r w:rsidR="00A82A4F" w:rsidRPr="00C21D4B">
        <w:rPr>
          <w:rFonts w:cstheme="minorHAnsi"/>
          <w:color w:val="000000"/>
          <w:sz w:val="22"/>
          <w:szCs w:val="22"/>
        </w:rPr>
        <w:t xml:space="preserve">la </w:t>
      </w:r>
      <w:r w:rsidR="001D67E6" w:rsidRPr="00C21D4B">
        <w:rPr>
          <w:rFonts w:cstheme="minorHAnsi"/>
          <w:color w:val="000000"/>
          <w:sz w:val="22"/>
          <w:szCs w:val="22"/>
        </w:rPr>
        <w:t>S</w:t>
      </w:r>
      <w:r w:rsidR="00A82A4F" w:rsidRPr="00C21D4B">
        <w:rPr>
          <w:rFonts w:cstheme="minorHAnsi"/>
          <w:color w:val="000000"/>
          <w:sz w:val="22"/>
          <w:szCs w:val="22"/>
        </w:rPr>
        <w:t xml:space="preserve">ociété de </w:t>
      </w:r>
      <w:r w:rsidR="001D67E6" w:rsidRPr="00C21D4B">
        <w:rPr>
          <w:rFonts w:cstheme="minorHAnsi"/>
          <w:color w:val="000000"/>
          <w:sz w:val="22"/>
          <w:szCs w:val="22"/>
        </w:rPr>
        <w:t>G</w:t>
      </w:r>
      <w:r w:rsidR="00A82A4F" w:rsidRPr="00C21D4B">
        <w:rPr>
          <w:rFonts w:cstheme="minorHAnsi"/>
          <w:color w:val="000000"/>
          <w:sz w:val="22"/>
          <w:szCs w:val="22"/>
        </w:rPr>
        <w:t>estion d’OPC</w:t>
      </w:r>
      <w:r w:rsidRPr="00C21D4B">
        <w:rPr>
          <w:rFonts w:cstheme="minorHAnsi"/>
          <w:color w:val="000000"/>
          <w:sz w:val="22"/>
          <w:szCs w:val="22"/>
        </w:rPr>
        <w:t xml:space="preserve"> agissant pour le compte </w:t>
      </w:r>
      <w:r w:rsidR="00A82A4F" w:rsidRPr="00C21D4B">
        <w:rPr>
          <w:rFonts w:cstheme="minorHAnsi"/>
          <w:color w:val="000000"/>
          <w:sz w:val="22"/>
          <w:szCs w:val="22"/>
        </w:rPr>
        <w:t>de l’OPC</w:t>
      </w:r>
      <w:r w:rsidRPr="00C21D4B">
        <w:rPr>
          <w:rFonts w:cstheme="minorHAnsi"/>
          <w:color w:val="000000"/>
          <w:sz w:val="22"/>
          <w:szCs w:val="22"/>
        </w:rPr>
        <w:t xml:space="preserve"> n’est pas tenu de prendre à sa charge les pertes éventuelles au-delà de son investissement dans ces sociétés ou émetteurs.</w:t>
      </w:r>
    </w:p>
    <w:p w14:paraId="4F3CC2DE" w14:textId="77777777" w:rsidR="00F24BA6" w:rsidRPr="00C21D4B" w:rsidRDefault="00F24BA6" w:rsidP="00F24BA6">
      <w:pPr>
        <w:pStyle w:val="Paragraphedeliste"/>
        <w:spacing w:before="120"/>
        <w:jc w:val="both"/>
        <w:rPr>
          <w:rFonts w:cstheme="minorHAnsi"/>
          <w:color w:val="000000"/>
          <w:sz w:val="22"/>
          <w:szCs w:val="22"/>
        </w:rPr>
      </w:pPr>
    </w:p>
    <w:p w14:paraId="6D7E860B" w14:textId="20816537" w:rsidR="003D2E2F" w:rsidRPr="00C21D4B" w:rsidRDefault="003D2E2F" w:rsidP="00A3057B">
      <w:pPr>
        <w:pStyle w:val="Paragraphedeliste"/>
        <w:numPr>
          <w:ilvl w:val="0"/>
          <w:numId w:val="14"/>
        </w:numPr>
        <w:spacing w:before="120"/>
        <w:jc w:val="both"/>
        <w:rPr>
          <w:rFonts w:cstheme="minorHAnsi"/>
          <w:color w:val="000000"/>
          <w:sz w:val="22"/>
          <w:szCs w:val="22"/>
        </w:rPr>
      </w:pPr>
      <w:r w:rsidRPr="00C21D4B">
        <w:rPr>
          <w:rFonts w:cstheme="minorHAnsi"/>
          <w:color w:val="000000"/>
          <w:sz w:val="22"/>
          <w:szCs w:val="22"/>
        </w:rPr>
        <w:t xml:space="preserve">Les </w:t>
      </w:r>
      <w:r w:rsidR="001D67E6" w:rsidRPr="00C21D4B">
        <w:rPr>
          <w:rFonts w:cstheme="minorHAnsi"/>
          <w:color w:val="000000"/>
          <w:sz w:val="22"/>
          <w:szCs w:val="22"/>
        </w:rPr>
        <w:t>S</w:t>
      </w:r>
      <w:r w:rsidR="00A82A4F" w:rsidRPr="00C21D4B">
        <w:rPr>
          <w:rFonts w:cstheme="minorHAnsi"/>
          <w:color w:val="000000"/>
          <w:sz w:val="22"/>
          <w:szCs w:val="22"/>
        </w:rPr>
        <w:t xml:space="preserve">ociétés de </w:t>
      </w:r>
      <w:r w:rsidR="001D67E6" w:rsidRPr="00C21D4B">
        <w:rPr>
          <w:rFonts w:cstheme="minorHAnsi"/>
          <w:color w:val="000000"/>
          <w:sz w:val="22"/>
          <w:szCs w:val="22"/>
        </w:rPr>
        <w:t>G</w:t>
      </w:r>
      <w:r w:rsidR="00A82A4F" w:rsidRPr="00C21D4B">
        <w:rPr>
          <w:rFonts w:cstheme="minorHAnsi"/>
          <w:color w:val="000000"/>
          <w:sz w:val="22"/>
          <w:szCs w:val="22"/>
        </w:rPr>
        <w:t>estion d’OPC</w:t>
      </w:r>
      <w:r w:rsidRPr="00C21D4B">
        <w:rPr>
          <w:rFonts w:cstheme="minorHAnsi"/>
          <w:color w:val="000000"/>
          <w:sz w:val="22"/>
          <w:szCs w:val="22"/>
        </w:rPr>
        <w:t xml:space="preserve"> excluent les accords d’emprunt contractés si ces derniers sont de nature temporaire et entièrement couverts par les promesses contractuelles d’apport de capitaux de la part des investisseurs d</w:t>
      </w:r>
      <w:r w:rsidR="00A82A4F" w:rsidRPr="00C21D4B">
        <w:rPr>
          <w:rFonts w:cstheme="minorHAnsi"/>
          <w:color w:val="000000"/>
          <w:sz w:val="22"/>
          <w:szCs w:val="22"/>
        </w:rPr>
        <w:t>e l’OPC</w:t>
      </w:r>
      <w:r w:rsidR="00D60167" w:rsidRPr="00C21D4B">
        <w:rPr>
          <w:rFonts w:cstheme="minorHAnsi"/>
          <w:color w:val="000000"/>
          <w:sz w:val="22"/>
          <w:szCs w:val="22"/>
        </w:rPr>
        <w:t>.</w:t>
      </w:r>
    </w:p>
    <w:p w14:paraId="7057FBDC" w14:textId="77777777" w:rsidR="00F24BA6" w:rsidRPr="00C21D4B" w:rsidRDefault="00F24BA6" w:rsidP="00F24BA6">
      <w:pPr>
        <w:pStyle w:val="Paragraphedeliste"/>
        <w:spacing w:before="120"/>
        <w:jc w:val="both"/>
        <w:rPr>
          <w:rFonts w:cstheme="minorHAnsi"/>
          <w:color w:val="000000"/>
          <w:sz w:val="22"/>
          <w:szCs w:val="22"/>
        </w:rPr>
      </w:pPr>
    </w:p>
    <w:p w14:paraId="29E94211" w14:textId="4DD7F6FE" w:rsidR="00BD02FB" w:rsidRPr="00C21D4B" w:rsidRDefault="003D2E2F" w:rsidP="00A3057B">
      <w:pPr>
        <w:pStyle w:val="Paragraphedeliste"/>
        <w:numPr>
          <w:ilvl w:val="0"/>
          <w:numId w:val="14"/>
        </w:numPr>
        <w:spacing w:before="120"/>
        <w:jc w:val="both"/>
        <w:rPr>
          <w:rFonts w:cstheme="minorHAnsi"/>
          <w:color w:val="000000"/>
          <w:sz w:val="22"/>
          <w:szCs w:val="22"/>
        </w:rPr>
      </w:pPr>
      <w:r w:rsidRPr="00C21D4B">
        <w:rPr>
          <w:rFonts w:cstheme="minorHAnsi"/>
          <w:color w:val="000000"/>
          <w:sz w:val="22"/>
          <w:szCs w:val="22"/>
        </w:rPr>
        <w:t>Un</w:t>
      </w:r>
      <w:r w:rsidR="00A82A4F" w:rsidRPr="00C21D4B">
        <w:rPr>
          <w:rFonts w:cstheme="minorHAnsi"/>
          <w:color w:val="000000"/>
          <w:sz w:val="22"/>
          <w:szCs w:val="22"/>
        </w:rPr>
        <w:t xml:space="preserve">e </w:t>
      </w:r>
      <w:r w:rsidR="001D67E6" w:rsidRPr="00C21D4B">
        <w:rPr>
          <w:rFonts w:cstheme="minorHAnsi"/>
          <w:color w:val="000000"/>
          <w:sz w:val="22"/>
          <w:szCs w:val="22"/>
        </w:rPr>
        <w:t>S</w:t>
      </w:r>
      <w:r w:rsidR="00A82A4F" w:rsidRPr="00C21D4B">
        <w:rPr>
          <w:rFonts w:cstheme="minorHAnsi"/>
          <w:color w:val="000000"/>
          <w:sz w:val="22"/>
          <w:szCs w:val="22"/>
        </w:rPr>
        <w:t xml:space="preserve">ociété de </w:t>
      </w:r>
      <w:r w:rsidR="001D67E6" w:rsidRPr="00C21D4B">
        <w:rPr>
          <w:rFonts w:cstheme="minorHAnsi"/>
          <w:color w:val="000000"/>
          <w:sz w:val="22"/>
          <w:szCs w:val="22"/>
        </w:rPr>
        <w:t>G</w:t>
      </w:r>
      <w:r w:rsidR="00A82A4F" w:rsidRPr="00C21D4B">
        <w:rPr>
          <w:rFonts w:cstheme="minorHAnsi"/>
          <w:color w:val="000000"/>
          <w:sz w:val="22"/>
          <w:szCs w:val="22"/>
        </w:rPr>
        <w:t>estion d’OPC</w:t>
      </w:r>
      <w:r w:rsidRPr="00C21D4B">
        <w:rPr>
          <w:rFonts w:cstheme="minorHAnsi"/>
          <w:color w:val="000000"/>
          <w:sz w:val="22"/>
          <w:szCs w:val="22"/>
        </w:rPr>
        <w:t xml:space="preserve"> dispose de procédures dûment documentées pour calculer l’exposition de chaque </w:t>
      </w:r>
      <w:r w:rsidR="00A82A4F" w:rsidRPr="00C21D4B">
        <w:rPr>
          <w:rFonts w:cstheme="minorHAnsi"/>
          <w:color w:val="000000"/>
          <w:sz w:val="22"/>
          <w:szCs w:val="22"/>
        </w:rPr>
        <w:t>OPC</w:t>
      </w:r>
      <w:r w:rsidRPr="00C21D4B">
        <w:rPr>
          <w:rFonts w:cstheme="minorHAnsi"/>
          <w:color w:val="000000"/>
          <w:sz w:val="22"/>
          <w:szCs w:val="22"/>
        </w:rPr>
        <w:t xml:space="preserve"> qu’</w:t>
      </w:r>
      <w:r w:rsidR="00D60167" w:rsidRPr="00C21D4B">
        <w:rPr>
          <w:rFonts w:cstheme="minorHAnsi"/>
          <w:color w:val="000000"/>
          <w:sz w:val="22"/>
          <w:szCs w:val="22"/>
        </w:rPr>
        <w:t>elle</w:t>
      </w:r>
      <w:r w:rsidRPr="00C21D4B">
        <w:rPr>
          <w:rFonts w:cstheme="minorHAnsi"/>
          <w:color w:val="000000"/>
          <w:sz w:val="22"/>
          <w:szCs w:val="22"/>
        </w:rPr>
        <w:t xml:space="preserve"> gère selon la méthode brute et selon la méthode de l’engagement. Le calcul est appliqué invariablement au fil du temps.</w:t>
      </w:r>
    </w:p>
    <w:p w14:paraId="7361FD6B" w14:textId="77777777" w:rsidR="00F24BA6" w:rsidRPr="00C21D4B" w:rsidRDefault="00F24BA6" w:rsidP="00F24BA6">
      <w:pPr>
        <w:pStyle w:val="Paragraphedeliste"/>
        <w:rPr>
          <w:rFonts w:cstheme="minorHAnsi"/>
          <w:color w:val="000000"/>
          <w:sz w:val="22"/>
          <w:szCs w:val="22"/>
        </w:rPr>
      </w:pPr>
    </w:p>
    <w:p w14:paraId="17B85DAF" w14:textId="77777777" w:rsidR="00F24BA6" w:rsidRPr="00C21D4B" w:rsidRDefault="00F24BA6" w:rsidP="00F24BA6">
      <w:pPr>
        <w:pStyle w:val="Paragraphedeliste"/>
        <w:spacing w:before="120"/>
        <w:jc w:val="both"/>
        <w:rPr>
          <w:rFonts w:cstheme="minorHAnsi"/>
          <w:color w:val="000000"/>
          <w:sz w:val="22"/>
          <w:szCs w:val="22"/>
        </w:rPr>
      </w:pPr>
    </w:p>
    <w:p w14:paraId="55E52D8B" w14:textId="77777777" w:rsidR="00BD02FB" w:rsidRPr="00C21D4B" w:rsidRDefault="00BD02FB">
      <w:pPr>
        <w:rPr>
          <w:rFonts w:asciiTheme="minorHAnsi" w:hAnsiTheme="minorHAnsi" w:cstheme="minorHAnsi"/>
          <w:color w:val="000000"/>
          <w:sz w:val="22"/>
          <w:szCs w:val="22"/>
        </w:rPr>
      </w:pPr>
      <w:r w:rsidRPr="00C21D4B">
        <w:rPr>
          <w:rFonts w:asciiTheme="minorHAnsi" w:hAnsiTheme="minorHAnsi" w:cstheme="minorHAnsi"/>
          <w:color w:val="000000"/>
          <w:sz w:val="22"/>
          <w:szCs w:val="22"/>
        </w:rPr>
        <w:br w:type="page"/>
      </w:r>
    </w:p>
    <w:p w14:paraId="53CB5C73" w14:textId="290AD0D0" w:rsidR="00BD02FB" w:rsidRPr="00814D88" w:rsidRDefault="00BD02FB" w:rsidP="003D2E2F">
      <w:pPr>
        <w:spacing w:before="120"/>
        <w:jc w:val="both"/>
        <w:rPr>
          <w:rFonts w:asciiTheme="minorHAnsi" w:hAnsiTheme="minorHAnsi" w:cstheme="minorHAnsi"/>
          <w:b/>
          <w:color w:val="000000"/>
          <w:sz w:val="22"/>
          <w:szCs w:val="22"/>
          <w:u w:val="single"/>
        </w:rPr>
      </w:pPr>
      <w:r w:rsidRPr="00814D88">
        <w:rPr>
          <w:rFonts w:asciiTheme="minorHAnsi" w:hAnsiTheme="minorHAnsi" w:cstheme="minorHAnsi"/>
          <w:b/>
          <w:color w:val="000000"/>
          <w:sz w:val="22"/>
          <w:szCs w:val="22"/>
          <w:u w:val="single"/>
        </w:rPr>
        <w:lastRenderedPageBreak/>
        <w:t>A</w:t>
      </w:r>
      <w:r w:rsidR="00D60167" w:rsidRPr="00814D88">
        <w:rPr>
          <w:rFonts w:asciiTheme="minorHAnsi" w:hAnsiTheme="minorHAnsi" w:cstheme="minorHAnsi"/>
          <w:b/>
          <w:color w:val="000000"/>
          <w:sz w:val="22"/>
          <w:szCs w:val="22"/>
          <w:u w:val="single"/>
        </w:rPr>
        <w:t>NNEXE</w:t>
      </w:r>
      <w:r w:rsidRPr="00814D88">
        <w:rPr>
          <w:rFonts w:asciiTheme="minorHAnsi" w:hAnsiTheme="minorHAnsi" w:cstheme="minorHAnsi"/>
          <w:b/>
          <w:color w:val="000000"/>
          <w:sz w:val="22"/>
          <w:szCs w:val="22"/>
          <w:u w:val="single"/>
        </w:rPr>
        <w:t xml:space="preserve"> III </w:t>
      </w:r>
    </w:p>
    <w:p w14:paraId="7B820544" w14:textId="5199E11F" w:rsidR="00BD02FB" w:rsidRPr="00C21D4B" w:rsidRDefault="00B0185E" w:rsidP="00BD02FB">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METHODE BRUTE</w:t>
      </w:r>
    </w:p>
    <w:p w14:paraId="4ACA75C1" w14:textId="0DD81A87" w:rsidR="00BD02FB" w:rsidRPr="00C21D4B" w:rsidRDefault="00BD02FB" w:rsidP="00BD02FB">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L’exposition d’un OPC calculée selon la méthode brute correspond à la somme des valeurs absolues de toutes les positions évaluées.</w:t>
      </w:r>
    </w:p>
    <w:p w14:paraId="54143B6A" w14:textId="4225DF56" w:rsidR="00BD02FB" w:rsidRPr="00C21D4B" w:rsidRDefault="00BD02FB" w:rsidP="00BD02FB">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Pour le calcul de l’exposition d’un OPC selon la méthode brute, une </w:t>
      </w:r>
      <w:r w:rsidR="001D67E6" w:rsidRPr="00C21D4B">
        <w:rPr>
          <w:rFonts w:asciiTheme="minorHAnsi" w:hAnsiTheme="minorHAnsi" w:cstheme="minorHAnsi"/>
          <w:color w:val="000000"/>
          <w:sz w:val="22"/>
          <w:szCs w:val="22"/>
        </w:rPr>
        <w:t>S</w:t>
      </w:r>
      <w:r w:rsidRPr="00C21D4B">
        <w:rPr>
          <w:rFonts w:asciiTheme="minorHAnsi" w:hAnsiTheme="minorHAnsi" w:cstheme="minorHAnsi"/>
          <w:color w:val="000000"/>
          <w:sz w:val="22"/>
          <w:szCs w:val="22"/>
        </w:rPr>
        <w:t xml:space="preserve">ociété de </w:t>
      </w:r>
      <w:r w:rsidR="001D67E6" w:rsidRPr="00C21D4B">
        <w:rPr>
          <w:rFonts w:asciiTheme="minorHAnsi" w:hAnsiTheme="minorHAnsi" w:cstheme="minorHAnsi"/>
          <w:color w:val="000000"/>
          <w:sz w:val="22"/>
          <w:szCs w:val="22"/>
        </w:rPr>
        <w:t>G</w:t>
      </w:r>
      <w:r w:rsidRPr="00C21D4B">
        <w:rPr>
          <w:rFonts w:asciiTheme="minorHAnsi" w:hAnsiTheme="minorHAnsi" w:cstheme="minorHAnsi"/>
          <w:color w:val="000000"/>
          <w:sz w:val="22"/>
          <w:szCs w:val="22"/>
        </w:rPr>
        <w:t>estion d’OPC:</w:t>
      </w:r>
    </w:p>
    <w:tbl>
      <w:tblPr>
        <w:tblW w:w="5392" w:type="pct"/>
        <w:tblInd w:w="-284" w:type="dxa"/>
        <w:tblLayout w:type="fixed"/>
        <w:tblCellMar>
          <w:left w:w="0" w:type="dxa"/>
          <w:right w:w="0" w:type="dxa"/>
        </w:tblCellMar>
        <w:tblLook w:val="04A0" w:firstRow="1" w:lastRow="0" w:firstColumn="1" w:lastColumn="0" w:noHBand="0" w:noVBand="1"/>
      </w:tblPr>
      <w:tblGrid>
        <w:gridCol w:w="710"/>
        <w:gridCol w:w="9067"/>
      </w:tblGrid>
      <w:tr w:rsidR="00533D80" w:rsidRPr="00C21D4B" w14:paraId="4134FF24" w14:textId="77777777" w:rsidTr="00533D80">
        <w:tc>
          <w:tcPr>
            <w:tcW w:w="363" w:type="pct"/>
            <w:shd w:val="clear" w:color="auto" w:fill="auto"/>
            <w:hideMark/>
          </w:tcPr>
          <w:p w14:paraId="2738243B" w14:textId="10CDF65E" w:rsidR="00BD02FB" w:rsidRPr="00C21D4B" w:rsidRDefault="00BD02FB" w:rsidP="00A3057B">
            <w:pPr>
              <w:pStyle w:val="Paragraphedeliste"/>
              <w:numPr>
                <w:ilvl w:val="0"/>
                <w:numId w:val="11"/>
              </w:numPr>
              <w:spacing w:before="120"/>
              <w:jc w:val="both"/>
              <w:rPr>
                <w:rFonts w:cstheme="minorHAnsi"/>
                <w:color w:val="000000"/>
                <w:sz w:val="22"/>
                <w:szCs w:val="22"/>
              </w:rPr>
            </w:pPr>
          </w:p>
        </w:tc>
        <w:tc>
          <w:tcPr>
            <w:tcW w:w="4637" w:type="pct"/>
            <w:shd w:val="clear" w:color="auto" w:fill="auto"/>
            <w:hideMark/>
          </w:tcPr>
          <w:p w14:paraId="2FD2B34B" w14:textId="443AA0D2" w:rsidR="00BD02FB" w:rsidRPr="00C21D4B" w:rsidRDefault="00BD02FB" w:rsidP="00533D80">
            <w:pPr>
              <w:spacing w:before="120"/>
              <w:ind w:left="278"/>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exclut la valeur de la trésorerie et des équivalents de trésorerie, lesquels correspondent à des investissements très liquides détenus dans la devise principale </w:t>
            </w:r>
            <w:r w:rsidR="00533D80" w:rsidRPr="00C21D4B">
              <w:rPr>
                <w:rFonts w:asciiTheme="minorHAnsi" w:hAnsiTheme="minorHAnsi" w:cstheme="minorHAnsi"/>
                <w:color w:val="000000"/>
                <w:sz w:val="22"/>
                <w:szCs w:val="22"/>
              </w:rPr>
              <w:t>de l’OPC</w:t>
            </w:r>
            <w:r w:rsidRPr="00C21D4B">
              <w:rPr>
                <w:rFonts w:asciiTheme="minorHAnsi" w:hAnsiTheme="minorHAnsi" w:cstheme="minorHAnsi"/>
                <w:color w:val="000000"/>
                <w:sz w:val="22"/>
                <w:szCs w:val="22"/>
              </w:rPr>
              <w:t xml:space="preserve"> qui sont rapidement convertibles en un montant connu de trésorerie, sont exposés à un risque insignifiant de variation de valeur, et fournissent un rendement ne dépassant pas le taux d’intérêt d’un emprunt d’État à trois </w:t>
            </w:r>
            <w:r w:rsidR="001D67E6" w:rsidRPr="00C21D4B">
              <w:rPr>
                <w:rFonts w:asciiTheme="minorHAnsi" w:hAnsiTheme="minorHAnsi" w:cstheme="minorHAnsi"/>
                <w:color w:val="000000"/>
                <w:sz w:val="22"/>
                <w:szCs w:val="22"/>
              </w:rPr>
              <w:t xml:space="preserve">(3) </w:t>
            </w:r>
            <w:r w:rsidRPr="00C21D4B">
              <w:rPr>
                <w:rFonts w:asciiTheme="minorHAnsi" w:hAnsiTheme="minorHAnsi" w:cstheme="minorHAnsi"/>
                <w:color w:val="000000"/>
                <w:sz w:val="22"/>
                <w:szCs w:val="22"/>
              </w:rPr>
              <w:t>mois de qualité de signature élevée;</w:t>
            </w:r>
          </w:p>
        </w:tc>
      </w:tr>
    </w:tbl>
    <w:p w14:paraId="292CD914" w14:textId="77777777" w:rsidR="00BD02FB" w:rsidRPr="00C21D4B" w:rsidRDefault="00BD02FB" w:rsidP="00BD02FB">
      <w:pPr>
        <w:rPr>
          <w:rFonts w:asciiTheme="minorHAnsi" w:hAnsiTheme="minorHAnsi" w:cstheme="minorHAnsi"/>
          <w:vanish/>
          <w:sz w:val="22"/>
          <w:szCs w:val="22"/>
        </w:rPr>
      </w:pPr>
    </w:p>
    <w:tbl>
      <w:tblPr>
        <w:tblW w:w="5548" w:type="pct"/>
        <w:tblInd w:w="-284" w:type="dxa"/>
        <w:tblLayout w:type="fixed"/>
        <w:tblCellMar>
          <w:left w:w="0" w:type="dxa"/>
          <w:right w:w="0" w:type="dxa"/>
        </w:tblCellMar>
        <w:tblLook w:val="04A0" w:firstRow="1" w:lastRow="0" w:firstColumn="1" w:lastColumn="0" w:noHBand="0" w:noVBand="1"/>
      </w:tblPr>
      <w:tblGrid>
        <w:gridCol w:w="994"/>
        <w:gridCol w:w="9066"/>
      </w:tblGrid>
      <w:tr w:rsidR="00533D80" w:rsidRPr="00C21D4B" w14:paraId="68114543" w14:textId="77777777" w:rsidTr="00533D80">
        <w:tc>
          <w:tcPr>
            <w:tcW w:w="494" w:type="pct"/>
            <w:shd w:val="clear" w:color="auto" w:fill="auto"/>
            <w:hideMark/>
          </w:tcPr>
          <w:p w14:paraId="3890954E" w14:textId="2E180513" w:rsidR="00BD02FB" w:rsidRPr="00C21D4B" w:rsidRDefault="00BD02FB" w:rsidP="00A3057B">
            <w:pPr>
              <w:pStyle w:val="Paragraphedeliste"/>
              <w:numPr>
                <w:ilvl w:val="0"/>
                <w:numId w:val="11"/>
              </w:numPr>
              <w:spacing w:before="120"/>
              <w:ind w:left="568" w:right="-541" w:hanging="208"/>
              <w:jc w:val="both"/>
              <w:rPr>
                <w:rFonts w:cstheme="minorHAnsi"/>
                <w:color w:val="000000"/>
                <w:sz w:val="22"/>
                <w:szCs w:val="22"/>
              </w:rPr>
            </w:pPr>
          </w:p>
        </w:tc>
        <w:tc>
          <w:tcPr>
            <w:tcW w:w="4506" w:type="pct"/>
            <w:shd w:val="clear" w:color="auto" w:fill="auto"/>
            <w:hideMark/>
          </w:tcPr>
          <w:p w14:paraId="1DBC9E4A" w14:textId="73299E09" w:rsidR="00BD02FB" w:rsidRPr="00C21D4B" w:rsidRDefault="00BD02FB" w:rsidP="00533D80">
            <w:pPr>
              <w:spacing w:before="120"/>
              <w:ind w:hanging="6"/>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convertit les instruments dérivés en positions équivalentes sur leurs actifs sous-jacents</w:t>
            </w:r>
            <w:r w:rsidR="00B0185E" w:rsidRPr="00C21D4B">
              <w:rPr>
                <w:rFonts w:asciiTheme="minorHAnsi" w:hAnsiTheme="minorHAnsi" w:cstheme="minorHAnsi"/>
                <w:color w:val="000000"/>
                <w:sz w:val="22"/>
                <w:szCs w:val="22"/>
              </w:rPr>
              <w:t xml:space="preserve"> selon la méthode visée dans </w:t>
            </w:r>
            <w:r w:rsidR="00B0185E" w:rsidRPr="00FE2BE3">
              <w:rPr>
                <w:rFonts w:asciiTheme="minorHAnsi" w:hAnsiTheme="minorHAnsi" w:cstheme="minorHAnsi"/>
                <w:color w:val="000000"/>
                <w:sz w:val="22"/>
                <w:szCs w:val="22"/>
              </w:rPr>
              <w:t>une circulaire de la COSUMAF</w:t>
            </w:r>
            <w:r w:rsidRPr="00C21D4B">
              <w:rPr>
                <w:rFonts w:asciiTheme="minorHAnsi" w:hAnsiTheme="minorHAnsi" w:cstheme="minorHAnsi"/>
                <w:color w:val="000000"/>
                <w:sz w:val="22"/>
                <w:szCs w:val="22"/>
              </w:rPr>
              <w:t>;</w:t>
            </w:r>
          </w:p>
        </w:tc>
      </w:tr>
    </w:tbl>
    <w:p w14:paraId="799B0702" w14:textId="77777777" w:rsidR="00BD02FB" w:rsidRPr="00C21D4B" w:rsidRDefault="00BD02FB" w:rsidP="00BD02FB">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160"/>
        <w:gridCol w:w="8906"/>
      </w:tblGrid>
      <w:tr w:rsidR="00BD02FB" w:rsidRPr="00C21D4B" w14:paraId="139C85C3" w14:textId="77777777" w:rsidTr="00BD02FB">
        <w:tc>
          <w:tcPr>
            <w:tcW w:w="0" w:type="auto"/>
            <w:shd w:val="clear" w:color="auto" w:fill="auto"/>
            <w:hideMark/>
          </w:tcPr>
          <w:p w14:paraId="4B68D89A" w14:textId="77777777" w:rsidR="00BD02FB" w:rsidRPr="00C21D4B" w:rsidRDefault="00BD02FB" w:rsidP="00BD02FB">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c)</w:t>
            </w:r>
          </w:p>
        </w:tc>
        <w:tc>
          <w:tcPr>
            <w:tcW w:w="0" w:type="auto"/>
            <w:shd w:val="clear" w:color="auto" w:fill="auto"/>
            <w:hideMark/>
          </w:tcPr>
          <w:p w14:paraId="104A75F9" w14:textId="3E8C23EA" w:rsidR="00BD02FB" w:rsidRPr="00C21D4B" w:rsidRDefault="00BD02FB" w:rsidP="00533D80">
            <w:pPr>
              <w:spacing w:before="120"/>
              <w:ind w:left="509"/>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exclut les emprunts de liquidités qui restent sous forme de trésorerie ou d’équivalents de trésorerie tels que désignés au point a) et pour lesquels les montants dus sont connus;</w:t>
            </w:r>
          </w:p>
        </w:tc>
      </w:tr>
    </w:tbl>
    <w:p w14:paraId="76C43512" w14:textId="77777777" w:rsidR="00BD02FB" w:rsidRPr="00C21D4B" w:rsidRDefault="00BD02FB" w:rsidP="00BD02FB">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183"/>
        <w:gridCol w:w="8883"/>
      </w:tblGrid>
      <w:tr w:rsidR="00BD02FB" w:rsidRPr="00C21D4B" w14:paraId="62E23FE0" w14:textId="77777777" w:rsidTr="00BD02FB">
        <w:tc>
          <w:tcPr>
            <w:tcW w:w="0" w:type="auto"/>
            <w:shd w:val="clear" w:color="auto" w:fill="auto"/>
            <w:hideMark/>
          </w:tcPr>
          <w:p w14:paraId="6034EC52" w14:textId="77777777" w:rsidR="00BD02FB" w:rsidRPr="00C21D4B" w:rsidRDefault="00BD02FB" w:rsidP="00BD02FB">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d)</w:t>
            </w:r>
          </w:p>
        </w:tc>
        <w:tc>
          <w:tcPr>
            <w:tcW w:w="0" w:type="auto"/>
            <w:shd w:val="clear" w:color="auto" w:fill="auto"/>
            <w:hideMark/>
          </w:tcPr>
          <w:p w14:paraId="695AFE7F" w14:textId="7C7C9384" w:rsidR="00BD02FB" w:rsidRPr="00C21D4B" w:rsidRDefault="00BD02FB" w:rsidP="00533D80">
            <w:pPr>
              <w:spacing w:before="120"/>
              <w:ind w:left="488"/>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inclut l’exposition résultant du réinvestissement des liquidités empruntées, en prenant pour l’exprimer soit la valeur de marché de l’investissement réalisé, soit le montant total des liquidités empruntées selon ce qui est le plus élevé;</w:t>
            </w:r>
          </w:p>
        </w:tc>
      </w:tr>
    </w:tbl>
    <w:p w14:paraId="1CB96A3D" w14:textId="77777777" w:rsidR="00BD02FB" w:rsidRPr="00C21D4B" w:rsidRDefault="00BD02FB" w:rsidP="00BD02FB">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177"/>
        <w:gridCol w:w="8889"/>
      </w:tblGrid>
      <w:tr w:rsidR="00BD02FB" w:rsidRPr="00C21D4B" w14:paraId="07B8E683" w14:textId="77777777" w:rsidTr="00BD02FB">
        <w:tc>
          <w:tcPr>
            <w:tcW w:w="0" w:type="auto"/>
            <w:shd w:val="clear" w:color="auto" w:fill="auto"/>
            <w:hideMark/>
          </w:tcPr>
          <w:p w14:paraId="102D754A" w14:textId="77777777" w:rsidR="00BD02FB" w:rsidRPr="00C21D4B" w:rsidRDefault="00BD02FB" w:rsidP="00BD02FB">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e)</w:t>
            </w:r>
          </w:p>
        </w:tc>
        <w:tc>
          <w:tcPr>
            <w:tcW w:w="0" w:type="auto"/>
            <w:shd w:val="clear" w:color="auto" w:fill="auto"/>
            <w:hideMark/>
          </w:tcPr>
          <w:p w14:paraId="3AF9442B" w14:textId="34E85B63" w:rsidR="00BD02FB" w:rsidRPr="00C21D4B" w:rsidRDefault="00BD02FB" w:rsidP="00B0185E">
            <w:pPr>
              <w:spacing w:before="120"/>
              <w:ind w:left="499"/>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inclut les positions détenues dans des accords de prise ou de mise en pension et des accords d’emprunt ou de prêt de titres ou autres.</w:t>
            </w:r>
          </w:p>
        </w:tc>
      </w:tr>
    </w:tbl>
    <w:p w14:paraId="1EF990C2" w14:textId="77777777" w:rsidR="00814D88" w:rsidRDefault="00814D88" w:rsidP="003D2E2F">
      <w:pPr>
        <w:spacing w:before="120"/>
        <w:jc w:val="both"/>
        <w:rPr>
          <w:rFonts w:asciiTheme="minorHAnsi" w:hAnsiTheme="minorHAnsi" w:cstheme="minorHAnsi"/>
          <w:color w:val="000000"/>
          <w:sz w:val="22"/>
          <w:szCs w:val="22"/>
        </w:rPr>
      </w:pPr>
    </w:p>
    <w:p w14:paraId="7D90C9FD" w14:textId="0D2B59D7" w:rsidR="00BD02FB" w:rsidRPr="00C21D4B" w:rsidRDefault="00B0185E" w:rsidP="003D2E2F">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METHODE DE CALCUL DE L’ENGAGEMENT </w:t>
      </w:r>
    </w:p>
    <w:p w14:paraId="1100579A" w14:textId="552D7A52" w:rsidR="00BD02FB" w:rsidRPr="00C21D4B" w:rsidRDefault="00BD02FB" w:rsidP="003D2E2F">
      <w:pPr>
        <w:spacing w:before="120"/>
        <w:jc w:val="both"/>
        <w:rPr>
          <w:rFonts w:asciiTheme="minorHAnsi" w:hAnsiTheme="minorHAnsi" w:cstheme="minorHAnsi"/>
          <w:color w:val="000000"/>
          <w:sz w:val="22"/>
          <w:szCs w:val="22"/>
        </w:rPr>
      </w:pPr>
    </w:p>
    <w:p w14:paraId="08D9DF52" w14:textId="7EFD2652" w:rsidR="00B0185E" w:rsidRPr="00C21D4B" w:rsidRDefault="00B0185E" w:rsidP="00A3057B">
      <w:pPr>
        <w:pStyle w:val="Paragraphedeliste"/>
        <w:numPr>
          <w:ilvl w:val="0"/>
          <w:numId w:val="15"/>
        </w:numPr>
        <w:spacing w:before="120"/>
        <w:jc w:val="both"/>
        <w:rPr>
          <w:rFonts w:cstheme="minorHAnsi"/>
          <w:color w:val="000000"/>
          <w:sz w:val="22"/>
          <w:szCs w:val="22"/>
        </w:rPr>
      </w:pPr>
      <w:r w:rsidRPr="00C21D4B">
        <w:rPr>
          <w:rFonts w:cstheme="minorHAnsi"/>
          <w:color w:val="000000"/>
          <w:sz w:val="22"/>
          <w:szCs w:val="22"/>
        </w:rPr>
        <w:t>L’exposition d’un OPC calculée selon la méthode de l’engagement correspond à la somme des valeurs absolues de toutes les positions.</w:t>
      </w:r>
    </w:p>
    <w:p w14:paraId="4A7ED6A4" w14:textId="77777777" w:rsidR="001D67E6" w:rsidRPr="00C21D4B" w:rsidRDefault="001D67E6" w:rsidP="001D67E6">
      <w:pPr>
        <w:pStyle w:val="Paragraphedeliste"/>
        <w:spacing w:before="120"/>
        <w:jc w:val="both"/>
        <w:rPr>
          <w:rFonts w:cstheme="minorHAnsi"/>
          <w:color w:val="000000"/>
          <w:sz w:val="22"/>
          <w:szCs w:val="22"/>
        </w:rPr>
      </w:pPr>
    </w:p>
    <w:p w14:paraId="1C68B030" w14:textId="5F12C5BA" w:rsidR="001D67E6" w:rsidRPr="00814D88" w:rsidRDefault="00B0185E" w:rsidP="001D67E6">
      <w:pPr>
        <w:pStyle w:val="Paragraphedeliste"/>
        <w:numPr>
          <w:ilvl w:val="0"/>
          <w:numId w:val="15"/>
        </w:numPr>
        <w:spacing w:before="120"/>
        <w:jc w:val="both"/>
        <w:rPr>
          <w:rFonts w:cstheme="minorHAnsi"/>
          <w:color w:val="000000"/>
          <w:sz w:val="22"/>
          <w:szCs w:val="22"/>
        </w:rPr>
      </w:pPr>
      <w:r w:rsidRPr="00C21D4B">
        <w:rPr>
          <w:rFonts w:cstheme="minorHAnsi"/>
          <w:color w:val="000000"/>
          <w:sz w:val="22"/>
          <w:szCs w:val="22"/>
        </w:rPr>
        <w:t xml:space="preserve">Pour le calcul de l’exposition d’un OPC selon la méthode de l’engagement, une </w:t>
      </w:r>
      <w:r w:rsidR="001D67E6" w:rsidRPr="00C21D4B">
        <w:rPr>
          <w:rFonts w:cstheme="minorHAnsi"/>
          <w:color w:val="000000"/>
          <w:sz w:val="22"/>
          <w:szCs w:val="22"/>
        </w:rPr>
        <w:t>S</w:t>
      </w:r>
      <w:r w:rsidRPr="00C21D4B">
        <w:rPr>
          <w:rFonts w:cstheme="minorHAnsi"/>
          <w:color w:val="000000"/>
          <w:sz w:val="22"/>
          <w:szCs w:val="22"/>
        </w:rPr>
        <w:t xml:space="preserve">ociété de </w:t>
      </w:r>
      <w:r w:rsidR="001D67E6" w:rsidRPr="00C21D4B">
        <w:rPr>
          <w:rFonts w:cstheme="minorHAnsi"/>
          <w:color w:val="000000"/>
          <w:sz w:val="22"/>
          <w:szCs w:val="22"/>
        </w:rPr>
        <w:t>G</w:t>
      </w:r>
      <w:r w:rsidRPr="00C21D4B">
        <w:rPr>
          <w:rFonts w:cstheme="minorHAnsi"/>
          <w:color w:val="000000"/>
          <w:sz w:val="22"/>
          <w:szCs w:val="22"/>
        </w:rPr>
        <w:t>estion d’OPC:</w:t>
      </w:r>
    </w:p>
    <w:tbl>
      <w:tblPr>
        <w:tblW w:w="5000" w:type="pct"/>
        <w:tblCellMar>
          <w:left w:w="0" w:type="dxa"/>
          <w:right w:w="0" w:type="dxa"/>
        </w:tblCellMar>
        <w:tblLook w:val="04A0" w:firstRow="1" w:lastRow="0" w:firstColumn="1" w:lastColumn="0" w:noHBand="0" w:noVBand="1"/>
      </w:tblPr>
      <w:tblGrid>
        <w:gridCol w:w="360"/>
        <w:gridCol w:w="8706"/>
      </w:tblGrid>
      <w:tr w:rsidR="00B0185E" w:rsidRPr="00C21D4B" w14:paraId="523DE598" w14:textId="77777777" w:rsidTr="00B0185E">
        <w:tc>
          <w:tcPr>
            <w:tcW w:w="0" w:type="auto"/>
            <w:shd w:val="clear" w:color="auto" w:fill="auto"/>
            <w:hideMark/>
          </w:tcPr>
          <w:p w14:paraId="545845CD" w14:textId="446F3333" w:rsidR="00B0185E" w:rsidRPr="00C21D4B" w:rsidRDefault="001D67E6" w:rsidP="001D67E6">
            <w:pPr>
              <w:spacing w:before="120"/>
              <w:ind w:left="36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 </w:t>
            </w:r>
          </w:p>
        </w:tc>
        <w:tc>
          <w:tcPr>
            <w:tcW w:w="0" w:type="auto"/>
            <w:shd w:val="clear" w:color="auto" w:fill="auto"/>
            <w:hideMark/>
          </w:tcPr>
          <w:p w14:paraId="597AACA4" w14:textId="15E74225" w:rsidR="001D67E6" w:rsidRPr="00C21D4B" w:rsidRDefault="00B0185E" w:rsidP="00A3057B">
            <w:pPr>
              <w:pStyle w:val="Paragraphedeliste"/>
              <w:numPr>
                <w:ilvl w:val="0"/>
                <w:numId w:val="16"/>
              </w:numPr>
              <w:spacing w:before="120"/>
              <w:jc w:val="both"/>
              <w:rPr>
                <w:rFonts w:cstheme="minorHAnsi"/>
                <w:color w:val="000000"/>
                <w:sz w:val="22"/>
                <w:szCs w:val="22"/>
              </w:rPr>
            </w:pPr>
            <w:r w:rsidRPr="00C21D4B">
              <w:rPr>
                <w:rFonts w:cstheme="minorHAnsi"/>
                <w:color w:val="000000"/>
                <w:sz w:val="22"/>
                <w:szCs w:val="22"/>
              </w:rPr>
              <w:t>convertit la position de chaque instrument dérivé en une position équivalente sur l’actif sous-jacent de cet instrument dérivé en employant les méthodes de conversion visées dans une circulaire de la COSUMAF;</w:t>
            </w:r>
          </w:p>
        </w:tc>
      </w:tr>
    </w:tbl>
    <w:p w14:paraId="2B9DE624"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8"/>
        <w:gridCol w:w="9058"/>
      </w:tblGrid>
      <w:tr w:rsidR="00B0185E" w:rsidRPr="00C21D4B" w14:paraId="469F043C" w14:textId="77777777" w:rsidTr="00B0185E">
        <w:tc>
          <w:tcPr>
            <w:tcW w:w="0" w:type="auto"/>
            <w:shd w:val="clear" w:color="auto" w:fill="auto"/>
            <w:hideMark/>
          </w:tcPr>
          <w:p w14:paraId="6392B876" w14:textId="5E424548"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0EBB685A" w14:textId="7DB18802" w:rsidR="00B0185E" w:rsidRPr="00C21D4B" w:rsidRDefault="00B0185E" w:rsidP="00A3057B">
            <w:pPr>
              <w:pStyle w:val="Paragraphedeliste"/>
              <w:numPr>
                <w:ilvl w:val="0"/>
                <w:numId w:val="16"/>
              </w:numPr>
              <w:spacing w:before="120"/>
              <w:ind w:left="1121"/>
              <w:jc w:val="both"/>
              <w:rPr>
                <w:rFonts w:cstheme="minorHAnsi"/>
                <w:color w:val="000000"/>
                <w:sz w:val="22"/>
                <w:szCs w:val="22"/>
              </w:rPr>
            </w:pPr>
            <w:r w:rsidRPr="00C21D4B">
              <w:rPr>
                <w:rFonts w:cstheme="minorHAnsi"/>
                <w:color w:val="000000"/>
                <w:sz w:val="22"/>
                <w:szCs w:val="22"/>
              </w:rPr>
              <w:t>applique des dispositions de couverture et de compensation;</w:t>
            </w:r>
          </w:p>
        </w:tc>
      </w:tr>
    </w:tbl>
    <w:p w14:paraId="5D724CD5"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249E1108" w14:textId="77777777" w:rsidTr="00B0185E">
        <w:tc>
          <w:tcPr>
            <w:tcW w:w="0" w:type="auto"/>
            <w:shd w:val="clear" w:color="auto" w:fill="auto"/>
            <w:hideMark/>
          </w:tcPr>
          <w:p w14:paraId="04FA7BD2" w14:textId="35189C76"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186CE51C" w14:textId="4A2816CD" w:rsidR="00B0185E" w:rsidRPr="00C21D4B" w:rsidRDefault="00B0185E" w:rsidP="00A3057B">
            <w:pPr>
              <w:pStyle w:val="Paragraphedeliste"/>
              <w:numPr>
                <w:ilvl w:val="0"/>
                <w:numId w:val="16"/>
              </w:numPr>
              <w:spacing w:before="120"/>
              <w:ind w:left="1134"/>
              <w:jc w:val="both"/>
              <w:rPr>
                <w:rFonts w:cstheme="minorHAnsi"/>
                <w:color w:val="000000"/>
                <w:sz w:val="22"/>
                <w:szCs w:val="22"/>
              </w:rPr>
            </w:pPr>
            <w:r w:rsidRPr="00C21D4B">
              <w:rPr>
                <w:rFonts w:cstheme="minorHAnsi"/>
                <w:color w:val="000000"/>
                <w:sz w:val="22"/>
                <w:szCs w:val="22"/>
              </w:rPr>
              <w:t>calcule l’exposition créée par le réinvestissement des emprunts lorsque ce réinvestissement augmente l’exposition</w:t>
            </w:r>
            <w:r w:rsidR="00207DE7" w:rsidRPr="00C21D4B">
              <w:rPr>
                <w:rFonts w:cstheme="minorHAnsi"/>
                <w:color w:val="000000"/>
                <w:sz w:val="22"/>
                <w:szCs w:val="22"/>
              </w:rPr>
              <w:t xml:space="preserve"> de l’OPC</w:t>
            </w:r>
            <w:r w:rsidRPr="00C21D4B">
              <w:rPr>
                <w:rFonts w:cstheme="minorHAnsi"/>
                <w:color w:val="000000"/>
                <w:sz w:val="22"/>
                <w:szCs w:val="22"/>
              </w:rPr>
              <w:t>;</w:t>
            </w:r>
          </w:p>
        </w:tc>
      </w:tr>
    </w:tbl>
    <w:p w14:paraId="5F0019AD" w14:textId="77777777" w:rsidR="00B0185E" w:rsidRPr="00C21D4B" w:rsidRDefault="00B0185E" w:rsidP="00B0185E">
      <w:pPr>
        <w:rPr>
          <w:rFonts w:asciiTheme="minorHAnsi" w:hAnsiTheme="minorHAnsi" w:cstheme="minorHAnsi"/>
          <w:vanish/>
          <w:sz w:val="22"/>
          <w:szCs w:val="22"/>
        </w:rPr>
      </w:pPr>
    </w:p>
    <w:p w14:paraId="31373AB4" w14:textId="3A7EAD8F" w:rsidR="00B0185E" w:rsidRPr="00C21D4B" w:rsidRDefault="00B0185E" w:rsidP="00A3057B">
      <w:pPr>
        <w:pStyle w:val="Paragraphedeliste"/>
        <w:numPr>
          <w:ilvl w:val="0"/>
          <w:numId w:val="15"/>
        </w:numPr>
        <w:spacing w:before="120"/>
        <w:jc w:val="both"/>
        <w:rPr>
          <w:rFonts w:cstheme="minorHAnsi"/>
          <w:color w:val="000000"/>
          <w:sz w:val="22"/>
          <w:szCs w:val="22"/>
        </w:rPr>
      </w:pPr>
      <w:r w:rsidRPr="00C21D4B">
        <w:rPr>
          <w:rFonts w:cstheme="minorHAnsi"/>
          <w:color w:val="000000"/>
          <w:sz w:val="22"/>
          <w:szCs w:val="22"/>
        </w:rPr>
        <w:t xml:space="preserve">Aux fins du calcul de l’exposition d’un </w:t>
      </w:r>
      <w:r w:rsidR="00207DE7" w:rsidRPr="00C21D4B">
        <w:rPr>
          <w:rFonts w:cstheme="minorHAnsi"/>
          <w:color w:val="000000"/>
          <w:sz w:val="22"/>
          <w:szCs w:val="22"/>
        </w:rPr>
        <w:t>OPC</w:t>
      </w:r>
      <w:r w:rsidRPr="00C21D4B">
        <w:rPr>
          <w:rFonts w:cstheme="minorHAnsi"/>
          <w:color w:val="000000"/>
          <w:sz w:val="22"/>
          <w:szCs w:val="22"/>
        </w:rPr>
        <w:t xml:space="preserve"> selon la méthode de l’engagement</w:t>
      </w:r>
      <w:r w:rsidR="001D67E6" w:rsidRPr="00C21D4B">
        <w:rPr>
          <w:rFonts w:cstheme="minorHAnsi"/>
          <w:color w:val="000000"/>
          <w:sz w:val="22"/>
          <w:szCs w:val="22"/>
        </w:rPr>
        <w:t xml:space="preserve"> </w:t>
      </w:r>
      <w:r w:rsidRPr="00C21D4B">
        <w:rPr>
          <w:rFonts w:cstheme="minorHAnsi"/>
          <w:color w:val="000000"/>
          <w:sz w:val="22"/>
          <w:szCs w:val="22"/>
        </w:rPr>
        <w:t>:</w:t>
      </w:r>
    </w:p>
    <w:p w14:paraId="60D3443E" w14:textId="77777777" w:rsidR="001D67E6" w:rsidRPr="00C21D4B" w:rsidRDefault="001D67E6" w:rsidP="001D67E6">
      <w:pPr>
        <w:pStyle w:val="Paragraphedeliste"/>
        <w:spacing w:before="120"/>
        <w:jc w:val="both"/>
        <w:rPr>
          <w:rFonts w:cstheme="minorHAnsi"/>
          <w:color w:val="000000"/>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2F11BFFD" w14:textId="77777777" w:rsidTr="00B0185E">
        <w:tc>
          <w:tcPr>
            <w:tcW w:w="0" w:type="auto"/>
            <w:shd w:val="clear" w:color="auto" w:fill="auto"/>
            <w:hideMark/>
          </w:tcPr>
          <w:p w14:paraId="2ED3D2E0" w14:textId="11CDE8C7"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0F4D99CB" w14:textId="0351D9D6" w:rsidR="00B0185E" w:rsidRPr="00C21D4B" w:rsidRDefault="00B0185E" w:rsidP="00A3057B">
            <w:pPr>
              <w:pStyle w:val="Paragraphedeliste"/>
              <w:numPr>
                <w:ilvl w:val="0"/>
                <w:numId w:val="17"/>
              </w:numPr>
              <w:spacing w:before="120"/>
              <w:jc w:val="both"/>
              <w:rPr>
                <w:rFonts w:cstheme="minorHAnsi"/>
                <w:color w:val="000000"/>
                <w:sz w:val="22"/>
                <w:szCs w:val="22"/>
              </w:rPr>
            </w:pPr>
            <w:r w:rsidRPr="00C21D4B">
              <w:rPr>
                <w:rFonts w:cstheme="minorHAnsi"/>
                <w:color w:val="000000"/>
                <w:sz w:val="22"/>
                <w:szCs w:val="22"/>
              </w:rPr>
              <w:t>les dispositions de compensation englobent les combinaisons d’opérations sur des instruments dérivés ou des titres se rapportant au même actif sous-jacent, quelle que soit, dans le cas des instruments dérivés, la date d’échéance desdits instruments dérivés, lorsque ces opérations sont conclues dans le seul but de supprimer les risques liés aux positions prises à travers les autres instruments dérivés ou titres;</w:t>
            </w:r>
          </w:p>
        </w:tc>
      </w:tr>
    </w:tbl>
    <w:p w14:paraId="56FF0C13"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398F752A" w14:textId="77777777" w:rsidTr="00B0185E">
        <w:tc>
          <w:tcPr>
            <w:tcW w:w="0" w:type="auto"/>
            <w:shd w:val="clear" w:color="auto" w:fill="auto"/>
            <w:hideMark/>
          </w:tcPr>
          <w:p w14:paraId="117F1377" w14:textId="1FFF46BC"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531A788C" w14:textId="6128ABB1" w:rsidR="00B0185E" w:rsidRPr="00C21D4B" w:rsidRDefault="00B0185E" w:rsidP="00A3057B">
            <w:pPr>
              <w:pStyle w:val="Paragraphedeliste"/>
              <w:numPr>
                <w:ilvl w:val="0"/>
                <w:numId w:val="17"/>
              </w:numPr>
              <w:spacing w:before="120"/>
              <w:jc w:val="both"/>
              <w:rPr>
                <w:rFonts w:cstheme="minorHAnsi"/>
                <w:color w:val="000000"/>
                <w:sz w:val="22"/>
                <w:szCs w:val="22"/>
              </w:rPr>
            </w:pPr>
            <w:r w:rsidRPr="00C21D4B">
              <w:rPr>
                <w:rFonts w:cstheme="minorHAnsi"/>
                <w:color w:val="000000"/>
                <w:sz w:val="22"/>
                <w:szCs w:val="22"/>
              </w:rPr>
              <w:t>les dispositions de couverture englobent les combinaisons d’opérations sur des instruments dérivés ou des titres qui ne se rapportent pas nécessairement au même actif sous-jacent, lorsque ces opérations sont conclues dans le seul but de neutraliser les risques liés aux positions prises à travers les autres instruments dérivés ou titres.</w:t>
            </w:r>
          </w:p>
        </w:tc>
      </w:tr>
    </w:tbl>
    <w:p w14:paraId="4F8EB216" w14:textId="1801AAA0" w:rsidR="00B0185E" w:rsidRPr="00C21D4B" w:rsidRDefault="00B0185E" w:rsidP="00A3057B">
      <w:pPr>
        <w:pStyle w:val="Paragraphedeliste"/>
        <w:numPr>
          <w:ilvl w:val="0"/>
          <w:numId w:val="15"/>
        </w:numPr>
        <w:spacing w:before="120"/>
        <w:jc w:val="both"/>
        <w:rPr>
          <w:rFonts w:cstheme="minorHAnsi"/>
          <w:color w:val="000000"/>
          <w:sz w:val="22"/>
          <w:szCs w:val="22"/>
        </w:rPr>
      </w:pPr>
      <w:r w:rsidRPr="00C21D4B">
        <w:rPr>
          <w:rFonts w:cstheme="minorHAnsi"/>
          <w:color w:val="000000"/>
          <w:sz w:val="22"/>
          <w:szCs w:val="22"/>
        </w:rPr>
        <w:lastRenderedPageBreak/>
        <w:t>Par dérogation au paragraphe 2, un instrument dérivé n’est pas converti en une position équivalente sur l’actif sous-jacent s’il présente l’ensemble des caractéristiques suivantes</w:t>
      </w:r>
      <w:r w:rsidR="001D67E6" w:rsidRPr="00C21D4B">
        <w:rPr>
          <w:rFonts w:cstheme="minorHAnsi"/>
          <w:color w:val="000000"/>
          <w:sz w:val="22"/>
          <w:szCs w:val="22"/>
        </w:rPr>
        <w:t xml:space="preserve"> </w:t>
      </w:r>
      <w:r w:rsidRPr="00C21D4B">
        <w:rPr>
          <w:rFonts w:cstheme="minorHAnsi"/>
          <w:color w:val="000000"/>
          <w:sz w:val="22"/>
          <w:szCs w:val="22"/>
        </w:rPr>
        <w:t>:</w:t>
      </w:r>
    </w:p>
    <w:p w14:paraId="5421F7B2" w14:textId="77777777" w:rsidR="001D67E6" w:rsidRPr="00C21D4B" w:rsidRDefault="001D67E6" w:rsidP="001D67E6">
      <w:pPr>
        <w:pStyle w:val="Paragraphedeliste"/>
        <w:spacing w:before="120"/>
        <w:jc w:val="both"/>
        <w:rPr>
          <w:rFonts w:cstheme="minorHAnsi"/>
          <w:color w:val="000000"/>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78072287" w14:textId="77777777" w:rsidTr="00B0185E">
        <w:tc>
          <w:tcPr>
            <w:tcW w:w="0" w:type="auto"/>
            <w:shd w:val="clear" w:color="auto" w:fill="auto"/>
            <w:hideMark/>
          </w:tcPr>
          <w:p w14:paraId="3052CA10" w14:textId="5D1DD89A" w:rsidR="00B0185E" w:rsidRPr="00C21D4B" w:rsidRDefault="00B0185E" w:rsidP="00A3057B">
            <w:pPr>
              <w:pStyle w:val="Paragraphedeliste"/>
              <w:numPr>
                <w:ilvl w:val="0"/>
                <w:numId w:val="18"/>
              </w:numPr>
              <w:spacing w:before="120"/>
              <w:jc w:val="both"/>
              <w:rPr>
                <w:rFonts w:cstheme="minorHAnsi"/>
                <w:color w:val="000000"/>
                <w:sz w:val="22"/>
                <w:szCs w:val="22"/>
              </w:rPr>
            </w:pPr>
          </w:p>
        </w:tc>
        <w:tc>
          <w:tcPr>
            <w:tcW w:w="0" w:type="auto"/>
            <w:shd w:val="clear" w:color="auto" w:fill="auto"/>
            <w:hideMark/>
          </w:tcPr>
          <w:p w14:paraId="731E9A02" w14:textId="5DCEBF19" w:rsidR="00B0185E" w:rsidRPr="00C21D4B" w:rsidRDefault="00B0185E" w:rsidP="00A3057B">
            <w:pPr>
              <w:pStyle w:val="Paragraphedeliste"/>
              <w:numPr>
                <w:ilvl w:val="0"/>
                <w:numId w:val="19"/>
              </w:numPr>
              <w:spacing w:before="120"/>
              <w:jc w:val="both"/>
              <w:rPr>
                <w:rFonts w:cstheme="minorHAnsi"/>
                <w:color w:val="000000"/>
                <w:sz w:val="22"/>
                <w:szCs w:val="22"/>
              </w:rPr>
            </w:pPr>
            <w:r w:rsidRPr="00C21D4B">
              <w:rPr>
                <w:rFonts w:cstheme="minorHAnsi"/>
                <w:color w:val="000000"/>
                <w:sz w:val="22"/>
                <w:szCs w:val="22"/>
              </w:rPr>
              <w:t xml:space="preserve">il échange la performance d’actifs financiers détenus dans le portefeuille </w:t>
            </w:r>
            <w:r w:rsidR="00207DE7" w:rsidRPr="00C21D4B">
              <w:rPr>
                <w:rFonts w:cstheme="minorHAnsi"/>
                <w:color w:val="000000"/>
                <w:sz w:val="22"/>
                <w:szCs w:val="22"/>
              </w:rPr>
              <w:t>de l’OPC</w:t>
            </w:r>
            <w:r w:rsidRPr="00C21D4B">
              <w:rPr>
                <w:rFonts w:cstheme="minorHAnsi"/>
                <w:color w:val="000000"/>
                <w:sz w:val="22"/>
                <w:szCs w:val="22"/>
              </w:rPr>
              <w:t xml:space="preserve"> contre la performance d’autres actifs financiers de référence;</w:t>
            </w:r>
          </w:p>
        </w:tc>
      </w:tr>
    </w:tbl>
    <w:p w14:paraId="44C49326" w14:textId="77777777" w:rsidR="00B0185E" w:rsidRPr="00C21D4B" w:rsidRDefault="00B0185E" w:rsidP="007E53F3">
      <w:pPr>
        <w:rPr>
          <w:rFonts w:asciiTheme="minorHAnsi" w:hAnsiTheme="minorHAnsi" w:cstheme="minorHAnsi"/>
          <w:vanish/>
          <w:sz w:val="22"/>
          <w:szCs w:val="22"/>
        </w:rPr>
      </w:pPr>
    </w:p>
    <w:tbl>
      <w:tblPr>
        <w:tblW w:w="5015" w:type="pct"/>
        <w:tblLayout w:type="fixed"/>
        <w:tblCellMar>
          <w:left w:w="0" w:type="dxa"/>
          <w:right w:w="0" w:type="dxa"/>
        </w:tblCellMar>
        <w:tblLook w:val="04A0" w:firstRow="1" w:lastRow="0" w:firstColumn="1" w:lastColumn="0" w:noHBand="0" w:noVBand="1"/>
      </w:tblPr>
      <w:tblGrid>
        <w:gridCol w:w="20"/>
        <w:gridCol w:w="9073"/>
      </w:tblGrid>
      <w:tr w:rsidR="007E53F3" w:rsidRPr="00C21D4B" w14:paraId="4B78020B" w14:textId="77777777" w:rsidTr="007E53F3">
        <w:tc>
          <w:tcPr>
            <w:tcW w:w="11" w:type="pct"/>
            <w:shd w:val="clear" w:color="auto" w:fill="auto"/>
            <w:hideMark/>
          </w:tcPr>
          <w:p w14:paraId="444DE741" w14:textId="1F9709EB" w:rsidR="00B0185E" w:rsidRPr="00C21D4B" w:rsidRDefault="00B0185E" w:rsidP="007E53F3">
            <w:pPr>
              <w:spacing w:before="120"/>
              <w:jc w:val="both"/>
              <w:rPr>
                <w:rFonts w:asciiTheme="minorHAnsi" w:hAnsiTheme="minorHAnsi" w:cstheme="minorHAnsi"/>
                <w:color w:val="000000"/>
                <w:sz w:val="22"/>
                <w:szCs w:val="22"/>
              </w:rPr>
            </w:pPr>
          </w:p>
        </w:tc>
        <w:tc>
          <w:tcPr>
            <w:tcW w:w="4989" w:type="pct"/>
            <w:shd w:val="clear" w:color="auto" w:fill="auto"/>
            <w:hideMark/>
          </w:tcPr>
          <w:p w14:paraId="7BAD8944" w14:textId="1DAA2C5E" w:rsidR="00B0185E" w:rsidRPr="00C21D4B" w:rsidRDefault="00B0185E" w:rsidP="00A3057B">
            <w:pPr>
              <w:pStyle w:val="Paragraphedeliste"/>
              <w:numPr>
                <w:ilvl w:val="0"/>
                <w:numId w:val="18"/>
              </w:numPr>
              <w:tabs>
                <w:tab w:val="left" w:pos="142"/>
              </w:tabs>
              <w:spacing w:before="120"/>
              <w:ind w:left="705"/>
              <w:jc w:val="both"/>
              <w:rPr>
                <w:rFonts w:cstheme="minorHAnsi"/>
                <w:color w:val="000000"/>
                <w:sz w:val="22"/>
                <w:szCs w:val="22"/>
              </w:rPr>
            </w:pPr>
            <w:r w:rsidRPr="00C21D4B">
              <w:rPr>
                <w:rFonts w:cstheme="minorHAnsi"/>
                <w:color w:val="000000"/>
                <w:sz w:val="22"/>
                <w:szCs w:val="22"/>
              </w:rPr>
              <w:t xml:space="preserve">il neutralise entièrement les risques des actifs du portefeuille </w:t>
            </w:r>
            <w:r w:rsidR="00207DE7" w:rsidRPr="00C21D4B">
              <w:rPr>
                <w:rFonts w:cstheme="minorHAnsi"/>
                <w:color w:val="000000"/>
                <w:sz w:val="22"/>
                <w:szCs w:val="22"/>
              </w:rPr>
              <w:t>de l’OPC</w:t>
            </w:r>
            <w:r w:rsidRPr="00C21D4B">
              <w:rPr>
                <w:rFonts w:cstheme="minorHAnsi"/>
                <w:color w:val="000000"/>
                <w:sz w:val="22"/>
                <w:szCs w:val="22"/>
              </w:rPr>
              <w:t xml:space="preserve"> sur lesquels porte l’échange, de telle manière que la performance </w:t>
            </w:r>
            <w:r w:rsidR="00207DE7" w:rsidRPr="00C21D4B">
              <w:rPr>
                <w:rFonts w:cstheme="minorHAnsi"/>
                <w:color w:val="000000"/>
                <w:sz w:val="22"/>
                <w:szCs w:val="22"/>
              </w:rPr>
              <w:t>de l’OPC</w:t>
            </w:r>
            <w:r w:rsidRPr="00C21D4B">
              <w:rPr>
                <w:rFonts w:cstheme="minorHAnsi"/>
                <w:color w:val="000000"/>
                <w:sz w:val="22"/>
                <w:szCs w:val="22"/>
              </w:rPr>
              <w:t xml:space="preserve"> ne dépend pas de la performance de ces actifs;</w:t>
            </w:r>
          </w:p>
        </w:tc>
      </w:tr>
    </w:tbl>
    <w:p w14:paraId="55F34214"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27490329" w14:textId="77777777" w:rsidTr="00B0185E">
        <w:tc>
          <w:tcPr>
            <w:tcW w:w="0" w:type="auto"/>
            <w:shd w:val="clear" w:color="auto" w:fill="auto"/>
            <w:hideMark/>
          </w:tcPr>
          <w:p w14:paraId="703ACA30" w14:textId="56929064"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1A6B73DF" w14:textId="0D6DB532" w:rsidR="00B0185E" w:rsidRPr="00C21D4B" w:rsidRDefault="00B0185E" w:rsidP="00A3057B">
            <w:pPr>
              <w:pStyle w:val="Paragraphedeliste"/>
              <w:numPr>
                <w:ilvl w:val="0"/>
                <w:numId w:val="18"/>
              </w:numPr>
              <w:spacing w:before="120"/>
              <w:jc w:val="both"/>
              <w:rPr>
                <w:rFonts w:cstheme="minorHAnsi"/>
                <w:color w:val="000000"/>
                <w:sz w:val="22"/>
                <w:szCs w:val="22"/>
              </w:rPr>
            </w:pPr>
            <w:r w:rsidRPr="00C21D4B">
              <w:rPr>
                <w:rFonts w:cstheme="minorHAnsi"/>
                <w:color w:val="000000"/>
                <w:sz w:val="22"/>
                <w:szCs w:val="22"/>
              </w:rPr>
              <w:t>il n’inclut ni caractéristiques optionnelles supplémentaires, ni clauses concernant l’effet de levier, ni aucun autre risque additionnel par rapport à la détention directe des actifs financiers de référence.</w:t>
            </w:r>
          </w:p>
        </w:tc>
      </w:tr>
    </w:tbl>
    <w:p w14:paraId="7C6E91D2" w14:textId="112503A0" w:rsidR="007E53F3" w:rsidRPr="00C161DA" w:rsidRDefault="00B0185E" w:rsidP="00C161DA">
      <w:pPr>
        <w:pStyle w:val="Paragraphedeliste"/>
        <w:numPr>
          <w:ilvl w:val="0"/>
          <w:numId w:val="15"/>
        </w:numPr>
        <w:spacing w:before="120"/>
        <w:jc w:val="both"/>
        <w:rPr>
          <w:rFonts w:cstheme="minorHAnsi"/>
          <w:color w:val="000000"/>
          <w:sz w:val="22"/>
          <w:szCs w:val="22"/>
        </w:rPr>
      </w:pPr>
      <w:r w:rsidRPr="00C21D4B">
        <w:rPr>
          <w:rFonts w:cstheme="minorHAnsi"/>
          <w:color w:val="000000"/>
          <w:sz w:val="22"/>
          <w:szCs w:val="22"/>
        </w:rPr>
        <w:t>Par dérogation au paragraphe 2, un instrument dérivé n’est pas converti en une position équivalente sur l’actif sous-jacent lors du calcul de l’exposition selon la méthode de l’engagement s’il remplit les deux conditions suivantes</w:t>
      </w:r>
      <w:r w:rsidR="007E53F3" w:rsidRPr="00C21D4B">
        <w:rPr>
          <w:rFonts w:cstheme="minorHAnsi"/>
          <w:color w:val="000000"/>
          <w:sz w:val="22"/>
          <w:szCs w:val="22"/>
        </w:rPr>
        <w:t xml:space="preserve"> </w:t>
      </w:r>
      <w:r w:rsidRPr="00C21D4B">
        <w:rPr>
          <w:rFonts w:cstheme="minorHAnsi"/>
          <w:color w:val="000000"/>
          <w:sz w:val="22"/>
          <w:szCs w:val="22"/>
        </w:rPr>
        <w:t>:</w:t>
      </w:r>
      <w:r w:rsidR="007E53F3" w:rsidRPr="00C21D4B">
        <w:rPr>
          <w:rFonts w:cstheme="minorHAnsi"/>
          <w:color w:val="000000"/>
          <w:sz w:val="22"/>
          <w:szCs w:val="22"/>
        </w:rPr>
        <w:t xml:space="preserve"> </w:t>
      </w: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6E1A1ADE" w14:textId="77777777" w:rsidTr="00B0185E">
        <w:tc>
          <w:tcPr>
            <w:tcW w:w="0" w:type="auto"/>
            <w:shd w:val="clear" w:color="auto" w:fill="auto"/>
            <w:hideMark/>
          </w:tcPr>
          <w:p w14:paraId="3DACD1B9" w14:textId="55E2427B"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29F66F57" w14:textId="6E42220A" w:rsidR="007E53F3" w:rsidRPr="00C21D4B" w:rsidRDefault="00B0185E" w:rsidP="00A3057B">
            <w:pPr>
              <w:pStyle w:val="Paragraphedeliste"/>
              <w:numPr>
                <w:ilvl w:val="0"/>
                <w:numId w:val="20"/>
              </w:numPr>
              <w:spacing w:before="120"/>
              <w:jc w:val="both"/>
              <w:rPr>
                <w:rFonts w:cstheme="minorHAnsi"/>
                <w:color w:val="000000"/>
                <w:sz w:val="22"/>
                <w:szCs w:val="22"/>
              </w:rPr>
            </w:pPr>
            <w:r w:rsidRPr="00C21D4B">
              <w:rPr>
                <w:rFonts w:cstheme="minorHAnsi"/>
                <w:color w:val="000000"/>
                <w:sz w:val="22"/>
                <w:szCs w:val="22"/>
              </w:rPr>
              <w:t xml:space="preserve">la détention conjointe par </w:t>
            </w:r>
            <w:r w:rsidR="00207DE7" w:rsidRPr="00C21D4B">
              <w:rPr>
                <w:rFonts w:cstheme="minorHAnsi"/>
                <w:color w:val="000000"/>
                <w:sz w:val="22"/>
                <w:szCs w:val="22"/>
              </w:rPr>
              <w:t>l’OPC</w:t>
            </w:r>
            <w:r w:rsidRPr="00C21D4B">
              <w:rPr>
                <w:rFonts w:cstheme="minorHAnsi"/>
                <w:color w:val="000000"/>
                <w:sz w:val="22"/>
                <w:szCs w:val="22"/>
              </w:rPr>
              <w:t xml:space="preserve"> d’un instrument dérivé lié à un actif financier et de trésorerie investie dans des équivalents de trésorerie équivaut à détenir une position longue dans l’actif financier concerné;</w:t>
            </w:r>
          </w:p>
        </w:tc>
      </w:tr>
    </w:tbl>
    <w:p w14:paraId="7A85B4AD"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1C3CBBB5" w14:textId="77777777" w:rsidTr="00B0185E">
        <w:tc>
          <w:tcPr>
            <w:tcW w:w="0" w:type="auto"/>
            <w:shd w:val="clear" w:color="auto" w:fill="auto"/>
            <w:hideMark/>
          </w:tcPr>
          <w:p w14:paraId="76713EC4" w14:textId="2360AE65"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6A7F3B20" w14:textId="77777777" w:rsidR="00B0185E" w:rsidRPr="00C21D4B" w:rsidRDefault="00B0185E" w:rsidP="00A3057B">
            <w:pPr>
              <w:pStyle w:val="Paragraphedeliste"/>
              <w:numPr>
                <w:ilvl w:val="0"/>
                <w:numId w:val="20"/>
              </w:numPr>
              <w:spacing w:before="120"/>
              <w:jc w:val="both"/>
              <w:rPr>
                <w:rFonts w:cstheme="minorHAnsi"/>
                <w:color w:val="000000"/>
                <w:sz w:val="22"/>
                <w:szCs w:val="22"/>
              </w:rPr>
            </w:pPr>
            <w:r w:rsidRPr="00C21D4B">
              <w:rPr>
                <w:rFonts w:cstheme="minorHAnsi"/>
                <w:color w:val="000000"/>
                <w:sz w:val="22"/>
                <w:szCs w:val="22"/>
              </w:rPr>
              <w:t>l’instrument dérivé ne crée pas d’augmentation de l’exposition et du levier ou du risque.</w:t>
            </w:r>
          </w:p>
          <w:p w14:paraId="7181D106" w14:textId="1B035922" w:rsidR="007E53F3" w:rsidRPr="00C21D4B" w:rsidRDefault="007E53F3" w:rsidP="007E53F3">
            <w:pPr>
              <w:pStyle w:val="Paragraphedeliste"/>
              <w:spacing w:before="120"/>
              <w:jc w:val="both"/>
              <w:rPr>
                <w:rFonts w:cstheme="minorHAnsi"/>
                <w:color w:val="000000"/>
                <w:sz w:val="22"/>
                <w:szCs w:val="22"/>
              </w:rPr>
            </w:pPr>
          </w:p>
        </w:tc>
      </w:tr>
    </w:tbl>
    <w:p w14:paraId="60F9D137" w14:textId="2E0C294C" w:rsidR="00B0185E" w:rsidRPr="00C21D4B" w:rsidRDefault="00B0185E" w:rsidP="00A3057B">
      <w:pPr>
        <w:pStyle w:val="Paragraphedeliste"/>
        <w:numPr>
          <w:ilvl w:val="0"/>
          <w:numId w:val="15"/>
        </w:numPr>
        <w:spacing w:before="120"/>
        <w:jc w:val="both"/>
        <w:rPr>
          <w:rFonts w:cstheme="minorHAnsi"/>
          <w:color w:val="000000"/>
          <w:sz w:val="22"/>
          <w:szCs w:val="22"/>
        </w:rPr>
      </w:pPr>
      <w:r w:rsidRPr="00C21D4B">
        <w:rPr>
          <w:rFonts w:cstheme="minorHAnsi"/>
          <w:color w:val="000000"/>
          <w:sz w:val="22"/>
          <w:szCs w:val="22"/>
        </w:rPr>
        <w:t xml:space="preserve">Les dispositions de couverture sont prises en compte lors du calcul de l’exposition </w:t>
      </w:r>
      <w:r w:rsidR="00207DE7" w:rsidRPr="00C21D4B">
        <w:rPr>
          <w:rFonts w:cstheme="minorHAnsi"/>
          <w:color w:val="000000"/>
          <w:sz w:val="22"/>
          <w:szCs w:val="22"/>
        </w:rPr>
        <w:t>de l’OPC</w:t>
      </w:r>
      <w:r w:rsidRPr="00C21D4B">
        <w:rPr>
          <w:rFonts w:cstheme="minorHAnsi"/>
          <w:color w:val="000000"/>
          <w:sz w:val="22"/>
          <w:szCs w:val="22"/>
        </w:rPr>
        <w:t xml:space="preserve"> uniquement si elles respectent toutes les conditions suivantes</w:t>
      </w:r>
      <w:r w:rsidR="007E53F3" w:rsidRPr="00C21D4B">
        <w:rPr>
          <w:rFonts w:cstheme="minorHAnsi"/>
          <w:color w:val="000000"/>
          <w:sz w:val="22"/>
          <w:szCs w:val="22"/>
        </w:rPr>
        <w:t xml:space="preserve"> </w:t>
      </w:r>
      <w:r w:rsidRPr="00C21D4B">
        <w:rPr>
          <w:rFonts w:cstheme="minorHAnsi"/>
          <w:color w:val="000000"/>
          <w:sz w:val="22"/>
          <w:szCs w:val="22"/>
        </w:rPr>
        <w:t>:</w:t>
      </w:r>
    </w:p>
    <w:p w14:paraId="4CDD65EC" w14:textId="77777777" w:rsidR="007E53F3" w:rsidRPr="00C21D4B" w:rsidRDefault="007E53F3" w:rsidP="007E53F3">
      <w:pPr>
        <w:pStyle w:val="Paragraphedeliste"/>
        <w:spacing w:before="120"/>
        <w:jc w:val="both"/>
        <w:rPr>
          <w:rFonts w:cstheme="minorHAnsi"/>
          <w:color w:val="000000"/>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490BC761" w14:textId="77777777" w:rsidTr="00B0185E">
        <w:tc>
          <w:tcPr>
            <w:tcW w:w="0" w:type="auto"/>
            <w:shd w:val="clear" w:color="auto" w:fill="auto"/>
            <w:hideMark/>
          </w:tcPr>
          <w:p w14:paraId="6ADC093D" w14:textId="335AB24B"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165B5655" w14:textId="4A301EF6" w:rsidR="00B0185E" w:rsidRPr="00C21D4B" w:rsidRDefault="007E53F3" w:rsidP="00A3057B">
            <w:pPr>
              <w:pStyle w:val="Paragraphedeliste"/>
              <w:numPr>
                <w:ilvl w:val="0"/>
                <w:numId w:val="21"/>
              </w:numPr>
              <w:spacing w:before="120"/>
              <w:jc w:val="both"/>
              <w:rPr>
                <w:rFonts w:cstheme="minorHAnsi"/>
                <w:color w:val="000000"/>
                <w:sz w:val="22"/>
                <w:szCs w:val="22"/>
              </w:rPr>
            </w:pPr>
            <w:r w:rsidRPr="00C21D4B">
              <w:rPr>
                <w:rFonts w:cstheme="minorHAnsi"/>
                <w:color w:val="000000"/>
                <w:sz w:val="22"/>
                <w:szCs w:val="22"/>
              </w:rPr>
              <w:t>L</w:t>
            </w:r>
            <w:r w:rsidR="00B0185E" w:rsidRPr="00C21D4B">
              <w:rPr>
                <w:rFonts w:cstheme="minorHAnsi"/>
                <w:color w:val="000000"/>
                <w:sz w:val="22"/>
                <w:szCs w:val="22"/>
              </w:rPr>
              <w:t>es positions intervenant dans le cadre de la relation de couverture ne visent pas à générer un rendement et les risques généraux et spécifiques sont neutralisés;</w:t>
            </w:r>
          </w:p>
        </w:tc>
      </w:tr>
    </w:tbl>
    <w:p w14:paraId="63ECBF89"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8"/>
        <w:gridCol w:w="9058"/>
      </w:tblGrid>
      <w:tr w:rsidR="00B0185E" w:rsidRPr="00C21D4B" w14:paraId="1CBD413D" w14:textId="77777777" w:rsidTr="00B0185E">
        <w:tc>
          <w:tcPr>
            <w:tcW w:w="0" w:type="auto"/>
            <w:shd w:val="clear" w:color="auto" w:fill="auto"/>
            <w:hideMark/>
          </w:tcPr>
          <w:p w14:paraId="0C7CC8CF" w14:textId="055E4A61"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2A305F1A" w14:textId="59D18DF2" w:rsidR="00B0185E" w:rsidRPr="00C21D4B" w:rsidRDefault="00B0185E" w:rsidP="00A3057B">
            <w:pPr>
              <w:pStyle w:val="Paragraphedeliste"/>
              <w:numPr>
                <w:ilvl w:val="0"/>
                <w:numId w:val="21"/>
              </w:numPr>
              <w:spacing w:before="120"/>
              <w:jc w:val="both"/>
              <w:rPr>
                <w:rFonts w:cstheme="minorHAnsi"/>
                <w:color w:val="000000"/>
                <w:sz w:val="22"/>
                <w:szCs w:val="22"/>
              </w:rPr>
            </w:pPr>
            <w:r w:rsidRPr="00C21D4B">
              <w:rPr>
                <w:rFonts w:cstheme="minorHAnsi"/>
                <w:color w:val="000000"/>
                <w:sz w:val="22"/>
                <w:szCs w:val="22"/>
              </w:rPr>
              <w:t xml:space="preserve">la réduction du risque de marché au niveau </w:t>
            </w:r>
            <w:r w:rsidR="00207DE7" w:rsidRPr="00C21D4B">
              <w:rPr>
                <w:rFonts w:cstheme="minorHAnsi"/>
                <w:color w:val="000000"/>
                <w:sz w:val="22"/>
                <w:szCs w:val="22"/>
              </w:rPr>
              <w:t>de l’OPC</w:t>
            </w:r>
            <w:r w:rsidRPr="00C21D4B">
              <w:rPr>
                <w:rFonts w:cstheme="minorHAnsi"/>
                <w:color w:val="000000"/>
                <w:sz w:val="22"/>
                <w:szCs w:val="22"/>
              </w:rPr>
              <w:t xml:space="preserve"> est vérifiable;</w:t>
            </w:r>
          </w:p>
        </w:tc>
      </w:tr>
    </w:tbl>
    <w:p w14:paraId="237C7E01"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25570448" w14:textId="77777777" w:rsidTr="00B0185E">
        <w:tc>
          <w:tcPr>
            <w:tcW w:w="0" w:type="auto"/>
            <w:shd w:val="clear" w:color="auto" w:fill="auto"/>
            <w:hideMark/>
          </w:tcPr>
          <w:p w14:paraId="79FAB2B8" w14:textId="3706CC39" w:rsidR="00B0185E" w:rsidRPr="00C21D4B" w:rsidRDefault="007E53F3" w:rsidP="00B0185E">
            <w:pPr>
              <w:spacing w:before="120"/>
              <w:jc w:val="both"/>
              <w:rPr>
                <w:rFonts w:asciiTheme="minorHAnsi" w:hAnsiTheme="minorHAnsi" w:cstheme="minorHAnsi"/>
                <w:color w:val="000000"/>
                <w:sz w:val="22"/>
                <w:szCs w:val="22"/>
              </w:rPr>
            </w:pPr>
            <w:r w:rsidRPr="00C21D4B">
              <w:rPr>
                <w:rFonts w:asciiTheme="minorHAnsi" w:hAnsiTheme="minorHAnsi" w:cstheme="minorHAnsi"/>
                <w:color w:val="000000"/>
                <w:sz w:val="22"/>
                <w:szCs w:val="22"/>
              </w:rPr>
              <w:t xml:space="preserve">  </w:t>
            </w:r>
          </w:p>
        </w:tc>
        <w:tc>
          <w:tcPr>
            <w:tcW w:w="0" w:type="auto"/>
            <w:shd w:val="clear" w:color="auto" w:fill="auto"/>
            <w:hideMark/>
          </w:tcPr>
          <w:p w14:paraId="21A72C30" w14:textId="34D9DB1D" w:rsidR="00B0185E" w:rsidRPr="00C21D4B" w:rsidRDefault="00B0185E" w:rsidP="00A3057B">
            <w:pPr>
              <w:pStyle w:val="Paragraphedeliste"/>
              <w:numPr>
                <w:ilvl w:val="0"/>
                <w:numId w:val="21"/>
              </w:numPr>
              <w:spacing w:before="120"/>
              <w:jc w:val="both"/>
              <w:rPr>
                <w:rFonts w:cstheme="minorHAnsi"/>
                <w:color w:val="000000"/>
                <w:sz w:val="22"/>
                <w:szCs w:val="22"/>
              </w:rPr>
            </w:pPr>
            <w:r w:rsidRPr="00C21D4B">
              <w:rPr>
                <w:rFonts w:cstheme="minorHAnsi"/>
                <w:color w:val="000000"/>
                <w:sz w:val="22"/>
                <w:szCs w:val="22"/>
              </w:rPr>
              <w:t>les éventuels risques généraux et spécifiques liés aux instruments dérivés sont neutralisés;</w:t>
            </w:r>
          </w:p>
        </w:tc>
      </w:tr>
    </w:tbl>
    <w:p w14:paraId="164C05A4" w14:textId="77777777" w:rsidR="00B0185E" w:rsidRPr="00C21D4B" w:rsidRDefault="00B0185E" w:rsidP="00B0185E">
      <w:pPr>
        <w:rPr>
          <w:rFonts w:asciiTheme="minorHAnsi" w:hAnsiTheme="minorHAnsi" w:cstheme="minorHAnsi"/>
          <w:vanish/>
          <w:sz w:val="22"/>
          <w:szCs w:val="22"/>
        </w:rPr>
      </w:pPr>
    </w:p>
    <w:tbl>
      <w:tblPr>
        <w:tblW w:w="5002" w:type="pct"/>
        <w:tblLayout w:type="fixed"/>
        <w:tblCellMar>
          <w:left w:w="0" w:type="dxa"/>
          <w:right w:w="0" w:type="dxa"/>
        </w:tblCellMar>
        <w:tblLook w:val="04A0" w:firstRow="1" w:lastRow="0" w:firstColumn="1" w:lastColumn="0" w:noHBand="0" w:noVBand="1"/>
      </w:tblPr>
      <w:tblGrid>
        <w:gridCol w:w="20"/>
        <w:gridCol w:w="9050"/>
      </w:tblGrid>
      <w:tr w:rsidR="007E53F3" w:rsidRPr="00C21D4B" w14:paraId="4B8D29E7" w14:textId="77777777" w:rsidTr="007E53F3">
        <w:tc>
          <w:tcPr>
            <w:tcW w:w="11" w:type="pct"/>
            <w:shd w:val="clear" w:color="auto" w:fill="auto"/>
            <w:hideMark/>
          </w:tcPr>
          <w:p w14:paraId="7D8122FD" w14:textId="7FF4DEE8" w:rsidR="00B0185E" w:rsidRPr="00C21D4B" w:rsidRDefault="00B0185E" w:rsidP="007E53F3">
            <w:pPr>
              <w:spacing w:before="120"/>
              <w:ind w:right="-113"/>
              <w:jc w:val="both"/>
              <w:rPr>
                <w:rFonts w:asciiTheme="minorHAnsi" w:hAnsiTheme="minorHAnsi" w:cstheme="minorHAnsi"/>
                <w:color w:val="000000"/>
                <w:sz w:val="22"/>
                <w:szCs w:val="22"/>
              </w:rPr>
            </w:pPr>
          </w:p>
        </w:tc>
        <w:tc>
          <w:tcPr>
            <w:tcW w:w="4989" w:type="pct"/>
            <w:shd w:val="clear" w:color="auto" w:fill="auto"/>
            <w:hideMark/>
          </w:tcPr>
          <w:p w14:paraId="5E284FE0" w14:textId="4E9984FC" w:rsidR="00B0185E" w:rsidRPr="00C21D4B" w:rsidRDefault="00B0185E" w:rsidP="00A3057B">
            <w:pPr>
              <w:pStyle w:val="Paragraphedeliste"/>
              <w:numPr>
                <w:ilvl w:val="0"/>
                <w:numId w:val="21"/>
              </w:numPr>
              <w:spacing w:before="120"/>
              <w:jc w:val="both"/>
              <w:rPr>
                <w:rFonts w:cstheme="minorHAnsi"/>
                <w:color w:val="000000"/>
                <w:sz w:val="22"/>
                <w:szCs w:val="22"/>
              </w:rPr>
            </w:pPr>
            <w:r w:rsidRPr="00C21D4B">
              <w:rPr>
                <w:rFonts w:cstheme="minorHAnsi"/>
                <w:color w:val="000000"/>
                <w:sz w:val="22"/>
                <w:szCs w:val="22"/>
              </w:rPr>
              <w:t>les dispositions de couverture se rapportent à la même classe d’actifs;</w:t>
            </w:r>
          </w:p>
        </w:tc>
      </w:tr>
    </w:tbl>
    <w:p w14:paraId="018D617B"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9"/>
        <w:gridCol w:w="9057"/>
      </w:tblGrid>
      <w:tr w:rsidR="00B0185E" w:rsidRPr="00C21D4B" w14:paraId="2A1563AB" w14:textId="77777777" w:rsidTr="00B0185E">
        <w:tc>
          <w:tcPr>
            <w:tcW w:w="0" w:type="auto"/>
            <w:shd w:val="clear" w:color="auto" w:fill="auto"/>
            <w:hideMark/>
          </w:tcPr>
          <w:p w14:paraId="27E16801" w14:textId="46D85052"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5408DE13" w14:textId="77777777" w:rsidR="00B0185E" w:rsidRDefault="00B0185E" w:rsidP="00A3057B">
            <w:pPr>
              <w:pStyle w:val="Paragraphedeliste"/>
              <w:numPr>
                <w:ilvl w:val="0"/>
                <w:numId w:val="21"/>
              </w:numPr>
              <w:spacing w:before="120"/>
              <w:jc w:val="both"/>
              <w:rPr>
                <w:rFonts w:cstheme="minorHAnsi"/>
                <w:color w:val="000000"/>
                <w:sz w:val="22"/>
                <w:szCs w:val="22"/>
              </w:rPr>
            </w:pPr>
            <w:r w:rsidRPr="00C21D4B">
              <w:rPr>
                <w:rFonts w:cstheme="minorHAnsi"/>
                <w:color w:val="000000"/>
                <w:sz w:val="22"/>
                <w:szCs w:val="22"/>
              </w:rPr>
              <w:t>elles sont efficaces en situation de tension sur les marchés.</w:t>
            </w:r>
          </w:p>
          <w:p w14:paraId="0D5FAA4F" w14:textId="277F8F6C" w:rsidR="00C161DA" w:rsidRPr="00C21D4B" w:rsidRDefault="00C161DA" w:rsidP="00C161DA">
            <w:pPr>
              <w:pStyle w:val="Paragraphedeliste"/>
              <w:spacing w:before="120"/>
              <w:jc w:val="both"/>
              <w:rPr>
                <w:rFonts w:cstheme="minorHAnsi"/>
                <w:color w:val="000000"/>
                <w:sz w:val="22"/>
                <w:szCs w:val="22"/>
              </w:rPr>
            </w:pPr>
          </w:p>
        </w:tc>
      </w:tr>
    </w:tbl>
    <w:p w14:paraId="119D537B" w14:textId="0C3F621B" w:rsidR="00B0185E" w:rsidRPr="00C21D4B" w:rsidRDefault="00B0185E" w:rsidP="00A3057B">
      <w:pPr>
        <w:pStyle w:val="Paragraphedeliste"/>
        <w:numPr>
          <w:ilvl w:val="0"/>
          <w:numId w:val="15"/>
        </w:numPr>
        <w:spacing w:before="120"/>
        <w:jc w:val="both"/>
        <w:rPr>
          <w:rFonts w:cstheme="minorHAnsi"/>
          <w:color w:val="000000"/>
          <w:sz w:val="22"/>
          <w:szCs w:val="22"/>
        </w:rPr>
      </w:pPr>
      <w:r w:rsidRPr="00C21D4B">
        <w:rPr>
          <w:rFonts w:cstheme="minorHAnsi"/>
          <w:color w:val="000000"/>
          <w:sz w:val="22"/>
          <w:szCs w:val="22"/>
        </w:rPr>
        <w:t>Sous réserve du paragraphe 6, les instruments dérivés utilisés pour la couverture de change qui n’entraînent pas d’augmentation de l’exposition, du levier ou d’autres risques ne sont pas inclus dans le calcul.</w:t>
      </w:r>
    </w:p>
    <w:p w14:paraId="3F9D2FCB" w14:textId="77777777" w:rsidR="007E53F3" w:rsidRPr="00C21D4B" w:rsidRDefault="007E53F3" w:rsidP="007E53F3">
      <w:pPr>
        <w:pStyle w:val="Paragraphedeliste"/>
        <w:spacing w:before="120"/>
        <w:jc w:val="both"/>
        <w:rPr>
          <w:rFonts w:cstheme="minorHAnsi"/>
          <w:color w:val="000000"/>
          <w:sz w:val="22"/>
          <w:szCs w:val="22"/>
        </w:rPr>
      </w:pPr>
    </w:p>
    <w:p w14:paraId="5B9841ED" w14:textId="59D7BC02" w:rsidR="00B0185E" w:rsidRPr="00C21D4B" w:rsidRDefault="00B0185E" w:rsidP="00A3057B">
      <w:pPr>
        <w:pStyle w:val="Paragraphedeliste"/>
        <w:numPr>
          <w:ilvl w:val="0"/>
          <w:numId w:val="15"/>
        </w:numPr>
        <w:spacing w:before="120"/>
        <w:jc w:val="both"/>
        <w:rPr>
          <w:rFonts w:cstheme="minorHAnsi"/>
          <w:color w:val="000000"/>
          <w:sz w:val="22"/>
          <w:szCs w:val="22"/>
        </w:rPr>
      </w:pPr>
      <w:r w:rsidRPr="00C21D4B">
        <w:rPr>
          <w:rFonts w:cstheme="minorHAnsi"/>
          <w:color w:val="000000"/>
          <w:sz w:val="22"/>
          <w:szCs w:val="22"/>
        </w:rPr>
        <w:t>Un</w:t>
      </w:r>
      <w:r w:rsidR="00207DE7" w:rsidRPr="00C21D4B">
        <w:rPr>
          <w:rFonts w:cstheme="minorHAnsi"/>
          <w:color w:val="000000"/>
          <w:sz w:val="22"/>
          <w:szCs w:val="22"/>
        </w:rPr>
        <w:t xml:space="preserve">e </w:t>
      </w:r>
      <w:r w:rsidR="007E53F3" w:rsidRPr="00C21D4B">
        <w:rPr>
          <w:rFonts w:cstheme="minorHAnsi"/>
          <w:color w:val="000000"/>
          <w:sz w:val="22"/>
          <w:szCs w:val="22"/>
        </w:rPr>
        <w:t>S</w:t>
      </w:r>
      <w:r w:rsidR="00207DE7" w:rsidRPr="00C21D4B">
        <w:rPr>
          <w:rFonts w:cstheme="minorHAnsi"/>
          <w:color w:val="000000"/>
          <w:sz w:val="22"/>
          <w:szCs w:val="22"/>
        </w:rPr>
        <w:t xml:space="preserve">ociété de </w:t>
      </w:r>
      <w:r w:rsidR="007E53F3" w:rsidRPr="00C21D4B">
        <w:rPr>
          <w:rFonts w:cstheme="minorHAnsi"/>
          <w:color w:val="000000"/>
          <w:sz w:val="22"/>
          <w:szCs w:val="22"/>
        </w:rPr>
        <w:t>G</w:t>
      </w:r>
      <w:r w:rsidR="00207DE7" w:rsidRPr="00C21D4B">
        <w:rPr>
          <w:rFonts w:cstheme="minorHAnsi"/>
          <w:color w:val="000000"/>
          <w:sz w:val="22"/>
          <w:szCs w:val="22"/>
        </w:rPr>
        <w:t>estion d’OPC</w:t>
      </w:r>
      <w:r w:rsidRPr="00C21D4B">
        <w:rPr>
          <w:rFonts w:cstheme="minorHAnsi"/>
          <w:color w:val="000000"/>
          <w:sz w:val="22"/>
          <w:szCs w:val="22"/>
        </w:rPr>
        <w:t xml:space="preserve"> compense les positions dans les cas suivants</w:t>
      </w:r>
      <w:r w:rsidR="007E53F3" w:rsidRPr="00C21D4B">
        <w:rPr>
          <w:rFonts w:cstheme="minorHAnsi"/>
          <w:color w:val="000000"/>
          <w:sz w:val="22"/>
          <w:szCs w:val="22"/>
        </w:rPr>
        <w:t xml:space="preserve"> </w:t>
      </w:r>
      <w:r w:rsidRPr="00C21D4B">
        <w:rPr>
          <w:rFonts w:cstheme="minorHAnsi"/>
          <w:color w:val="000000"/>
          <w:sz w:val="22"/>
          <w:szCs w:val="22"/>
        </w:rPr>
        <w:t>:</w:t>
      </w:r>
      <w:r w:rsidR="007E53F3" w:rsidRPr="00C21D4B">
        <w:rPr>
          <w:rFonts w:cstheme="minorHAnsi"/>
          <w:color w:val="000000"/>
          <w:sz w:val="22"/>
          <w:szCs w:val="22"/>
        </w:rPr>
        <w:t xml:space="preserve"> </w:t>
      </w:r>
    </w:p>
    <w:p w14:paraId="63A76CAE" w14:textId="77777777" w:rsidR="007E53F3" w:rsidRPr="00C21D4B" w:rsidRDefault="007E53F3" w:rsidP="007E53F3">
      <w:pPr>
        <w:spacing w:before="120"/>
        <w:jc w:val="both"/>
        <w:rPr>
          <w:rFonts w:asciiTheme="minorHAnsi" w:hAnsiTheme="minorHAnsi" w:cstheme="minorHAnsi"/>
          <w:color w:val="000000"/>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53D405E6" w14:textId="77777777" w:rsidTr="00B0185E">
        <w:tc>
          <w:tcPr>
            <w:tcW w:w="0" w:type="auto"/>
            <w:shd w:val="clear" w:color="auto" w:fill="auto"/>
            <w:hideMark/>
          </w:tcPr>
          <w:p w14:paraId="7B26180B" w14:textId="4AC469B1"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7F755893" w14:textId="4F0AD57D" w:rsidR="00B0185E" w:rsidRPr="00C21D4B" w:rsidRDefault="00B0185E" w:rsidP="00A3057B">
            <w:pPr>
              <w:pStyle w:val="Paragraphedeliste"/>
              <w:numPr>
                <w:ilvl w:val="0"/>
                <w:numId w:val="22"/>
              </w:numPr>
              <w:spacing w:before="120"/>
              <w:jc w:val="both"/>
              <w:rPr>
                <w:rFonts w:cstheme="minorHAnsi"/>
                <w:color w:val="000000"/>
                <w:sz w:val="22"/>
                <w:szCs w:val="22"/>
              </w:rPr>
            </w:pPr>
            <w:r w:rsidRPr="00C21D4B">
              <w:rPr>
                <w:rFonts w:cstheme="minorHAnsi"/>
                <w:color w:val="000000"/>
                <w:sz w:val="22"/>
                <w:szCs w:val="22"/>
              </w:rPr>
              <w:t>entre instruments dérivés s’ils se rapportent au même actif sous-jacent, même si leur date d’échéance diffère;</w:t>
            </w:r>
          </w:p>
        </w:tc>
      </w:tr>
      <w:tr w:rsidR="007E53F3" w:rsidRPr="00C21D4B" w14:paraId="4808F669" w14:textId="77777777" w:rsidTr="00B0185E">
        <w:tc>
          <w:tcPr>
            <w:tcW w:w="0" w:type="auto"/>
            <w:shd w:val="clear" w:color="auto" w:fill="auto"/>
          </w:tcPr>
          <w:p w14:paraId="1D934387" w14:textId="77777777" w:rsidR="007E53F3" w:rsidRPr="00C21D4B" w:rsidRDefault="007E53F3" w:rsidP="00B0185E">
            <w:pPr>
              <w:spacing w:before="120"/>
              <w:jc w:val="both"/>
              <w:rPr>
                <w:rFonts w:asciiTheme="minorHAnsi" w:hAnsiTheme="minorHAnsi" w:cstheme="minorHAnsi"/>
                <w:color w:val="000000"/>
                <w:sz w:val="22"/>
                <w:szCs w:val="22"/>
              </w:rPr>
            </w:pPr>
          </w:p>
        </w:tc>
        <w:tc>
          <w:tcPr>
            <w:tcW w:w="0" w:type="auto"/>
            <w:shd w:val="clear" w:color="auto" w:fill="auto"/>
          </w:tcPr>
          <w:p w14:paraId="3592490B" w14:textId="77777777" w:rsidR="007E53F3" w:rsidRPr="00C21D4B" w:rsidRDefault="007E53F3" w:rsidP="00B0185E">
            <w:pPr>
              <w:spacing w:before="120"/>
              <w:jc w:val="both"/>
              <w:rPr>
                <w:rFonts w:asciiTheme="minorHAnsi" w:hAnsiTheme="minorHAnsi" w:cstheme="minorHAnsi"/>
                <w:color w:val="000000"/>
                <w:sz w:val="22"/>
                <w:szCs w:val="22"/>
              </w:rPr>
            </w:pPr>
          </w:p>
        </w:tc>
      </w:tr>
    </w:tbl>
    <w:p w14:paraId="07F32432" w14:textId="77777777" w:rsidR="00B0185E" w:rsidRPr="00C21D4B" w:rsidRDefault="00B0185E" w:rsidP="00B0185E">
      <w:pPr>
        <w:rPr>
          <w:rFonts w:asciiTheme="minorHAnsi" w:hAnsiTheme="minorHAnsi" w:cstheme="minorHAnsi"/>
          <w:vanish/>
          <w:sz w:val="22"/>
          <w:szCs w:val="22"/>
        </w:rPr>
      </w:pPr>
    </w:p>
    <w:tbl>
      <w:tblPr>
        <w:tblW w:w="5000" w:type="pct"/>
        <w:tblCellMar>
          <w:left w:w="0" w:type="dxa"/>
          <w:right w:w="0" w:type="dxa"/>
        </w:tblCellMar>
        <w:tblLook w:val="04A0" w:firstRow="1" w:lastRow="0" w:firstColumn="1" w:lastColumn="0" w:noHBand="0" w:noVBand="1"/>
      </w:tblPr>
      <w:tblGrid>
        <w:gridCol w:w="6"/>
        <w:gridCol w:w="9060"/>
      </w:tblGrid>
      <w:tr w:rsidR="00B0185E" w:rsidRPr="00C21D4B" w14:paraId="55325470" w14:textId="77777777" w:rsidTr="00B0185E">
        <w:tc>
          <w:tcPr>
            <w:tcW w:w="0" w:type="auto"/>
            <w:shd w:val="clear" w:color="auto" w:fill="auto"/>
            <w:hideMark/>
          </w:tcPr>
          <w:p w14:paraId="15C04B43" w14:textId="17AEB96F" w:rsidR="00B0185E" w:rsidRPr="00C21D4B" w:rsidRDefault="00B0185E" w:rsidP="00B0185E">
            <w:pPr>
              <w:spacing w:before="120"/>
              <w:jc w:val="both"/>
              <w:rPr>
                <w:rFonts w:asciiTheme="minorHAnsi" w:hAnsiTheme="minorHAnsi" w:cstheme="minorHAnsi"/>
                <w:color w:val="000000"/>
                <w:sz w:val="22"/>
                <w:szCs w:val="22"/>
              </w:rPr>
            </w:pPr>
          </w:p>
        </w:tc>
        <w:tc>
          <w:tcPr>
            <w:tcW w:w="0" w:type="auto"/>
            <w:shd w:val="clear" w:color="auto" w:fill="auto"/>
            <w:hideMark/>
          </w:tcPr>
          <w:p w14:paraId="0D140C8E" w14:textId="1578C4BA" w:rsidR="00B0185E" w:rsidRPr="00C21D4B" w:rsidRDefault="00B0185E" w:rsidP="00A3057B">
            <w:pPr>
              <w:pStyle w:val="Paragraphedeliste"/>
              <w:numPr>
                <w:ilvl w:val="0"/>
                <w:numId w:val="22"/>
              </w:numPr>
              <w:spacing w:before="120"/>
              <w:jc w:val="both"/>
              <w:rPr>
                <w:rFonts w:cstheme="minorHAnsi"/>
                <w:color w:val="000000"/>
                <w:sz w:val="22"/>
                <w:szCs w:val="22"/>
              </w:rPr>
            </w:pPr>
            <w:r w:rsidRPr="00C21D4B">
              <w:rPr>
                <w:rFonts w:cstheme="minorHAnsi"/>
                <w:color w:val="000000"/>
                <w:sz w:val="22"/>
                <w:szCs w:val="22"/>
              </w:rPr>
              <w:t xml:space="preserve">entre un instrument dérivé dont l’actif sous-jacent correspond à une valeur mobilière, à un instrument du marché monétaire ou à des parts dans un </w:t>
            </w:r>
            <w:r w:rsidR="00207DE7" w:rsidRPr="00C21D4B">
              <w:rPr>
                <w:rFonts w:cstheme="minorHAnsi"/>
                <w:color w:val="000000"/>
                <w:sz w:val="22"/>
                <w:szCs w:val="22"/>
              </w:rPr>
              <w:t>OPC</w:t>
            </w:r>
            <w:r w:rsidRPr="00C21D4B">
              <w:rPr>
                <w:rFonts w:cstheme="minorHAnsi"/>
                <w:color w:val="000000"/>
                <w:sz w:val="22"/>
                <w:szCs w:val="22"/>
              </w:rPr>
              <w:t>.</w:t>
            </w:r>
          </w:p>
        </w:tc>
      </w:tr>
    </w:tbl>
    <w:p w14:paraId="37AE278A" w14:textId="3FBEF19C" w:rsidR="00452B49" w:rsidRPr="00814D88" w:rsidRDefault="00B0185E" w:rsidP="00E228B1">
      <w:pPr>
        <w:pStyle w:val="Paragraphedeliste"/>
        <w:numPr>
          <w:ilvl w:val="0"/>
          <w:numId w:val="15"/>
        </w:numPr>
        <w:shd w:val="clear" w:color="auto" w:fill="FFFFFF" w:themeFill="background1"/>
        <w:spacing w:before="120"/>
        <w:jc w:val="both"/>
        <w:rPr>
          <w:rFonts w:cstheme="minorHAnsi"/>
          <w:b/>
          <w:bCs/>
          <w:sz w:val="22"/>
          <w:szCs w:val="22"/>
        </w:rPr>
      </w:pPr>
      <w:r w:rsidRPr="00814D88">
        <w:rPr>
          <w:rFonts w:cstheme="minorHAnsi"/>
          <w:color w:val="000000"/>
          <w:sz w:val="22"/>
          <w:szCs w:val="22"/>
        </w:rPr>
        <w:t>L</w:t>
      </w:r>
      <w:r w:rsidR="004D00BC" w:rsidRPr="00814D88">
        <w:rPr>
          <w:rFonts w:cstheme="minorHAnsi"/>
          <w:color w:val="000000"/>
          <w:sz w:val="22"/>
          <w:szCs w:val="22"/>
        </w:rPr>
        <w:t>es</w:t>
      </w:r>
      <w:r w:rsidR="00207DE7" w:rsidRPr="00814D88">
        <w:rPr>
          <w:rFonts w:cstheme="minorHAnsi"/>
          <w:color w:val="000000"/>
          <w:sz w:val="22"/>
          <w:szCs w:val="22"/>
        </w:rPr>
        <w:t xml:space="preserve"> </w:t>
      </w:r>
      <w:r w:rsidR="007E53F3" w:rsidRPr="00814D88">
        <w:rPr>
          <w:rFonts w:cstheme="minorHAnsi"/>
          <w:color w:val="000000"/>
          <w:sz w:val="22"/>
          <w:szCs w:val="22"/>
        </w:rPr>
        <w:t>S</w:t>
      </w:r>
      <w:r w:rsidR="00207DE7" w:rsidRPr="00814D88">
        <w:rPr>
          <w:rFonts w:cstheme="minorHAnsi"/>
          <w:color w:val="000000"/>
          <w:sz w:val="22"/>
          <w:szCs w:val="22"/>
        </w:rPr>
        <w:t>ociété</w:t>
      </w:r>
      <w:r w:rsidR="004D00BC" w:rsidRPr="00814D88">
        <w:rPr>
          <w:rFonts w:cstheme="minorHAnsi"/>
          <w:color w:val="000000"/>
          <w:sz w:val="22"/>
          <w:szCs w:val="22"/>
        </w:rPr>
        <w:t>s</w:t>
      </w:r>
      <w:r w:rsidR="00207DE7" w:rsidRPr="00814D88">
        <w:rPr>
          <w:rFonts w:cstheme="minorHAnsi"/>
          <w:color w:val="000000"/>
          <w:sz w:val="22"/>
          <w:szCs w:val="22"/>
        </w:rPr>
        <w:t xml:space="preserve"> de </w:t>
      </w:r>
      <w:r w:rsidR="007E53F3" w:rsidRPr="00814D88">
        <w:rPr>
          <w:rFonts w:cstheme="minorHAnsi"/>
          <w:color w:val="000000"/>
          <w:sz w:val="22"/>
          <w:szCs w:val="22"/>
        </w:rPr>
        <w:t>G</w:t>
      </w:r>
      <w:r w:rsidR="00207DE7" w:rsidRPr="00814D88">
        <w:rPr>
          <w:rFonts w:cstheme="minorHAnsi"/>
          <w:color w:val="000000"/>
          <w:sz w:val="22"/>
          <w:szCs w:val="22"/>
        </w:rPr>
        <w:t>estion d’OPC</w:t>
      </w:r>
      <w:r w:rsidRPr="00814D88">
        <w:rPr>
          <w:rFonts w:cstheme="minorHAnsi"/>
          <w:color w:val="000000"/>
          <w:sz w:val="22"/>
          <w:szCs w:val="22"/>
        </w:rPr>
        <w:t xml:space="preserve"> qui, conformément à leur politique principale en matière d’investissement, investissent surtout dans des dérivés de taux d’intérêt, emploient des règles spécifiques de compensation en duration pour prendre en compte la corrélation entre les fourchettes de maturité de la courbe des taux d’intérêt.</w:t>
      </w:r>
    </w:p>
    <w:sectPr w:rsidR="00452B49" w:rsidRPr="00814D88" w:rsidSect="006C0B32">
      <w:footerReference w:type="default" r:id="rId7"/>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AA6FAD" w16cex:dateUtc="2024-01-25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9C212" w16cid:durableId="3DAA6F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31A33" w14:textId="77777777" w:rsidR="00AD2FE1" w:rsidRDefault="00AD2FE1" w:rsidP="00843715">
      <w:r>
        <w:separator/>
      </w:r>
    </w:p>
  </w:endnote>
  <w:endnote w:type="continuationSeparator" w:id="0">
    <w:p w14:paraId="37493C25" w14:textId="77777777" w:rsidR="00AD2FE1" w:rsidRDefault="00AD2FE1"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òˇøÂ'91Â'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056093"/>
      <w:docPartObj>
        <w:docPartGallery w:val="Page Numbers (Bottom of Page)"/>
        <w:docPartUnique/>
      </w:docPartObj>
    </w:sdtPr>
    <w:sdtEndPr/>
    <w:sdtContent>
      <w:p w14:paraId="11810225" w14:textId="1F00159C" w:rsidR="003C7958" w:rsidRDefault="003C7958">
        <w:pPr>
          <w:pStyle w:val="Pieddepage"/>
          <w:jc w:val="center"/>
        </w:pPr>
        <w:r>
          <w:fldChar w:fldCharType="begin"/>
        </w:r>
        <w:r>
          <w:instrText>PAGE   \* MERGEFORMAT</w:instrText>
        </w:r>
        <w:r>
          <w:fldChar w:fldCharType="separate"/>
        </w:r>
        <w:r w:rsidR="00FD217F">
          <w:rPr>
            <w:noProof/>
          </w:rPr>
          <w:t>22</w:t>
        </w:r>
        <w:r>
          <w:fldChar w:fldCharType="end"/>
        </w:r>
      </w:p>
    </w:sdtContent>
  </w:sdt>
  <w:p w14:paraId="10B73DB6" w14:textId="77777777" w:rsidR="003C7958" w:rsidRDefault="003C79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28946" w14:textId="77777777" w:rsidR="00AD2FE1" w:rsidRDefault="00AD2FE1" w:rsidP="00843715">
      <w:r>
        <w:separator/>
      </w:r>
    </w:p>
  </w:footnote>
  <w:footnote w:type="continuationSeparator" w:id="0">
    <w:p w14:paraId="073637A9" w14:textId="77777777" w:rsidR="00AD2FE1" w:rsidRDefault="00AD2FE1" w:rsidP="0084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8.5pt;height:28.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6F0B53"/>
    <w:multiLevelType w:val="hybridMultilevel"/>
    <w:tmpl w:val="22E63D96"/>
    <w:lvl w:ilvl="0" w:tplc="3266D14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0F6591"/>
    <w:multiLevelType w:val="hybridMultilevel"/>
    <w:tmpl w:val="FC10AC7A"/>
    <w:lvl w:ilvl="0" w:tplc="31D65F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5943E5"/>
    <w:multiLevelType w:val="hybridMultilevel"/>
    <w:tmpl w:val="768EC482"/>
    <w:lvl w:ilvl="0" w:tplc="5B60DA14">
      <w:start w:val="1"/>
      <w:numFmt w:val="decimal"/>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9D71300"/>
    <w:multiLevelType w:val="hybridMultilevel"/>
    <w:tmpl w:val="F0B85F3E"/>
    <w:lvl w:ilvl="0" w:tplc="DCBE134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542EF5"/>
    <w:multiLevelType w:val="hybridMultilevel"/>
    <w:tmpl w:val="2CFE7D04"/>
    <w:lvl w:ilvl="0" w:tplc="3ADA4D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A5885"/>
    <w:multiLevelType w:val="hybridMultilevel"/>
    <w:tmpl w:val="FA5AF26E"/>
    <w:lvl w:ilvl="0" w:tplc="005AD6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A64866"/>
    <w:multiLevelType w:val="hybridMultilevel"/>
    <w:tmpl w:val="0276B4EA"/>
    <w:lvl w:ilvl="0" w:tplc="6BFE555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2B84290D"/>
    <w:multiLevelType w:val="hybridMultilevel"/>
    <w:tmpl w:val="2E1C57DC"/>
    <w:lvl w:ilvl="0" w:tplc="D76AA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5B0171"/>
    <w:multiLevelType w:val="hybridMultilevel"/>
    <w:tmpl w:val="211C7684"/>
    <w:lvl w:ilvl="0" w:tplc="70A6E95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DA27D7"/>
    <w:multiLevelType w:val="hybridMultilevel"/>
    <w:tmpl w:val="75800C4C"/>
    <w:lvl w:ilvl="0" w:tplc="43964DD6">
      <w:start w:val="1"/>
      <w:numFmt w:val="low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14" w15:restartNumberingAfterBreak="0">
    <w:nsid w:val="3BD2209C"/>
    <w:multiLevelType w:val="hybridMultilevel"/>
    <w:tmpl w:val="6776942E"/>
    <w:lvl w:ilvl="0" w:tplc="5666076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120F76"/>
    <w:multiLevelType w:val="hybridMultilevel"/>
    <w:tmpl w:val="92788A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B47947"/>
    <w:multiLevelType w:val="hybridMultilevel"/>
    <w:tmpl w:val="FB8CD34E"/>
    <w:lvl w:ilvl="0" w:tplc="2C4471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42114"/>
    <w:multiLevelType w:val="hybridMultilevel"/>
    <w:tmpl w:val="D70ED85E"/>
    <w:lvl w:ilvl="0" w:tplc="901854E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52676B"/>
    <w:multiLevelType w:val="hybridMultilevel"/>
    <w:tmpl w:val="5C988ACA"/>
    <w:lvl w:ilvl="0" w:tplc="A3DA5C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2"/>
  </w:num>
  <w:num w:numId="2">
    <w:abstractNumId w:val="17"/>
  </w:num>
  <w:num w:numId="3">
    <w:abstractNumId w:val="21"/>
  </w:num>
  <w:num w:numId="4">
    <w:abstractNumId w:val="18"/>
  </w:num>
  <w:num w:numId="5">
    <w:abstractNumId w:val="7"/>
  </w:num>
  <w:num w:numId="6">
    <w:abstractNumId w:val="10"/>
  </w:num>
  <w:num w:numId="7">
    <w:abstractNumId w:val="4"/>
  </w:num>
  <w:num w:numId="8">
    <w:abstractNumId w:val="0"/>
    <w:lvlOverride w:ilvl="0">
      <w:startOverride w:val="1"/>
    </w:lvlOverride>
  </w:num>
  <w:num w:numId="9">
    <w:abstractNumId w:val="15"/>
  </w:num>
  <w:num w:numId="10">
    <w:abstractNumId w:val="5"/>
  </w:num>
  <w:num w:numId="11">
    <w:abstractNumId w:val="1"/>
  </w:num>
  <w:num w:numId="12">
    <w:abstractNumId w:val="16"/>
  </w:num>
  <w:num w:numId="13">
    <w:abstractNumId w:val="11"/>
  </w:num>
  <w:num w:numId="14">
    <w:abstractNumId w:val="3"/>
  </w:num>
  <w:num w:numId="15">
    <w:abstractNumId w:val="8"/>
  </w:num>
  <w:num w:numId="16">
    <w:abstractNumId w:val="14"/>
  </w:num>
  <w:num w:numId="17">
    <w:abstractNumId w:val="6"/>
  </w:num>
  <w:num w:numId="18">
    <w:abstractNumId w:val="20"/>
  </w:num>
  <w:num w:numId="19">
    <w:abstractNumId w:val="19"/>
  </w:num>
  <w:num w:numId="20">
    <w:abstractNumId w:val="12"/>
  </w:num>
  <w:num w:numId="21">
    <w:abstractNumId w:val="9"/>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D"/>
    <w:rsid w:val="00015778"/>
    <w:rsid w:val="00024AD8"/>
    <w:rsid w:val="00026E3A"/>
    <w:rsid w:val="00044EAE"/>
    <w:rsid w:val="00060D3D"/>
    <w:rsid w:val="0008615B"/>
    <w:rsid w:val="00091043"/>
    <w:rsid w:val="000A6AE4"/>
    <w:rsid w:val="000B5751"/>
    <w:rsid w:val="000C5C37"/>
    <w:rsid w:val="000F4995"/>
    <w:rsid w:val="000F6063"/>
    <w:rsid w:val="001454C3"/>
    <w:rsid w:val="001574D5"/>
    <w:rsid w:val="00183128"/>
    <w:rsid w:val="00185B4F"/>
    <w:rsid w:val="001D67E6"/>
    <w:rsid w:val="001D6C0C"/>
    <w:rsid w:val="00207DE7"/>
    <w:rsid w:val="00211991"/>
    <w:rsid w:val="00222C9C"/>
    <w:rsid w:val="00223714"/>
    <w:rsid w:val="002542BD"/>
    <w:rsid w:val="002822B0"/>
    <w:rsid w:val="002823B6"/>
    <w:rsid w:val="00294919"/>
    <w:rsid w:val="002A2EE1"/>
    <w:rsid w:val="002F49F7"/>
    <w:rsid w:val="0031620A"/>
    <w:rsid w:val="00325C3B"/>
    <w:rsid w:val="00357E87"/>
    <w:rsid w:val="003678E5"/>
    <w:rsid w:val="00370394"/>
    <w:rsid w:val="00372E06"/>
    <w:rsid w:val="00383A10"/>
    <w:rsid w:val="003A5F34"/>
    <w:rsid w:val="003C7958"/>
    <w:rsid w:val="003D2E2F"/>
    <w:rsid w:val="003E1E7F"/>
    <w:rsid w:val="003F154B"/>
    <w:rsid w:val="003F1CC5"/>
    <w:rsid w:val="0042410D"/>
    <w:rsid w:val="004258B8"/>
    <w:rsid w:val="00431047"/>
    <w:rsid w:val="00432B44"/>
    <w:rsid w:val="00441ADB"/>
    <w:rsid w:val="00452B49"/>
    <w:rsid w:val="004765F7"/>
    <w:rsid w:val="00477F3F"/>
    <w:rsid w:val="004B037D"/>
    <w:rsid w:val="004B709D"/>
    <w:rsid w:val="004C0145"/>
    <w:rsid w:val="004D00BC"/>
    <w:rsid w:val="004D68E1"/>
    <w:rsid w:val="004D6E9A"/>
    <w:rsid w:val="004E430C"/>
    <w:rsid w:val="004E6903"/>
    <w:rsid w:val="005177BC"/>
    <w:rsid w:val="005310FC"/>
    <w:rsid w:val="00532DA8"/>
    <w:rsid w:val="00533D80"/>
    <w:rsid w:val="0054593C"/>
    <w:rsid w:val="0055003F"/>
    <w:rsid w:val="00561FF4"/>
    <w:rsid w:val="00564435"/>
    <w:rsid w:val="005712DE"/>
    <w:rsid w:val="0057761D"/>
    <w:rsid w:val="005D1BBC"/>
    <w:rsid w:val="005D2021"/>
    <w:rsid w:val="005E794B"/>
    <w:rsid w:val="006118FD"/>
    <w:rsid w:val="00613A62"/>
    <w:rsid w:val="00615DC7"/>
    <w:rsid w:val="0063332B"/>
    <w:rsid w:val="006538C1"/>
    <w:rsid w:val="00671BE2"/>
    <w:rsid w:val="0067305B"/>
    <w:rsid w:val="006A16B0"/>
    <w:rsid w:val="006B546E"/>
    <w:rsid w:val="006C0B32"/>
    <w:rsid w:val="006C79B6"/>
    <w:rsid w:val="006D0896"/>
    <w:rsid w:val="00726614"/>
    <w:rsid w:val="007625DB"/>
    <w:rsid w:val="007A7FB2"/>
    <w:rsid w:val="007D4CD3"/>
    <w:rsid w:val="007E53F3"/>
    <w:rsid w:val="00810E3C"/>
    <w:rsid w:val="00814D88"/>
    <w:rsid w:val="00843715"/>
    <w:rsid w:val="00846810"/>
    <w:rsid w:val="00862E6D"/>
    <w:rsid w:val="00871C93"/>
    <w:rsid w:val="008A3A6C"/>
    <w:rsid w:val="008B4F23"/>
    <w:rsid w:val="008C0737"/>
    <w:rsid w:val="008C1B8D"/>
    <w:rsid w:val="008C51BC"/>
    <w:rsid w:val="008C6C30"/>
    <w:rsid w:val="008C71DD"/>
    <w:rsid w:val="008E774F"/>
    <w:rsid w:val="008F37E8"/>
    <w:rsid w:val="00912630"/>
    <w:rsid w:val="00913491"/>
    <w:rsid w:val="0093236E"/>
    <w:rsid w:val="00944ECD"/>
    <w:rsid w:val="009B11B3"/>
    <w:rsid w:val="009B1E52"/>
    <w:rsid w:val="009C0FA2"/>
    <w:rsid w:val="009D2B33"/>
    <w:rsid w:val="009D4402"/>
    <w:rsid w:val="00A3057B"/>
    <w:rsid w:val="00A347B7"/>
    <w:rsid w:val="00A73D92"/>
    <w:rsid w:val="00A82A4F"/>
    <w:rsid w:val="00A87357"/>
    <w:rsid w:val="00AB739C"/>
    <w:rsid w:val="00AC613A"/>
    <w:rsid w:val="00AD2FE1"/>
    <w:rsid w:val="00AF5385"/>
    <w:rsid w:val="00B0185E"/>
    <w:rsid w:val="00B26CCE"/>
    <w:rsid w:val="00B309D3"/>
    <w:rsid w:val="00B47A48"/>
    <w:rsid w:val="00B52B26"/>
    <w:rsid w:val="00B957AD"/>
    <w:rsid w:val="00BB2E7B"/>
    <w:rsid w:val="00BB4E7D"/>
    <w:rsid w:val="00BB6C57"/>
    <w:rsid w:val="00BD02FB"/>
    <w:rsid w:val="00BD6E0A"/>
    <w:rsid w:val="00BE0BDA"/>
    <w:rsid w:val="00BF5D06"/>
    <w:rsid w:val="00BF65D9"/>
    <w:rsid w:val="00C07260"/>
    <w:rsid w:val="00C161DA"/>
    <w:rsid w:val="00C20F84"/>
    <w:rsid w:val="00C21D4B"/>
    <w:rsid w:val="00C370A4"/>
    <w:rsid w:val="00C4647A"/>
    <w:rsid w:val="00C6635B"/>
    <w:rsid w:val="00C74FB0"/>
    <w:rsid w:val="00C81507"/>
    <w:rsid w:val="00C8167E"/>
    <w:rsid w:val="00C855B1"/>
    <w:rsid w:val="00C9723A"/>
    <w:rsid w:val="00CA5CD8"/>
    <w:rsid w:val="00CA78EC"/>
    <w:rsid w:val="00CE6B8B"/>
    <w:rsid w:val="00D02FAF"/>
    <w:rsid w:val="00D07651"/>
    <w:rsid w:val="00D15D17"/>
    <w:rsid w:val="00D60167"/>
    <w:rsid w:val="00D764BD"/>
    <w:rsid w:val="00DA002B"/>
    <w:rsid w:val="00DA1EF7"/>
    <w:rsid w:val="00DC1AAD"/>
    <w:rsid w:val="00DC7E1D"/>
    <w:rsid w:val="00DD0C9E"/>
    <w:rsid w:val="00DE24DA"/>
    <w:rsid w:val="00DE40B7"/>
    <w:rsid w:val="00DF3185"/>
    <w:rsid w:val="00E176F5"/>
    <w:rsid w:val="00E31FED"/>
    <w:rsid w:val="00E442B6"/>
    <w:rsid w:val="00E515E7"/>
    <w:rsid w:val="00E6293F"/>
    <w:rsid w:val="00E76756"/>
    <w:rsid w:val="00E7745C"/>
    <w:rsid w:val="00E971A8"/>
    <w:rsid w:val="00EA4EB8"/>
    <w:rsid w:val="00EB499A"/>
    <w:rsid w:val="00EB5572"/>
    <w:rsid w:val="00EC02FE"/>
    <w:rsid w:val="00ED6269"/>
    <w:rsid w:val="00EE0C7A"/>
    <w:rsid w:val="00EF212E"/>
    <w:rsid w:val="00EF2168"/>
    <w:rsid w:val="00EF5E4D"/>
    <w:rsid w:val="00EF5F0C"/>
    <w:rsid w:val="00F20C9E"/>
    <w:rsid w:val="00F24BA6"/>
    <w:rsid w:val="00F60C42"/>
    <w:rsid w:val="00FB2B0A"/>
    <w:rsid w:val="00FC7F72"/>
    <w:rsid w:val="00FD217F"/>
    <w:rsid w:val="00FE2BE3"/>
    <w:rsid w:val="00FE6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FB"/>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EF212E"/>
    <w:pPr>
      <w:keepNext/>
      <w:keepLines/>
      <w:tabs>
        <w:tab w:val="num" w:pos="720"/>
      </w:tabs>
      <w:spacing w:before="240"/>
      <w:ind w:left="720" w:hanging="360"/>
      <w:jc w:val="center"/>
      <w:outlineLvl w:val="0"/>
    </w:pPr>
    <w:rPr>
      <w:rFonts w:asciiTheme="minorHAnsi" w:eastAsiaTheme="majorEastAsia" w:hAnsiTheme="minorHAnsi" w:cs="Times New Roman (Titres CS)"/>
      <w:b/>
      <w:smallCaps/>
      <w:color w:val="000000" w:themeColor="text1"/>
      <w:szCs w:val="32"/>
    </w:rPr>
  </w:style>
  <w:style w:type="paragraph" w:styleId="Titre2">
    <w:name w:val="heading 2"/>
    <w:basedOn w:val="Normal"/>
    <w:next w:val="Normal"/>
    <w:link w:val="Titre2Car"/>
    <w:autoRedefine/>
    <w:uiPriority w:val="9"/>
    <w:unhideWhenUsed/>
    <w:qFormat/>
    <w:rsid w:val="00EF212E"/>
    <w:pPr>
      <w:keepNext/>
      <w:keepLines/>
      <w:numPr>
        <w:ilvl w:val="1"/>
        <w:numId w:val="4"/>
      </w:numPr>
      <w:spacing w:before="40"/>
      <w:jc w:val="center"/>
      <w:outlineLvl w:val="1"/>
    </w:pPr>
    <w:rPr>
      <w:rFonts w:asciiTheme="minorHAnsi" w:eastAsiaTheme="majorEastAsia" w:hAnsiTheme="minorHAnsi" w:cs="Times New Roman (Titres CS)"/>
      <w:i/>
      <w:caps/>
      <w:color w:val="000000" w:themeColor="text1"/>
      <w:sz w:val="22"/>
      <w:szCs w:val="26"/>
    </w:rPr>
  </w:style>
  <w:style w:type="paragraph" w:styleId="Titre3">
    <w:name w:val="heading 3"/>
    <w:basedOn w:val="Normal"/>
    <w:next w:val="Normal"/>
    <w:link w:val="Titre3Car"/>
    <w:autoRedefine/>
    <w:uiPriority w:val="9"/>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iPriority w:val="9"/>
    <w:unhideWhenUsed/>
    <w:qFormat/>
    <w:rsid w:val="00EF212E"/>
    <w:pPr>
      <w:keepNext/>
      <w:keepLines/>
      <w:numPr>
        <w:ilvl w:val="4"/>
        <w:numId w:val="4"/>
      </w:numPr>
      <w:spacing w:before="40"/>
      <w:jc w:val="center"/>
      <w:outlineLvl w:val="4"/>
    </w:pPr>
    <w:rPr>
      <w:rFonts w:asciiTheme="minorHAnsi" w:eastAsiaTheme="majorEastAsia" w:hAnsiTheme="minorHAnsi" w:cstheme="majorBidi"/>
      <w:i/>
      <w:color w:val="000000" w:themeColor="text1"/>
      <w:sz w:val="22"/>
    </w:rPr>
  </w:style>
  <w:style w:type="paragraph" w:styleId="Titre6">
    <w:name w:val="heading 6"/>
    <w:basedOn w:val="Normal"/>
    <w:next w:val="Normal"/>
    <w:link w:val="Titre6Car"/>
    <w:autoRedefine/>
    <w:uiPriority w:val="9"/>
    <w:unhideWhenUsed/>
    <w:qFormat/>
    <w:rsid w:val="00EF212E"/>
    <w:pPr>
      <w:keepNext/>
      <w:keepLines/>
      <w:numPr>
        <w:ilvl w:val="5"/>
        <w:numId w:val="5"/>
      </w:numPr>
      <w:spacing w:before="40"/>
      <w:jc w:val="center"/>
      <w:outlineLvl w:val="5"/>
    </w:pPr>
    <w:rPr>
      <w:rFonts w:asciiTheme="minorHAnsi" w:eastAsiaTheme="majorEastAsia" w:hAnsiTheme="minorHAnsi"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uiPriority w:val="9"/>
    <w:rsid w:val="00AB739C"/>
    <w:rPr>
      <w:rFonts w:eastAsiaTheme="majorEastAsia" w:cs="Times New Roman (Titres CS)"/>
      <w:i/>
      <w:caps/>
      <w:color w:val="000000" w:themeColor="text1"/>
      <w:sz w:val="22"/>
      <w:szCs w:val="26"/>
      <w:lang w:eastAsia="fr-FR"/>
    </w:rPr>
  </w:style>
  <w:style w:type="character" w:customStyle="1" w:styleId="Titre3Car">
    <w:name w:val="Titre 3 Car"/>
    <w:basedOn w:val="Policepardfaut"/>
    <w:link w:val="Titre3"/>
    <w:uiPriority w:val="9"/>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eastAsiaTheme="majorEastAsia" w:cstheme="majorBidi"/>
      <w:i/>
      <w:color w:val="000000" w:themeColor="text1"/>
      <w:sz w:val="22"/>
      <w:lang w:eastAsia="fr-FR"/>
    </w:rPr>
  </w:style>
  <w:style w:type="character" w:customStyle="1" w:styleId="Titre5Car">
    <w:name w:val="Titre 5 Car"/>
    <w:basedOn w:val="Policepardfaut"/>
    <w:link w:val="Titre5"/>
    <w:uiPriority w:val="9"/>
    <w:rsid w:val="00EF212E"/>
    <w:rPr>
      <w:rFonts w:eastAsiaTheme="majorEastAsia"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rPr>
      <w:rFonts w:asciiTheme="minorHAnsi" w:eastAsiaTheme="minorHAnsi" w:hAnsiTheme="minorHAnsi" w:cstheme="minorBidi"/>
      <w:lang w:eastAsia="en-US"/>
    </w:r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cstheme="minorBidi"/>
      <w:b/>
      <w:bCs/>
      <w:sz w:val="20"/>
      <w:szCs w:val="19"/>
    </w:rPr>
  </w:style>
  <w:style w:type="paragraph" w:customStyle="1" w:styleId="AMFPucegrise">
    <w:name w:val="AMF Puce grise"/>
    <w:basedOn w:val="Paragraphedeliste"/>
    <w:qFormat/>
    <w:rsid w:val="00862E6D"/>
    <w:pPr>
      <w:numPr>
        <w:numId w:val="8"/>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lang w:eastAsia="en-US"/>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hAnsi="Calibri" w:cs="Arial"/>
      <w:b/>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rFonts w:eastAsia="Times New Roman" w:cs="Times New Roman"/>
      <w:i/>
      <w:sz w:val="16"/>
      <w:szCs w:val="16"/>
      <w:lang w:eastAsia="fr-FR"/>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asciiTheme="minorHAnsi" w:hAnsiTheme="minorHAnsi"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rFonts w:asciiTheme="minorHAnsi" w:eastAsiaTheme="minorHAnsi" w:hAnsiTheme="minorHAnsi" w:cstheme="minorBidi"/>
      <w:sz w:val="20"/>
      <w:szCs w:val="20"/>
      <w:lang w:eastAsia="en-US"/>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cstheme="minorBid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cstheme="minorBid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asciiTheme="minorHAnsi" w:hAnsiTheme="minorHAnsi"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eastAsia="en-US"/>
    </w:rPr>
  </w:style>
  <w:style w:type="paragraph" w:customStyle="1" w:styleId="CarCarCarCharChar1">
    <w:name w:val="Car Car Car Char Char1"/>
    <w:basedOn w:val="Normal"/>
    <w:rsid w:val="006118FD"/>
    <w:pPr>
      <w:keepNext/>
      <w:spacing w:after="160" w:line="240" w:lineRule="exact"/>
    </w:pPr>
    <w:rPr>
      <w:rFonts w:ascii="Arial" w:hAnsi="Arial"/>
      <w:lang w:val="en-US" w:eastAsia="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uiPriority w:val="99"/>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character" w:customStyle="1" w:styleId="bold">
    <w:name w:val="bold"/>
    <w:basedOn w:val="Policepardfaut"/>
    <w:rsid w:val="00CE6B8B"/>
  </w:style>
  <w:style w:type="paragraph" w:customStyle="1" w:styleId="ti-tbl">
    <w:name w:val="ti-tbl"/>
    <w:basedOn w:val="Normal"/>
    <w:rsid w:val="00D15D17"/>
    <w:pPr>
      <w:spacing w:before="100" w:beforeAutospacing="1" w:after="100" w:afterAutospacing="1"/>
    </w:pPr>
  </w:style>
  <w:style w:type="paragraph" w:customStyle="1" w:styleId="Normal3">
    <w:name w:val="Normal3"/>
    <w:basedOn w:val="Normal"/>
    <w:rsid w:val="00D15D17"/>
    <w:pPr>
      <w:spacing w:before="100" w:beforeAutospacing="1" w:after="100" w:afterAutospacing="1"/>
    </w:pPr>
  </w:style>
  <w:style w:type="paragraph" w:customStyle="1" w:styleId="tbl-hdr">
    <w:name w:val="tbl-hdr"/>
    <w:basedOn w:val="Normal"/>
    <w:rsid w:val="00D15D17"/>
    <w:pPr>
      <w:spacing w:before="100" w:beforeAutospacing="1" w:after="100" w:afterAutospacing="1"/>
    </w:pPr>
  </w:style>
  <w:style w:type="paragraph" w:customStyle="1" w:styleId="tbl-txt">
    <w:name w:val="tbl-txt"/>
    <w:basedOn w:val="Normal"/>
    <w:rsid w:val="00D15D17"/>
    <w:pPr>
      <w:spacing w:before="100" w:beforeAutospacing="1" w:after="100" w:afterAutospacing="1"/>
    </w:pPr>
  </w:style>
  <w:style w:type="character" w:customStyle="1" w:styleId="italic">
    <w:name w:val="italic"/>
    <w:basedOn w:val="Policepardfaut"/>
    <w:rsid w:val="00D15D17"/>
  </w:style>
  <w:style w:type="character" w:customStyle="1" w:styleId="super">
    <w:name w:val="super"/>
    <w:basedOn w:val="Policepardfaut"/>
    <w:rsid w:val="00D15D17"/>
  </w:style>
  <w:style w:type="paragraph" w:customStyle="1" w:styleId="ti-grseq-1">
    <w:name w:val="ti-grseq-1"/>
    <w:basedOn w:val="Normal"/>
    <w:rsid w:val="00D15D17"/>
    <w:pPr>
      <w:spacing w:before="100" w:beforeAutospacing="1" w:after="100" w:afterAutospacing="1"/>
    </w:pPr>
  </w:style>
  <w:style w:type="paragraph" w:customStyle="1" w:styleId="separator">
    <w:name w:val="separator"/>
    <w:basedOn w:val="Normal"/>
    <w:rsid w:val="00D15D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1962">
      <w:bodyDiv w:val="1"/>
      <w:marLeft w:val="0"/>
      <w:marRight w:val="0"/>
      <w:marTop w:val="0"/>
      <w:marBottom w:val="0"/>
      <w:divBdr>
        <w:top w:val="none" w:sz="0" w:space="0" w:color="auto"/>
        <w:left w:val="none" w:sz="0" w:space="0" w:color="auto"/>
        <w:bottom w:val="none" w:sz="0" w:space="0" w:color="auto"/>
        <w:right w:val="none" w:sz="0" w:space="0" w:color="auto"/>
      </w:divBdr>
    </w:div>
    <w:div w:id="153960346">
      <w:bodyDiv w:val="1"/>
      <w:marLeft w:val="0"/>
      <w:marRight w:val="0"/>
      <w:marTop w:val="0"/>
      <w:marBottom w:val="0"/>
      <w:divBdr>
        <w:top w:val="none" w:sz="0" w:space="0" w:color="auto"/>
        <w:left w:val="none" w:sz="0" w:space="0" w:color="auto"/>
        <w:bottom w:val="none" w:sz="0" w:space="0" w:color="auto"/>
        <w:right w:val="none" w:sz="0" w:space="0" w:color="auto"/>
      </w:divBdr>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2240">
      <w:bodyDiv w:val="1"/>
      <w:marLeft w:val="0"/>
      <w:marRight w:val="0"/>
      <w:marTop w:val="0"/>
      <w:marBottom w:val="0"/>
      <w:divBdr>
        <w:top w:val="none" w:sz="0" w:space="0" w:color="auto"/>
        <w:left w:val="none" w:sz="0" w:space="0" w:color="auto"/>
        <w:bottom w:val="none" w:sz="0" w:space="0" w:color="auto"/>
        <w:right w:val="none" w:sz="0" w:space="0" w:color="auto"/>
      </w:divBdr>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4961">
      <w:bodyDiv w:val="1"/>
      <w:marLeft w:val="0"/>
      <w:marRight w:val="0"/>
      <w:marTop w:val="0"/>
      <w:marBottom w:val="0"/>
      <w:divBdr>
        <w:top w:val="none" w:sz="0" w:space="0" w:color="auto"/>
        <w:left w:val="none" w:sz="0" w:space="0" w:color="auto"/>
        <w:bottom w:val="none" w:sz="0" w:space="0" w:color="auto"/>
        <w:right w:val="none" w:sz="0" w:space="0" w:color="auto"/>
      </w:divBdr>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2876">
      <w:bodyDiv w:val="1"/>
      <w:marLeft w:val="0"/>
      <w:marRight w:val="0"/>
      <w:marTop w:val="0"/>
      <w:marBottom w:val="0"/>
      <w:divBdr>
        <w:top w:val="none" w:sz="0" w:space="0" w:color="auto"/>
        <w:left w:val="none" w:sz="0" w:space="0" w:color="auto"/>
        <w:bottom w:val="none" w:sz="0" w:space="0" w:color="auto"/>
        <w:right w:val="none" w:sz="0" w:space="0" w:color="auto"/>
      </w:divBdr>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4652">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2134">
      <w:bodyDiv w:val="1"/>
      <w:marLeft w:val="0"/>
      <w:marRight w:val="0"/>
      <w:marTop w:val="0"/>
      <w:marBottom w:val="0"/>
      <w:divBdr>
        <w:top w:val="none" w:sz="0" w:space="0" w:color="auto"/>
        <w:left w:val="none" w:sz="0" w:space="0" w:color="auto"/>
        <w:bottom w:val="none" w:sz="0" w:space="0" w:color="auto"/>
        <w:right w:val="none" w:sz="0" w:space="0" w:color="auto"/>
      </w:divBdr>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4117</Words>
  <Characters>22649</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Larissa BAHLOU KOULOU</cp:lastModifiedBy>
  <cp:revision>23</cp:revision>
  <dcterms:created xsi:type="dcterms:W3CDTF">2024-01-25T11:18:00Z</dcterms:created>
  <dcterms:modified xsi:type="dcterms:W3CDTF">2024-01-31T12:10:00Z</dcterms:modified>
</cp:coreProperties>
</file>