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54D79" w14:textId="4BF7B4A3" w:rsidR="00A664D9" w:rsidRPr="004F4CF5" w:rsidRDefault="00A664D9" w:rsidP="00A664D9">
      <w:pPr>
        <w:spacing w:before="100" w:beforeAutospacing="1" w:after="100" w:afterAutospacing="1"/>
        <w:rPr>
          <w:rFonts w:ascii="Arial" w:hAnsi="Arial" w:cs="Arial"/>
          <w:b/>
          <w:sz w:val="22"/>
          <w:szCs w:val="22"/>
        </w:rPr>
      </w:pPr>
      <w:r w:rsidRPr="004F4CF5">
        <w:rPr>
          <w:rFonts w:ascii="Arial" w:hAnsi="Arial" w:cs="Arial"/>
          <w:b/>
          <w:sz w:val="22"/>
          <w:szCs w:val="22"/>
        </w:rPr>
        <w:t xml:space="preserve">Union </w:t>
      </w:r>
      <w:r w:rsidR="00246E2A" w:rsidRPr="004F4CF5">
        <w:rPr>
          <w:rFonts w:ascii="Arial" w:hAnsi="Arial" w:cs="Arial"/>
          <w:b/>
          <w:sz w:val="22"/>
          <w:szCs w:val="22"/>
        </w:rPr>
        <w:t>Monétaire</w:t>
      </w:r>
      <w:r w:rsidRPr="004F4CF5">
        <w:rPr>
          <w:rFonts w:ascii="Arial" w:hAnsi="Arial" w:cs="Arial"/>
          <w:b/>
          <w:sz w:val="22"/>
          <w:szCs w:val="22"/>
        </w:rPr>
        <w:t xml:space="preserve"> de l'Afrique Centrale </w:t>
      </w:r>
    </w:p>
    <w:p w14:paraId="5539E223" w14:textId="77777777" w:rsidR="00A664D9" w:rsidRPr="004F4CF5" w:rsidRDefault="00A664D9" w:rsidP="00A664D9">
      <w:pPr>
        <w:spacing w:before="100" w:beforeAutospacing="1" w:after="100" w:afterAutospacing="1"/>
        <w:rPr>
          <w:rFonts w:ascii="Arial" w:hAnsi="Arial" w:cs="Arial"/>
          <w:b/>
          <w:sz w:val="22"/>
          <w:szCs w:val="22"/>
        </w:rPr>
      </w:pPr>
      <w:r w:rsidRPr="004F4CF5">
        <w:rPr>
          <w:rFonts w:ascii="Arial" w:hAnsi="Arial" w:cs="Arial"/>
          <w:b/>
          <w:sz w:val="22"/>
          <w:szCs w:val="22"/>
        </w:rPr>
        <w:t xml:space="preserve">Commission de Surveillance du Marché </w:t>
      </w:r>
    </w:p>
    <w:p w14:paraId="28A547FC" w14:textId="77777777" w:rsidR="00A664D9" w:rsidRPr="004F4CF5" w:rsidRDefault="00A664D9" w:rsidP="00A664D9">
      <w:pPr>
        <w:spacing w:before="100" w:beforeAutospacing="1" w:after="100" w:afterAutospacing="1"/>
        <w:ind w:left="284"/>
        <w:rPr>
          <w:rFonts w:ascii="Arial" w:hAnsi="Arial" w:cs="Arial"/>
          <w:b/>
          <w:sz w:val="22"/>
          <w:szCs w:val="22"/>
        </w:rPr>
      </w:pPr>
      <w:r w:rsidRPr="004F4CF5">
        <w:rPr>
          <w:rFonts w:ascii="Arial" w:hAnsi="Arial" w:cs="Arial"/>
          <w:b/>
          <w:sz w:val="22"/>
          <w:szCs w:val="22"/>
        </w:rPr>
        <w:t xml:space="preserve">Financier de l'Afrique centrale </w:t>
      </w:r>
    </w:p>
    <w:p w14:paraId="67C75E45" w14:textId="77777777" w:rsidR="00A664D9" w:rsidRPr="004F4CF5" w:rsidRDefault="00A664D9" w:rsidP="00A664D9">
      <w:pPr>
        <w:spacing w:before="100" w:beforeAutospacing="1" w:after="100" w:afterAutospacing="1"/>
        <w:ind w:left="709"/>
        <w:rPr>
          <w:rFonts w:ascii="Arial" w:hAnsi="Arial" w:cs="Arial"/>
          <w:b/>
          <w:sz w:val="22"/>
          <w:szCs w:val="22"/>
        </w:rPr>
      </w:pPr>
      <w:r w:rsidRPr="004F4CF5">
        <w:rPr>
          <w:rFonts w:ascii="Arial" w:hAnsi="Arial" w:cs="Arial"/>
          <w:b/>
          <w:sz w:val="22"/>
          <w:szCs w:val="22"/>
        </w:rPr>
        <w:t xml:space="preserve">COSUMAF </w:t>
      </w:r>
    </w:p>
    <w:p w14:paraId="66786118" w14:textId="77777777" w:rsidR="00A664D9" w:rsidRPr="004F4CF5" w:rsidRDefault="00A664D9" w:rsidP="00A664D9">
      <w:pPr>
        <w:pStyle w:val="NormalWeb"/>
        <w:jc w:val="center"/>
        <w:rPr>
          <w:rFonts w:ascii="Arial" w:hAnsi="Arial" w:cs="Arial"/>
          <w:b/>
          <w:sz w:val="22"/>
          <w:szCs w:val="22"/>
        </w:rPr>
      </w:pPr>
    </w:p>
    <w:p w14:paraId="629617B9" w14:textId="77777777" w:rsidR="00683FDB" w:rsidRDefault="00683FDB" w:rsidP="00683FDB">
      <w:pPr>
        <w:pStyle w:val="NormalWeb"/>
        <w:jc w:val="center"/>
        <w:rPr>
          <w:rFonts w:ascii="Arial" w:hAnsi="Arial" w:cs="Arial"/>
          <w:b/>
          <w:sz w:val="22"/>
          <w:szCs w:val="22"/>
        </w:rPr>
      </w:pPr>
      <w:r>
        <w:rPr>
          <w:rFonts w:ascii="Arial" w:hAnsi="Arial" w:cs="Arial"/>
          <w:b/>
          <w:sz w:val="22"/>
          <w:szCs w:val="22"/>
        </w:rPr>
        <w:t xml:space="preserve">INSTRUCTION COSUMAF n° </w:t>
      </w:r>
      <w:r>
        <w:rPr>
          <w:rFonts w:ascii="Arial" w:hAnsi="Arial" w:cs="Arial"/>
          <w:b/>
          <w:sz w:val="22"/>
          <w:szCs w:val="22"/>
          <w:highlight w:val="yellow"/>
        </w:rPr>
        <w:t>XX</w:t>
      </w:r>
      <w:r>
        <w:rPr>
          <w:rFonts w:ascii="Arial" w:hAnsi="Arial" w:cs="Arial"/>
          <w:b/>
          <w:sz w:val="22"/>
          <w:szCs w:val="22"/>
        </w:rPr>
        <w:t xml:space="preserve"> du </w:t>
      </w:r>
      <w:r>
        <w:rPr>
          <w:rFonts w:ascii="Arial" w:hAnsi="Arial" w:cs="Arial"/>
          <w:b/>
          <w:sz w:val="22"/>
          <w:szCs w:val="22"/>
          <w:highlight w:val="yellow"/>
        </w:rPr>
        <w:t>XX/XX/2024</w:t>
      </w:r>
    </w:p>
    <w:p w14:paraId="16FA522A" w14:textId="77777777" w:rsidR="00A664D9" w:rsidRPr="004F4CF5" w:rsidRDefault="00A664D9" w:rsidP="00A664D9">
      <w:pPr>
        <w:pStyle w:val="NormalWeb"/>
        <w:jc w:val="center"/>
        <w:rPr>
          <w:rFonts w:ascii="Arial" w:hAnsi="Arial" w:cs="Arial"/>
          <w:b/>
          <w:sz w:val="22"/>
          <w:szCs w:val="22"/>
        </w:rPr>
      </w:pPr>
      <w:r w:rsidRPr="004F4CF5">
        <w:rPr>
          <w:rFonts w:ascii="Arial" w:hAnsi="Arial" w:cs="Arial"/>
          <w:b/>
          <w:sz w:val="22"/>
          <w:szCs w:val="22"/>
        </w:rPr>
        <w:t>RELATIVE AU MODELE TYPE D</w:t>
      </w:r>
      <w:r w:rsidR="0065620E" w:rsidRPr="004F4CF5">
        <w:rPr>
          <w:rFonts w:ascii="Arial" w:hAnsi="Arial" w:cs="Arial"/>
          <w:b/>
          <w:sz w:val="22"/>
          <w:szCs w:val="22"/>
        </w:rPr>
        <w:t>E DOCUMENT D’INFORMATION</w:t>
      </w:r>
      <w:r w:rsidRPr="004F4CF5">
        <w:rPr>
          <w:rFonts w:ascii="Arial" w:hAnsi="Arial" w:cs="Arial"/>
          <w:b/>
          <w:sz w:val="22"/>
          <w:szCs w:val="22"/>
        </w:rPr>
        <w:t xml:space="preserve"> D’UN ORGANISME DE PLACEMENT COLLECTIF IMMOBILIER (OPCI) </w:t>
      </w:r>
    </w:p>
    <w:p w14:paraId="1C2EC9B6" w14:textId="77777777" w:rsidR="00A664D9" w:rsidRPr="004F4CF5" w:rsidRDefault="00A664D9" w:rsidP="00A664D9">
      <w:pPr>
        <w:pStyle w:val="NormalWeb"/>
        <w:jc w:val="center"/>
        <w:rPr>
          <w:rFonts w:ascii="Arial" w:hAnsi="Arial" w:cs="Arial"/>
          <w:sz w:val="22"/>
          <w:szCs w:val="22"/>
        </w:rPr>
      </w:pPr>
      <w:r w:rsidRPr="004F4CF5">
        <w:rPr>
          <w:rFonts w:ascii="Arial" w:hAnsi="Arial" w:cs="Arial"/>
          <w:sz w:val="22"/>
          <w:szCs w:val="22"/>
        </w:rPr>
        <w:t>***</w:t>
      </w:r>
    </w:p>
    <w:p w14:paraId="49FD044A" w14:textId="51B34408" w:rsidR="00A664D9" w:rsidRPr="004F4CF5" w:rsidRDefault="00504E87" w:rsidP="00A664D9">
      <w:pPr>
        <w:pStyle w:val="NormalWeb"/>
        <w:jc w:val="both"/>
        <w:rPr>
          <w:rFonts w:ascii="Arial" w:hAnsi="Arial" w:cs="Arial"/>
          <w:sz w:val="22"/>
          <w:szCs w:val="22"/>
        </w:rPr>
      </w:pPr>
      <w:r w:rsidRPr="004F4CF5">
        <w:rPr>
          <w:rFonts w:ascii="Arial" w:hAnsi="Arial" w:cs="Arial"/>
          <w:sz w:val="22"/>
          <w:szCs w:val="22"/>
        </w:rPr>
        <w:t>LE COLLEGE DE LA</w:t>
      </w:r>
      <w:r w:rsidR="00A664D9" w:rsidRPr="004F4CF5">
        <w:rPr>
          <w:rFonts w:ascii="Arial" w:hAnsi="Arial" w:cs="Arial"/>
          <w:sz w:val="22"/>
          <w:szCs w:val="22"/>
        </w:rPr>
        <w:t xml:space="preserve"> COMMISSION DE SURVEILLANCE DU MARCHE FINANCIER DE L'AFRIQUE CENTRALE </w:t>
      </w:r>
    </w:p>
    <w:p w14:paraId="0A9A5511" w14:textId="1FC91D5A" w:rsidR="00A664D9" w:rsidRPr="004F4CF5" w:rsidRDefault="00504E87" w:rsidP="00A664D9">
      <w:pPr>
        <w:pStyle w:val="NormalWeb"/>
        <w:jc w:val="both"/>
        <w:rPr>
          <w:rFonts w:ascii="Arial" w:hAnsi="Arial" w:cs="Arial"/>
          <w:sz w:val="22"/>
          <w:szCs w:val="22"/>
        </w:rPr>
      </w:pPr>
      <w:r w:rsidRPr="004F4CF5">
        <w:rPr>
          <w:rFonts w:ascii="Arial" w:hAnsi="Arial" w:cs="Arial"/>
          <w:sz w:val="22"/>
          <w:szCs w:val="22"/>
        </w:rPr>
        <w:t>Vu l'Acte Additionnel n°</w:t>
      </w:r>
      <w:r w:rsidR="004F4CF5" w:rsidRPr="004F4CF5">
        <w:rPr>
          <w:rFonts w:ascii="Arial" w:hAnsi="Arial" w:cs="Arial"/>
          <w:sz w:val="22"/>
          <w:szCs w:val="22"/>
        </w:rPr>
        <w:t>03/01-CEMAC-CE-</w:t>
      </w:r>
      <w:r w:rsidR="00A664D9" w:rsidRPr="004F4CF5">
        <w:rPr>
          <w:rFonts w:ascii="Arial" w:hAnsi="Arial" w:cs="Arial"/>
          <w:sz w:val="22"/>
          <w:szCs w:val="22"/>
        </w:rPr>
        <w:t xml:space="preserve">03 du 8 décembre 2001 portant création de la Commission de Surveillance du Marché Financier de l'Afrique Centrale (COSUMAF) </w:t>
      </w:r>
      <w:r w:rsidR="00A664D9" w:rsidRPr="004F4CF5">
        <w:rPr>
          <w:rFonts w:ascii="Arial" w:hAnsi="Arial" w:cs="Arial"/>
          <w:position w:val="-4"/>
          <w:sz w:val="22"/>
          <w:szCs w:val="22"/>
        </w:rPr>
        <w:t xml:space="preserve">; </w:t>
      </w:r>
    </w:p>
    <w:p w14:paraId="5DBE19E8" w14:textId="6A329134" w:rsidR="00A664D9" w:rsidRPr="004F4CF5" w:rsidRDefault="00A664D9" w:rsidP="00A664D9">
      <w:pPr>
        <w:pStyle w:val="NormalWeb"/>
        <w:jc w:val="both"/>
        <w:rPr>
          <w:rFonts w:ascii="Arial" w:hAnsi="Arial" w:cs="Arial"/>
          <w:sz w:val="22"/>
          <w:szCs w:val="22"/>
        </w:rPr>
      </w:pPr>
      <w:r w:rsidRPr="004F4CF5">
        <w:rPr>
          <w:rFonts w:ascii="Arial" w:hAnsi="Arial" w:cs="Arial"/>
          <w:sz w:val="22"/>
          <w:szCs w:val="22"/>
        </w:rPr>
        <w:t>Vu le Règlement n</w:t>
      </w:r>
      <w:r w:rsidR="00504E87" w:rsidRPr="004F4CF5">
        <w:rPr>
          <w:rFonts w:ascii="Arial" w:hAnsi="Arial" w:cs="Arial"/>
          <w:sz w:val="22"/>
          <w:szCs w:val="22"/>
        </w:rPr>
        <w:t>°</w:t>
      </w:r>
      <w:r w:rsidR="00246E2A" w:rsidRPr="004F4CF5">
        <w:rPr>
          <w:rFonts w:ascii="Arial" w:hAnsi="Arial" w:cs="Arial"/>
          <w:sz w:val="22"/>
          <w:szCs w:val="22"/>
        </w:rPr>
        <w:t xml:space="preserve">01/22/CEMAC/UMAC/CM/COSUMAF du 21 juillet 2022 </w:t>
      </w:r>
      <w:r w:rsidR="004F4CF5" w:rsidRPr="004F4CF5">
        <w:rPr>
          <w:rFonts w:ascii="Arial" w:hAnsi="Arial" w:cs="Arial"/>
          <w:sz w:val="22"/>
          <w:szCs w:val="22"/>
        </w:rPr>
        <w:t xml:space="preserve">portant Organisation </w:t>
      </w:r>
      <w:r w:rsidR="00246E2A" w:rsidRPr="004F4CF5">
        <w:rPr>
          <w:rFonts w:ascii="Arial" w:hAnsi="Arial" w:cs="Arial"/>
          <w:sz w:val="22"/>
          <w:szCs w:val="22"/>
        </w:rPr>
        <w:t xml:space="preserve">et </w:t>
      </w:r>
      <w:r w:rsidRPr="004F4CF5">
        <w:rPr>
          <w:rFonts w:ascii="Arial" w:hAnsi="Arial" w:cs="Arial"/>
          <w:sz w:val="22"/>
          <w:szCs w:val="22"/>
        </w:rPr>
        <w:t xml:space="preserve">Fonctionnement du Marché Financier de l'Afrique Centrale, </w:t>
      </w:r>
    </w:p>
    <w:p w14:paraId="60F4C3FA" w14:textId="6065CDDB" w:rsidR="00A664D9" w:rsidRPr="004F4CF5" w:rsidRDefault="00A664D9" w:rsidP="00A664D9">
      <w:pPr>
        <w:pStyle w:val="NormalWeb"/>
        <w:jc w:val="both"/>
        <w:rPr>
          <w:rFonts w:ascii="Arial" w:hAnsi="Arial" w:cs="Arial"/>
          <w:sz w:val="22"/>
          <w:szCs w:val="22"/>
        </w:rPr>
      </w:pPr>
      <w:r w:rsidRPr="004F4CF5">
        <w:rPr>
          <w:rFonts w:ascii="Arial" w:hAnsi="Arial" w:cs="Arial"/>
          <w:sz w:val="22"/>
          <w:szCs w:val="22"/>
        </w:rPr>
        <w:t xml:space="preserve">Vu le </w:t>
      </w:r>
      <w:r w:rsidR="00504E87" w:rsidRPr="004F4CF5">
        <w:rPr>
          <w:rFonts w:ascii="Arial" w:hAnsi="Arial" w:cs="Arial"/>
          <w:sz w:val="22"/>
          <w:szCs w:val="22"/>
        </w:rPr>
        <w:t>Règlement</w:t>
      </w:r>
      <w:r w:rsidRPr="004F4CF5">
        <w:rPr>
          <w:rFonts w:ascii="Arial" w:hAnsi="Arial" w:cs="Arial"/>
          <w:sz w:val="22"/>
          <w:szCs w:val="22"/>
        </w:rPr>
        <w:t xml:space="preserve"> </w:t>
      </w:r>
      <w:r w:rsidR="00504E87" w:rsidRPr="004F4CF5">
        <w:rPr>
          <w:rFonts w:ascii="Arial" w:hAnsi="Arial" w:cs="Arial"/>
          <w:sz w:val="22"/>
          <w:szCs w:val="22"/>
        </w:rPr>
        <w:t>Général</w:t>
      </w:r>
      <w:r w:rsidRPr="004F4CF5">
        <w:rPr>
          <w:rFonts w:ascii="Arial" w:hAnsi="Arial" w:cs="Arial"/>
          <w:sz w:val="22"/>
          <w:szCs w:val="22"/>
        </w:rPr>
        <w:t xml:space="preserve"> de la Commission de Surveillance du Marché F</w:t>
      </w:r>
      <w:r w:rsidR="00504E87" w:rsidRPr="004F4CF5">
        <w:rPr>
          <w:rFonts w:ascii="Arial" w:hAnsi="Arial" w:cs="Arial"/>
          <w:sz w:val="22"/>
          <w:szCs w:val="22"/>
        </w:rPr>
        <w:t>inancier de l'Afrique Centrale ;</w:t>
      </w:r>
    </w:p>
    <w:p w14:paraId="290F40D6" w14:textId="77777777" w:rsidR="00A664D9" w:rsidRPr="004F4CF5" w:rsidRDefault="00A664D9" w:rsidP="00A664D9">
      <w:pPr>
        <w:pStyle w:val="NormalWeb"/>
        <w:jc w:val="both"/>
        <w:rPr>
          <w:rFonts w:ascii="Arial" w:hAnsi="Arial" w:cs="Arial"/>
          <w:sz w:val="22"/>
          <w:szCs w:val="22"/>
        </w:rPr>
      </w:pPr>
      <w:r w:rsidRPr="004F4CF5">
        <w:rPr>
          <w:rFonts w:ascii="Arial" w:hAnsi="Arial" w:cs="Arial"/>
          <w:sz w:val="22"/>
          <w:szCs w:val="22"/>
        </w:rPr>
        <w:t xml:space="preserve">En sa séance du </w:t>
      </w:r>
      <w:r w:rsidRPr="004F4CF5">
        <w:rPr>
          <w:rFonts w:ascii="Arial" w:hAnsi="Arial" w:cs="Arial"/>
          <w:sz w:val="22"/>
          <w:szCs w:val="22"/>
          <w:highlight w:val="yellow"/>
        </w:rPr>
        <w:t>X</w:t>
      </w:r>
      <w:r w:rsidR="00246E2A" w:rsidRPr="004F4CF5">
        <w:rPr>
          <w:rFonts w:ascii="Arial" w:hAnsi="Arial" w:cs="Arial"/>
          <w:sz w:val="22"/>
          <w:szCs w:val="22"/>
          <w:highlight w:val="yellow"/>
        </w:rPr>
        <w:t>XXXX</w:t>
      </w:r>
      <w:r w:rsidRPr="004F4CF5">
        <w:rPr>
          <w:rFonts w:ascii="Arial" w:hAnsi="Arial" w:cs="Arial"/>
          <w:sz w:val="22"/>
          <w:szCs w:val="22"/>
        </w:rPr>
        <w:t> ;</w:t>
      </w:r>
    </w:p>
    <w:p w14:paraId="3C972A18" w14:textId="77777777" w:rsidR="00504E87" w:rsidRPr="004F4CF5" w:rsidRDefault="00504E87" w:rsidP="00A664D9">
      <w:pPr>
        <w:pStyle w:val="NormalWeb"/>
        <w:jc w:val="both"/>
        <w:rPr>
          <w:rFonts w:ascii="Arial" w:hAnsi="Arial" w:cs="Arial"/>
          <w:sz w:val="22"/>
          <w:szCs w:val="22"/>
        </w:rPr>
      </w:pPr>
    </w:p>
    <w:p w14:paraId="102224DF" w14:textId="77777777" w:rsidR="004F4CF5" w:rsidRPr="004F4CF5" w:rsidRDefault="004F4CF5" w:rsidP="00A664D9">
      <w:pPr>
        <w:pStyle w:val="NormalWeb"/>
        <w:jc w:val="both"/>
        <w:rPr>
          <w:rFonts w:ascii="Arial" w:hAnsi="Arial" w:cs="Arial"/>
          <w:sz w:val="22"/>
          <w:szCs w:val="22"/>
        </w:rPr>
      </w:pPr>
    </w:p>
    <w:p w14:paraId="4937249D" w14:textId="77777777" w:rsidR="00A664D9" w:rsidRPr="004F4CF5" w:rsidRDefault="00A664D9" w:rsidP="00A664D9">
      <w:pPr>
        <w:pStyle w:val="NormalWeb"/>
        <w:jc w:val="center"/>
        <w:rPr>
          <w:rFonts w:ascii="Arial" w:hAnsi="Arial" w:cs="Arial"/>
          <w:sz w:val="22"/>
          <w:szCs w:val="22"/>
        </w:rPr>
      </w:pPr>
      <w:r w:rsidRPr="004F4CF5">
        <w:rPr>
          <w:rFonts w:ascii="Arial" w:hAnsi="Arial" w:cs="Arial"/>
          <w:sz w:val="22"/>
          <w:szCs w:val="22"/>
        </w:rPr>
        <w:t>ADOPTE L'INSTRUCTION DONT LA TENEUR SUIT :</w:t>
      </w:r>
    </w:p>
    <w:p w14:paraId="638470D4" w14:textId="77777777" w:rsidR="00A664D9" w:rsidRPr="004F4CF5" w:rsidRDefault="00A664D9">
      <w:pPr>
        <w:rPr>
          <w:rFonts w:ascii="Arial" w:hAnsi="Arial" w:cs="Arial"/>
          <w:sz w:val="22"/>
          <w:szCs w:val="22"/>
        </w:rPr>
      </w:pPr>
      <w:r w:rsidRPr="004F4CF5">
        <w:rPr>
          <w:rFonts w:ascii="Arial" w:hAnsi="Arial" w:cs="Arial"/>
          <w:sz w:val="22"/>
          <w:szCs w:val="22"/>
        </w:rPr>
        <w:br w:type="page"/>
      </w:r>
    </w:p>
    <w:p w14:paraId="6AE94E07" w14:textId="77777777" w:rsidR="00C3003A" w:rsidRPr="004F4CF5" w:rsidRDefault="00C3003A" w:rsidP="00C3003A">
      <w:pPr>
        <w:pStyle w:val="NormalWeb"/>
        <w:shd w:val="clear" w:color="auto" w:fill="FFFFFF" w:themeFill="background1"/>
        <w:jc w:val="both"/>
        <w:rPr>
          <w:rFonts w:ascii="Arial" w:hAnsi="Arial" w:cs="Arial"/>
          <w:b/>
          <w:bCs/>
          <w:sz w:val="22"/>
          <w:szCs w:val="22"/>
        </w:rPr>
      </w:pPr>
      <w:r w:rsidRPr="004F4CF5">
        <w:rPr>
          <w:rFonts w:ascii="Arial" w:hAnsi="Arial" w:cs="Arial"/>
          <w:b/>
          <w:bCs/>
          <w:sz w:val="22"/>
          <w:szCs w:val="22"/>
        </w:rPr>
        <w:lastRenderedPageBreak/>
        <w:t xml:space="preserve">ARTICLE PREMIER </w:t>
      </w:r>
    </w:p>
    <w:p w14:paraId="13635AA8" w14:textId="318E3090" w:rsidR="00C3003A" w:rsidRPr="004F4CF5" w:rsidRDefault="00504E87" w:rsidP="00C3003A">
      <w:pPr>
        <w:pStyle w:val="NormalWeb"/>
        <w:jc w:val="both"/>
        <w:rPr>
          <w:rFonts w:ascii="Arial" w:hAnsi="Arial" w:cs="Arial"/>
          <w:sz w:val="22"/>
          <w:szCs w:val="22"/>
        </w:rPr>
      </w:pPr>
      <w:r w:rsidRPr="004F4CF5">
        <w:rPr>
          <w:rFonts w:ascii="Arial" w:hAnsi="Arial" w:cs="Arial"/>
          <w:sz w:val="22"/>
          <w:szCs w:val="22"/>
        </w:rPr>
        <w:t>La présente</w:t>
      </w:r>
      <w:r w:rsidR="00C3003A" w:rsidRPr="004F4CF5">
        <w:rPr>
          <w:rFonts w:ascii="Arial" w:hAnsi="Arial" w:cs="Arial"/>
          <w:sz w:val="22"/>
          <w:szCs w:val="22"/>
        </w:rPr>
        <w:t xml:space="preserve"> instruction </w:t>
      </w:r>
      <w:r w:rsidR="004308AE" w:rsidRPr="004F4CF5">
        <w:rPr>
          <w:rFonts w:ascii="Arial" w:hAnsi="Arial" w:cs="Arial"/>
          <w:sz w:val="22"/>
          <w:szCs w:val="22"/>
        </w:rPr>
        <w:t xml:space="preserve">est </w:t>
      </w:r>
      <w:r w:rsidR="00BE4987">
        <w:rPr>
          <w:rFonts w:ascii="Arial" w:hAnsi="Arial" w:cs="Arial"/>
          <w:sz w:val="22"/>
          <w:szCs w:val="22"/>
        </w:rPr>
        <w:t>établie</w:t>
      </w:r>
      <w:r w:rsidR="004308AE" w:rsidRPr="004F4CF5">
        <w:rPr>
          <w:rFonts w:ascii="Arial" w:hAnsi="Arial" w:cs="Arial"/>
          <w:sz w:val="22"/>
          <w:szCs w:val="22"/>
        </w:rPr>
        <w:t xml:space="preserve"> en application des dispositions de l’article 456 du </w:t>
      </w:r>
      <w:r w:rsidR="00DD71FE" w:rsidRPr="004F4CF5">
        <w:rPr>
          <w:rFonts w:ascii="Arial" w:hAnsi="Arial" w:cs="Arial"/>
          <w:sz w:val="22"/>
          <w:szCs w:val="22"/>
        </w:rPr>
        <w:t>R</w:t>
      </w:r>
      <w:r w:rsidR="00C3003A" w:rsidRPr="004F4CF5">
        <w:rPr>
          <w:rFonts w:ascii="Arial" w:hAnsi="Arial" w:cs="Arial"/>
          <w:sz w:val="22"/>
          <w:szCs w:val="22"/>
        </w:rPr>
        <w:t xml:space="preserve">èglement </w:t>
      </w:r>
      <w:r w:rsidR="00DD71FE" w:rsidRPr="004F4CF5">
        <w:rPr>
          <w:rFonts w:ascii="Arial" w:hAnsi="Arial" w:cs="Arial"/>
          <w:sz w:val="22"/>
          <w:szCs w:val="22"/>
        </w:rPr>
        <w:t>G</w:t>
      </w:r>
      <w:r w:rsidR="00C3003A" w:rsidRPr="004F4CF5">
        <w:rPr>
          <w:rFonts w:ascii="Arial" w:hAnsi="Arial" w:cs="Arial"/>
          <w:sz w:val="22"/>
          <w:szCs w:val="22"/>
        </w:rPr>
        <w:t>énéral</w:t>
      </w:r>
      <w:r w:rsidR="007E12FD" w:rsidRPr="004F4CF5">
        <w:rPr>
          <w:rFonts w:ascii="Arial" w:hAnsi="Arial" w:cs="Arial"/>
          <w:sz w:val="22"/>
          <w:szCs w:val="22"/>
        </w:rPr>
        <w:t xml:space="preserve"> de la COSUMAF</w:t>
      </w:r>
      <w:r w:rsidR="004308AE" w:rsidRPr="004F4CF5">
        <w:rPr>
          <w:rFonts w:ascii="Arial" w:hAnsi="Arial" w:cs="Arial"/>
          <w:sz w:val="22"/>
          <w:szCs w:val="22"/>
        </w:rPr>
        <w:t>.</w:t>
      </w:r>
      <w:r w:rsidR="00C3003A" w:rsidRPr="004F4CF5">
        <w:rPr>
          <w:rFonts w:ascii="Arial" w:hAnsi="Arial" w:cs="Arial"/>
          <w:sz w:val="22"/>
          <w:szCs w:val="22"/>
        </w:rPr>
        <w:t xml:space="preserve"> </w:t>
      </w:r>
    </w:p>
    <w:p w14:paraId="65999919" w14:textId="77777777" w:rsidR="00C3003A" w:rsidRPr="004F4CF5" w:rsidRDefault="00C3003A" w:rsidP="00C3003A">
      <w:pPr>
        <w:pStyle w:val="NormalWeb"/>
        <w:jc w:val="both"/>
        <w:rPr>
          <w:rFonts w:ascii="Arial" w:hAnsi="Arial" w:cs="Arial"/>
          <w:sz w:val="22"/>
          <w:szCs w:val="22"/>
        </w:rPr>
      </w:pPr>
      <w:r w:rsidRPr="004F4CF5">
        <w:rPr>
          <w:rFonts w:ascii="Arial" w:hAnsi="Arial" w:cs="Arial"/>
          <w:b/>
          <w:bCs/>
          <w:sz w:val="22"/>
          <w:szCs w:val="22"/>
        </w:rPr>
        <w:t xml:space="preserve">ARTICLE 2 – </w:t>
      </w:r>
      <w:r w:rsidR="0065620E" w:rsidRPr="004F4CF5">
        <w:rPr>
          <w:rFonts w:ascii="Arial" w:hAnsi="Arial" w:cs="Arial"/>
          <w:b/>
          <w:bCs/>
          <w:sz w:val="22"/>
          <w:szCs w:val="22"/>
        </w:rPr>
        <w:t xml:space="preserve">FORMAT TYPE DU DOCUMENT D’INFORMATION </w:t>
      </w:r>
      <w:r w:rsidRPr="004F4CF5">
        <w:rPr>
          <w:rFonts w:ascii="Arial" w:hAnsi="Arial" w:cs="Arial"/>
          <w:b/>
          <w:bCs/>
          <w:sz w:val="22"/>
          <w:szCs w:val="22"/>
        </w:rPr>
        <w:t>D’UN OPCI</w:t>
      </w:r>
    </w:p>
    <w:p w14:paraId="50934B84" w14:textId="77777777" w:rsidR="007E12FD" w:rsidRPr="004F4CF5" w:rsidRDefault="00C3003A" w:rsidP="00C3003A">
      <w:pPr>
        <w:pStyle w:val="Paragraphedeliste"/>
        <w:numPr>
          <w:ilvl w:val="0"/>
          <w:numId w:val="18"/>
        </w:numPr>
        <w:spacing w:before="100" w:beforeAutospacing="1" w:after="100" w:afterAutospacing="1"/>
        <w:jc w:val="both"/>
        <w:rPr>
          <w:rFonts w:ascii="Arial" w:hAnsi="Arial" w:cs="Arial"/>
          <w:sz w:val="22"/>
          <w:szCs w:val="22"/>
        </w:rPr>
      </w:pPr>
      <w:r w:rsidRPr="004F4CF5">
        <w:rPr>
          <w:rFonts w:ascii="Arial" w:hAnsi="Arial" w:cs="Arial"/>
          <w:sz w:val="22"/>
          <w:szCs w:val="22"/>
        </w:rPr>
        <w:t xml:space="preserve">Le </w:t>
      </w:r>
      <w:r w:rsidR="0065620E" w:rsidRPr="004F4CF5">
        <w:rPr>
          <w:rFonts w:ascii="Arial" w:hAnsi="Arial" w:cs="Arial"/>
          <w:sz w:val="22"/>
          <w:szCs w:val="22"/>
        </w:rPr>
        <w:t>document d’information</w:t>
      </w:r>
      <w:r w:rsidRPr="004F4CF5">
        <w:rPr>
          <w:rFonts w:ascii="Arial" w:hAnsi="Arial" w:cs="Arial"/>
          <w:sz w:val="22"/>
          <w:szCs w:val="22"/>
        </w:rPr>
        <w:t xml:space="preserve"> d’un OPCI comporte les rubriques mentionnées en Annexe 1. </w:t>
      </w:r>
    </w:p>
    <w:p w14:paraId="3DC4F553" w14:textId="77777777" w:rsidR="007E12FD" w:rsidRPr="004F4CF5" w:rsidRDefault="007E12FD" w:rsidP="007E12FD">
      <w:pPr>
        <w:pStyle w:val="Paragraphedeliste"/>
        <w:spacing w:before="100" w:beforeAutospacing="1" w:after="100" w:afterAutospacing="1"/>
        <w:jc w:val="both"/>
        <w:rPr>
          <w:rFonts w:ascii="Arial" w:hAnsi="Arial" w:cs="Arial"/>
          <w:sz w:val="22"/>
          <w:szCs w:val="22"/>
        </w:rPr>
      </w:pPr>
    </w:p>
    <w:p w14:paraId="480439FC" w14:textId="77777777" w:rsidR="00C3003A" w:rsidRPr="004F4CF5" w:rsidRDefault="00C3003A" w:rsidP="00C3003A">
      <w:pPr>
        <w:pStyle w:val="Paragraphedeliste"/>
        <w:numPr>
          <w:ilvl w:val="0"/>
          <w:numId w:val="18"/>
        </w:numPr>
        <w:spacing w:before="100" w:beforeAutospacing="1" w:after="100" w:afterAutospacing="1"/>
        <w:jc w:val="both"/>
        <w:rPr>
          <w:rFonts w:ascii="Arial" w:hAnsi="Arial" w:cs="Arial"/>
          <w:sz w:val="22"/>
          <w:szCs w:val="22"/>
        </w:rPr>
      </w:pPr>
      <w:r w:rsidRPr="004F4CF5">
        <w:rPr>
          <w:rFonts w:ascii="Arial" w:hAnsi="Arial" w:cs="Arial"/>
          <w:sz w:val="22"/>
          <w:szCs w:val="22"/>
        </w:rPr>
        <w:t>Les rubriques</w:t>
      </w:r>
      <w:r w:rsidR="0065620E" w:rsidRPr="004F4CF5">
        <w:rPr>
          <w:rFonts w:ascii="Arial" w:hAnsi="Arial" w:cs="Arial"/>
          <w:sz w:val="22"/>
          <w:szCs w:val="22"/>
        </w:rPr>
        <w:t xml:space="preserve"> du document d’information d’un OPCI</w:t>
      </w:r>
      <w:r w:rsidRPr="004F4CF5">
        <w:rPr>
          <w:rFonts w:ascii="Arial" w:hAnsi="Arial" w:cs="Arial"/>
          <w:sz w:val="22"/>
          <w:szCs w:val="22"/>
        </w:rPr>
        <w:t xml:space="preserve"> sont mentionnées dans le même ordre que celle de l’Annexe 1.</w:t>
      </w:r>
    </w:p>
    <w:p w14:paraId="124E8DB3" w14:textId="77777777" w:rsidR="004F4CF5" w:rsidRPr="004F4CF5" w:rsidRDefault="004F4CF5" w:rsidP="004F4CF5">
      <w:pPr>
        <w:pStyle w:val="Paragraphedeliste"/>
        <w:rPr>
          <w:rFonts w:ascii="Arial" w:hAnsi="Arial" w:cs="Arial"/>
          <w:sz w:val="22"/>
          <w:szCs w:val="22"/>
        </w:rPr>
      </w:pPr>
    </w:p>
    <w:p w14:paraId="60043349" w14:textId="721A5888" w:rsidR="00205082" w:rsidRDefault="00205082" w:rsidP="00205082">
      <w:pPr>
        <w:spacing w:before="100" w:beforeAutospacing="1" w:after="100" w:afterAutospacing="1"/>
        <w:jc w:val="both"/>
        <w:rPr>
          <w:rFonts w:ascii="Arial" w:hAnsi="Arial" w:cs="Arial"/>
          <w:b/>
          <w:sz w:val="22"/>
          <w:szCs w:val="22"/>
        </w:rPr>
      </w:pPr>
      <w:r>
        <w:rPr>
          <w:rFonts w:ascii="Arial" w:hAnsi="Arial" w:cs="Arial"/>
          <w:b/>
          <w:sz w:val="22"/>
          <w:szCs w:val="22"/>
        </w:rPr>
        <w:t>ARTICLE 3- ENTREE EN VIGUEUR</w:t>
      </w:r>
    </w:p>
    <w:p w14:paraId="1C30655E" w14:textId="77777777" w:rsidR="00205082" w:rsidRDefault="00205082" w:rsidP="00205082">
      <w:pPr>
        <w:spacing w:before="100" w:beforeAutospacing="1" w:after="100" w:afterAutospacing="1"/>
        <w:jc w:val="both"/>
        <w:rPr>
          <w:rFonts w:ascii="Arial" w:hAnsi="Arial" w:cs="Arial"/>
          <w:sz w:val="22"/>
          <w:szCs w:val="22"/>
        </w:rPr>
      </w:pPr>
      <w:r>
        <w:rPr>
          <w:rFonts w:ascii="Arial" w:hAnsi="Arial" w:cs="Arial"/>
          <w:sz w:val="22"/>
          <w:szCs w:val="22"/>
        </w:rPr>
        <w:t>La présente instruction, qui entre en vigueur à la date de sa signature, sera publiée sur le site internet de la COSUMAF ou sur tout autre support précisé par la COSUMAF.</w:t>
      </w:r>
    </w:p>
    <w:p w14:paraId="10C8CBD8" w14:textId="77777777" w:rsidR="004F4CF5" w:rsidRDefault="004F4CF5" w:rsidP="004F4CF5">
      <w:pPr>
        <w:spacing w:before="100" w:beforeAutospacing="1" w:after="100" w:afterAutospacing="1"/>
        <w:ind w:left="3544"/>
        <w:jc w:val="center"/>
        <w:rPr>
          <w:rFonts w:ascii="Arial" w:hAnsi="Arial" w:cs="Arial"/>
          <w:b/>
          <w:sz w:val="22"/>
          <w:szCs w:val="22"/>
        </w:rPr>
      </w:pPr>
    </w:p>
    <w:p w14:paraId="227242BA" w14:textId="77777777" w:rsidR="00613565" w:rsidRPr="004F4CF5" w:rsidRDefault="00613565" w:rsidP="004F4CF5">
      <w:pPr>
        <w:spacing w:before="100" w:beforeAutospacing="1" w:after="100" w:afterAutospacing="1"/>
        <w:ind w:left="3544"/>
        <w:jc w:val="center"/>
        <w:rPr>
          <w:rFonts w:ascii="Arial" w:hAnsi="Arial" w:cs="Arial"/>
          <w:b/>
          <w:sz w:val="22"/>
          <w:szCs w:val="22"/>
        </w:rPr>
      </w:pPr>
    </w:p>
    <w:p w14:paraId="197FCE96" w14:textId="77BEF92D" w:rsidR="004F4CF5" w:rsidRDefault="004F4CF5" w:rsidP="00810AD7">
      <w:pPr>
        <w:spacing w:before="100" w:beforeAutospacing="1" w:after="100" w:afterAutospacing="1"/>
        <w:ind w:left="3544"/>
        <w:jc w:val="center"/>
        <w:rPr>
          <w:rFonts w:ascii="Arial" w:hAnsi="Arial" w:cs="Arial"/>
          <w:b/>
          <w:sz w:val="22"/>
          <w:szCs w:val="22"/>
        </w:rPr>
      </w:pPr>
      <w:r w:rsidRPr="004F4CF5">
        <w:rPr>
          <w:rFonts w:ascii="Arial" w:hAnsi="Arial" w:cs="Arial"/>
          <w:b/>
          <w:sz w:val="22"/>
          <w:szCs w:val="22"/>
        </w:rPr>
        <w:t xml:space="preserve">Fait à Libreville, le </w:t>
      </w:r>
      <w:r w:rsidRPr="004F4CF5">
        <w:rPr>
          <w:rFonts w:ascii="Arial" w:hAnsi="Arial" w:cs="Arial"/>
          <w:b/>
          <w:sz w:val="22"/>
          <w:szCs w:val="22"/>
          <w:highlight w:val="yellow"/>
        </w:rPr>
        <w:t>XX XX 2024</w:t>
      </w:r>
    </w:p>
    <w:p w14:paraId="1476B0DD" w14:textId="77777777" w:rsidR="00613565" w:rsidRDefault="00613565" w:rsidP="004F4CF5">
      <w:pPr>
        <w:spacing w:before="100" w:beforeAutospacing="1" w:after="100" w:afterAutospacing="1"/>
        <w:ind w:left="3544"/>
        <w:jc w:val="center"/>
        <w:rPr>
          <w:rFonts w:ascii="Arial" w:hAnsi="Arial" w:cs="Arial"/>
          <w:b/>
          <w:sz w:val="22"/>
          <w:szCs w:val="22"/>
        </w:rPr>
      </w:pPr>
    </w:p>
    <w:p w14:paraId="52653C58" w14:textId="77777777" w:rsidR="004F4CF5" w:rsidRPr="004F4CF5" w:rsidRDefault="004F4CF5" w:rsidP="004F4CF5">
      <w:pPr>
        <w:spacing w:before="100" w:beforeAutospacing="1" w:after="100" w:afterAutospacing="1"/>
        <w:ind w:left="3544"/>
        <w:jc w:val="center"/>
        <w:rPr>
          <w:rFonts w:ascii="Arial" w:hAnsi="Arial" w:cs="Arial"/>
          <w:b/>
          <w:sz w:val="22"/>
          <w:szCs w:val="22"/>
        </w:rPr>
      </w:pPr>
      <w:r w:rsidRPr="004F4CF5">
        <w:rPr>
          <w:rFonts w:ascii="Arial" w:hAnsi="Arial" w:cs="Arial"/>
          <w:b/>
          <w:sz w:val="22"/>
          <w:szCs w:val="22"/>
        </w:rPr>
        <w:t xml:space="preserve">Pour la COSUMAF, </w:t>
      </w:r>
    </w:p>
    <w:p w14:paraId="08ED4A78" w14:textId="77777777" w:rsidR="004F4CF5" w:rsidRPr="004F4CF5" w:rsidRDefault="004F4CF5" w:rsidP="004F4CF5">
      <w:pPr>
        <w:pStyle w:val="Paragraphedeliste"/>
        <w:spacing w:before="100" w:beforeAutospacing="1" w:after="100" w:afterAutospacing="1"/>
        <w:jc w:val="both"/>
        <w:rPr>
          <w:rFonts w:ascii="Arial" w:hAnsi="Arial" w:cs="Arial"/>
          <w:sz w:val="22"/>
          <w:szCs w:val="22"/>
        </w:rPr>
      </w:pPr>
    </w:p>
    <w:p w14:paraId="6531414D" w14:textId="77777777" w:rsidR="00C3003A" w:rsidRPr="004F4CF5" w:rsidRDefault="00C3003A" w:rsidP="00C3003A">
      <w:pPr>
        <w:spacing w:before="100" w:beforeAutospacing="1" w:after="100" w:afterAutospacing="1"/>
        <w:jc w:val="both"/>
        <w:rPr>
          <w:rFonts w:ascii="Arial" w:hAnsi="Arial" w:cs="Arial"/>
          <w:sz w:val="22"/>
          <w:szCs w:val="22"/>
        </w:rPr>
      </w:pPr>
    </w:p>
    <w:p w14:paraId="2DA30F20" w14:textId="77777777" w:rsidR="00C3003A" w:rsidRPr="004F4CF5" w:rsidRDefault="00C3003A" w:rsidP="00C3003A">
      <w:pPr>
        <w:spacing w:before="100" w:beforeAutospacing="1" w:after="100" w:afterAutospacing="1"/>
        <w:jc w:val="both"/>
        <w:rPr>
          <w:rFonts w:ascii="Arial" w:hAnsi="Arial" w:cs="Arial"/>
          <w:sz w:val="22"/>
          <w:szCs w:val="22"/>
        </w:rPr>
      </w:pPr>
      <w:r w:rsidRPr="004F4CF5">
        <w:rPr>
          <w:rFonts w:ascii="Arial" w:hAnsi="Arial" w:cs="Arial"/>
          <w:sz w:val="22"/>
          <w:szCs w:val="22"/>
        </w:rPr>
        <w:br w:type="page"/>
      </w:r>
    </w:p>
    <w:p w14:paraId="53DDDCA1" w14:textId="77777777" w:rsidR="004F4CF5" w:rsidRPr="004F4CF5" w:rsidRDefault="004F4CF5" w:rsidP="00C3003A">
      <w:pPr>
        <w:spacing w:before="100" w:beforeAutospacing="1" w:after="100" w:afterAutospacing="1"/>
        <w:jc w:val="both"/>
        <w:rPr>
          <w:rFonts w:ascii="Arial" w:hAnsi="Arial" w:cs="Arial"/>
          <w:sz w:val="22"/>
          <w:szCs w:val="22"/>
        </w:rPr>
      </w:pPr>
    </w:p>
    <w:p w14:paraId="63880488" w14:textId="77777777" w:rsidR="00C3003A" w:rsidRPr="004F4CF5" w:rsidRDefault="00C3003A" w:rsidP="00504E87">
      <w:pPr>
        <w:spacing w:before="100" w:beforeAutospacing="1" w:after="100" w:afterAutospacing="1"/>
        <w:jc w:val="center"/>
        <w:rPr>
          <w:rFonts w:ascii="Arial" w:hAnsi="Arial" w:cs="Arial"/>
          <w:b/>
          <w:sz w:val="22"/>
          <w:szCs w:val="22"/>
        </w:rPr>
      </w:pPr>
      <w:r w:rsidRPr="004F4CF5">
        <w:rPr>
          <w:rFonts w:ascii="Arial" w:hAnsi="Arial" w:cs="Arial"/>
          <w:b/>
          <w:sz w:val="22"/>
          <w:szCs w:val="22"/>
        </w:rPr>
        <w:t>ANNEXE 1</w:t>
      </w:r>
    </w:p>
    <w:p w14:paraId="7422C14D" w14:textId="4CD8F135" w:rsidR="00C3003A" w:rsidRPr="004F4CF5" w:rsidRDefault="0065620E" w:rsidP="00504E87">
      <w:pPr>
        <w:pStyle w:val="AMFTEXTECOURANT"/>
        <w:rPr>
          <w:rFonts w:ascii="Arial" w:hAnsi="Arial"/>
          <w:sz w:val="22"/>
        </w:rPr>
      </w:pPr>
      <w:r w:rsidRPr="004F4CF5">
        <w:rPr>
          <w:rFonts w:ascii="Arial" w:hAnsi="Arial"/>
          <w:sz w:val="22"/>
        </w:rPr>
        <w:t>DOCUMENT D’INFORMATION DE L’OPCI …</w:t>
      </w:r>
      <w:r w:rsidR="004C534E" w:rsidRPr="004F4CF5">
        <w:rPr>
          <w:rFonts w:ascii="Arial" w:hAnsi="Arial"/>
          <w:sz w:val="22"/>
        </w:rPr>
        <w:t xml:space="preserve">…………………………… </w:t>
      </w:r>
      <w:r w:rsidRPr="004F4CF5">
        <w:rPr>
          <w:rFonts w:ascii="Arial" w:hAnsi="Arial"/>
          <w:sz w:val="22"/>
        </w:rPr>
        <w:t>(</w:t>
      </w:r>
      <w:r w:rsidR="00504E87" w:rsidRPr="004F4CF5">
        <w:rPr>
          <w:rFonts w:ascii="Arial" w:hAnsi="Arial"/>
          <w:sz w:val="22"/>
        </w:rPr>
        <w:t>Ajouter</w:t>
      </w:r>
      <w:r w:rsidRPr="004F4CF5">
        <w:rPr>
          <w:rFonts w:ascii="Arial" w:hAnsi="Arial"/>
          <w:sz w:val="22"/>
        </w:rPr>
        <w:t xml:space="preserve"> le nom de l’OPCI)</w:t>
      </w:r>
    </w:p>
    <w:p w14:paraId="745E9663" w14:textId="77777777" w:rsidR="0065620E" w:rsidRPr="004F4CF5" w:rsidRDefault="0065620E" w:rsidP="00171E45">
      <w:pPr>
        <w:pStyle w:val="AMFTEXTECOURANT"/>
        <w:rPr>
          <w:rFonts w:ascii="Arial" w:hAnsi="Arial"/>
          <w:sz w:val="22"/>
        </w:rPr>
      </w:pPr>
    </w:p>
    <w:p w14:paraId="6BBC5810" w14:textId="77777777" w:rsidR="00A664D9" w:rsidRPr="004F4CF5" w:rsidRDefault="00A664D9" w:rsidP="00171E45">
      <w:pPr>
        <w:pStyle w:val="AMFTEXTECOURANT"/>
        <w:rPr>
          <w:rFonts w:ascii="Arial" w:hAnsi="Arial"/>
          <w:sz w:val="22"/>
        </w:rPr>
      </w:pPr>
      <w:r w:rsidRPr="004F4CF5">
        <w:rPr>
          <w:rFonts w:ascii="Arial" w:hAnsi="Arial"/>
          <w:sz w:val="22"/>
        </w:rPr>
        <w:t>En tête, l'avertissement obligatoire suivant :</w:t>
      </w:r>
    </w:p>
    <w:p w14:paraId="338B40A5" w14:textId="77777777" w:rsidR="00C3003A" w:rsidRPr="004F4CF5" w:rsidRDefault="00C3003A" w:rsidP="00171E45">
      <w:pPr>
        <w:pStyle w:val="AMFTEXTECOURANT"/>
        <w:rPr>
          <w:rFonts w:ascii="Arial" w:hAnsi="Arial"/>
          <w:sz w:val="22"/>
        </w:rPr>
      </w:pPr>
    </w:p>
    <w:p w14:paraId="003BC3E6" w14:textId="77777777" w:rsidR="00A664D9" w:rsidRPr="004F4CF5" w:rsidRDefault="00A664D9" w:rsidP="00171E45">
      <w:pPr>
        <w:pStyle w:val="AMFTEXTECOURANT"/>
        <w:rPr>
          <w:rFonts w:ascii="Arial" w:hAnsi="Arial"/>
          <w:i/>
          <w:sz w:val="22"/>
        </w:rPr>
      </w:pPr>
      <w:r w:rsidRPr="004F4CF5">
        <w:rPr>
          <w:rFonts w:ascii="Arial" w:hAnsi="Arial"/>
          <w:sz w:val="22"/>
        </w:rPr>
        <w:t xml:space="preserve">« </w:t>
      </w:r>
      <w:r w:rsidRPr="004F4CF5">
        <w:rPr>
          <w:rFonts w:ascii="Arial" w:hAnsi="Arial"/>
          <w:i/>
          <w:sz w:val="22"/>
        </w:rPr>
        <w:t>L'OPCI détient directement et/ou indirectement des immeubles dont la vente exige des délais qui dépendront de l'état du marché immobilier.</w:t>
      </w:r>
    </w:p>
    <w:p w14:paraId="0FD70CC0" w14:textId="3BD50C93" w:rsidR="00A664D9" w:rsidRPr="004F4CF5" w:rsidRDefault="00A664D9" w:rsidP="00171E45">
      <w:pPr>
        <w:pStyle w:val="AMFTEXTECOURANT"/>
        <w:rPr>
          <w:rFonts w:ascii="Arial" w:hAnsi="Arial"/>
          <w:i/>
          <w:sz w:val="22"/>
        </w:rPr>
      </w:pPr>
      <w:r w:rsidRPr="004F4CF5">
        <w:rPr>
          <w:rFonts w:ascii="Arial" w:hAnsi="Arial"/>
          <w:i/>
          <w:sz w:val="22"/>
        </w:rPr>
        <w:t xml:space="preserve">[Après une période d'interdiction d'une durée de </w:t>
      </w:r>
      <w:r w:rsidR="004C534E" w:rsidRPr="004F4CF5">
        <w:rPr>
          <w:rFonts w:ascii="Arial" w:hAnsi="Arial"/>
          <w:i/>
          <w:sz w:val="22"/>
          <w:highlight w:val="yellow"/>
        </w:rPr>
        <w:t>XXXXX</w:t>
      </w:r>
      <w:r w:rsidRPr="004F4CF5">
        <w:rPr>
          <w:rFonts w:ascii="Arial" w:hAnsi="Arial"/>
          <w:i/>
          <w:sz w:val="22"/>
        </w:rPr>
        <w:t xml:space="preserve"> années,]</w:t>
      </w:r>
      <w:r w:rsidRPr="004F4CF5">
        <w:rPr>
          <w:rFonts w:ascii="Arial" w:hAnsi="Arial"/>
          <w:i/>
          <w:sz w:val="22"/>
          <w:vertAlign w:val="superscript"/>
          <w:lang w:val="en-US"/>
        </w:rPr>
        <w:footnoteReference w:id="1"/>
      </w:r>
      <w:r w:rsidRPr="004F4CF5">
        <w:rPr>
          <w:rFonts w:ascii="Arial" w:hAnsi="Arial"/>
          <w:i/>
          <w:sz w:val="22"/>
        </w:rPr>
        <w:t xml:space="preserve"> En cas de demande de rachat (remboursement) de vos parts/actions, votre argent pourrait ne vous être versé que dans un délai de </w:t>
      </w:r>
      <w:r w:rsidR="004C534E" w:rsidRPr="004F4CF5">
        <w:rPr>
          <w:rFonts w:ascii="Arial" w:hAnsi="Arial"/>
          <w:i/>
          <w:sz w:val="22"/>
          <w:highlight w:val="yellow"/>
        </w:rPr>
        <w:t>XXXXX</w:t>
      </w:r>
      <w:r w:rsidRPr="004F4CF5">
        <w:rPr>
          <w:rFonts w:ascii="Arial" w:hAnsi="Arial"/>
          <w:i/>
          <w:sz w:val="22"/>
        </w:rPr>
        <w:t xml:space="preserve"> mois (à compléter par le délai de rachat maximum figurant dans le </w:t>
      </w:r>
      <w:r w:rsidR="001666C5" w:rsidRPr="004F4CF5">
        <w:rPr>
          <w:rFonts w:ascii="Arial" w:hAnsi="Arial"/>
          <w:i/>
          <w:sz w:val="22"/>
        </w:rPr>
        <w:t>document d’information</w:t>
      </w:r>
      <w:r w:rsidRPr="004F4CF5">
        <w:rPr>
          <w:rFonts w:ascii="Arial" w:hAnsi="Arial"/>
          <w:i/>
          <w:sz w:val="22"/>
        </w:rPr>
        <w:t>).</w:t>
      </w:r>
      <w:r w:rsidR="004C534E" w:rsidRPr="004F4CF5">
        <w:rPr>
          <w:rFonts w:ascii="Arial" w:hAnsi="Arial"/>
          <w:i/>
          <w:sz w:val="22"/>
        </w:rPr>
        <w:t xml:space="preserve"> </w:t>
      </w:r>
    </w:p>
    <w:p w14:paraId="4810CC16" w14:textId="77777777" w:rsidR="00A664D9" w:rsidRPr="004F4CF5" w:rsidRDefault="00A664D9" w:rsidP="00171E45">
      <w:pPr>
        <w:pStyle w:val="AMFTEXTECOURANT"/>
        <w:rPr>
          <w:rFonts w:ascii="Arial" w:hAnsi="Arial"/>
          <w:i/>
          <w:sz w:val="22"/>
        </w:rPr>
      </w:pPr>
      <w:r w:rsidRPr="004F4CF5">
        <w:rPr>
          <w:rFonts w:ascii="Arial" w:hAnsi="Arial"/>
          <w:i/>
          <w:sz w:val="22"/>
        </w:rPr>
        <w:t xml:space="preserve">Par ailleurs, la somme que vous récupérerez pourra être inférieure à celle que vous aviez investie, en cas de baisse de la valeur des actifs de l'OPCI, en particulier du marché immobilier, sur la durée de votre placement. </w:t>
      </w:r>
    </w:p>
    <w:p w14:paraId="477241E3" w14:textId="77502D5B" w:rsidR="00A664D9" w:rsidRPr="004F4CF5" w:rsidRDefault="00A664D9" w:rsidP="00171E45">
      <w:pPr>
        <w:pStyle w:val="AMFTEXTECOURANT"/>
        <w:rPr>
          <w:rFonts w:ascii="Arial" w:hAnsi="Arial"/>
          <w:sz w:val="22"/>
        </w:rPr>
      </w:pPr>
      <w:r w:rsidRPr="004F4CF5">
        <w:rPr>
          <w:rFonts w:ascii="Arial" w:hAnsi="Arial"/>
          <w:i/>
          <w:sz w:val="22"/>
        </w:rPr>
        <w:t xml:space="preserve">La durée de placement recommandée est de </w:t>
      </w:r>
      <w:r w:rsidR="004C534E" w:rsidRPr="004F4CF5">
        <w:rPr>
          <w:rFonts w:ascii="Arial" w:hAnsi="Arial"/>
          <w:i/>
          <w:sz w:val="22"/>
          <w:highlight w:val="yellow"/>
        </w:rPr>
        <w:t>XXXXX</w:t>
      </w:r>
      <w:r w:rsidRPr="004F4CF5">
        <w:rPr>
          <w:rFonts w:ascii="Arial" w:hAnsi="Arial"/>
          <w:i/>
          <w:sz w:val="22"/>
        </w:rPr>
        <w:t xml:space="preserve"> (à compléter selon le cas).</w:t>
      </w:r>
      <w:r w:rsidRPr="004F4CF5">
        <w:rPr>
          <w:rFonts w:ascii="Arial" w:hAnsi="Arial"/>
          <w:sz w:val="22"/>
        </w:rPr>
        <w:t xml:space="preserve"> »</w:t>
      </w:r>
    </w:p>
    <w:p w14:paraId="055681FA" w14:textId="77777777" w:rsidR="00A664D9" w:rsidRPr="004F4CF5" w:rsidRDefault="00A664D9" w:rsidP="00171E45">
      <w:pPr>
        <w:pStyle w:val="AMFTEXTECOURANT"/>
        <w:rPr>
          <w:rFonts w:ascii="Arial" w:hAnsi="Arial"/>
          <w:sz w:val="22"/>
        </w:rPr>
      </w:pPr>
    </w:p>
    <w:p w14:paraId="62C5057F" w14:textId="77777777" w:rsidR="00A664D9" w:rsidRPr="004F4CF5" w:rsidRDefault="00A664D9" w:rsidP="00171E45">
      <w:pPr>
        <w:pStyle w:val="AMFTEXTECOURANT"/>
        <w:rPr>
          <w:rFonts w:ascii="Arial" w:hAnsi="Arial"/>
          <w:sz w:val="22"/>
        </w:rPr>
      </w:pPr>
      <w:r w:rsidRPr="004F4CF5">
        <w:rPr>
          <w:rFonts w:ascii="Arial" w:hAnsi="Arial"/>
          <w:sz w:val="22"/>
        </w:rPr>
        <w:t>Cet avertissement doit être adapté en fonction des caractéristiques de liquidité de l'OPCI.</w:t>
      </w:r>
    </w:p>
    <w:p w14:paraId="3B70C363" w14:textId="77777777" w:rsidR="00A664D9" w:rsidRPr="004F4CF5" w:rsidRDefault="00A664D9" w:rsidP="00171E45">
      <w:pPr>
        <w:pStyle w:val="AMFTEXTECOURANT"/>
        <w:rPr>
          <w:rFonts w:ascii="Arial" w:hAnsi="Arial"/>
          <w:sz w:val="22"/>
        </w:rPr>
      </w:pPr>
    </w:p>
    <w:p w14:paraId="7004762B" w14:textId="77777777" w:rsidR="00A664D9" w:rsidRPr="004F4CF5" w:rsidRDefault="00A664D9" w:rsidP="00A664D9">
      <w:pPr>
        <w:pStyle w:val="AMFIntertitreframboise"/>
        <w:numPr>
          <w:ilvl w:val="0"/>
          <w:numId w:val="0"/>
        </w:numPr>
        <w:rPr>
          <w:rFonts w:ascii="Arial" w:hAnsi="Arial" w:cs="Arial"/>
          <w:sz w:val="22"/>
          <w:szCs w:val="22"/>
        </w:rPr>
      </w:pPr>
      <w:r w:rsidRPr="004F4CF5">
        <w:rPr>
          <w:rFonts w:ascii="Arial" w:hAnsi="Arial" w:cs="Arial"/>
          <w:color w:val="auto"/>
          <w:sz w:val="22"/>
          <w:szCs w:val="22"/>
        </w:rPr>
        <w:t>I. Caractéristiques générales</w:t>
      </w:r>
    </w:p>
    <w:p w14:paraId="76363B37" w14:textId="77777777" w:rsidR="00A664D9" w:rsidRPr="004F4CF5" w:rsidRDefault="00A664D9" w:rsidP="00171E45">
      <w:pPr>
        <w:pStyle w:val="AMFTEXTECOURANT"/>
        <w:rPr>
          <w:rFonts w:ascii="Arial" w:hAnsi="Arial"/>
          <w:sz w:val="22"/>
        </w:rPr>
      </w:pPr>
      <w:r w:rsidRPr="004F4CF5">
        <w:rPr>
          <w:rFonts w:ascii="Arial" w:hAnsi="Arial"/>
          <w:sz w:val="22"/>
        </w:rPr>
        <w:t>Cette rubrique comporte les caractéristiques générales de l'OPCI :</w:t>
      </w:r>
    </w:p>
    <w:p w14:paraId="198AA6E4" w14:textId="77777777" w:rsidR="00A664D9" w:rsidRPr="004F4CF5" w:rsidRDefault="00A664D9" w:rsidP="00171E45">
      <w:pPr>
        <w:pStyle w:val="AMFTEXTECOURANT"/>
        <w:rPr>
          <w:rFonts w:ascii="Arial" w:hAnsi="Arial"/>
          <w:sz w:val="22"/>
        </w:rPr>
      </w:pPr>
    </w:p>
    <w:p w14:paraId="773140AE" w14:textId="77777777" w:rsidR="00A664D9" w:rsidRPr="004F4CF5" w:rsidRDefault="00A664D9" w:rsidP="00171E45">
      <w:pPr>
        <w:pStyle w:val="AMFTEXTECOURANT"/>
        <w:rPr>
          <w:rFonts w:ascii="Arial" w:hAnsi="Arial"/>
          <w:sz w:val="22"/>
        </w:rPr>
      </w:pPr>
      <w:r w:rsidRPr="004F4CF5">
        <w:rPr>
          <w:rFonts w:ascii="Arial" w:hAnsi="Arial"/>
          <w:sz w:val="22"/>
        </w:rPr>
        <w:t>1° Forme juridique de l'OPCI</w:t>
      </w:r>
    </w:p>
    <w:p w14:paraId="378B5AD5" w14:textId="77777777" w:rsidR="00A664D9" w:rsidRPr="004F4CF5" w:rsidRDefault="00A664D9" w:rsidP="00171E45">
      <w:pPr>
        <w:pStyle w:val="AMFTEXTECOURANT"/>
        <w:rPr>
          <w:rFonts w:ascii="Arial" w:hAnsi="Arial"/>
          <w:sz w:val="22"/>
        </w:rPr>
      </w:pPr>
      <w:r w:rsidRPr="004F4CF5">
        <w:rPr>
          <w:rFonts w:ascii="Arial" w:hAnsi="Arial"/>
          <w:sz w:val="22"/>
        </w:rPr>
        <w:t>2° Dénomination</w:t>
      </w:r>
    </w:p>
    <w:p w14:paraId="78286E86" w14:textId="77777777" w:rsidR="00A664D9" w:rsidRPr="004F4CF5" w:rsidRDefault="00A664D9" w:rsidP="00171E45">
      <w:pPr>
        <w:pStyle w:val="AMFTEXTECOURANT"/>
        <w:rPr>
          <w:rFonts w:ascii="Arial" w:hAnsi="Arial"/>
          <w:sz w:val="22"/>
        </w:rPr>
      </w:pPr>
      <w:r w:rsidRPr="004F4CF5">
        <w:rPr>
          <w:rFonts w:ascii="Arial" w:hAnsi="Arial"/>
          <w:i/>
          <w:sz w:val="22"/>
        </w:rPr>
        <w:t>a)</w:t>
      </w:r>
      <w:r w:rsidRPr="004F4CF5">
        <w:rPr>
          <w:rFonts w:ascii="Arial" w:hAnsi="Arial"/>
          <w:sz w:val="22"/>
        </w:rPr>
        <w:t xml:space="preserve"> Pour les F</w:t>
      </w:r>
      <w:r w:rsidR="00A767B6" w:rsidRPr="004F4CF5">
        <w:rPr>
          <w:rFonts w:ascii="Arial" w:hAnsi="Arial"/>
          <w:sz w:val="22"/>
        </w:rPr>
        <w:t>C</w:t>
      </w:r>
      <w:r w:rsidRPr="004F4CF5">
        <w:rPr>
          <w:rFonts w:ascii="Arial" w:hAnsi="Arial"/>
          <w:sz w:val="22"/>
        </w:rPr>
        <w:t>PI, dénomination ;</w:t>
      </w:r>
    </w:p>
    <w:p w14:paraId="42250005" w14:textId="77777777" w:rsidR="00A664D9" w:rsidRPr="004F4CF5" w:rsidRDefault="00A664D9" w:rsidP="00171E45">
      <w:pPr>
        <w:pStyle w:val="AMFTEXTECOURANT"/>
        <w:rPr>
          <w:rFonts w:ascii="Arial" w:hAnsi="Arial"/>
          <w:sz w:val="22"/>
        </w:rPr>
      </w:pPr>
      <w:r w:rsidRPr="004F4CF5">
        <w:rPr>
          <w:rFonts w:ascii="Arial" w:hAnsi="Arial"/>
          <w:i/>
          <w:sz w:val="22"/>
        </w:rPr>
        <w:t>b)</w:t>
      </w:r>
      <w:r w:rsidRPr="004F4CF5">
        <w:rPr>
          <w:rFonts w:ascii="Arial" w:hAnsi="Arial"/>
          <w:sz w:val="22"/>
        </w:rPr>
        <w:t xml:space="preserve"> Pour les SP</w:t>
      </w:r>
      <w:r w:rsidR="00C3003A" w:rsidRPr="004F4CF5">
        <w:rPr>
          <w:rFonts w:ascii="Arial" w:hAnsi="Arial"/>
          <w:sz w:val="22"/>
        </w:rPr>
        <w:t xml:space="preserve">I </w:t>
      </w:r>
      <w:r w:rsidRPr="004F4CF5">
        <w:rPr>
          <w:rFonts w:ascii="Arial" w:hAnsi="Arial"/>
          <w:sz w:val="22"/>
        </w:rPr>
        <w:t>dénomination ou raison sociale, siège social et adresse postale si celle-ci est différente ;</w:t>
      </w:r>
    </w:p>
    <w:p w14:paraId="207E84AE" w14:textId="77777777" w:rsidR="00A664D9" w:rsidRPr="004F4CF5" w:rsidRDefault="00A664D9" w:rsidP="00171E45">
      <w:pPr>
        <w:pStyle w:val="AMFTEXTECOURANT"/>
        <w:rPr>
          <w:rFonts w:ascii="Arial" w:hAnsi="Arial"/>
          <w:sz w:val="22"/>
        </w:rPr>
      </w:pPr>
      <w:r w:rsidRPr="004F4CF5">
        <w:rPr>
          <w:rFonts w:ascii="Arial" w:hAnsi="Arial"/>
          <w:sz w:val="22"/>
        </w:rPr>
        <w:t>3° Date de création de l'OPCI et durée de vie</w:t>
      </w:r>
    </w:p>
    <w:p w14:paraId="30B4B7EA" w14:textId="77777777" w:rsidR="00A664D9" w:rsidRPr="004F4CF5" w:rsidRDefault="00A664D9" w:rsidP="00171E45">
      <w:pPr>
        <w:pStyle w:val="AMFTEXTECOURANT"/>
        <w:rPr>
          <w:rFonts w:ascii="Arial" w:hAnsi="Arial"/>
          <w:sz w:val="22"/>
        </w:rPr>
      </w:pPr>
      <w:r w:rsidRPr="004F4CF5">
        <w:rPr>
          <w:rFonts w:ascii="Arial" w:hAnsi="Arial"/>
          <w:sz w:val="22"/>
        </w:rPr>
        <w:t>4° Synthèse de l'offre de gestion</w:t>
      </w:r>
    </w:p>
    <w:p w14:paraId="20006866" w14:textId="77777777" w:rsidR="00A664D9" w:rsidRPr="004F4CF5" w:rsidRDefault="00A664D9" w:rsidP="00171E45">
      <w:pPr>
        <w:pStyle w:val="AMFTEXTECOURANT"/>
        <w:rPr>
          <w:rFonts w:ascii="Arial" w:hAnsi="Arial"/>
          <w:sz w:val="22"/>
        </w:rPr>
      </w:pPr>
      <w:r w:rsidRPr="004F4CF5">
        <w:rPr>
          <w:rFonts w:ascii="Arial" w:hAnsi="Arial"/>
          <w:i/>
          <w:sz w:val="22"/>
        </w:rPr>
        <w:t>a)</w:t>
      </w:r>
      <w:r w:rsidRPr="004F4CF5">
        <w:rPr>
          <w:rFonts w:ascii="Arial" w:hAnsi="Arial"/>
          <w:sz w:val="22"/>
        </w:rPr>
        <w:t xml:space="preserve"> Rappel des compartiments et des différentes catégories de parts ;</w:t>
      </w:r>
    </w:p>
    <w:p w14:paraId="4AB1C31B" w14:textId="77777777" w:rsidR="00A664D9" w:rsidRPr="004F4CF5" w:rsidRDefault="00A664D9" w:rsidP="00171E45">
      <w:pPr>
        <w:pStyle w:val="AMFTEXTECOURANT"/>
        <w:rPr>
          <w:rFonts w:ascii="Arial" w:hAnsi="Arial"/>
          <w:sz w:val="22"/>
        </w:rPr>
      </w:pPr>
      <w:r w:rsidRPr="004F4CF5">
        <w:rPr>
          <w:rFonts w:ascii="Arial" w:hAnsi="Arial"/>
          <w:i/>
          <w:sz w:val="22"/>
        </w:rPr>
        <w:t>b)</w:t>
      </w:r>
      <w:r w:rsidRPr="004F4CF5">
        <w:rPr>
          <w:rFonts w:ascii="Arial" w:hAnsi="Arial"/>
          <w:sz w:val="22"/>
        </w:rPr>
        <w:t xml:space="preserve"> Souscripteurs concernés ;</w:t>
      </w:r>
    </w:p>
    <w:p w14:paraId="2096C98A" w14:textId="77777777" w:rsidR="00A664D9" w:rsidRPr="004F4CF5" w:rsidRDefault="00A664D9" w:rsidP="00171E45">
      <w:pPr>
        <w:pStyle w:val="AMFTEXTECOURANT"/>
        <w:rPr>
          <w:rFonts w:ascii="Arial" w:hAnsi="Arial"/>
          <w:sz w:val="22"/>
        </w:rPr>
      </w:pPr>
      <w:r w:rsidRPr="004F4CF5">
        <w:rPr>
          <w:rFonts w:ascii="Arial" w:hAnsi="Arial"/>
          <w:i/>
          <w:sz w:val="22"/>
        </w:rPr>
        <w:t>c)</w:t>
      </w:r>
      <w:r w:rsidRPr="004F4CF5">
        <w:rPr>
          <w:rFonts w:ascii="Arial" w:hAnsi="Arial"/>
          <w:sz w:val="22"/>
        </w:rPr>
        <w:t xml:space="preserve"> Montant minimum de souscription pour chaque compartiment / type de parts ;</w:t>
      </w:r>
    </w:p>
    <w:p w14:paraId="53BE67BB" w14:textId="77777777" w:rsidR="00A664D9" w:rsidRPr="004F4CF5" w:rsidRDefault="00A664D9" w:rsidP="00171E45">
      <w:pPr>
        <w:pStyle w:val="AMFTEXTECOURANT"/>
        <w:rPr>
          <w:rFonts w:ascii="Arial" w:hAnsi="Arial"/>
          <w:sz w:val="22"/>
        </w:rPr>
      </w:pPr>
      <w:r w:rsidRPr="004F4CF5">
        <w:rPr>
          <w:rFonts w:ascii="Arial" w:hAnsi="Arial"/>
          <w:i/>
          <w:sz w:val="22"/>
        </w:rPr>
        <w:t>d)</w:t>
      </w:r>
      <w:r w:rsidRPr="004F4CF5">
        <w:rPr>
          <w:rFonts w:ascii="Arial" w:hAnsi="Arial"/>
          <w:sz w:val="22"/>
        </w:rPr>
        <w:t xml:space="preserve"> Code ISIN</w:t>
      </w:r>
      <w:r w:rsidR="007E12FD" w:rsidRPr="004F4CF5">
        <w:rPr>
          <w:rFonts w:ascii="Arial" w:hAnsi="Arial"/>
          <w:sz w:val="22"/>
        </w:rPr>
        <w:t>, le cas échéant</w:t>
      </w:r>
      <w:r w:rsidRPr="004F4CF5">
        <w:rPr>
          <w:rFonts w:ascii="Arial" w:hAnsi="Arial"/>
          <w:sz w:val="22"/>
        </w:rPr>
        <w:t>.</w:t>
      </w:r>
    </w:p>
    <w:p w14:paraId="4A9E5E67" w14:textId="77777777" w:rsidR="00A664D9" w:rsidRPr="004F4CF5" w:rsidRDefault="00A664D9" w:rsidP="00171E45">
      <w:pPr>
        <w:pStyle w:val="AMFTEXTECOURANT"/>
        <w:rPr>
          <w:rFonts w:ascii="Arial" w:hAnsi="Arial"/>
          <w:sz w:val="22"/>
        </w:rPr>
      </w:pPr>
      <w:r w:rsidRPr="004F4CF5">
        <w:rPr>
          <w:rFonts w:ascii="Arial" w:hAnsi="Arial"/>
          <w:sz w:val="22"/>
        </w:rPr>
        <w:tab/>
      </w:r>
    </w:p>
    <w:p w14:paraId="38987DB8" w14:textId="77777777" w:rsidR="00A664D9" w:rsidRPr="004F4CF5" w:rsidRDefault="00A664D9" w:rsidP="00171E45">
      <w:pPr>
        <w:pStyle w:val="AMFTEXTECOURANT"/>
        <w:rPr>
          <w:rFonts w:ascii="Arial" w:hAnsi="Arial"/>
          <w:sz w:val="22"/>
        </w:rPr>
      </w:pPr>
      <w:r w:rsidRPr="004F4CF5">
        <w:rPr>
          <w:rFonts w:ascii="Arial" w:hAnsi="Arial"/>
          <w:sz w:val="22"/>
        </w:rPr>
        <w:t>Ces informations sont présentées sous la forme d'un tableau récapitulatif pour permettre une bonne lisibilité de l'ensemble de l'offre de gestion.</w:t>
      </w:r>
    </w:p>
    <w:p w14:paraId="4D1BCFB0" w14:textId="77777777" w:rsidR="00A664D9" w:rsidRPr="004F4CF5" w:rsidRDefault="00A664D9" w:rsidP="00171E45">
      <w:pPr>
        <w:pStyle w:val="AMFTEXTECOURANT"/>
        <w:rPr>
          <w:rFonts w:ascii="Arial" w:hAnsi="Arial"/>
          <w:sz w:val="22"/>
        </w:rPr>
      </w:pPr>
    </w:p>
    <w:p w14:paraId="3EFB7698" w14:textId="77777777" w:rsidR="00A664D9" w:rsidRPr="004F4CF5" w:rsidRDefault="00A664D9" w:rsidP="00171E45">
      <w:pPr>
        <w:pStyle w:val="AMFTEXTECOURANT"/>
        <w:rPr>
          <w:rFonts w:ascii="Arial" w:hAnsi="Arial"/>
          <w:sz w:val="22"/>
        </w:rPr>
      </w:pPr>
      <w:r w:rsidRPr="004F4CF5">
        <w:rPr>
          <w:rFonts w:ascii="Arial" w:hAnsi="Arial"/>
          <w:sz w:val="22"/>
        </w:rPr>
        <w:t>Exemple :</w:t>
      </w:r>
    </w:p>
    <w:p w14:paraId="50016F06" w14:textId="77777777" w:rsidR="00A664D9" w:rsidRPr="004F4CF5" w:rsidRDefault="00A664D9" w:rsidP="00171E45">
      <w:pPr>
        <w:pStyle w:val="AMFTEXTECOURANT"/>
        <w:rPr>
          <w:rFonts w:ascii="Arial" w:hAnsi="Arial"/>
          <w:sz w:val="22"/>
        </w:rPr>
      </w:pPr>
    </w:p>
    <w:p w14:paraId="620D0FCC" w14:textId="77777777" w:rsidR="00A664D9" w:rsidRPr="004F4CF5" w:rsidRDefault="00A664D9" w:rsidP="00171E45">
      <w:pPr>
        <w:pStyle w:val="AMFTEXTECOURANT"/>
        <w:rPr>
          <w:rFonts w:ascii="Arial" w:hAnsi="Arial"/>
          <w:sz w:val="22"/>
        </w:rPr>
      </w:pPr>
      <w:r w:rsidRPr="004F4CF5">
        <w:rPr>
          <w:rFonts w:ascii="Arial" w:hAnsi="Arial"/>
          <w:sz w:val="22"/>
        </w:rPr>
        <w:t>Compartiment 1 :</w:t>
      </w:r>
    </w:p>
    <w:p w14:paraId="2A23DE0D" w14:textId="77777777" w:rsidR="007E12FD" w:rsidRPr="004F4CF5" w:rsidRDefault="007E12FD" w:rsidP="00171E45">
      <w:pPr>
        <w:pStyle w:val="AMFTEXTECOURANT"/>
        <w:rPr>
          <w:rFonts w:ascii="Arial" w:hAnsi="Arial"/>
          <w:sz w:val="22"/>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03"/>
        <w:gridCol w:w="2160"/>
        <w:gridCol w:w="3060"/>
        <w:gridCol w:w="1463"/>
      </w:tblGrid>
      <w:tr w:rsidR="00A664D9" w:rsidRPr="004F4CF5" w14:paraId="2DC3ABEA" w14:textId="77777777" w:rsidTr="004C534E">
        <w:trPr>
          <w:tblCellSpacing w:w="15" w:type="dxa"/>
          <w:jc w:val="center"/>
        </w:trPr>
        <w:tc>
          <w:tcPr>
            <w:tcW w:w="735" w:type="dxa"/>
            <w:vMerge w:val="restart"/>
            <w:tcBorders>
              <w:top w:val="outset" w:sz="6" w:space="0" w:color="auto"/>
              <w:left w:val="outset" w:sz="6" w:space="0" w:color="auto"/>
              <w:bottom w:val="outset" w:sz="6" w:space="0" w:color="auto"/>
              <w:right w:val="outset" w:sz="6" w:space="0" w:color="auto"/>
            </w:tcBorders>
            <w:vAlign w:val="center"/>
          </w:tcPr>
          <w:p w14:paraId="3D0A6380" w14:textId="77777777" w:rsidR="00A664D9" w:rsidRPr="004F4CF5" w:rsidRDefault="00A664D9" w:rsidP="00171E45">
            <w:pPr>
              <w:pStyle w:val="AMFTEXTECOURANT"/>
              <w:rPr>
                <w:rFonts w:ascii="Arial" w:hAnsi="Arial"/>
                <w:sz w:val="22"/>
              </w:rPr>
            </w:pPr>
            <w:r w:rsidRPr="004F4CF5">
              <w:rPr>
                <w:rFonts w:ascii="Arial" w:hAnsi="Arial"/>
                <w:sz w:val="22"/>
              </w:rPr>
              <w:t>Parts</w:t>
            </w:r>
          </w:p>
        </w:tc>
        <w:tc>
          <w:tcPr>
            <w:tcW w:w="6638" w:type="dxa"/>
            <w:gridSpan w:val="3"/>
            <w:tcBorders>
              <w:top w:val="outset" w:sz="6" w:space="0" w:color="auto"/>
              <w:left w:val="outset" w:sz="6" w:space="0" w:color="auto"/>
              <w:bottom w:val="outset" w:sz="6" w:space="0" w:color="auto"/>
              <w:right w:val="outset" w:sz="6" w:space="0" w:color="auto"/>
            </w:tcBorders>
            <w:vAlign w:val="center"/>
          </w:tcPr>
          <w:p w14:paraId="529809FA" w14:textId="77777777" w:rsidR="00A664D9" w:rsidRPr="004F4CF5" w:rsidRDefault="00A664D9" w:rsidP="00171E45">
            <w:pPr>
              <w:pStyle w:val="AMFTEXTECOURANT"/>
              <w:rPr>
                <w:rFonts w:ascii="Arial" w:hAnsi="Arial"/>
                <w:sz w:val="22"/>
              </w:rPr>
            </w:pPr>
            <w:bookmarkStart w:id="0" w:name="0_pgfId-1185223"/>
            <w:bookmarkEnd w:id="0"/>
            <w:r w:rsidRPr="004F4CF5">
              <w:rPr>
                <w:rFonts w:ascii="Arial" w:hAnsi="Arial"/>
                <w:sz w:val="22"/>
              </w:rPr>
              <w:t>Caractéristiques</w:t>
            </w:r>
          </w:p>
        </w:tc>
      </w:tr>
      <w:tr w:rsidR="00A664D9" w:rsidRPr="004F4CF5" w14:paraId="7DD73DAC" w14:textId="77777777" w:rsidTr="004C534E">
        <w:trPr>
          <w:tblCellSpacing w:w="15" w:type="dxa"/>
          <w:jc w:val="center"/>
        </w:trPr>
        <w:tc>
          <w:tcPr>
            <w:tcW w:w="735" w:type="dxa"/>
            <w:vMerge/>
            <w:tcBorders>
              <w:top w:val="outset" w:sz="6" w:space="0" w:color="auto"/>
              <w:left w:val="outset" w:sz="6" w:space="0" w:color="auto"/>
              <w:bottom w:val="outset" w:sz="6" w:space="0" w:color="auto"/>
              <w:right w:val="outset" w:sz="6" w:space="0" w:color="auto"/>
            </w:tcBorders>
            <w:vAlign w:val="center"/>
          </w:tcPr>
          <w:p w14:paraId="46A6FFA8" w14:textId="77777777" w:rsidR="00A664D9" w:rsidRPr="004F4CF5" w:rsidRDefault="00A664D9" w:rsidP="00171E45">
            <w:pPr>
              <w:pStyle w:val="AMFTEXTECOURANT"/>
              <w:rPr>
                <w:rFonts w:ascii="Arial" w:hAnsi="Arial"/>
                <w:sz w:val="22"/>
              </w:rPr>
            </w:pPr>
          </w:p>
        </w:tc>
        <w:tc>
          <w:tcPr>
            <w:tcW w:w="2130" w:type="dxa"/>
            <w:tcBorders>
              <w:top w:val="outset" w:sz="6" w:space="0" w:color="auto"/>
              <w:left w:val="outset" w:sz="6" w:space="0" w:color="auto"/>
              <w:bottom w:val="outset" w:sz="6" w:space="0" w:color="auto"/>
              <w:right w:val="outset" w:sz="6" w:space="0" w:color="auto"/>
            </w:tcBorders>
            <w:vAlign w:val="center"/>
          </w:tcPr>
          <w:p w14:paraId="0FAAAD18" w14:textId="77777777" w:rsidR="00A664D9" w:rsidRPr="004F4CF5" w:rsidRDefault="00A664D9" w:rsidP="00171E45">
            <w:pPr>
              <w:pStyle w:val="AMFTEXTECOURANT"/>
              <w:rPr>
                <w:rFonts w:ascii="Arial" w:hAnsi="Arial"/>
                <w:sz w:val="22"/>
              </w:rPr>
            </w:pPr>
            <w:bookmarkStart w:id="1" w:name="0_pgfId-1185231"/>
            <w:bookmarkEnd w:id="1"/>
            <w:r w:rsidRPr="004F4CF5">
              <w:rPr>
                <w:rFonts w:ascii="Arial" w:hAnsi="Arial"/>
                <w:sz w:val="22"/>
              </w:rPr>
              <w:t>Code ISIN</w:t>
            </w:r>
          </w:p>
        </w:tc>
        <w:tc>
          <w:tcPr>
            <w:tcW w:w="3030" w:type="dxa"/>
            <w:tcBorders>
              <w:top w:val="outset" w:sz="6" w:space="0" w:color="auto"/>
              <w:left w:val="outset" w:sz="6" w:space="0" w:color="auto"/>
              <w:bottom w:val="outset" w:sz="6" w:space="0" w:color="auto"/>
              <w:right w:val="outset" w:sz="6" w:space="0" w:color="auto"/>
            </w:tcBorders>
            <w:vAlign w:val="center"/>
          </w:tcPr>
          <w:p w14:paraId="21BF3C20" w14:textId="77777777" w:rsidR="00A664D9" w:rsidRPr="004F4CF5" w:rsidRDefault="00A664D9" w:rsidP="00171E45">
            <w:pPr>
              <w:pStyle w:val="AMFTEXTECOURANT"/>
              <w:rPr>
                <w:rFonts w:ascii="Arial" w:hAnsi="Arial"/>
                <w:sz w:val="22"/>
              </w:rPr>
            </w:pPr>
            <w:bookmarkStart w:id="2" w:name="0_pgfId-1185233"/>
            <w:bookmarkEnd w:id="2"/>
            <w:r w:rsidRPr="004F4CF5">
              <w:rPr>
                <w:rFonts w:ascii="Arial" w:hAnsi="Arial"/>
                <w:sz w:val="22"/>
              </w:rPr>
              <w:t>Devise de libellé</w:t>
            </w:r>
          </w:p>
        </w:tc>
        <w:tc>
          <w:tcPr>
            <w:tcW w:w="1418" w:type="dxa"/>
            <w:tcBorders>
              <w:top w:val="outset" w:sz="6" w:space="0" w:color="auto"/>
              <w:left w:val="outset" w:sz="6" w:space="0" w:color="auto"/>
              <w:bottom w:val="outset" w:sz="6" w:space="0" w:color="auto"/>
              <w:right w:val="outset" w:sz="6" w:space="0" w:color="auto"/>
            </w:tcBorders>
            <w:vAlign w:val="center"/>
          </w:tcPr>
          <w:p w14:paraId="40725943" w14:textId="77777777" w:rsidR="00A664D9" w:rsidRPr="004F4CF5" w:rsidRDefault="00A664D9" w:rsidP="00171E45">
            <w:pPr>
              <w:pStyle w:val="AMFTEXTECOURANT"/>
              <w:rPr>
                <w:rFonts w:ascii="Arial" w:hAnsi="Arial"/>
                <w:sz w:val="22"/>
              </w:rPr>
            </w:pPr>
            <w:bookmarkStart w:id="3" w:name="0_pgfId-1185235"/>
            <w:bookmarkEnd w:id="3"/>
            <w:r w:rsidRPr="004F4CF5">
              <w:rPr>
                <w:rFonts w:ascii="Arial" w:hAnsi="Arial"/>
                <w:sz w:val="22"/>
              </w:rPr>
              <w:t>Etc.</w:t>
            </w:r>
          </w:p>
        </w:tc>
      </w:tr>
      <w:tr w:rsidR="00A664D9" w:rsidRPr="004F4CF5" w14:paraId="7573BB32" w14:textId="77777777" w:rsidTr="004C534E">
        <w:trPr>
          <w:tblCellSpacing w:w="15" w:type="dxa"/>
          <w:jc w:val="center"/>
        </w:trPr>
        <w:tc>
          <w:tcPr>
            <w:tcW w:w="735" w:type="dxa"/>
            <w:tcBorders>
              <w:top w:val="outset" w:sz="6" w:space="0" w:color="auto"/>
              <w:left w:val="outset" w:sz="6" w:space="0" w:color="auto"/>
              <w:bottom w:val="outset" w:sz="6" w:space="0" w:color="auto"/>
              <w:right w:val="outset" w:sz="6" w:space="0" w:color="auto"/>
            </w:tcBorders>
            <w:vAlign w:val="center"/>
          </w:tcPr>
          <w:p w14:paraId="4565E3A0" w14:textId="77777777" w:rsidR="00A664D9" w:rsidRPr="004F4CF5" w:rsidRDefault="00A664D9" w:rsidP="00171E45">
            <w:pPr>
              <w:pStyle w:val="AMFTEXTECOURANT"/>
              <w:rPr>
                <w:rFonts w:ascii="Arial" w:hAnsi="Arial"/>
                <w:sz w:val="22"/>
              </w:rPr>
            </w:pPr>
            <w:bookmarkStart w:id="4" w:name="0_pgfId-1185237"/>
            <w:bookmarkEnd w:id="4"/>
            <w:r w:rsidRPr="004F4CF5">
              <w:rPr>
                <w:rFonts w:ascii="Arial" w:hAnsi="Arial"/>
                <w:sz w:val="22"/>
              </w:rPr>
              <w:t>A</w:t>
            </w:r>
          </w:p>
        </w:tc>
        <w:tc>
          <w:tcPr>
            <w:tcW w:w="2130" w:type="dxa"/>
            <w:tcBorders>
              <w:top w:val="outset" w:sz="6" w:space="0" w:color="auto"/>
              <w:left w:val="outset" w:sz="6" w:space="0" w:color="auto"/>
              <w:bottom w:val="outset" w:sz="6" w:space="0" w:color="auto"/>
              <w:right w:val="outset" w:sz="6" w:space="0" w:color="auto"/>
            </w:tcBorders>
            <w:vAlign w:val="center"/>
          </w:tcPr>
          <w:p w14:paraId="70DA3994" w14:textId="77777777" w:rsidR="00A664D9" w:rsidRPr="004F4CF5" w:rsidRDefault="00A664D9" w:rsidP="00171E45">
            <w:pPr>
              <w:pStyle w:val="AMFTEXTECOURANT"/>
              <w:rPr>
                <w:rFonts w:ascii="Arial" w:hAnsi="Arial"/>
                <w:sz w:val="22"/>
              </w:rPr>
            </w:pPr>
            <w:bookmarkStart w:id="5" w:name="0_pgfId-1185239"/>
            <w:bookmarkEnd w:id="5"/>
            <w:r w:rsidRPr="004F4CF5">
              <w:rPr>
                <w:rFonts w:ascii="Arial" w:hAnsi="Arial"/>
                <w:sz w:val="22"/>
              </w:rPr>
              <w:t>.........................</w:t>
            </w:r>
          </w:p>
        </w:tc>
        <w:tc>
          <w:tcPr>
            <w:tcW w:w="3030" w:type="dxa"/>
            <w:tcBorders>
              <w:top w:val="outset" w:sz="6" w:space="0" w:color="auto"/>
              <w:left w:val="outset" w:sz="6" w:space="0" w:color="auto"/>
              <w:bottom w:val="outset" w:sz="6" w:space="0" w:color="auto"/>
              <w:right w:val="outset" w:sz="6" w:space="0" w:color="auto"/>
            </w:tcBorders>
            <w:vAlign w:val="center"/>
          </w:tcPr>
          <w:p w14:paraId="7EDFD567" w14:textId="77777777" w:rsidR="00A664D9" w:rsidRPr="004F4CF5" w:rsidRDefault="00A767B6" w:rsidP="00171E45">
            <w:pPr>
              <w:pStyle w:val="AMFTEXTECOURANT"/>
              <w:rPr>
                <w:rFonts w:ascii="Arial" w:hAnsi="Arial"/>
                <w:sz w:val="22"/>
              </w:rPr>
            </w:pPr>
            <w:bookmarkStart w:id="6" w:name="0_pgfId-1185241"/>
            <w:bookmarkEnd w:id="6"/>
            <w:r w:rsidRPr="004F4CF5">
              <w:rPr>
                <w:rFonts w:ascii="Arial" w:hAnsi="Arial"/>
                <w:sz w:val="22"/>
              </w:rPr>
              <w:t>FCFA</w:t>
            </w:r>
          </w:p>
        </w:tc>
        <w:tc>
          <w:tcPr>
            <w:tcW w:w="1418" w:type="dxa"/>
            <w:tcBorders>
              <w:top w:val="outset" w:sz="6" w:space="0" w:color="auto"/>
              <w:left w:val="outset" w:sz="6" w:space="0" w:color="auto"/>
              <w:bottom w:val="outset" w:sz="6" w:space="0" w:color="auto"/>
              <w:right w:val="outset" w:sz="6" w:space="0" w:color="auto"/>
            </w:tcBorders>
            <w:vAlign w:val="center"/>
          </w:tcPr>
          <w:p w14:paraId="6C0ACD52" w14:textId="77777777" w:rsidR="00A664D9" w:rsidRPr="004F4CF5" w:rsidRDefault="00A664D9" w:rsidP="00171E45">
            <w:pPr>
              <w:pStyle w:val="AMFTEXTECOURANT"/>
              <w:rPr>
                <w:rFonts w:ascii="Arial" w:hAnsi="Arial"/>
                <w:sz w:val="22"/>
              </w:rPr>
            </w:pPr>
            <w:bookmarkStart w:id="7" w:name="0_pgfId-1185243"/>
            <w:bookmarkEnd w:id="7"/>
          </w:p>
        </w:tc>
      </w:tr>
      <w:tr w:rsidR="00A664D9" w:rsidRPr="004F4CF5" w14:paraId="32066559" w14:textId="77777777" w:rsidTr="004C534E">
        <w:trPr>
          <w:tblCellSpacing w:w="15" w:type="dxa"/>
          <w:jc w:val="center"/>
        </w:trPr>
        <w:tc>
          <w:tcPr>
            <w:tcW w:w="735" w:type="dxa"/>
            <w:tcBorders>
              <w:top w:val="outset" w:sz="6" w:space="0" w:color="auto"/>
              <w:left w:val="outset" w:sz="6" w:space="0" w:color="auto"/>
              <w:bottom w:val="outset" w:sz="6" w:space="0" w:color="auto"/>
              <w:right w:val="outset" w:sz="6" w:space="0" w:color="auto"/>
            </w:tcBorders>
            <w:vAlign w:val="center"/>
          </w:tcPr>
          <w:p w14:paraId="73E16978" w14:textId="77777777" w:rsidR="00A664D9" w:rsidRPr="004F4CF5" w:rsidRDefault="00A664D9" w:rsidP="00171E45">
            <w:pPr>
              <w:pStyle w:val="AMFTEXTECOURANT"/>
              <w:rPr>
                <w:rFonts w:ascii="Arial" w:hAnsi="Arial"/>
                <w:sz w:val="22"/>
              </w:rPr>
            </w:pPr>
            <w:bookmarkStart w:id="8" w:name="0_pgfId-1185245"/>
            <w:bookmarkEnd w:id="8"/>
            <w:r w:rsidRPr="004F4CF5">
              <w:rPr>
                <w:rFonts w:ascii="Arial" w:hAnsi="Arial"/>
                <w:sz w:val="22"/>
              </w:rPr>
              <w:t>B</w:t>
            </w:r>
          </w:p>
        </w:tc>
        <w:tc>
          <w:tcPr>
            <w:tcW w:w="2130" w:type="dxa"/>
            <w:tcBorders>
              <w:top w:val="outset" w:sz="6" w:space="0" w:color="auto"/>
              <w:left w:val="outset" w:sz="6" w:space="0" w:color="auto"/>
              <w:bottom w:val="outset" w:sz="6" w:space="0" w:color="auto"/>
              <w:right w:val="outset" w:sz="6" w:space="0" w:color="auto"/>
            </w:tcBorders>
            <w:vAlign w:val="center"/>
          </w:tcPr>
          <w:p w14:paraId="2998079F" w14:textId="77777777" w:rsidR="00A664D9" w:rsidRPr="004F4CF5" w:rsidRDefault="00A664D9" w:rsidP="00171E45">
            <w:pPr>
              <w:pStyle w:val="AMFTEXTECOURANT"/>
              <w:rPr>
                <w:rFonts w:ascii="Arial" w:hAnsi="Arial"/>
                <w:sz w:val="22"/>
              </w:rPr>
            </w:pPr>
            <w:bookmarkStart w:id="9" w:name="0_pgfId-1185247"/>
            <w:bookmarkEnd w:id="9"/>
            <w:r w:rsidRPr="004F4CF5">
              <w:rPr>
                <w:rFonts w:ascii="Arial" w:hAnsi="Arial"/>
                <w:sz w:val="22"/>
              </w:rPr>
              <w:t>.........................</w:t>
            </w:r>
          </w:p>
        </w:tc>
        <w:tc>
          <w:tcPr>
            <w:tcW w:w="3030" w:type="dxa"/>
            <w:tcBorders>
              <w:top w:val="outset" w:sz="6" w:space="0" w:color="auto"/>
              <w:left w:val="outset" w:sz="6" w:space="0" w:color="auto"/>
              <w:bottom w:val="outset" w:sz="6" w:space="0" w:color="auto"/>
              <w:right w:val="outset" w:sz="6" w:space="0" w:color="auto"/>
            </w:tcBorders>
            <w:vAlign w:val="center"/>
          </w:tcPr>
          <w:p w14:paraId="48692F4F" w14:textId="77777777" w:rsidR="00A664D9" w:rsidRPr="004F4CF5" w:rsidRDefault="00A767B6" w:rsidP="00171E45">
            <w:pPr>
              <w:pStyle w:val="AMFTEXTECOURANT"/>
              <w:rPr>
                <w:rFonts w:ascii="Arial" w:hAnsi="Arial"/>
                <w:sz w:val="22"/>
              </w:rPr>
            </w:pPr>
            <w:bookmarkStart w:id="10" w:name="0_pgfId-1185249"/>
            <w:bookmarkEnd w:id="10"/>
            <w:r w:rsidRPr="004F4CF5">
              <w:rPr>
                <w:rFonts w:ascii="Arial" w:hAnsi="Arial"/>
                <w:sz w:val="22"/>
              </w:rPr>
              <w:t>FCFA</w:t>
            </w:r>
          </w:p>
        </w:tc>
        <w:tc>
          <w:tcPr>
            <w:tcW w:w="1418" w:type="dxa"/>
            <w:tcBorders>
              <w:top w:val="outset" w:sz="6" w:space="0" w:color="auto"/>
              <w:left w:val="outset" w:sz="6" w:space="0" w:color="auto"/>
              <w:bottom w:val="outset" w:sz="6" w:space="0" w:color="auto"/>
              <w:right w:val="outset" w:sz="6" w:space="0" w:color="auto"/>
            </w:tcBorders>
            <w:vAlign w:val="center"/>
          </w:tcPr>
          <w:p w14:paraId="0648CDA8" w14:textId="77777777" w:rsidR="00A664D9" w:rsidRPr="004F4CF5" w:rsidRDefault="00A664D9" w:rsidP="00171E45">
            <w:pPr>
              <w:pStyle w:val="AMFTEXTECOURANT"/>
              <w:rPr>
                <w:rFonts w:ascii="Arial" w:hAnsi="Arial"/>
                <w:sz w:val="22"/>
              </w:rPr>
            </w:pPr>
            <w:bookmarkStart w:id="11" w:name="0_pgfId-1185251"/>
            <w:bookmarkEnd w:id="11"/>
          </w:p>
        </w:tc>
      </w:tr>
    </w:tbl>
    <w:p w14:paraId="3A6ACD77" w14:textId="77777777" w:rsidR="00A664D9" w:rsidRPr="004F4CF5" w:rsidRDefault="00A664D9" w:rsidP="00171E45">
      <w:pPr>
        <w:pStyle w:val="AMFTEXTECOURANT"/>
        <w:rPr>
          <w:rFonts w:ascii="Arial" w:hAnsi="Arial"/>
          <w:sz w:val="22"/>
        </w:rPr>
      </w:pPr>
    </w:p>
    <w:p w14:paraId="2E5928AC" w14:textId="77777777" w:rsidR="00A664D9" w:rsidRPr="004F4CF5" w:rsidRDefault="00A664D9" w:rsidP="00171E45">
      <w:pPr>
        <w:pStyle w:val="AMFTEXTECOURANT"/>
        <w:rPr>
          <w:rFonts w:ascii="Arial" w:hAnsi="Arial"/>
          <w:sz w:val="22"/>
        </w:rPr>
      </w:pPr>
      <w:r w:rsidRPr="004F4CF5">
        <w:rPr>
          <w:rFonts w:ascii="Arial" w:hAnsi="Arial"/>
          <w:sz w:val="22"/>
        </w:rPr>
        <w:lastRenderedPageBreak/>
        <w:t>Compartiment 2 :</w:t>
      </w:r>
    </w:p>
    <w:p w14:paraId="2D7A0B2E" w14:textId="77777777" w:rsidR="007E12FD" w:rsidRPr="004F4CF5" w:rsidRDefault="007E12FD" w:rsidP="00171E45">
      <w:pPr>
        <w:pStyle w:val="AMFTEXTECOURANT"/>
        <w:rPr>
          <w:rFonts w:ascii="Arial" w:hAnsi="Arial"/>
          <w:sz w:val="22"/>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03"/>
        <w:gridCol w:w="2160"/>
        <w:gridCol w:w="3060"/>
        <w:gridCol w:w="1463"/>
      </w:tblGrid>
      <w:tr w:rsidR="00A664D9" w:rsidRPr="004F4CF5" w14:paraId="4683FE58" w14:textId="77777777" w:rsidTr="004C534E">
        <w:trPr>
          <w:tblCellSpacing w:w="15" w:type="dxa"/>
          <w:jc w:val="center"/>
        </w:trPr>
        <w:tc>
          <w:tcPr>
            <w:tcW w:w="735" w:type="dxa"/>
            <w:vMerge w:val="restart"/>
            <w:tcBorders>
              <w:top w:val="outset" w:sz="6" w:space="0" w:color="auto"/>
              <w:left w:val="outset" w:sz="6" w:space="0" w:color="auto"/>
              <w:bottom w:val="outset" w:sz="6" w:space="0" w:color="auto"/>
              <w:right w:val="outset" w:sz="6" w:space="0" w:color="auto"/>
            </w:tcBorders>
            <w:vAlign w:val="center"/>
          </w:tcPr>
          <w:p w14:paraId="3E0B9C22" w14:textId="77777777" w:rsidR="00A664D9" w:rsidRPr="004F4CF5" w:rsidRDefault="00A664D9" w:rsidP="00171E45">
            <w:pPr>
              <w:pStyle w:val="AMFTEXTECOURANT"/>
              <w:rPr>
                <w:rFonts w:ascii="Arial" w:hAnsi="Arial"/>
                <w:sz w:val="22"/>
              </w:rPr>
            </w:pPr>
            <w:r w:rsidRPr="004F4CF5">
              <w:rPr>
                <w:rFonts w:ascii="Arial" w:hAnsi="Arial"/>
                <w:sz w:val="22"/>
              </w:rPr>
              <w:t>Parts</w:t>
            </w:r>
          </w:p>
        </w:tc>
        <w:tc>
          <w:tcPr>
            <w:tcW w:w="6638" w:type="dxa"/>
            <w:gridSpan w:val="3"/>
            <w:tcBorders>
              <w:top w:val="outset" w:sz="6" w:space="0" w:color="auto"/>
              <w:left w:val="outset" w:sz="6" w:space="0" w:color="auto"/>
              <w:bottom w:val="outset" w:sz="6" w:space="0" w:color="auto"/>
              <w:right w:val="outset" w:sz="6" w:space="0" w:color="auto"/>
            </w:tcBorders>
            <w:vAlign w:val="center"/>
          </w:tcPr>
          <w:p w14:paraId="5E719593" w14:textId="77777777" w:rsidR="00A664D9" w:rsidRPr="004F4CF5" w:rsidRDefault="00A664D9" w:rsidP="00171E45">
            <w:pPr>
              <w:pStyle w:val="AMFTEXTECOURANT"/>
              <w:rPr>
                <w:rFonts w:ascii="Arial" w:hAnsi="Arial"/>
                <w:sz w:val="22"/>
              </w:rPr>
            </w:pPr>
            <w:bookmarkStart w:id="12" w:name="0_pgfId-1185626"/>
            <w:bookmarkEnd w:id="12"/>
            <w:r w:rsidRPr="004F4CF5">
              <w:rPr>
                <w:rFonts w:ascii="Arial" w:hAnsi="Arial"/>
                <w:sz w:val="22"/>
              </w:rPr>
              <w:t>Caractéristiques</w:t>
            </w:r>
          </w:p>
        </w:tc>
      </w:tr>
      <w:tr w:rsidR="00A664D9" w:rsidRPr="004F4CF5" w14:paraId="2695F958" w14:textId="77777777" w:rsidTr="004C534E">
        <w:trPr>
          <w:tblCellSpacing w:w="15" w:type="dxa"/>
          <w:jc w:val="center"/>
        </w:trPr>
        <w:tc>
          <w:tcPr>
            <w:tcW w:w="735" w:type="dxa"/>
            <w:vMerge/>
            <w:tcBorders>
              <w:top w:val="outset" w:sz="6" w:space="0" w:color="auto"/>
              <w:left w:val="outset" w:sz="6" w:space="0" w:color="auto"/>
              <w:bottom w:val="outset" w:sz="6" w:space="0" w:color="auto"/>
              <w:right w:val="outset" w:sz="6" w:space="0" w:color="auto"/>
            </w:tcBorders>
            <w:vAlign w:val="center"/>
          </w:tcPr>
          <w:p w14:paraId="50C15CEB" w14:textId="77777777" w:rsidR="00A664D9" w:rsidRPr="004F4CF5" w:rsidRDefault="00A664D9" w:rsidP="00171E45">
            <w:pPr>
              <w:pStyle w:val="AMFTEXTECOURANT"/>
              <w:rPr>
                <w:rFonts w:ascii="Arial" w:hAnsi="Arial"/>
                <w:sz w:val="22"/>
              </w:rPr>
            </w:pPr>
          </w:p>
        </w:tc>
        <w:tc>
          <w:tcPr>
            <w:tcW w:w="2130" w:type="dxa"/>
            <w:tcBorders>
              <w:top w:val="outset" w:sz="6" w:space="0" w:color="auto"/>
              <w:left w:val="outset" w:sz="6" w:space="0" w:color="auto"/>
              <w:bottom w:val="outset" w:sz="6" w:space="0" w:color="auto"/>
              <w:right w:val="outset" w:sz="6" w:space="0" w:color="auto"/>
            </w:tcBorders>
            <w:vAlign w:val="center"/>
          </w:tcPr>
          <w:p w14:paraId="2516933E" w14:textId="77777777" w:rsidR="00A664D9" w:rsidRPr="004F4CF5" w:rsidRDefault="00A664D9" w:rsidP="00171E45">
            <w:pPr>
              <w:pStyle w:val="AMFTEXTECOURANT"/>
              <w:rPr>
                <w:rFonts w:ascii="Arial" w:hAnsi="Arial"/>
                <w:sz w:val="22"/>
              </w:rPr>
            </w:pPr>
            <w:bookmarkStart w:id="13" w:name="0_pgfId-1185634"/>
            <w:bookmarkEnd w:id="13"/>
            <w:r w:rsidRPr="004F4CF5">
              <w:rPr>
                <w:rFonts w:ascii="Arial" w:hAnsi="Arial"/>
                <w:sz w:val="22"/>
              </w:rPr>
              <w:t>Code ISIN</w:t>
            </w:r>
          </w:p>
        </w:tc>
        <w:tc>
          <w:tcPr>
            <w:tcW w:w="3030" w:type="dxa"/>
            <w:tcBorders>
              <w:top w:val="outset" w:sz="6" w:space="0" w:color="auto"/>
              <w:left w:val="outset" w:sz="6" w:space="0" w:color="auto"/>
              <w:bottom w:val="outset" w:sz="6" w:space="0" w:color="auto"/>
              <w:right w:val="outset" w:sz="6" w:space="0" w:color="auto"/>
            </w:tcBorders>
            <w:vAlign w:val="center"/>
          </w:tcPr>
          <w:p w14:paraId="6E1B6C44" w14:textId="77777777" w:rsidR="00A664D9" w:rsidRPr="004F4CF5" w:rsidRDefault="00A664D9" w:rsidP="00171E45">
            <w:pPr>
              <w:pStyle w:val="AMFTEXTECOURANT"/>
              <w:rPr>
                <w:rFonts w:ascii="Arial" w:hAnsi="Arial"/>
                <w:sz w:val="22"/>
              </w:rPr>
            </w:pPr>
            <w:bookmarkStart w:id="14" w:name="0_pgfId-1185636"/>
            <w:bookmarkEnd w:id="14"/>
            <w:r w:rsidRPr="004F4CF5">
              <w:rPr>
                <w:rFonts w:ascii="Arial" w:hAnsi="Arial"/>
                <w:sz w:val="22"/>
              </w:rPr>
              <w:t>Devise de libellé</w:t>
            </w:r>
          </w:p>
        </w:tc>
        <w:tc>
          <w:tcPr>
            <w:tcW w:w="1418" w:type="dxa"/>
            <w:tcBorders>
              <w:top w:val="outset" w:sz="6" w:space="0" w:color="auto"/>
              <w:left w:val="outset" w:sz="6" w:space="0" w:color="auto"/>
              <w:bottom w:val="outset" w:sz="6" w:space="0" w:color="auto"/>
              <w:right w:val="outset" w:sz="6" w:space="0" w:color="auto"/>
            </w:tcBorders>
            <w:vAlign w:val="center"/>
          </w:tcPr>
          <w:p w14:paraId="2D155621" w14:textId="77777777" w:rsidR="00A664D9" w:rsidRPr="004F4CF5" w:rsidRDefault="00A664D9" w:rsidP="00171E45">
            <w:pPr>
              <w:pStyle w:val="AMFTEXTECOURANT"/>
              <w:rPr>
                <w:rFonts w:ascii="Arial" w:hAnsi="Arial"/>
                <w:sz w:val="22"/>
              </w:rPr>
            </w:pPr>
            <w:bookmarkStart w:id="15" w:name="0_pgfId-1185638"/>
            <w:bookmarkEnd w:id="15"/>
            <w:r w:rsidRPr="004F4CF5">
              <w:rPr>
                <w:rFonts w:ascii="Arial" w:hAnsi="Arial"/>
                <w:sz w:val="22"/>
              </w:rPr>
              <w:t>Etc.</w:t>
            </w:r>
          </w:p>
        </w:tc>
      </w:tr>
      <w:tr w:rsidR="00A664D9" w:rsidRPr="004F4CF5" w14:paraId="0FB13EDC" w14:textId="77777777" w:rsidTr="004C534E">
        <w:trPr>
          <w:tblCellSpacing w:w="15" w:type="dxa"/>
          <w:jc w:val="center"/>
        </w:trPr>
        <w:tc>
          <w:tcPr>
            <w:tcW w:w="735" w:type="dxa"/>
            <w:tcBorders>
              <w:top w:val="outset" w:sz="6" w:space="0" w:color="auto"/>
              <w:left w:val="outset" w:sz="6" w:space="0" w:color="auto"/>
              <w:bottom w:val="outset" w:sz="6" w:space="0" w:color="auto"/>
              <w:right w:val="outset" w:sz="6" w:space="0" w:color="auto"/>
            </w:tcBorders>
            <w:vAlign w:val="center"/>
          </w:tcPr>
          <w:p w14:paraId="628B7823" w14:textId="77777777" w:rsidR="00A664D9" w:rsidRPr="004F4CF5" w:rsidRDefault="00A664D9" w:rsidP="00171E45">
            <w:pPr>
              <w:pStyle w:val="AMFTEXTECOURANT"/>
              <w:rPr>
                <w:rFonts w:ascii="Arial" w:hAnsi="Arial"/>
                <w:sz w:val="22"/>
              </w:rPr>
            </w:pPr>
            <w:bookmarkStart w:id="16" w:name="0_pgfId-1185640"/>
            <w:bookmarkEnd w:id="16"/>
            <w:r w:rsidRPr="004F4CF5">
              <w:rPr>
                <w:rFonts w:ascii="Arial" w:hAnsi="Arial"/>
                <w:sz w:val="22"/>
              </w:rPr>
              <w:t>A</w:t>
            </w:r>
          </w:p>
        </w:tc>
        <w:tc>
          <w:tcPr>
            <w:tcW w:w="2130" w:type="dxa"/>
            <w:tcBorders>
              <w:top w:val="outset" w:sz="6" w:space="0" w:color="auto"/>
              <w:left w:val="outset" w:sz="6" w:space="0" w:color="auto"/>
              <w:bottom w:val="outset" w:sz="6" w:space="0" w:color="auto"/>
              <w:right w:val="outset" w:sz="6" w:space="0" w:color="auto"/>
            </w:tcBorders>
            <w:vAlign w:val="center"/>
          </w:tcPr>
          <w:p w14:paraId="1B8CC862" w14:textId="77777777" w:rsidR="00A664D9" w:rsidRPr="004F4CF5" w:rsidRDefault="00A664D9" w:rsidP="00171E45">
            <w:pPr>
              <w:pStyle w:val="AMFTEXTECOURANT"/>
              <w:rPr>
                <w:rFonts w:ascii="Arial" w:hAnsi="Arial"/>
                <w:sz w:val="22"/>
              </w:rPr>
            </w:pPr>
            <w:bookmarkStart w:id="17" w:name="0_pgfId-1185642"/>
            <w:bookmarkEnd w:id="17"/>
            <w:r w:rsidRPr="004F4CF5">
              <w:rPr>
                <w:rFonts w:ascii="Arial" w:hAnsi="Arial"/>
                <w:sz w:val="22"/>
              </w:rPr>
              <w:t>FR .........................</w:t>
            </w:r>
          </w:p>
        </w:tc>
        <w:tc>
          <w:tcPr>
            <w:tcW w:w="3030" w:type="dxa"/>
            <w:tcBorders>
              <w:top w:val="outset" w:sz="6" w:space="0" w:color="auto"/>
              <w:left w:val="outset" w:sz="6" w:space="0" w:color="auto"/>
              <w:bottom w:val="outset" w:sz="6" w:space="0" w:color="auto"/>
              <w:right w:val="outset" w:sz="6" w:space="0" w:color="auto"/>
            </w:tcBorders>
            <w:vAlign w:val="center"/>
          </w:tcPr>
          <w:p w14:paraId="02F02023" w14:textId="77777777" w:rsidR="00A664D9" w:rsidRPr="004F4CF5" w:rsidRDefault="00A767B6" w:rsidP="00171E45">
            <w:pPr>
              <w:pStyle w:val="AMFTEXTECOURANT"/>
              <w:rPr>
                <w:rFonts w:ascii="Arial" w:hAnsi="Arial"/>
                <w:sz w:val="22"/>
              </w:rPr>
            </w:pPr>
            <w:bookmarkStart w:id="18" w:name="0_pgfId-1185644"/>
            <w:bookmarkEnd w:id="18"/>
            <w:r w:rsidRPr="004F4CF5">
              <w:rPr>
                <w:rFonts w:ascii="Arial" w:hAnsi="Arial"/>
                <w:sz w:val="22"/>
              </w:rPr>
              <w:t>FCFA</w:t>
            </w:r>
          </w:p>
        </w:tc>
        <w:tc>
          <w:tcPr>
            <w:tcW w:w="1418" w:type="dxa"/>
            <w:tcBorders>
              <w:top w:val="outset" w:sz="6" w:space="0" w:color="auto"/>
              <w:left w:val="outset" w:sz="6" w:space="0" w:color="auto"/>
              <w:bottom w:val="outset" w:sz="6" w:space="0" w:color="auto"/>
              <w:right w:val="outset" w:sz="6" w:space="0" w:color="auto"/>
            </w:tcBorders>
            <w:vAlign w:val="center"/>
          </w:tcPr>
          <w:p w14:paraId="510D8B99" w14:textId="77777777" w:rsidR="00A664D9" w:rsidRPr="004F4CF5" w:rsidRDefault="00A664D9" w:rsidP="00171E45">
            <w:pPr>
              <w:pStyle w:val="AMFTEXTECOURANT"/>
              <w:rPr>
                <w:rFonts w:ascii="Arial" w:hAnsi="Arial"/>
                <w:sz w:val="22"/>
              </w:rPr>
            </w:pPr>
            <w:bookmarkStart w:id="19" w:name="0_pgfId-1185646"/>
            <w:bookmarkEnd w:id="19"/>
          </w:p>
        </w:tc>
      </w:tr>
      <w:tr w:rsidR="00A664D9" w:rsidRPr="004F4CF5" w14:paraId="402357B8" w14:textId="77777777" w:rsidTr="004C534E">
        <w:trPr>
          <w:tblCellSpacing w:w="15" w:type="dxa"/>
          <w:jc w:val="center"/>
        </w:trPr>
        <w:tc>
          <w:tcPr>
            <w:tcW w:w="735" w:type="dxa"/>
            <w:tcBorders>
              <w:top w:val="outset" w:sz="6" w:space="0" w:color="auto"/>
              <w:left w:val="outset" w:sz="6" w:space="0" w:color="auto"/>
              <w:bottom w:val="outset" w:sz="6" w:space="0" w:color="auto"/>
              <w:right w:val="outset" w:sz="6" w:space="0" w:color="auto"/>
            </w:tcBorders>
            <w:vAlign w:val="center"/>
          </w:tcPr>
          <w:p w14:paraId="1DC532F9" w14:textId="77777777" w:rsidR="00A664D9" w:rsidRPr="004F4CF5" w:rsidRDefault="00A664D9" w:rsidP="00171E45">
            <w:pPr>
              <w:pStyle w:val="AMFTEXTECOURANT"/>
              <w:rPr>
                <w:rFonts w:ascii="Arial" w:hAnsi="Arial"/>
                <w:sz w:val="22"/>
              </w:rPr>
            </w:pPr>
            <w:bookmarkStart w:id="20" w:name="0_pgfId-1185648"/>
            <w:bookmarkEnd w:id="20"/>
            <w:r w:rsidRPr="004F4CF5">
              <w:rPr>
                <w:rFonts w:ascii="Arial" w:hAnsi="Arial"/>
                <w:sz w:val="22"/>
              </w:rPr>
              <w:t>B</w:t>
            </w:r>
          </w:p>
        </w:tc>
        <w:tc>
          <w:tcPr>
            <w:tcW w:w="2130" w:type="dxa"/>
            <w:tcBorders>
              <w:top w:val="outset" w:sz="6" w:space="0" w:color="auto"/>
              <w:left w:val="outset" w:sz="6" w:space="0" w:color="auto"/>
              <w:bottom w:val="outset" w:sz="6" w:space="0" w:color="auto"/>
              <w:right w:val="outset" w:sz="6" w:space="0" w:color="auto"/>
            </w:tcBorders>
            <w:vAlign w:val="center"/>
          </w:tcPr>
          <w:p w14:paraId="31414503" w14:textId="77777777" w:rsidR="00A664D9" w:rsidRPr="004F4CF5" w:rsidRDefault="00A664D9" w:rsidP="00171E45">
            <w:pPr>
              <w:pStyle w:val="AMFTEXTECOURANT"/>
              <w:rPr>
                <w:rFonts w:ascii="Arial" w:hAnsi="Arial"/>
                <w:sz w:val="22"/>
              </w:rPr>
            </w:pPr>
            <w:bookmarkStart w:id="21" w:name="0_pgfId-1185650"/>
            <w:bookmarkEnd w:id="21"/>
            <w:r w:rsidRPr="004F4CF5">
              <w:rPr>
                <w:rFonts w:ascii="Arial" w:hAnsi="Arial"/>
                <w:sz w:val="22"/>
              </w:rPr>
              <w:t>FR .........................</w:t>
            </w:r>
          </w:p>
        </w:tc>
        <w:tc>
          <w:tcPr>
            <w:tcW w:w="3030" w:type="dxa"/>
            <w:tcBorders>
              <w:top w:val="outset" w:sz="6" w:space="0" w:color="auto"/>
              <w:left w:val="outset" w:sz="6" w:space="0" w:color="auto"/>
              <w:bottom w:val="outset" w:sz="6" w:space="0" w:color="auto"/>
              <w:right w:val="outset" w:sz="6" w:space="0" w:color="auto"/>
            </w:tcBorders>
            <w:vAlign w:val="center"/>
          </w:tcPr>
          <w:p w14:paraId="300153AA" w14:textId="77777777" w:rsidR="00A664D9" w:rsidRPr="004F4CF5" w:rsidRDefault="00A767B6" w:rsidP="00171E45">
            <w:pPr>
              <w:pStyle w:val="AMFTEXTECOURANT"/>
              <w:rPr>
                <w:rFonts w:ascii="Arial" w:hAnsi="Arial"/>
                <w:sz w:val="22"/>
              </w:rPr>
            </w:pPr>
            <w:bookmarkStart w:id="22" w:name="0_pgfId-1185652"/>
            <w:bookmarkEnd w:id="22"/>
            <w:r w:rsidRPr="004F4CF5">
              <w:rPr>
                <w:rFonts w:ascii="Arial" w:hAnsi="Arial"/>
                <w:sz w:val="22"/>
              </w:rPr>
              <w:t>FCFA</w:t>
            </w:r>
          </w:p>
        </w:tc>
        <w:tc>
          <w:tcPr>
            <w:tcW w:w="1418" w:type="dxa"/>
            <w:tcBorders>
              <w:top w:val="outset" w:sz="6" w:space="0" w:color="auto"/>
              <w:left w:val="outset" w:sz="6" w:space="0" w:color="auto"/>
              <w:bottom w:val="outset" w:sz="6" w:space="0" w:color="auto"/>
              <w:right w:val="outset" w:sz="6" w:space="0" w:color="auto"/>
            </w:tcBorders>
            <w:vAlign w:val="center"/>
          </w:tcPr>
          <w:p w14:paraId="3DF376DA" w14:textId="77777777" w:rsidR="00A664D9" w:rsidRPr="004F4CF5" w:rsidRDefault="00A664D9" w:rsidP="00171E45">
            <w:pPr>
              <w:pStyle w:val="AMFTEXTECOURANT"/>
              <w:rPr>
                <w:rFonts w:ascii="Arial" w:hAnsi="Arial"/>
                <w:sz w:val="22"/>
              </w:rPr>
            </w:pPr>
            <w:bookmarkStart w:id="23" w:name="0_pgfId-1185654"/>
            <w:bookmarkEnd w:id="23"/>
          </w:p>
        </w:tc>
      </w:tr>
    </w:tbl>
    <w:p w14:paraId="26E91579" w14:textId="77777777" w:rsidR="00A664D9" w:rsidRPr="004F4CF5" w:rsidRDefault="00A664D9" w:rsidP="00171E45">
      <w:pPr>
        <w:pStyle w:val="AMFTEXTECOURANT"/>
        <w:rPr>
          <w:rFonts w:ascii="Arial" w:hAnsi="Arial"/>
          <w:sz w:val="22"/>
        </w:rPr>
      </w:pPr>
    </w:p>
    <w:p w14:paraId="56E97E73" w14:textId="77777777" w:rsidR="00A664D9" w:rsidRPr="004F4CF5" w:rsidRDefault="00A664D9" w:rsidP="00171E45">
      <w:pPr>
        <w:pStyle w:val="AMFTEXTECOURANT"/>
        <w:rPr>
          <w:rFonts w:ascii="Arial" w:hAnsi="Arial"/>
          <w:sz w:val="22"/>
        </w:rPr>
      </w:pPr>
    </w:p>
    <w:p w14:paraId="56A4E428" w14:textId="77777777" w:rsidR="00A664D9" w:rsidRPr="004F4CF5" w:rsidRDefault="00A664D9" w:rsidP="00171E45">
      <w:pPr>
        <w:pStyle w:val="AMFTEXTECOURANT"/>
        <w:rPr>
          <w:rFonts w:ascii="Arial" w:hAnsi="Arial"/>
          <w:sz w:val="22"/>
        </w:rPr>
      </w:pPr>
      <w:r w:rsidRPr="004F4CF5">
        <w:rPr>
          <w:rFonts w:ascii="Arial" w:hAnsi="Arial"/>
          <w:sz w:val="22"/>
        </w:rPr>
        <w:t xml:space="preserve">5° Indication du lieu où l'on peut se procurer s’ils ne sont pas annexés, </w:t>
      </w:r>
      <w:r w:rsidR="0065620E" w:rsidRPr="004F4CF5">
        <w:rPr>
          <w:rFonts w:ascii="Arial" w:hAnsi="Arial"/>
          <w:sz w:val="22"/>
        </w:rPr>
        <w:t xml:space="preserve">le règlement, </w:t>
      </w:r>
      <w:r w:rsidRPr="004F4CF5">
        <w:rPr>
          <w:rFonts w:ascii="Arial" w:hAnsi="Arial"/>
          <w:sz w:val="22"/>
        </w:rPr>
        <w:t>le dernier rapport annuel et le dernier état périodique, la dernière valeur liquidative de l’OPCI ainsi que, le cas échéant, l’information sur ses performances passées.</w:t>
      </w:r>
    </w:p>
    <w:p w14:paraId="0ED1BF55" w14:textId="77777777" w:rsidR="00A664D9" w:rsidRPr="004F4CF5" w:rsidRDefault="00A664D9" w:rsidP="00171E45">
      <w:pPr>
        <w:pStyle w:val="AMFTEXTECOURANT"/>
        <w:rPr>
          <w:rFonts w:ascii="Arial" w:hAnsi="Arial"/>
          <w:sz w:val="22"/>
        </w:rPr>
      </w:pPr>
    </w:p>
    <w:p w14:paraId="1FA5C977" w14:textId="77777777" w:rsidR="00A664D9" w:rsidRPr="004F4CF5" w:rsidRDefault="00A664D9" w:rsidP="00171E45">
      <w:pPr>
        <w:pStyle w:val="AMFTEXTECOURANT"/>
        <w:rPr>
          <w:rFonts w:ascii="Arial" w:hAnsi="Arial"/>
          <w:sz w:val="22"/>
        </w:rPr>
      </w:pPr>
      <w:r w:rsidRPr="004F4CF5">
        <w:rPr>
          <w:rFonts w:ascii="Arial" w:hAnsi="Arial"/>
          <w:sz w:val="22"/>
        </w:rPr>
        <w:t>Les derniers documents annuels ainsi que la composition des actifs sont adressés dans un délai de huit</w:t>
      </w:r>
      <w:r w:rsidR="007E12FD" w:rsidRPr="004F4CF5">
        <w:rPr>
          <w:rFonts w:ascii="Arial" w:hAnsi="Arial"/>
          <w:sz w:val="22"/>
        </w:rPr>
        <w:t xml:space="preserve"> (8)</w:t>
      </w:r>
      <w:r w:rsidRPr="004F4CF5">
        <w:rPr>
          <w:rFonts w:ascii="Arial" w:hAnsi="Arial"/>
          <w:sz w:val="22"/>
        </w:rPr>
        <w:t xml:space="preserve"> jours ouvrés sur simple demande écrite du porteur ou de l'actionnaire auprès de :</w:t>
      </w:r>
    </w:p>
    <w:p w14:paraId="362EACCD" w14:textId="77777777" w:rsidR="00570AE3" w:rsidRPr="004F4CF5" w:rsidRDefault="00570AE3" w:rsidP="00171E45">
      <w:pPr>
        <w:pStyle w:val="AMFTEXTECOURANT"/>
        <w:rPr>
          <w:rFonts w:ascii="Arial" w:hAnsi="Arial"/>
          <w:sz w:val="22"/>
        </w:rPr>
      </w:pPr>
    </w:p>
    <w:p w14:paraId="37A814C2" w14:textId="77777777" w:rsidR="00A664D9" w:rsidRPr="004F4CF5" w:rsidRDefault="00A664D9" w:rsidP="00504E87">
      <w:pPr>
        <w:pStyle w:val="AMFTEXTECOURANT"/>
        <w:numPr>
          <w:ilvl w:val="0"/>
          <w:numId w:val="19"/>
        </w:numPr>
        <w:rPr>
          <w:rFonts w:ascii="Arial" w:hAnsi="Arial"/>
          <w:sz w:val="22"/>
        </w:rPr>
      </w:pPr>
      <w:r w:rsidRPr="004F4CF5">
        <w:rPr>
          <w:rFonts w:ascii="Arial" w:hAnsi="Arial"/>
          <w:sz w:val="22"/>
        </w:rPr>
        <w:t>Dénomination sociale</w:t>
      </w:r>
    </w:p>
    <w:p w14:paraId="4631199D" w14:textId="77777777" w:rsidR="00A664D9" w:rsidRPr="004F4CF5" w:rsidRDefault="00A664D9" w:rsidP="00504E87">
      <w:pPr>
        <w:pStyle w:val="AMFTEXTECOURANT"/>
        <w:numPr>
          <w:ilvl w:val="0"/>
          <w:numId w:val="19"/>
        </w:numPr>
        <w:rPr>
          <w:rFonts w:ascii="Arial" w:hAnsi="Arial"/>
          <w:sz w:val="22"/>
        </w:rPr>
      </w:pPr>
      <w:r w:rsidRPr="004F4CF5">
        <w:rPr>
          <w:rFonts w:ascii="Arial" w:hAnsi="Arial"/>
          <w:sz w:val="22"/>
        </w:rPr>
        <w:t>Adresse</w:t>
      </w:r>
    </w:p>
    <w:p w14:paraId="64B06C48" w14:textId="77777777" w:rsidR="00A664D9" w:rsidRPr="004F4CF5" w:rsidRDefault="00A664D9" w:rsidP="00504E87">
      <w:pPr>
        <w:pStyle w:val="AMFTEXTECOURANT"/>
        <w:numPr>
          <w:ilvl w:val="0"/>
          <w:numId w:val="19"/>
        </w:numPr>
        <w:rPr>
          <w:rFonts w:ascii="Arial" w:hAnsi="Arial"/>
          <w:sz w:val="22"/>
        </w:rPr>
      </w:pPr>
      <w:r w:rsidRPr="004F4CF5">
        <w:rPr>
          <w:rFonts w:ascii="Arial" w:hAnsi="Arial"/>
          <w:sz w:val="22"/>
        </w:rPr>
        <w:t>Tél. (éventuellement)</w:t>
      </w:r>
    </w:p>
    <w:p w14:paraId="5F36F499" w14:textId="55FDB7E2" w:rsidR="00A664D9" w:rsidRPr="004F4CF5" w:rsidRDefault="00A664D9" w:rsidP="00504E87">
      <w:pPr>
        <w:pStyle w:val="AMFTEXTECOURANT"/>
        <w:numPr>
          <w:ilvl w:val="0"/>
          <w:numId w:val="19"/>
        </w:numPr>
        <w:rPr>
          <w:rFonts w:ascii="Arial" w:hAnsi="Arial"/>
          <w:sz w:val="22"/>
        </w:rPr>
      </w:pPr>
      <w:r w:rsidRPr="004F4CF5">
        <w:rPr>
          <w:rFonts w:ascii="Arial" w:hAnsi="Arial"/>
          <w:i/>
          <w:sz w:val="22"/>
        </w:rPr>
        <w:t>E-mail :</w:t>
      </w:r>
      <w:r w:rsidRPr="004F4CF5">
        <w:rPr>
          <w:rFonts w:ascii="Arial" w:hAnsi="Arial"/>
          <w:sz w:val="22"/>
        </w:rPr>
        <w:t xml:space="preserve"> </w:t>
      </w:r>
    </w:p>
    <w:p w14:paraId="5A5287BE" w14:textId="77777777" w:rsidR="00A664D9" w:rsidRPr="004F4CF5" w:rsidRDefault="00A664D9" w:rsidP="00171E45">
      <w:pPr>
        <w:pStyle w:val="AMFTEXTECOURANT"/>
        <w:rPr>
          <w:rFonts w:ascii="Arial" w:hAnsi="Arial"/>
          <w:sz w:val="22"/>
        </w:rPr>
      </w:pPr>
    </w:p>
    <w:p w14:paraId="2B2E6F06" w14:textId="01843292" w:rsidR="00A664D9" w:rsidRPr="004F4CF5" w:rsidRDefault="00A664D9" w:rsidP="00171E45">
      <w:pPr>
        <w:pStyle w:val="AMFTEXTECOURANT"/>
        <w:rPr>
          <w:rFonts w:ascii="Arial" w:hAnsi="Arial"/>
          <w:sz w:val="22"/>
        </w:rPr>
      </w:pPr>
      <w:r w:rsidRPr="004F4CF5">
        <w:rPr>
          <w:rFonts w:ascii="Arial" w:hAnsi="Arial"/>
          <w:sz w:val="22"/>
        </w:rPr>
        <w:t>Ces documents sont également disponibles sur le site</w:t>
      </w:r>
      <w:r w:rsidR="00570AE3" w:rsidRPr="004F4CF5">
        <w:rPr>
          <w:rFonts w:ascii="Arial" w:hAnsi="Arial"/>
          <w:sz w:val="22"/>
        </w:rPr>
        <w:t xml:space="preserve"> web</w:t>
      </w:r>
      <w:r w:rsidRPr="004F4CF5">
        <w:rPr>
          <w:rFonts w:ascii="Arial" w:hAnsi="Arial"/>
          <w:sz w:val="22"/>
        </w:rPr>
        <w:t xml:space="preserve"> </w:t>
      </w:r>
      <w:r w:rsidR="004308AE" w:rsidRPr="004F4CF5">
        <w:rPr>
          <w:rFonts w:ascii="Arial" w:hAnsi="Arial"/>
          <w:sz w:val="22"/>
        </w:rPr>
        <w:t>« </w:t>
      </w:r>
      <w:r w:rsidRPr="004F4CF5">
        <w:rPr>
          <w:rFonts w:ascii="Arial" w:hAnsi="Arial"/>
          <w:i/>
          <w:sz w:val="22"/>
        </w:rPr>
        <w:t>www (le cas échéant)</w:t>
      </w:r>
      <w:r w:rsidR="004308AE" w:rsidRPr="004F4CF5">
        <w:rPr>
          <w:rFonts w:ascii="Arial" w:hAnsi="Arial"/>
          <w:sz w:val="22"/>
        </w:rPr>
        <w:t> »</w:t>
      </w:r>
      <w:r w:rsidRPr="004F4CF5">
        <w:rPr>
          <w:rFonts w:ascii="Arial" w:hAnsi="Arial"/>
          <w:sz w:val="22"/>
        </w:rPr>
        <w:t>.</w:t>
      </w:r>
    </w:p>
    <w:p w14:paraId="2F65FB58" w14:textId="77777777" w:rsidR="00A664D9" w:rsidRPr="004F4CF5" w:rsidRDefault="00A664D9" w:rsidP="00171E45">
      <w:pPr>
        <w:pStyle w:val="AMFTEXTECOURANT"/>
        <w:rPr>
          <w:rFonts w:ascii="Arial" w:hAnsi="Arial"/>
          <w:sz w:val="22"/>
        </w:rPr>
      </w:pPr>
    </w:p>
    <w:p w14:paraId="7668215A" w14:textId="77777777" w:rsidR="00A664D9" w:rsidRPr="004F4CF5" w:rsidRDefault="00A664D9" w:rsidP="00171E45">
      <w:pPr>
        <w:pStyle w:val="AMFTEXTECOURANT"/>
        <w:rPr>
          <w:rFonts w:ascii="Arial" w:hAnsi="Arial"/>
          <w:sz w:val="22"/>
        </w:rPr>
      </w:pPr>
      <w:r w:rsidRPr="004F4CF5">
        <w:rPr>
          <w:rFonts w:ascii="Arial" w:hAnsi="Arial"/>
          <w:sz w:val="22"/>
        </w:rPr>
        <w:t>Désignation d'un point de contact (personne/service, moment, etc.) où des explications supplémentaires peuvent être obtenues si nécessaire.</w:t>
      </w:r>
    </w:p>
    <w:p w14:paraId="13D4775A" w14:textId="77777777" w:rsidR="00A664D9" w:rsidRPr="004F4CF5" w:rsidRDefault="00A664D9" w:rsidP="00171E45">
      <w:pPr>
        <w:pStyle w:val="AMFTEXTECOURANT"/>
        <w:rPr>
          <w:rFonts w:ascii="Arial" w:hAnsi="Arial"/>
          <w:sz w:val="22"/>
        </w:rPr>
      </w:pPr>
    </w:p>
    <w:p w14:paraId="58F382B3" w14:textId="77777777" w:rsidR="00A664D9" w:rsidRPr="004F4CF5" w:rsidRDefault="00A664D9" w:rsidP="00171E45">
      <w:pPr>
        <w:pStyle w:val="AMFTEXTECOURANT"/>
        <w:rPr>
          <w:rFonts w:ascii="Arial" w:hAnsi="Arial"/>
          <w:sz w:val="22"/>
        </w:rPr>
      </w:pPr>
      <w:r w:rsidRPr="004F4CF5">
        <w:rPr>
          <w:rFonts w:ascii="Arial" w:hAnsi="Arial"/>
          <w:sz w:val="22"/>
        </w:rPr>
        <w:t xml:space="preserve">Si l’OPCI </w:t>
      </w:r>
      <w:r w:rsidR="007E12FD" w:rsidRPr="004F4CF5">
        <w:rPr>
          <w:rFonts w:ascii="Arial" w:hAnsi="Arial"/>
          <w:sz w:val="22"/>
        </w:rPr>
        <w:t>investit a plus de 85% dans un autre OPCI (OPCI Maître)</w:t>
      </w:r>
      <w:r w:rsidRPr="004F4CF5">
        <w:rPr>
          <w:rFonts w:ascii="Arial" w:hAnsi="Arial"/>
          <w:sz w:val="22"/>
        </w:rPr>
        <w:t xml:space="preserve">, ajouter la mention suivante : les documents d’informations relatifs à </w:t>
      </w:r>
      <w:r w:rsidR="007E12FD" w:rsidRPr="004F4CF5">
        <w:rPr>
          <w:rFonts w:ascii="Arial" w:hAnsi="Arial"/>
          <w:sz w:val="22"/>
        </w:rPr>
        <w:t>l’OPCI (OPCI Maître)</w:t>
      </w:r>
      <w:r w:rsidRPr="004F4CF5">
        <w:rPr>
          <w:rFonts w:ascii="Arial" w:hAnsi="Arial"/>
          <w:sz w:val="22"/>
        </w:rPr>
        <w:t xml:space="preserve"> ..................................…, de droit ..................................…, agréé par </w:t>
      </w:r>
      <w:r w:rsidR="00376000" w:rsidRPr="004F4CF5">
        <w:rPr>
          <w:rFonts w:ascii="Arial" w:hAnsi="Arial"/>
          <w:sz w:val="22"/>
        </w:rPr>
        <w:t>la COSUMAF</w:t>
      </w:r>
      <w:r w:rsidRPr="004F4CF5">
        <w:rPr>
          <w:rFonts w:ascii="Arial" w:hAnsi="Arial"/>
          <w:sz w:val="22"/>
        </w:rPr>
        <w:t xml:space="preserve"> sont disponibles auprès de :</w:t>
      </w:r>
    </w:p>
    <w:p w14:paraId="39AA5E9D" w14:textId="77777777" w:rsidR="00504E87" w:rsidRPr="004F4CF5" w:rsidRDefault="00504E87" w:rsidP="00171E45">
      <w:pPr>
        <w:pStyle w:val="AMFTEXTECOURANT"/>
        <w:rPr>
          <w:rFonts w:ascii="Arial" w:hAnsi="Arial"/>
          <w:sz w:val="22"/>
        </w:rPr>
      </w:pPr>
    </w:p>
    <w:p w14:paraId="10E9E00D" w14:textId="77777777" w:rsidR="00A664D9" w:rsidRPr="004F4CF5" w:rsidRDefault="00A664D9" w:rsidP="00171E45">
      <w:pPr>
        <w:pStyle w:val="AMFTEXTECOURANT"/>
        <w:rPr>
          <w:rFonts w:ascii="Arial" w:hAnsi="Arial"/>
          <w:sz w:val="22"/>
        </w:rPr>
      </w:pPr>
      <w:r w:rsidRPr="004F4CF5">
        <w:rPr>
          <w:rFonts w:ascii="Arial" w:hAnsi="Arial"/>
          <w:sz w:val="22"/>
        </w:rPr>
        <w:t>Dénomination sociale</w:t>
      </w:r>
    </w:p>
    <w:p w14:paraId="77451016" w14:textId="77777777" w:rsidR="00A664D9" w:rsidRPr="004F4CF5" w:rsidRDefault="00A664D9" w:rsidP="00171E45">
      <w:pPr>
        <w:pStyle w:val="AMFTEXTECOURANT"/>
        <w:rPr>
          <w:rFonts w:ascii="Arial" w:hAnsi="Arial"/>
          <w:sz w:val="22"/>
        </w:rPr>
      </w:pPr>
      <w:r w:rsidRPr="004F4CF5">
        <w:rPr>
          <w:rFonts w:ascii="Arial" w:hAnsi="Arial"/>
          <w:sz w:val="22"/>
        </w:rPr>
        <w:t>Adresse</w:t>
      </w:r>
    </w:p>
    <w:p w14:paraId="2F871321" w14:textId="77777777" w:rsidR="00A664D9" w:rsidRPr="004F4CF5" w:rsidRDefault="00A664D9" w:rsidP="00171E45">
      <w:pPr>
        <w:pStyle w:val="AMFTEXTECOURANT"/>
        <w:rPr>
          <w:rFonts w:ascii="Arial" w:hAnsi="Arial"/>
          <w:sz w:val="22"/>
        </w:rPr>
      </w:pPr>
      <w:r w:rsidRPr="004F4CF5">
        <w:rPr>
          <w:rFonts w:ascii="Arial" w:hAnsi="Arial"/>
          <w:sz w:val="22"/>
        </w:rPr>
        <w:t>Tél. (éventuellement)</w:t>
      </w:r>
    </w:p>
    <w:p w14:paraId="6BF5ABA2" w14:textId="77777777" w:rsidR="00A664D9" w:rsidRPr="004F4CF5" w:rsidRDefault="00A664D9" w:rsidP="00171E45">
      <w:pPr>
        <w:pStyle w:val="AMFTEXTECOURANT"/>
        <w:rPr>
          <w:rFonts w:ascii="Arial" w:hAnsi="Arial"/>
          <w:sz w:val="22"/>
          <w:u w:val="single"/>
        </w:rPr>
      </w:pPr>
      <w:r w:rsidRPr="004F4CF5">
        <w:rPr>
          <w:rFonts w:ascii="Arial" w:hAnsi="Arial"/>
          <w:sz w:val="22"/>
        </w:rPr>
        <w:t xml:space="preserve">E-mail : </w:t>
      </w:r>
    </w:p>
    <w:p w14:paraId="4AC64D1A" w14:textId="77777777" w:rsidR="00A664D9" w:rsidRPr="004F4CF5" w:rsidRDefault="00A664D9" w:rsidP="00171E45">
      <w:pPr>
        <w:pStyle w:val="AMFTEXTECOURANT"/>
        <w:rPr>
          <w:rFonts w:ascii="Arial" w:hAnsi="Arial"/>
          <w:sz w:val="22"/>
        </w:rPr>
      </w:pPr>
    </w:p>
    <w:p w14:paraId="3488C3F9" w14:textId="77777777" w:rsidR="00A664D9" w:rsidRPr="004F4CF5" w:rsidRDefault="00A664D9" w:rsidP="00171E45">
      <w:pPr>
        <w:pStyle w:val="AMFTEXTECOURANT"/>
        <w:rPr>
          <w:rFonts w:ascii="Arial" w:hAnsi="Arial"/>
          <w:sz w:val="22"/>
        </w:rPr>
      </w:pPr>
      <w:r w:rsidRPr="004F4CF5">
        <w:rPr>
          <w:rFonts w:ascii="Arial" w:hAnsi="Arial"/>
          <w:sz w:val="22"/>
        </w:rPr>
        <w:t>6° Indication sur les conditions de mise à disposition du rapport de synthèse des évaluateurs immobiliers</w:t>
      </w:r>
    </w:p>
    <w:p w14:paraId="7DD30603" w14:textId="77777777" w:rsidR="00A664D9" w:rsidRPr="004F4CF5" w:rsidRDefault="00A664D9" w:rsidP="00171E45">
      <w:pPr>
        <w:pStyle w:val="AMFTEXTECOURANT"/>
        <w:rPr>
          <w:rFonts w:ascii="Arial" w:hAnsi="Arial"/>
          <w:sz w:val="22"/>
        </w:rPr>
      </w:pPr>
    </w:p>
    <w:p w14:paraId="239AAA23" w14:textId="77777777" w:rsidR="00A664D9" w:rsidRPr="004F4CF5" w:rsidRDefault="00A664D9" w:rsidP="00171E45">
      <w:pPr>
        <w:pStyle w:val="AMFTEXTECOURANT"/>
        <w:rPr>
          <w:rFonts w:ascii="Arial" w:hAnsi="Arial"/>
          <w:sz w:val="22"/>
        </w:rPr>
      </w:pPr>
      <w:r w:rsidRPr="004F4CF5">
        <w:rPr>
          <w:rFonts w:ascii="Arial" w:hAnsi="Arial"/>
          <w:sz w:val="22"/>
        </w:rPr>
        <w:t>7° Mention sur les modalités et les échéances de communication des informations.</w:t>
      </w:r>
    </w:p>
    <w:p w14:paraId="7F7DBCBB" w14:textId="77777777" w:rsidR="00A664D9" w:rsidRPr="004F4CF5" w:rsidRDefault="00A664D9" w:rsidP="00A664D9">
      <w:pPr>
        <w:pStyle w:val="AMFIntertitreframboise"/>
        <w:numPr>
          <w:ilvl w:val="0"/>
          <w:numId w:val="0"/>
        </w:numPr>
        <w:rPr>
          <w:rFonts w:ascii="Arial" w:hAnsi="Arial" w:cs="Arial"/>
          <w:sz w:val="22"/>
          <w:szCs w:val="22"/>
        </w:rPr>
      </w:pPr>
      <w:r w:rsidRPr="004F4CF5">
        <w:rPr>
          <w:rFonts w:ascii="Arial" w:hAnsi="Arial" w:cs="Arial"/>
          <w:color w:val="auto"/>
          <w:sz w:val="22"/>
          <w:szCs w:val="22"/>
        </w:rPr>
        <w:t>II - Acteurs de l'OPCI</w:t>
      </w:r>
    </w:p>
    <w:p w14:paraId="15BE3EBB" w14:textId="77777777" w:rsidR="00A664D9" w:rsidRPr="004F4CF5" w:rsidRDefault="00A664D9" w:rsidP="00171E45">
      <w:pPr>
        <w:pStyle w:val="AMFTEXTECOURANT"/>
        <w:rPr>
          <w:rFonts w:ascii="Arial" w:hAnsi="Arial"/>
          <w:sz w:val="22"/>
        </w:rPr>
      </w:pPr>
      <w:r w:rsidRPr="004F4CF5">
        <w:rPr>
          <w:rFonts w:ascii="Arial" w:hAnsi="Arial"/>
          <w:sz w:val="22"/>
        </w:rPr>
        <w:t>La rubrique « acteurs de l'OPCI » comporte la liste, les coordonnées ainsi que les obligations de l'ensemble des acteurs et prestataires de l'OPCI concernés au titre de la gestion, de la conservation, du contrôle ou de la distribution et toute autre information utile aux investisseurs (notamment, le cas échéant, les missions déléguées).</w:t>
      </w:r>
    </w:p>
    <w:p w14:paraId="3E795BE2" w14:textId="77777777" w:rsidR="00A664D9" w:rsidRPr="004F4CF5" w:rsidRDefault="00A664D9" w:rsidP="00171E45">
      <w:pPr>
        <w:pStyle w:val="AMFTEXTECOURANT"/>
        <w:rPr>
          <w:rFonts w:ascii="Arial" w:hAnsi="Arial"/>
          <w:sz w:val="22"/>
        </w:rPr>
      </w:pPr>
    </w:p>
    <w:p w14:paraId="50C6BFAC" w14:textId="77777777" w:rsidR="00A664D9" w:rsidRPr="004F4CF5" w:rsidRDefault="00A664D9" w:rsidP="00171E45">
      <w:pPr>
        <w:pStyle w:val="AMFTEXTECOURANT"/>
        <w:rPr>
          <w:rFonts w:ascii="Arial" w:hAnsi="Arial"/>
          <w:sz w:val="22"/>
        </w:rPr>
      </w:pPr>
      <w:r w:rsidRPr="004F4CF5">
        <w:rPr>
          <w:rFonts w:ascii="Arial" w:hAnsi="Arial"/>
          <w:sz w:val="22"/>
        </w:rPr>
        <w:t xml:space="preserve">1° Société de gestion </w:t>
      </w:r>
      <w:r w:rsidR="00717529" w:rsidRPr="004F4CF5">
        <w:rPr>
          <w:rFonts w:ascii="Arial" w:hAnsi="Arial"/>
          <w:sz w:val="22"/>
        </w:rPr>
        <w:t>d’OPCI</w:t>
      </w:r>
      <w:r w:rsidRPr="004F4CF5">
        <w:rPr>
          <w:rFonts w:ascii="Arial" w:hAnsi="Arial"/>
          <w:sz w:val="22"/>
        </w:rPr>
        <w:t xml:space="preserve"> </w:t>
      </w:r>
    </w:p>
    <w:p w14:paraId="73B409C4" w14:textId="77777777" w:rsidR="00A664D9" w:rsidRPr="004F4CF5" w:rsidRDefault="00A664D9" w:rsidP="00171E45">
      <w:pPr>
        <w:pStyle w:val="AMFTEXTECOURANT"/>
        <w:numPr>
          <w:ilvl w:val="1"/>
          <w:numId w:val="10"/>
        </w:numPr>
        <w:rPr>
          <w:rFonts w:ascii="Arial" w:hAnsi="Arial"/>
          <w:sz w:val="22"/>
        </w:rPr>
      </w:pPr>
      <w:r w:rsidRPr="004F4CF5">
        <w:rPr>
          <w:rFonts w:ascii="Arial" w:hAnsi="Arial"/>
          <w:sz w:val="22"/>
        </w:rPr>
        <w:t>Dénomination ou raison sociale, forme juridique, siège social et adresse postale si celle-ci est différente du siège social.</w:t>
      </w:r>
    </w:p>
    <w:p w14:paraId="5CE78DB3" w14:textId="77777777" w:rsidR="00A664D9" w:rsidRPr="004F4CF5" w:rsidRDefault="00A664D9" w:rsidP="00171E45">
      <w:pPr>
        <w:pStyle w:val="AMFTEXTECOURANT"/>
        <w:numPr>
          <w:ilvl w:val="1"/>
          <w:numId w:val="10"/>
        </w:numPr>
        <w:rPr>
          <w:rFonts w:ascii="Arial" w:hAnsi="Arial"/>
          <w:sz w:val="22"/>
        </w:rPr>
      </w:pPr>
      <w:r w:rsidRPr="004F4CF5">
        <w:rPr>
          <w:rFonts w:ascii="Arial" w:hAnsi="Arial"/>
          <w:sz w:val="22"/>
        </w:rPr>
        <w:lastRenderedPageBreak/>
        <w:t>Identité et fonctions dans la SP</w:t>
      </w:r>
      <w:r w:rsidR="00717529" w:rsidRPr="004F4CF5">
        <w:rPr>
          <w:rFonts w:ascii="Arial" w:hAnsi="Arial"/>
          <w:sz w:val="22"/>
        </w:rPr>
        <w:t>I</w:t>
      </w:r>
      <w:r w:rsidRPr="004F4CF5">
        <w:rPr>
          <w:rFonts w:ascii="Arial" w:hAnsi="Arial"/>
          <w:sz w:val="22"/>
        </w:rPr>
        <w:t xml:space="preserve"> des membres des organes d’administration, de direction et de surveillance</w:t>
      </w:r>
    </w:p>
    <w:p w14:paraId="3A3402A4" w14:textId="77777777" w:rsidR="00A664D9" w:rsidRPr="004F4CF5" w:rsidRDefault="00A664D9" w:rsidP="00171E45">
      <w:pPr>
        <w:pStyle w:val="AMFTEXTECOURANT"/>
        <w:numPr>
          <w:ilvl w:val="1"/>
          <w:numId w:val="10"/>
        </w:numPr>
        <w:rPr>
          <w:rFonts w:ascii="Arial" w:hAnsi="Arial"/>
          <w:sz w:val="22"/>
        </w:rPr>
      </w:pPr>
      <w:r w:rsidRPr="004F4CF5">
        <w:rPr>
          <w:rFonts w:ascii="Arial" w:hAnsi="Arial"/>
          <w:sz w:val="22"/>
        </w:rPr>
        <w:t>Mention des principales activités exercées par ces personnes en dehors de la société lorsqu’elles sont significatives par rapport à celle-ci</w:t>
      </w:r>
    </w:p>
    <w:p w14:paraId="785615A8" w14:textId="77777777" w:rsidR="00A664D9" w:rsidRPr="004F4CF5" w:rsidRDefault="00A664D9" w:rsidP="00171E45">
      <w:pPr>
        <w:pStyle w:val="AMFTEXTECOURANT"/>
        <w:rPr>
          <w:rFonts w:ascii="Arial" w:hAnsi="Arial"/>
          <w:sz w:val="22"/>
        </w:rPr>
      </w:pPr>
    </w:p>
    <w:p w14:paraId="1989C432" w14:textId="77777777" w:rsidR="00A664D9" w:rsidRPr="004F4CF5" w:rsidRDefault="00A664D9" w:rsidP="00171E45">
      <w:pPr>
        <w:pStyle w:val="AMFTEXTECOURANT"/>
        <w:rPr>
          <w:rFonts w:ascii="Arial" w:hAnsi="Arial"/>
          <w:sz w:val="22"/>
        </w:rPr>
      </w:pPr>
      <w:r w:rsidRPr="004F4CF5">
        <w:rPr>
          <w:rFonts w:ascii="Arial" w:hAnsi="Arial"/>
          <w:sz w:val="22"/>
        </w:rPr>
        <w:t xml:space="preserve">Décrire, le cas échéant, la manière dont la société de gestion </w:t>
      </w:r>
      <w:r w:rsidR="00717529" w:rsidRPr="004F4CF5">
        <w:rPr>
          <w:rFonts w:ascii="Arial" w:hAnsi="Arial"/>
          <w:sz w:val="22"/>
        </w:rPr>
        <w:t>d’OPCI</w:t>
      </w:r>
      <w:r w:rsidRPr="004F4CF5">
        <w:rPr>
          <w:rFonts w:ascii="Arial" w:hAnsi="Arial"/>
          <w:sz w:val="22"/>
        </w:rPr>
        <w:t xml:space="preserve"> respecte les exigences afin de couvrir les risques éventuels de mise en cause de sa responsabilité professionnelle à l'occasion de la gestion de FIA.</w:t>
      </w:r>
    </w:p>
    <w:p w14:paraId="553876DF" w14:textId="77777777" w:rsidR="00A664D9" w:rsidRPr="004F4CF5" w:rsidRDefault="00A664D9" w:rsidP="00171E45">
      <w:pPr>
        <w:pStyle w:val="AMFTEXTECOURANT"/>
        <w:rPr>
          <w:rFonts w:ascii="Arial" w:hAnsi="Arial"/>
          <w:sz w:val="22"/>
        </w:rPr>
      </w:pPr>
    </w:p>
    <w:p w14:paraId="72353881" w14:textId="77777777" w:rsidR="00A664D9" w:rsidRPr="004F4CF5" w:rsidRDefault="00A664D9" w:rsidP="00171E45">
      <w:pPr>
        <w:pStyle w:val="AMFTEXTECOURANT"/>
        <w:rPr>
          <w:rFonts w:ascii="Arial" w:hAnsi="Arial"/>
          <w:sz w:val="22"/>
        </w:rPr>
      </w:pPr>
      <w:r w:rsidRPr="004F4CF5">
        <w:rPr>
          <w:rFonts w:ascii="Arial" w:hAnsi="Arial"/>
          <w:sz w:val="22"/>
        </w:rPr>
        <w:t>2° Dépositaire et conservateurs</w:t>
      </w:r>
    </w:p>
    <w:p w14:paraId="57FC7723" w14:textId="77777777" w:rsidR="00504E87" w:rsidRPr="004F4CF5" w:rsidRDefault="00504E87" w:rsidP="00171E45">
      <w:pPr>
        <w:pStyle w:val="AMFTEXTECOURANT"/>
        <w:rPr>
          <w:rFonts w:ascii="Arial" w:hAnsi="Arial"/>
          <w:sz w:val="22"/>
        </w:rPr>
      </w:pPr>
    </w:p>
    <w:p w14:paraId="7EC5917D" w14:textId="77777777" w:rsidR="00A664D9" w:rsidRPr="004F4CF5" w:rsidRDefault="00A664D9" w:rsidP="00504E87">
      <w:pPr>
        <w:pStyle w:val="AMFTEXTECOURANT"/>
        <w:numPr>
          <w:ilvl w:val="0"/>
          <w:numId w:val="20"/>
        </w:numPr>
        <w:rPr>
          <w:rFonts w:ascii="Arial" w:hAnsi="Arial"/>
          <w:sz w:val="22"/>
        </w:rPr>
      </w:pPr>
      <w:r w:rsidRPr="004F4CF5">
        <w:rPr>
          <w:rFonts w:ascii="Arial" w:hAnsi="Arial"/>
          <w:sz w:val="22"/>
        </w:rPr>
        <w:t>Dénomination ou raison sociale, forme juridique, siège social et adresse postale si celle-ci est différente du siège social.</w:t>
      </w:r>
    </w:p>
    <w:p w14:paraId="7C6B6683" w14:textId="77777777" w:rsidR="00A664D9" w:rsidRPr="004F4CF5" w:rsidRDefault="00A664D9" w:rsidP="00504E87">
      <w:pPr>
        <w:pStyle w:val="AMFTEXTECOURANT"/>
        <w:numPr>
          <w:ilvl w:val="0"/>
          <w:numId w:val="20"/>
        </w:numPr>
        <w:rPr>
          <w:rFonts w:ascii="Arial" w:hAnsi="Arial"/>
          <w:sz w:val="22"/>
        </w:rPr>
      </w:pPr>
      <w:r w:rsidRPr="004F4CF5">
        <w:rPr>
          <w:rFonts w:ascii="Arial" w:hAnsi="Arial"/>
          <w:sz w:val="22"/>
        </w:rPr>
        <w:t>Activité principale, pour :</w:t>
      </w:r>
    </w:p>
    <w:p w14:paraId="3F48A467" w14:textId="77777777" w:rsidR="00A664D9" w:rsidRPr="004F4CF5" w:rsidRDefault="00A664D9" w:rsidP="00171E45">
      <w:pPr>
        <w:pStyle w:val="AMFTEXTECOURANT"/>
        <w:rPr>
          <w:rFonts w:ascii="Arial" w:hAnsi="Arial"/>
          <w:sz w:val="22"/>
        </w:rPr>
      </w:pPr>
      <w:r w:rsidRPr="004F4CF5">
        <w:rPr>
          <w:rFonts w:ascii="Arial" w:hAnsi="Arial"/>
          <w:i/>
          <w:sz w:val="22"/>
        </w:rPr>
        <w:t>a)</w:t>
      </w:r>
      <w:r w:rsidRPr="004F4CF5">
        <w:rPr>
          <w:rFonts w:ascii="Arial" w:hAnsi="Arial"/>
          <w:sz w:val="22"/>
        </w:rPr>
        <w:t xml:space="preserve"> Le dépositaire ;</w:t>
      </w:r>
    </w:p>
    <w:p w14:paraId="60D7E426" w14:textId="77777777" w:rsidR="00A664D9" w:rsidRPr="004F4CF5" w:rsidRDefault="00A664D9" w:rsidP="00171E45">
      <w:pPr>
        <w:pStyle w:val="AMFTEXTECOURANT"/>
        <w:rPr>
          <w:rFonts w:ascii="Arial" w:hAnsi="Arial"/>
          <w:sz w:val="22"/>
        </w:rPr>
      </w:pPr>
      <w:r w:rsidRPr="004F4CF5">
        <w:rPr>
          <w:rFonts w:ascii="Arial" w:hAnsi="Arial"/>
          <w:i/>
          <w:sz w:val="22"/>
        </w:rPr>
        <w:t>b)</w:t>
      </w:r>
      <w:r w:rsidRPr="004F4CF5">
        <w:rPr>
          <w:rFonts w:ascii="Arial" w:hAnsi="Arial"/>
          <w:sz w:val="22"/>
        </w:rPr>
        <w:t xml:space="preserve"> Le conservateur (actif de l'OPCI) ;</w:t>
      </w:r>
    </w:p>
    <w:p w14:paraId="555872C0" w14:textId="77777777" w:rsidR="00A664D9" w:rsidRPr="004F4CF5" w:rsidRDefault="00A664D9" w:rsidP="00171E45">
      <w:pPr>
        <w:pStyle w:val="AMFTEXTECOURANT"/>
        <w:rPr>
          <w:rFonts w:ascii="Arial" w:hAnsi="Arial"/>
          <w:sz w:val="22"/>
        </w:rPr>
      </w:pPr>
      <w:r w:rsidRPr="004F4CF5">
        <w:rPr>
          <w:rFonts w:ascii="Arial" w:hAnsi="Arial"/>
          <w:i/>
          <w:sz w:val="22"/>
        </w:rPr>
        <w:t>c)</w:t>
      </w:r>
      <w:r w:rsidRPr="004F4CF5">
        <w:rPr>
          <w:rFonts w:ascii="Arial" w:hAnsi="Arial"/>
          <w:sz w:val="22"/>
        </w:rPr>
        <w:t xml:space="preserve"> L'établissement en charge de la tenue des registres des parts ou actions (passif de l'OPCI).</w:t>
      </w:r>
    </w:p>
    <w:p w14:paraId="3D370DA3" w14:textId="77777777" w:rsidR="00570AE3" w:rsidRPr="004F4CF5" w:rsidRDefault="00570AE3" w:rsidP="00171E45">
      <w:pPr>
        <w:pStyle w:val="AMFTEXTECOURANT"/>
        <w:rPr>
          <w:rFonts w:ascii="Arial" w:hAnsi="Arial"/>
          <w:sz w:val="22"/>
        </w:rPr>
      </w:pPr>
    </w:p>
    <w:p w14:paraId="0412F08C" w14:textId="77777777" w:rsidR="00A664D9" w:rsidRPr="004F4CF5" w:rsidRDefault="00A664D9" w:rsidP="00171E45">
      <w:pPr>
        <w:pStyle w:val="AMFTEXTECOURANT"/>
        <w:rPr>
          <w:rFonts w:ascii="Arial" w:hAnsi="Arial"/>
          <w:sz w:val="22"/>
        </w:rPr>
      </w:pPr>
      <w:r w:rsidRPr="004F4CF5">
        <w:rPr>
          <w:rFonts w:ascii="Arial" w:hAnsi="Arial"/>
          <w:sz w:val="22"/>
        </w:rPr>
        <w:t>Le cas échéant, description de toute fonction de garde déléguée par le dépositaire, l’identification du délégataire et tout conflit d’intérêts susceptible de découler de ces délégations.</w:t>
      </w:r>
    </w:p>
    <w:p w14:paraId="65A2E587" w14:textId="77777777" w:rsidR="00A664D9" w:rsidRPr="004F4CF5" w:rsidRDefault="00A664D9" w:rsidP="00171E45">
      <w:pPr>
        <w:pStyle w:val="AMFTEXTECOURANT"/>
        <w:rPr>
          <w:rFonts w:ascii="Arial" w:hAnsi="Arial"/>
          <w:sz w:val="22"/>
        </w:rPr>
      </w:pPr>
    </w:p>
    <w:p w14:paraId="354C4E80" w14:textId="77777777" w:rsidR="00A664D9" w:rsidRPr="004F4CF5" w:rsidRDefault="00A664D9" w:rsidP="00171E45">
      <w:pPr>
        <w:pStyle w:val="AMFTEXTECOURANT"/>
        <w:rPr>
          <w:rFonts w:ascii="Arial" w:hAnsi="Arial"/>
          <w:sz w:val="22"/>
        </w:rPr>
      </w:pPr>
      <w:r w:rsidRPr="004F4CF5">
        <w:rPr>
          <w:rFonts w:ascii="Arial" w:hAnsi="Arial"/>
          <w:sz w:val="22"/>
        </w:rPr>
        <w:t xml:space="preserve">3° Commissaire aux comptes </w:t>
      </w:r>
    </w:p>
    <w:p w14:paraId="4B6C51E7" w14:textId="77777777" w:rsidR="00A664D9" w:rsidRPr="004F4CF5" w:rsidRDefault="00A664D9" w:rsidP="00171E45">
      <w:pPr>
        <w:pStyle w:val="AMFTEXTECOURANT"/>
        <w:rPr>
          <w:rFonts w:ascii="Arial" w:hAnsi="Arial"/>
          <w:sz w:val="22"/>
        </w:rPr>
      </w:pPr>
      <w:r w:rsidRPr="004F4CF5">
        <w:rPr>
          <w:rFonts w:ascii="Arial" w:hAnsi="Arial"/>
          <w:sz w:val="22"/>
        </w:rPr>
        <w:t>Dénomination ou raison sociale, siège social, signataire.</w:t>
      </w:r>
    </w:p>
    <w:p w14:paraId="158ED6C0" w14:textId="77777777" w:rsidR="00A664D9" w:rsidRPr="004F4CF5" w:rsidRDefault="00A664D9" w:rsidP="00171E45">
      <w:pPr>
        <w:pStyle w:val="AMFTEXTECOURANT"/>
        <w:rPr>
          <w:rFonts w:ascii="Arial" w:hAnsi="Arial"/>
          <w:sz w:val="22"/>
        </w:rPr>
      </w:pPr>
    </w:p>
    <w:p w14:paraId="23D13056" w14:textId="2FAB67A5" w:rsidR="00A664D9" w:rsidRPr="004F4CF5" w:rsidRDefault="00A664D9" w:rsidP="00171E45">
      <w:pPr>
        <w:pStyle w:val="AMFTEXTECOURANT"/>
        <w:rPr>
          <w:rFonts w:ascii="Arial" w:hAnsi="Arial"/>
          <w:sz w:val="22"/>
        </w:rPr>
      </w:pPr>
      <w:r w:rsidRPr="004F4CF5">
        <w:rPr>
          <w:rFonts w:ascii="Arial" w:hAnsi="Arial"/>
          <w:sz w:val="22"/>
        </w:rPr>
        <w:t xml:space="preserve">4° </w:t>
      </w:r>
      <w:r w:rsidR="003700E8" w:rsidRPr="004F4CF5">
        <w:rPr>
          <w:rFonts w:ascii="Arial" w:hAnsi="Arial"/>
          <w:sz w:val="22"/>
        </w:rPr>
        <w:t>Distributeurs</w:t>
      </w:r>
    </w:p>
    <w:p w14:paraId="2B3809A4" w14:textId="77777777" w:rsidR="00A664D9" w:rsidRPr="004F4CF5" w:rsidRDefault="00A664D9" w:rsidP="00171E45">
      <w:pPr>
        <w:pStyle w:val="AMFTEXTECOURANT"/>
        <w:rPr>
          <w:rFonts w:ascii="Arial" w:hAnsi="Arial"/>
          <w:sz w:val="22"/>
        </w:rPr>
      </w:pPr>
      <w:r w:rsidRPr="004F4CF5">
        <w:rPr>
          <w:rFonts w:ascii="Arial" w:hAnsi="Arial"/>
          <w:sz w:val="22"/>
        </w:rPr>
        <w:t>Dénomination ou raison sociale, forme juridique, siège social et adresse postale si celle-ci est différente du siège social.</w:t>
      </w:r>
    </w:p>
    <w:p w14:paraId="1FD6AD79" w14:textId="77777777" w:rsidR="00A664D9" w:rsidRPr="004F4CF5" w:rsidRDefault="00A664D9" w:rsidP="00171E45">
      <w:pPr>
        <w:pStyle w:val="AMFTEXTECOURANT"/>
        <w:rPr>
          <w:rFonts w:ascii="Arial" w:hAnsi="Arial"/>
          <w:sz w:val="22"/>
        </w:rPr>
      </w:pPr>
    </w:p>
    <w:p w14:paraId="09C9CD15" w14:textId="77777777" w:rsidR="00A664D9" w:rsidRPr="004F4CF5" w:rsidRDefault="00A664D9" w:rsidP="00171E45">
      <w:pPr>
        <w:pStyle w:val="AMFTEXTECOURANT"/>
        <w:rPr>
          <w:rFonts w:ascii="Arial" w:hAnsi="Arial"/>
          <w:sz w:val="22"/>
        </w:rPr>
      </w:pPr>
      <w:r w:rsidRPr="004F4CF5">
        <w:rPr>
          <w:rFonts w:ascii="Arial" w:hAnsi="Arial"/>
          <w:sz w:val="22"/>
        </w:rPr>
        <w:t xml:space="preserve">5° Personne s'assurant que les critères relatifs à la capacité des souscripteurs ou acquéreurs ont été respectés et que ces derniers ont reçu l'information requise. </w:t>
      </w:r>
    </w:p>
    <w:p w14:paraId="1DCD551B" w14:textId="77777777" w:rsidR="00717529" w:rsidRPr="004F4CF5" w:rsidRDefault="00717529" w:rsidP="00171E45">
      <w:pPr>
        <w:pStyle w:val="AMFTEXTECOURANT"/>
        <w:rPr>
          <w:rFonts w:ascii="Arial" w:hAnsi="Arial"/>
          <w:sz w:val="22"/>
        </w:rPr>
      </w:pPr>
    </w:p>
    <w:p w14:paraId="6946A24E" w14:textId="77777777" w:rsidR="00A664D9" w:rsidRPr="004F4CF5" w:rsidRDefault="00A664D9" w:rsidP="00171E45">
      <w:pPr>
        <w:pStyle w:val="AMFTEXTECOURANT"/>
        <w:rPr>
          <w:rFonts w:ascii="Arial" w:hAnsi="Arial"/>
          <w:sz w:val="22"/>
        </w:rPr>
      </w:pPr>
      <w:r w:rsidRPr="004F4CF5">
        <w:rPr>
          <w:rFonts w:ascii="Arial" w:hAnsi="Arial"/>
          <w:sz w:val="22"/>
        </w:rPr>
        <w:t>6° Délégataires</w:t>
      </w:r>
    </w:p>
    <w:p w14:paraId="55CD7EB3" w14:textId="77777777" w:rsidR="00A664D9" w:rsidRPr="004F4CF5" w:rsidRDefault="00A664D9" w:rsidP="00171E45">
      <w:pPr>
        <w:pStyle w:val="AMFTEXTECOURANT"/>
        <w:rPr>
          <w:rFonts w:ascii="Arial" w:hAnsi="Arial"/>
          <w:sz w:val="22"/>
        </w:rPr>
      </w:pPr>
      <w:r w:rsidRPr="004F4CF5">
        <w:rPr>
          <w:rFonts w:ascii="Arial" w:hAnsi="Arial"/>
          <w:sz w:val="22"/>
        </w:rPr>
        <w:t>Cette rubrique regroupe, pour l'ensemble des délégations, notamment financière, administrative et comptable, les informations suivantes :</w:t>
      </w:r>
    </w:p>
    <w:p w14:paraId="4782763D" w14:textId="77777777" w:rsidR="00A664D9" w:rsidRPr="004F4CF5" w:rsidRDefault="00A664D9" w:rsidP="00171E45">
      <w:pPr>
        <w:pStyle w:val="AMFTEXTECOURANT"/>
        <w:rPr>
          <w:rFonts w:ascii="Arial" w:hAnsi="Arial"/>
          <w:sz w:val="22"/>
        </w:rPr>
      </w:pPr>
      <w:r w:rsidRPr="004F4CF5">
        <w:rPr>
          <w:rFonts w:ascii="Arial" w:hAnsi="Arial"/>
          <w:sz w:val="22"/>
        </w:rPr>
        <w:t>a) Identité ou raison sociale de la société ;</w:t>
      </w:r>
    </w:p>
    <w:p w14:paraId="72FEDA7F" w14:textId="77777777" w:rsidR="00A664D9" w:rsidRPr="004F4CF5" w:rsidRDefault="00A664D9" w:rsidP="00171E45">
      <w:pPr>
        <w:pStyle w:val="AMFTEXTECOURANT"/>
        <w:rPr>
          <w:rFonts w:ascii="Arial" w:hAnsi="Arial"/>
          <w:sz w:val="22"/>
        </w:rPr>
      </w:pPr>
      <w:r w:rsidRPr="004F4CF5">
        <w:rPr>
          <w:rFonts w:ascii="Arial" w:hAnsi="Arial"/>
          <w:sz w:val="22"/>
        </w:rPr>
        <w:t xml:space="preserve">b) Éléments du contrat avec la société de gestion </w:t>
      </w:r>
      <w:r w:rsidR="00717529" w:rsidRPr="004F4CF5">
        <w:rPr>
          <w:rFonts w:ascii="Arial" w:hAnsi="Arial"/>
          <w:sz w:val="22"/>
        </w:rPr>
        <w:t>d’OPCI</w:t>
      </w:r>
      <w:r w:rsidRPr="004F4CF5">
        <w:rPr>
          <w:rFonts w:ascii="Arial" w:hAnsi="Arial"/>
          <w:sz w:val="22"/>
        </w:rPr>
        <w:t xml:space="preserve"> de nature à intéresser les investisseurs, à l'exclusion de ceux relatifs aux rémunérations ;</w:t>
      </w:r>
    </w:p>
    <w:p w14:paraId="36114042" w14:textId="77777777" w:rsidR="00A664D9" w:rsidRPr="004F4CF5" w:rsidRDefault="00A664D9" w:rsidP="00171E45">
      <w:pPr>
        <w:pStyle w:val="AMFTEXTECOURANT"/>
        <w:rPr>
          <w:rFonts w:ascii="Arial" w:hAnsi="Arial"/>
          <w:sz w:val="22"/>
        </w:rPr>
      </w:pPr>
      <w:r w:rsidRPr="004F4CF5">
        <w:rPr>
          <w:rFonts w:ascii="Arial" w:hAnsi="Arial"/>
          <w:sz w:val="22"/>
        </w:rPr>
        <w:t>c) Autres caractéristiques sommaires de l'activité de la société délégataire ;</w:t>
      </w:r>
    </w:p>
    <w:p w14:paraId="4EDB0336" w14:textId="77777777" w:rsidR="00A664D9" w:rsidRPr="004F4CF5" w:rsidRDefault="00A664D9" w:rsidP="00171E45">
      <w:pPr>
        <w:pStyle w:val="AMFTEXTECOURANT"/>
        <w:rPr>
          <w:rFonts w:ascii="Arial" w:hAnsi="Arial"/>
          <w:sz w:val="22"/>
        </w:rPr>
      </w:pPr>
      <w:r w:rsidRPr="004F4CF5">
        <w:rPr>
          <w:rFonts w:ascii="Arial" w:hAnsi="Arial"/>
          <w:sz w:val="22"/>
        </w:rPr>
        <w:t>d) Tout conflit d’intérêts susceptible de découler de ces délégations.</w:t>
      </w:r>
    </w:p>
    <w:p w14:paraId="43170349" w14:textId="77777777" w:rsidR="00A664D9" w:rsidRPr="004F4CF5" w:rsidRDefault="00A664D9" w:rsidP="00171E45">
      <w:pPr>
        <w:pStyle w:val="AMFTEXTECOURANT"/>
        <w:rPr>
          <w:rFonts w:ascii="Arial" w:hAnsi="Arial"/>
          <w:sz w:val="22"/>
        </w:rPr>
      </w:pPr>
    </w:p>
    <w:p w14:paraId="64E5EB19" w14:textId="77777777" w:rsidR="00A664D9" w:rsidRPr="004F4CF5" w:rsidRDefault="00A664D9" w:rsidP="00171E45">
      <w:pPr>
        <w:pStyle w:val="AMFTEXTECOURANT"/>
        <w:rPr>
          <w:rFonts w:ascii="Arial" w:hAnsi="Arial"/>
          <w:i/>
          <w:sz w:val="22"/>
        </w:rPr>
      </w:pPr>
      <w:r w:rsidRPr="004F4CF5">
        <w:rPr>
          <w:rFonts w:ascii="Arial" w:hAnsi="Arial"/>
          <w:sz w:val="22"/>
        </w:rPr>
        <w:t>7° Centralisateur :</w:t>
      </w:r>
      <w:r w:rsidRPr="004F4CF5">
        <w:rPr>
          <w:rFonts w:ascii="Arial" w:hAnsi="Arial"/>
          <w:i/>
          <w:sz w:val="22"/>
        </w:rPr>
        <w:t xml:space="preserve"> </w:t>
      </w:r>
    </w:p>
    <w:p w14:paraId="63790748" w14:textId="77777777" w:rsidR="00A664D9" w:rsidRPr="004F4CF5" w:rsidRDefault="00A664D9" w:rsidP="00171E45">
      <w:pPr>
        <w:pStyle w:val="AMFTEXTECOURANT"/>
        <w:rPr>
          <w:rFonts w:ascii="Arial" w:hAnsi="Arial"/>
          <w:sz w:val="22"/>
        </w:rPr>
      </w:pPr>
      <w:r w:rsidRPr="004F4CF5">
        <w:rPr>
          <w:rFonts w:ascii="Arial" w:hAnsi="Arial"/>
          <w:i/>
          <w:sz w:val="22"/>
        </w:rPr>
        <w:t>a</w:t>
      </w:r>
      <w:r w:rsidRPr="004F4CF5">
        <w:rPr>
          <w:rFonts w:ascii="Arial" w:hAnsi="Arial"/>
          <w:sz w:val="22"/>
        </w:rPr>
        <w:t xml:space="preserve">) identité du centralisateur </w:t>
      </w:r>
    </w:p>
    <w:p w14:paraId="35192FE5" w14:textId="77777777" w:rsidR="00A664D9" w:rsidRPr="004F4CF5" w:rsidRDefault="00A664D9" w:rsidP="00171E45">
      <w:pPr>
        <w:pStyle w:val="AMFTEXTECOURANT"/>
        <w:rPr>
          <w:rFonts w:ascii="Arial" w:hAnsi="Arial"/>
          <w:sz w:val="22"/>
        </w:rPr>
      </w:pPr>
      <w:r w:rsidRPr="004F4CF5">
        <w:rPr>
          <w:rFonts w:ascii="Arial" w:hAnsi="Arial"/>
          <w:sz w:val="22"/>
        </w:rPr>
        <w:t>b) identité du ou des établissement(s) en charge de la réception des ordres de souscription et rachat ;</w:t>
      </w:r>
    </w:p>
    <w:p w14:paraId="224F3CC2" w14:textId="77777777" w:rsidR="00A664D9" w:rsidRPr="004F4CF5" w:rsidRDefault="00A664D9" w:rsidP="00171E45">
      <w:pPr>
        <w:pStyle w:val="AMFTEXTECOURANT"/>
        <w:rPr>
          <w:rFonts w:ascii="Arial" w:hAnsi="Arial"/>
          <w:sz w:val="22"/>
        </w:rPr>
      </w:pPr>
    </w:p>
    <w:p w14:paraId="54DAACC7" w14:textId="5DB3FCC2" w:rsidR="00A664D9" w:rsidRPr="004F4CF5" w:rsidRDefault="00A664D9" w:rsidP="00171E45">
      <w:pPr>
        <w:pStyle w:val="AMFTEXTECOURANT"/>
        <w:rPr>
          <w:rFonts w:ascii="Arial" w:hAnsi="Arial"/>
          <w:sz w:val="22"/>
        </w:rPr>
      </w:pPr>
      <w:r w:rsidRPr="004F4CF5">
        <w:rPr>
          <w:rFonts w:ascii="Arial" w:hAnsi="Arial"/>
          <w:sz w:val="22"/>
        </w:rPr>
        <w:t>8 ° Expert(s) externe(s) en évaluation</w:t>
      </w:r>
    </w:p>
    <w:p w14:paraId="0A2BDFD7" w14:textId="77777777" w:rsidR="003700E8" w:rsidRPr="004F4CF5" w:rsidRDefault="003700E8" w:rsidP="00171E45">
      <w:pPr>
        <w:pStyle w:val="AMFTEXTECOURANT"/>
        <w:rPr>
          <w:rFonts w:ascii="Arial" w:hAnsi="Arial"/>
          <w:sz w:val="22"/>
        </w:rPr>
      </w:pPr>
      <w:r w:rsidRPr="004F4CF5">
        <w:rPr>
          <w:rFonts w:ascii="Arial" w:hAnsi="Arial"/>
          <w:sz w:val="22"/>
        </w:rPr>
        <w:t>Dénomination ou raison sociale, forme juridique, siège social et adresse postale si celle-ci est différente du siège social.</w:t>
      </w:r>
    </w:p>
    <w:p w14:paraId="64232103" w14:textId="77777777" w:rsidR="00A664D9" w:rsidRPr="004F4CF5" w:rsidRDefault="00A664D9" w:rsidP="00171E45">
      <w:pPr>
        <w:pStyle w:val="AMFTEXTECOURANT"/>
        <w:rPr>
          <w:rFonts w:ascii="Arial" w:hAnsi="Arial"/>
          <w:sz w:val="22"/>
        </w:rPr>
      </w:pPr>
    </w:p>
    <w:p w14:paraId="32B65E4F" w14:textId="77777777" w:rsidR="00A664D9" w:rsidRPr="004F4CF5" w:rsidRDefault="00A664D9" w:rsidP="00171E45">
      <w:pPr>
        <w:pStyle w:val="AMFTEXTECOURANT"/>
        <w:rPr>
          <w:rFonts w:ascii="Arial" w:hAnsi="Arial"/>
          <w:sz w:val="22"/>
        </w:rPr>
      </w:pPr>
      <w:r w:rsidRPr="004F4CF5">
        <w:rPr>
          <w:rFonts w:ascii="Arial" w:hAnsi="Arial"/>
          <w:sz w:val="22"/>
        </w:rPr>
        <w:t>9° Conseillers</w:t>
      </w:r>
    </w:p>
    <w:p w14:paraId="194CDDF5" w14:textId="77777777" w:rsidR="00A664D9" w:rsidRPr="004F4CF5" w:rsidRDefault="00A664D9" w:rsidP="00171E45">
      <w:pPr>
        <w:pStyle w:val="AMFTEXTECOURANT"/>
        <w:rPr>
          <w:rFonts w:ascii="Arial" w:hAnsi="Arial"/>
          <w:sz w:val="22"/>
        </w:rPr>
      </w:pPr>
      <w:r w:rsidRPr="004F4CF5">
        <w:rPr>
          <w:rFonts w:ascii="Arial" w:hAnsi="Arial"/>
          <w:sz w:val="22"/>
        </w:rPr>
        <w:t xml:space="preserve">Indications sur les entreprises de conseil ou les conseillers d'investissement externes, pour autant que le recours à leurs services soit prévu par contrat directement ou pour le compte de l'OPCI. Ne sont pas visées les prestations fournies à la société de gestion </w:t>
      </w:r>
      <w:r w:rsidR="00FA1421" w:rsidRPr="004F4CF5">
        <w:rPr>
          <w:rFonts w:ascii="Arial" w:hAnsi="Arial"/>
          <w:sz w:val="22"/>
        </w:rPr>
        <w:t>d’OPCI</w:t>
      </w:r>
      <w:r w:rsidRPr="004F4CF5">
        <w:rPr>
          <w:rFonts w:ascii="Arial" w:hAnsi="Arial"/>
          <w:sz w:val="22"/>
        </w:rPr>
        <w:t xml:space="preserve"> pour </w:t>
      </w:r>
      <w:r w:rsidRPr="004F4CF5">
        <w:rPr>
          <w:rFonts w:ascii="Arial" w:hAnsi="Arial"/>
          <w:sz w:val="22"/>
        </w:rPr>
        <w:lastRenderedPageBreak/>
        <w:t>l'ensemble de son activité, qui ne sont pas directement liées à un OPCI ou à une gamme d'OPCI.</w:t>
      </w:r>
    </w:p>
    <w:p w14:paraId="34EBD101" w14:textId="77777777" w:rsidR="00A664D9" w:rsidRPr="004F4CF5" w:rsidRDefault="00A664D9" w:rsidP="00171E45">
      <w:pPr>
        <w:pStyle w:val="AMFTEXTECOURANT"/>
        <w:rPr>
          <w:rFonts w:ascii="Arial" w:hAnsi="Arial"/>
          <w:sz w:val="22"/>
        </w:rPr>
      </w:pPr>
      <w:r w:rsidRPr="004F4CF5">
        <w:rPr>
          <w:rFonts w:ascii="Arial" w:hAnsi="Arial"/>
          <w:i/>
          <w:sz w:val="22"/>
        </w:rPr>
        <w:t>a)</w:t>
      </w:r>
      <w:r w:rsidRPr="004F4CF5">
        <w:rPr>
          <w:rFonts w:ascii="Arial" w:hAnsi="Arial"/>
          <w:sz w:val="22"/>
        </w:rPr>
        <w:t xml:space="preserve"> Identité ou raison sociale de la société ou nom du conseiller ;</w:t>
      </w:r>
    </w:p>
    <w:p w14:paraId="55BDD466" w14:textId="77777777" w:rsidR="00A664D9" w:rsidRPr="004F4CF5" w:rsidRDefault="00A664D9" w:rsidP="00171E45">
      <w:pPr>
        <w:pStyle w:val="AMFTEXTECOURANT"/>
        <w:rPr>
          <w:rFonts w:ascii="Arial" w:hAnsi="Arial"/>
          <w:sz w:val="22"/>
        </w:rPr>
      </w:pPr>
      <w:r w:rsidRPr="004F4CF5">
        <w:rPr>
          <w:rFonts w:ascii="Arial" w:hAnsi="Arial"/>
          <w:i/>
          <w:sz w:val="22"/>
        </w:rPr>
        <w:t>b)</w:t>
      </w:r>
      <w:r w:rsidRPr="004F4CF5">
        <w:rPr>
          <w:rFonts w:ascii="Arial" w:hAnsi="Arial"/>
          <w:sz w:val="22"/>
        </w:rPr>
        <w:t xml:space="preserve"> Éléments du contrat avec la société de gestion </w:t>
      </w:r>
      <w:r w:rsidR="00FA1421" w:rsidRPr="004F4CF5">
        <w:rPr>
          <w:rFonts w:ascii="Arial" w:hAnsi="Arial"/>
          <w:sz w:val="22"/>
        </w:rPr>
        <w:t xml:space="preserve">d’OPCI </w:t>
      </w:r>
      <w:r w:rsidRPr="004F4CF5">
        <w:rPr>
          <w:rFonts w:ascii="Arial" w:hAnsi="Arial"/>
          <w:sz w:val="22"/>
        </w:rPr>
        <w:t>ou la SP</w:t>
      </w:r>
      <w:r w:rsidR="00FA1421" w:rsidRPr="004F4CF5">
        <w:rPr>
          <w:rFonts w:ascii="Arial" w:hAnsi="Arial"/>
          <w:sz w:val="22"/>
        </w:rPr>
        <w:t>I</w:t>
      </w:r>
      <w:r w:rsidRPr="004F4CF5">
        <w:rPr>
          <w:rFonts w:ascii="Arial" w:hAnsi="Arial"/>
          <w:sz w:val="22"/>
        </w:rPr>
        <w:t xml:space="preserve"> de nature à intéresser les investisseurs, à l'exclusion de ceux relatifs aux rémunérations ;</w:t>
      </w:r>
    </w:p>
    <w:p w14:paraId="6E8A405E" w14:textId="77777777" w:rsidR="00A664D9" w:rsidRPr="004F4CF5" w:rsidRDefault="00A664D9" w:rsidP="00171E45">
      <w:pPr>
        <w:pStyle w:val="AMFTEXTECOURANT"/>
        <w:rPr>
          <w:rFonts w:ascii="Arial" w:hAnsi="Arial"/>
          <w:sz w:val="22"/>
        </w:rPr>
      </w:pPr>
      <w:r w:rsidRPr="004F4CF5">
        <w:rPr>
          <w:rFonts w:ascii="Arial" w:hAnsi="Arial"/>
          <w:i/>
          <w:sz w:val="22"/>
        </w:rPr>
        <w:t>c)</w:t>
      </w:r>
      <w:r w:rsidRPr="004F4CF5">
        <w:rPr>
          <w:rFonts w:ascii="Arial" w:hAnsi="Arial"/>
          <w:sz w:val="22"/>
        </w:rPr>
        <w:t xml:space="preserve"> Autres caractéristiques sommaires de l'activité de la société ou du conseiller.</w:t>
      </w:r>
    </w:p>
    <w:p w14:paraId="48D444E4" w14:textId="77777777" w:rsidR="00A664D9" w:rsidRPr="004F4CF5" w:rsidRDefault="00A664D9" w:rsidP="00171E45">
      <w:pPr>
        <w:pStyle w:val="AMFTEXTECOURANT"/>
        <w:rPr>
          <w:rFonts w:ascii="Arial" w:hAnsi="Arial"/>
          <w:sz w:val="22"/>
        </w:rPr>
      </w:pPr>
      <w:r w:rsidRPr="004F4CF5">
        <w:rPr>
          <w:rFonts w:ascii="Arial" w:hAnsi="Arial"/>
          <w:sz w:val="22"/>
        </w:rPr>
        <w:t xml:space="preserve">Le conseiller n'est pas amené à prendre des décisions pour le compte de l'OPCI, qui relèvent de la compétence et de la responsabilité de la société de gestion </w:t>
      </w:r>
      <w:r w:rsidR="00FA1421" w:rsidRPr="004F4CF5">
        <w:rPr>
          <w:rFonts w:ascii="Arial" w:hAnsi="Arial"/>
          <w:sz w:val="22"/>
        </w:rPr>
        <w:t>d’OPCI</w:t>
      </w:r>
      <w:r w:rsidRPr="004F4CF5">
        <w:rPr>
          <w:rFonts w:ascii="Arial" w:hAnsi="Arial"/>
          <w:sz w:val="22"/>
        </w:rPr>
        <w:t>.</w:t>
      </w:r>
    </w:p>
    <w:p w14:paraId="1263CAA7" w14:textId="77777777" w:rsidR="00A664D9" w:rsidRPr="004F4CF5" w:rsidRDefault="00A664D9" w:rsidP="00171E45">
      <w:pPr>
        <w:pStyle w:val="AMFTEXTECOURANT"/>
        <w:rPr>
          <w:rFonts w:ascii="Arial" w:hAnsi="Arial"/>
          <w:sz w:val="22"/>
        </w:rPr>
      </w:pPr>
    </w:p>
    <w:p w14:paraId="19622AC2" w14:textId="77777777" w:rsidR="00A664D9" w:rsidRPr="004F4CF5" w:rsidRDefault="00A664D9" w:rsidP="00A664D9">
      <w:pPr>
        <w:pStyle w:val="AMFIntertitreframboise"/>
        <w:numPr>
          <w:ilvl w:val="0"/>
          <w:numId w:val="0"/>
        </w:numPr>
        <w:rPr>
          <w:rFonts w:ascii="Arial" w:hAnsi="Arial" w:cs="Arial"/>
          <w:sz w:val="22"/>
          <w:szCs w:val="22"/>
        </w:rPr>
      </w:pPr>
      <w:r w:rsidRPr="004F4CF5">
        <w:rPr>
          <w:rFonts w:ascii="Arial" w:hAnsi="Arial" w:cs="Arial"/>
          <w:color w:val="auto"/>
          <w:sz w:val="22"/>
          <w:szCs w:val="22"/>
        </w:rPr>
        <w:t>III- La politique de gestion</w:t>
      </w:r>
    </w:p>
    <w:p w14:paraId="660F0FE5" w14:textId="77777777" w:rsidR="00A664D9" w:rsidRPr="004F4CF5" w:rsidRDefault="00A664D9" w:rsidP="00171E45">
      <w:pPr>
        <w:pStyle w:val="AMFTEXTECOURANT"/>
        <w:rPr>
          <w:rFonts w:ascii="Arial" w:hAnsi="Arial"/>
          <w:sz w:val="22"/>
        </w:rPr>
      </w:pPr>
      <w:r w:rsidRPr="004F4CF5">
        <w:rPr>
          <w:rFonts w:ascii="Arial" w:hAnsi="Arial"/>
          <w:sz w:val="22"/>
        </w:rPr>
        <w:t>La rubrique « politique de gestion de l'OPCI » détaille la stratégie de gestion envisagée par l'OPCI.</w:t>
      </w:r>
    </w:p>
    <w:p w14:paraId="6AE19F9A" w14:textId="77777777" w:rsidR="00A664D9" w:rsidRPr="004F4CF5" w:rsidRDefault="00A664D9" w:rsidP="00171E45">
      <w:pPr>
        <w:pStyle w:val="AMFTEXTECOURANT"/>
        <w:rPr>
          <w:rFonts w:ascii="Arial" w:hAnsi="Arial"/>
          <w:sz w:val="22"/>
        </w:rPr>
      </w:pPr>
    </w:p>
    <w:p w14:paraId="6CB4C7DC" w14:textId="77777777" w:rsidR="00A664D9" w:rsidRPr="004F4CF5" w:rsidRDefault="00A664D9" w:rsidP="00171E45">
      <w:pPr>
        <w:pStyle w:val="AMFTEXTECOURANT"/>
        <w:rPr>
          <w:rFonts w:ascii="Arial" w:hAnsi="Arial"/>
          <w:sz w:val="22"/>
        </w:rPr>
      </w:pPr>
      <w:r w:rsidRPr="004F4CF5">
        <w:rPr>
          <w:rFonts w:ascii="Arial" w:hAnsi="Arial"/>
          <w:sz w:val="22"/>
        </w:rPr>
        <w:t>1° Objectifs de gestion</w:t>
      </w:r>
    </w:p>
    <w:p w14:paraId="6E6438EE" w14:textId="0B736C35" w:rsidR="00A664D9" w:rsidRPr="004F4CF5" w:rsidRDefault="00A664D9" w:rsidP="00171E45">
      <w:pPr>
        <w:pStyle w:val="AMFTEXTECOURANT"/>
        <w:rPr>
          <w:rFonts w:ascii="Arial" w:hAnsi="Arial"/>
          <w:sz w:val="22"/>
        </w:rPr>
      </w:pPr>
      <w:r w:rsidRPr="004F4CF5">
        <w:rPr>
          <w:rFonts w:ascii="Arial" w:hAnsi="Arial"/>
          <w:sz w:val="22"/>
        </w:rPr>
        <w:t xml:space="preserve">Cette rubrique explique quels sont les objectifs de gestion poursuivis par l'OPCI. </w:t>
      </w:r>
      <w:r w:rsidR="00504E87" w:rsidRPr="004F4CF5">
        <w:rPr>
          <w:rFonts w:ascii="Arial" w:hAnsi="Arial"/>
          <w:sz w:val="22"/>
        </w:rPr>
        <w:t xml:space="preserve">                    </w:t>
      </w:r>
      <w:r w:rsidRPr="004F4CF5">
        <w:rPr>
          <w:rFonts w:ascii="Arial" w:hAnsi="Arial"/>
          <w:sz w:val="22"/>
        </w:rPr>
        <w:t xml:space="preserve">Les informations figurant dans le </w:t>
      </w:r>
      <w:r w:rsidR="001C0D88" w:rsidRPr="004F4CF5">
        <w:rPr>
          <w:rFonts w:ascii="Arial" w:hAnsi="Arial"/>
          <w:sz w:val="22"/>
        </w:rPr>
        <w:t>Document d’Information</w:t>
      </w:r>
      <w:r w:rsidR="001666C5" w:rsidRPr="004F4CF5">
        <w:rPr>
          <w:rFonts w:ascii="Arial" w:hAnsi="Arial"/>
          <w:sz w:val="22"/>
        </w:rPr>
        <w:t xml:space="preserve"> Simplifié</w:t>
      </w:r>
      <w:r w:rsidR="001C0D88" w:rsidRPr="004F4CF5">
        <w:rPr>
          <w:rFonts w:ascii="Arial" w:hAnsi="Arial"/>
          <w:sz w:val="22"/>
        </w:rPr>
        <w:t xml:space="preserve"> </w:t>
      </w:r>
      <w:r w:rsidRPr="004F4CF5">
        <w:rPr>
          <w:rFonts w:ascii="Arial" w:hAnsi="Arial"/>
          <w:sz w:val="22"/>
        </w:rPr>
        <w:t>peuvent être complétées par des considérations plus techniques.</w:t>
      </w:r>
    </w:p>
    <w:p w14:paraId="15E905F7" w14:textId="77777777" w:rsidR="00A664D9" w:rsidRPr="004F4CF5" w:rsidRDefault="00A664D9" w:rsidP="00171E45">
      <w:pPr>
        <w:pStyle w:val="AMFTEXTECOURANT"/>
        <w:rPr>
          <w:rFonts w:ascii="Arial" w:hAnsi="Arial"/>
          <w:sz w:val="22"/>
        </w:rPr>
      </w:pPr>
    </w:p>
    <w:p w14:paraId="27967FD1" w14:textId="5971060E" w:rsidR="00A664D9" w:rsidRPr="004F4CF5" w:rsidRDefault="00A664D9" w:rsidP="00171E45">
      <w:pPr>
        <w:pStyle w:val="AMFTEXTECOURANT"/>
        <w:rPr>
          <w:rFonts w:ascii="Arial" w:hAnsi="Arial"/>
          <w:sz w:val="22"/>
        </w:rPr>
      </w:pPr>
      <w:r w:rsidRPr="004F4CF5">
        <w:rPr>
          <w:rFonts w:ascii="Arial" w:hAnsi="Arial"/>
          <w:sz w:val="22"/>
        </w:rPr>
        <w:t>2° Indicateur de référence, le cas échéant</w:t>
      </w:r>
    </w:p>
    <w:p w14:paraId="53B23969" w14:textId="5CF473D2" w:rsidR="00A664D9" w:rsidRPr="004F4CF5" w:rsidRDefault="00A664D9" w:rsidP="00171E45">
      <w:pPr>
        <w:pStyle w:val="AMFTEXTECOURANT"/>
        <w:rPr>
          <w:rFonts w:ascii="Arial" w:hAnsi="Arial"/>
          <w:i/>
          <w:sz w:val="22"/>
        </w:rPr>
      </w:pPr>
      <w:r w:rsidRPr="004F4CF5">
        <w:rPr>
          <w:rFonts w:ascii="Arial" w:hAnsi="Arial"/>
          <w:sz w:val="22"/>
        </w:rPr>
        <w:t>L'objectif de cette rubrique est de fournir un étalon auquel l'investisseur pourra comparer la performance et le risque pris par l'OPCI. Selon l'objectif de gestion de l'OPCI, l'information donnée à l'investisseur, et la nature des risques pris, cet étalon peut être, par exemple, un indicateur étroit ou au contraire un indice large de marché, un indice reconnu par l</w:t>
      </w:r>
      <w:r w:rsidR="00FA1421" w:rsidRPr="004F4CF5">
        <w:rPr>
          <w:rFonts w:ascii="Arial" w:hAnsi="Arial"/>
          <w:sz w:val="22"/>
        </w:rPr>
        <w:t>a COSUMAF</w:t>
      </w:r>
      <w:r w:rsidRPr="004F4CF5">
        <w:rPr>
          <w:rFonts w:ascii="Arial" w:hAnsi="Arial"/>
          <w:sz w:val="22"/>
        </w:rPr>
        <w:t xml:space="preserve"> ou tout autre indicateur pertinent. Les éléments permettant d'identifier cet indicateur doivent être mentionnés, ainsi que ses caractéristiques. S'agissant de l'inclusion ou non des dividendes, la rubrique mentionne que </w:t>
      </w:r>
      <w:r w:rsidRPr="004F4CF5">
        <w:rPr>
          <w:rFonts w:ascii="Arial" w:hAnsi="Arial"/>
          <w:i/>
          <w:sz w:val="22"/>
        </w:rPr>
        <w:t xml:space="preserve">« La performance de l'indicateur </w:t>
      </w:r>
      <w:r w:rsidR="00B47846" w:rsidRPr="004F4CF5">
        <w:rPr>
          <w:rFonts w:ascii="Arial" w:hAnsi="Arial"/>
          <w:i/>
          <w:sz w:val="22"/>
          <w:highlight w:val="yellow"/>
        </w:rPr>
        <w:t>XXXXX</w:t>
      </w:r>
      <w:r w:rsidR="00B47846" w:rsidRPr="004F4CF5" w:rsidDel="00B47846">
        <w:rPr>
          <w:rFonts w:ascii="Arial" w:hAnsi="Arial"/>
          <w:i/>
          <w:sz w:val="22"/>
        </w:rPr>
        <w:t xml:space="preserve"> </w:t>
      </w:r>
      <w:r w:rsidRPr="004F4CF5">
        <w:rPr>
          <w:rFonts w:ascii="Arial" w:hAnsi="Arial"/>
          <w:i/>
          <w:sz w:val="22"/>
        </w:rPr>
        <w:t>[inclut / n'inclut pas] les dividendes détachés par les actions qui composent l'indicateur ».</w:t>
      </w:r>
    </w:p>
    <w:p w14:paraId="77514BBB" w14:textId="77777777" w:rsidR="00A664D9" w:rsidRPr="004F4CF5" w:rsidRDefault="00A664D9" w:rsidP="00171E45">
      <w:pPr>
        <w:pStyle w:val="AMFTEXTECOURANT"/>
        <w:rPr>
          <w:rFonts w:ascii="Arial" w:hAnsi="Arial"/>
          <w:sz w:val="22"/>
        </w:rPr>
      </w:pPr>
      <w:r w:rsidRPr="004F4CF5">
        <w:rPr>
          <w:rFonts w:ascii="Arial" w:hAnsi="Arial"/>
          <w:sz w:val="22"/>
        </w:rPr>
        <w:t>Cette rubrique doit donc comporter le nom et la description de l'indicateur de référence retenu.</w:t>
      </w:r>
    </w:p>
    <w:p w14:paraId="04D335EE" w14:textId="77777777" w:rsidR="00A664D9" w:rsidRPr="004F4CF5" w:rsidRDefault="00A664D9" w:rsidP="00171E45">
      <w:pPr>
        <w:pStyle w:val="AMFTEXTECOURANT"/>
        <w:rPr>
          <w:rFonts w:ascii="Arial" w:hAnsi="Arial"/>
          <w:sz w:val="22"/>
        </w:rPr>
      </w:pPr>
    </w:p>
    <w:p w14:paraId="35C89BA4" w14:textId="77777777" w:rsidR="00A664D9" w:rsidRPr="004F4CF5" w:rsidRDefault="00A664D9" w:rsidP="00171E45">
      <w:pPr>
        <w:pStyle w:val="AMFTEXTECOURANT"/>
        <w:rPr>
          <w:rFonts w:ascii="Arial" w:hAnsi="Arial"/>
          <w:sz w:val="22"/>
        </w:rPr>
      </w:pPr>
    </w:p>
    <w:p w14:paraId="6C07B48C" w14:textId="77777777" w:rsidR="00A664D9" w:rsidRPr="004F4CF5" w:rsidRDefault="00A664D9" w:rsidP="00171E45">
      <w:pPr>
        <w:pStyle w:val="AMFTEXTECOURANT"/>
        <w:rPr>
          <w:rFonts w:ascii="Arial" w:hAnsi="Arial"/>
          <w:sz w:val="22"/>
        </w:rPr>
      </w:pPr>
      <w:r w:rsidRPr="004F4CF5">
        <w:rPr>
          <w:rFonts w:ascii="Arial" w:hAnsi="Arial"/>
          <w:sz w:val="22"/>
        </w:rPr>
        <w:t>3° Stratégie d'investissement</w:t>
      </w:r>
    </w:p>
    <w:p w14:paraId="7EA6541E" w14:textId="5421259B" w:rsidR="00A664D9" w:rsidRPr="004F4CF5" w:rsidRDefault="00A664D9" w:rsidP="00171E45">
      <w:pPr>
        <w:pStyle w:val="AMFTEXTECOURANT"/>
        <w:rPr>
          <w:rFonts w:ascii="Arial" w:hAnsi="Arial"/>
          <w:sz w:val="22"/>
        </w:rPr>
      </w:pPr>
      <w:r w:rsidRPr="004F4CF5">
        <w:rPr>
          <w:rFonts w:ascii="Arial" w:hAnsi="Arial"/>
          <w:sz w:val="22"/>
        </w:rPr>
        <w:t xml:space="preserve">Cette rubrique décrit de manière précise la stratégie d'allocation mise en œuvre entre actifs immobiliers et instruments financiers, la stratégie de gestion au sein de chacune de ces deux catégories d'actifs, et la politique d'endettement envisagée pendant toute la durée de vie de l'OPCI y compris pendant les trois premières années.  </w:t>
      </w:r>
      <w:r w:rsidR="00B91EEE" w:rsidRPr="004F4CF5">
        <w:rPr>
          <w:rFonts w:ascii="Arial" w:hAnsi="Arial"/>
          <w:sz w:val="22"/>
        </w:rPr>
        <w:t>L</w:t>
      </w:r>
      <w:r w:rsidRPr="004F4CF5">
        <w:rPr>
          <w:rFonts w:ascii="Arial" w:hAnsi="Arial"/>
          <w:sz w:val="22"/>
        </w:rPr>
        <w:t>es limites que l'OPCI entend se fixer</w:t>
      </w:r>
      <w:r w:rsidR="00B91EEE" w:rsidRPr="004F4CF5">
        <w:rPr>
          <w:rFonts w:ascii="Arial" w:hAnsi="Arial"/>
          <w:sz w:val="22"/>
        </w:rPr>
        <w:t xml:space="preserve"> doivent apparaitre clairement</w:t>
      </w:r>
      <w:r w:rsidRPr="004F4CF5">
        <w:rPr>
          <w:rFonts w:ascii="Arial" w:hAnsi="Arial"/>
          <w:sz w:val="22"/>
        </w:rPr>
        <w:t>.</w:t>
      </w:r>
    </w:p>
    <w:p w14:paraId="4DF60D71" w14:textId="77777777" w:rsidR="00EA1963" w:rsidRPr="004F4CF5" w:rsidRDefault="00EA1963" w:rsidP="00171E45">
      <w:pPr>
        <w:pStyle w:val="AMFTEXTECOURANT"/>
        <w:rPr>
          <w:rFonts w:ascii="Arial" w:hAnsi="Arial"/>
          <w:sz w:val="22"/>
        </w:rPr>
      </w:pPr>
    </w:p>
    <w:p w14:paraId="736E7C58" w14:textId="77777777" w:rsidR="00A664D9" w:rsidRPr="004F4CF5" w:rsidRDefault="00A664D9" w:rsidP="00171E45">
      <w:pPr>
        <w:pStyle w:val="AMFTEXTECOURANT"/>
        <w:rPr>
          <w:rFonts w:ascii="Arial" w:hAnsi="Arial"/>
          <w:sz w:val="22"/>
        </w:rPr>
      </w:pPr>
      <w:r w:rsidRPr="004F4CF5">
        <w:rPr>
          <w:rFonts w:ascii="Arial" w:hAnsi="Arial"/>
          <w:sz w:val="22"/>
        </w:rPr>
        <w:t xml:space="preserve">Les techniques et instruments utilisés doivent être cohérents avec la gestion envisagée, les moyens de la société de gestion </w:t>
      </w:r>
      <w:r w:rsidR="00FA1421" w:rsidRPr="004F4CF5">
        <w:rPr>
          <w:rFonts w:ascii="Arial" w:hAnsi="Arial"/>
          <w:sz w:val="22"/>
        </w:rPr>
        <w:t>d’OPCI</w:t>
      </w:r>
      <w:r w:rsidRPr="004F4CF5">
        <w:rPr>
          <w:rFonts w:ascii="Arial" w:hAnsi="Arial"/>
          <w:sz w:val="22"/>
        </w:rPr>
        <w:t xml:space="preserve"> et son programme d'activité validé par </w:t>
      </w:r>
      <w:r w:rsidR="00FA1421" w:rsidRPr="004F4CF5">
        <w:rPr>
          <w:rFonts w:ascii="Arial" w:hAnsi="Arial"/>
          <w:sz w:val="22"/>
        </w:rPr>
        <w:t>la COSUMAF</w:t>
      </w:r>
      <w:r w:rsidR="00EA1963" w:rsidRPr="004F4CF5">
        <w:rPr>
          <w:rFonts w:ascii="Arial" w:hAnsi="Arial"/>
          <w:sz w:val="22"/>
        </w:rPr>
        <w:t>.</w:t>
      </w:r>
      <w:r w:rsidRPr="004F4CF5">
        <w:rPr>
          <w:rFonts w:ascii="Arial" w:hAnsi="Arial"/>
          <w:sz w:val="22"/>
        </w:rPr>
        <w:t xml:space="preserve"> Le </w:t>
      </w:r>
      <w:r w:rsidR="00FA1421" w:rsidRPr="004F4CF5">
        <w:rPr>
          <w:rFonts w:ascii="Arial" w:hAnsi="Arial"/>
          <w:sz w:val="22"/>
        </w:rPr>
        <w:t xml:space="preserve">règlement </w:t>
      </w:r>
      <w:r w:rsidRPr="004F4CF5">
        <w:rPr>
          <w:rFonts w:ascii="Arial" w:hAnsi="Arial"/>
          <w:sz w:val="22"/>
        </w:rPr>
        <w:t xml:space="preserve">décrit de façon précise et exhaustive les techniques et instruments spécifiques utilisés. Les techniques et instruments spécifiques non mentionnés dans le </w:t>
      </w:r>
      <w:r w:rsidR="00FA1421" w:rsidRPr="004F4CF5">
        <w:rPr>
          <w:rFonts w:ascii="Arial" w:hAnsi="Arial"/>
          <w:sz w:val="22"/>
        </w:rPr>
        <w:t xml:space="preserve">règlement </w:t>
      </w:r>
      <w:r w:rsidRPr="004F4CF5">
        <w:rPr>
          <w:rFonts w:ascii="Arial" w:hAnsi="Arial"/>
          <w:sz w:val="22"/>
        </w:rPr>
        <w:t>sont exclus du champ d'intervention de l'OPCI.</w:t>
      </w:r>
    </w:p>
    <w:p w14:paraId="70A52311" w14:textId="77777777" w:rsidR="00A664D9" w:rsidRPr="004F4CF5" w:rsidRDefault="00A664D9" w:rsidP="00171E45">
      <w:pPr>
        <w:pStyle w:val="AMFTEXTECOURANT"/>
        <w:rPr>
          <w:rFonts w:ascii="Arial" w:hAnsi="Arial"/>
          <w:sz w:val="22"/>
        </w:rPr>
      </w:pPr>
      <w:r w:rsidRPr="004F4CF5">
        <w:rPr>
          <w:rFonts w:ascii="Arial" w:hAnsi="Arial"/>
          <w:sz w:val="22"/>
        </w:rPr>
        <w:t>L'utilisation des instruments financiers à terme doit être déclinée par technique de gestion utilisée.</w:t>
      </w:r>
    </w:p>
    <w:p w14:paraId="0A3F40FC" w14:textId="77777777" w:rsidR="00A664D9" w:rsidRPr="004F4CF5" w:rsidRDefault="00A664D9" w:rsidP="00171E45">
      <w:pPr>
        <w:pStyle w:val="AMFTEXTECOURANT"/>
        <w:rPr>
          <w:rFonts w:ascii="Arial" w:hAnsi="Arial"/>
          <w:sz w:val="22"/>
        </w:rPr>
      </w:pPr>
    </w:p>
    <w:p w14:paraId="37ACB620" w14:textId="77777777" w:rsidR="00A664D9" w:rsidRPr="004F4CF5" w:rsidRDefault="00A664D9" w:rsidP="00171E45">
      <w:pPr>
        <w:pStyle w:val="AMFTEXTECOURANT"/>
        <w:rPr>
          <w:rFonts w:ascii="Arial" w:hAnsi="Arial"/>
          <w:sz w:val="22"/>
        </w:rPr>
      </w:pPr>
      <w:r w:rsidRPr="004F4CF5">
        <w:rPr>
          <w:rFonts w:ascii="Arial" w:hAnsi="Arial"/>
          <w:sz w:val="22"/>
        </w:rPr>
        <w:t xml:space="preserve">L'objectif de cette rubrique est d'expliquer comment la société de gestion </w:t>
      </w:r>
      <w:r w:rsidR="00FA1421" w:rsidRPr="004F4CF5">
        <w:rPr>
          <w:rFonts w:ascii="Arial" w:hAnsi="Arial"/>
          <w:sz w:val="22"/>
        </w:rPr>
        <w:t>d’OPCI</w:t>
      </w:r>
      <w:r w:rsidRPr="004F4CF5">
        <w:rPr>
          <w:rFonts w:ascii="Arial" w:hAnsi="Arial"/>
          <w:sz w:val="22"/>
        </w:rPr>
        <w:t xml:space="preserve"> s'efforcera d'atteindre l'objectif de gestion affiché. D'une manière générale, elle doit comprendre :</w:t>
      </w:r>
    </w:p>
    <w:p w14:paraId="77D3B466" w14:textId="77777777" w:rsidR="00EA1963" w:rsidRPr="004F4CF5" w:rsidRDefault="00EA1963" w:rsidP="00171E45">
      <w:pPr>
        <w:pStyle w:val="AMFTEXTECOURANT"/>
        <w:rPr>
          <w:rFonts w:ascii="Arial" w:hAnsi="Arial"/>
          <w:sz w:val="22"/>
        </w:rPr>
      </w:pPr>
    </w:p>
    <w:p w14:paraId="0FBCB7E6" w14:textId="77777777" w:rsidR="00A664D9" w:rsidRPr="004F4CF5" w:rsidRDefault="00A664D9" w:rsidP="00171E45">
      <w:pPr>
        <w:pStyle w:val="AMFTEXTECOURANT"/>
        <w:rPr>
          <w:rFonts w:ascii="Arial" w:hAnsi="Arial"/>
          <w:sz w:val="22"/>
        </w:rPr>
      </w:pPr>
      <w:r w:rsidRPr="004F4CF5">
        <w:rPr>
          <w:rFonts w:ascii="Arial" w:hAnsi="Arial"/>
          <w:i/>
          <w:sz w:val="22"/>
        </w:rPr>
        <w:t>a)</w:t>
      </w:r>
      <w:r w:rsidRPr="004F4CF5">
        <w:rPr>
          <w:rFonts w:ascii="Arial" w:hAnsi="Arial"/>
          <w:sz w:val="22"/>
        </w:rPr>
        <w:t xml:space="preserve"> La description des stratégies utilisées</w:t>
      </w:r>
    </w:p>
    <w:p w14:paraId="55E7BC5C" w14:textId="77777777" w:rsidR="00A664D9" w:rsidRPr="004F4CF5" w:rsidRDefault="00A664D9" w:rsidP="00171E45">
      <w:pPr>
        <w:pStyle w:val="AMFTEXTECOURANT"/>
        <w:rPr>
          <w:rFonts w:ascii="Arial" w:hAnsi="Arial"/>
          <w:sz w:val="22"/>
        </w:rPr>
      </w:pPr>
      <w:r w:rsidRPr="004F4CF5">
        <w:rPr>
          <w:rFonts w:ascii="Arial" w:hAnsi="Arial"/>
          <w:sz w:val="22"/>
        </w:rPr>
        <w:t xml:space="preserve">Le </w:t>
      </w:r>
      <w:r w:rsidR="00C50BE9" w:rsidRPr="004F4CF5">
        <w:rPr>
          <w:rFonts w:ascii="Arial" w:hAnsi="Arial"/>
          <w:sz w:val="22"/>
        </w:rPr>
        <w:t xml:space="preserve">règlement </w:t>
      </w:r>
      <w:r w:rsidRPr="004F4CF5">
        <w:rPr>
          <w:rFonts w:ascii="Arial" w:hAnsi="Arial"/>
          <w:sz w:val="22"/>
        </w:rPr>
        <w:t>décrit de manière complète les différentes stratégies utilisées pour atteindre l'objectif de gestion. Elle doit notamment préciser, le cas échéant :</w:t>
      </w:r>
    </w:p>
    <w:p w14:paraId="3631EC0A" w14:textId="77777777" w:rsidR="00A664D9" w:rsidRPr="004F4CF5" w:rsidRDefault="00A664D9" w:rsidP="00171E45">
      <w:pPr>
        <w:pStyle w:val="AMFTEXTECOURANT"/>
        <w:numPr>
          <w:ilvl w:val="0"/>
          <w:numId w:val="13"/>
        </w:numPr>
        <w:rPr>
          <w:rFonts w:ascii="Arial" w:hAnsi="Arial"/>
          <w:sz w:val="22"/>
        </w:rPr>
      </w:pPr>
      <w:r w:rsidRPr="004F4CF5">
        <w:rPr>
          <w:rFonts w:ascii="Arial" w:hAnsi="Arial"/>
          <w:sz w:val="22"/>
        </w:rPr>
        <w:lastRenderedPageBreak/>
        <w:t>L'existence de stratégies particulières concernant des secteurs industriels, géographiques ou d'une autre nature ;</w:t>
      </w:r>
    </w:p>
    <w:p w14:paraId="34391493" w14:textId="77777777" w:rsidR="00A664D9" w:rsidRPr="004F4CF5" w:rsidRDefault="00A664D9" w:rsidP="00171E45">
      <w:pPr>
        <w:pStyle w:val="AMFTEXTECOURANT"/>
        <w:numPr>
          <w:ilvl w:val="0"/>
          <w:numId w:val="12"/>
        </w:numPr>
        <w:rPr>
          <w:rFonts w:ascii="Arial" w:hAnsi="Arial"/>
          <w:sz w:val="22"/>
        </w:rPr>
      </w:pPr>
      <w:r w:rsidRPr="004F4CF5">
        <w:rPr>
          <w:rFonts w:ascii="Arial" w:hAnsi="Arial"/>
          <w:sz w:val="22"/>
        </w:rPr>
        <w:t>L'existence d'interventions sur des catégories particulières d'actifs ;</w:t>
      </w:r>
    </w:p>
    <w:p w14:paraId="0CD7162F" w14:textId="77777777" w:rsidR="00A664D9" w:rsidRPr="004F4CF5" w:rsidRDefault="00A664D9" w:rsidP="00171E45">
      <w:pPr>
        <w:pStyle w:val="AMFTEXTECOURANT"/>
        <w:rPr>
          <w:rFonts w:ascii="Arial" w:hAnsi="Arial"/>
          <w:sz w:val="22"/>
        </w:rPr>
      </w:pPr>
      <w:r w:rsidRPr="004F4CF5">
        <w:rPr>
          <w:rFonts w:ascii="Arial" w:hAnsi="Arial"/>
          <w:sz w:val="22"/>
        </w:rPr>
        <w:t>Les circonstances dans lesquelles l’OPCI peut faire appel à l’effet de levier, les types d’effets de levier et les sources des effets de levier autorisés.</w:t>
      </w:r>
    </w:p>
    <w:p w14:paraId="327AC731" w14:textId="77777777" w:rsidR="00A664D9" w:rsidRPr="004F4CF5" w:rsidRDefault="00A664D9" w:rsidP="00171E45">
      <w:pPr>
        <w:pStyle w:val="AMFTEXTECOURANT"/>
        <w:rPr>
          <w:rFonts w:ascii="Arial" w:hAnsi="Arial"/>
          <w:sz w:val="22"/>
        </w:rPr>
      </w:pPr>
    </w:p>
    <w:p w14:paraId="2B386C88" w14:textId="77777777" w:rsidR="00A664D9" w:rsidRPr="004F4CF5" w:rsidRDefault="00A664D9" w:rsidP="00171E45">
      <w:pPr>
        <w:pStyle w:val="AMFTEXTECOURANT"/>
        <w:rPr>
          <w:rFonts w:ascii="Arial" w:hAnsi="Arial"/>
          <w:sz w:val="22"/>
        </w:rPr>
      </w:pPr>
      <w:r w:rsidRPr="004F4CF5">
        <w:rPr>
          <w:rFonts w:ascii="Arial" w:hAnsi="Arial"/>
          <w:i/>
          <w:sz w:val="22"/>
        </w:rPr>
        <w:t>b)</w:t>
      </w:r>
      <w:r w:rsidRPr="004F4CF5">
        <w:rPr>
          <w:rFonts w:ascii="Arial" w:hAnsi="Arial"/>
          <w:sz w:val="22"/>
        </w:rPr>
        <w:t xml:space="preserve"> La description des catégories d'actifs dans lesquels l'OPCI entend investir et leur contribution à la réalisation de l'objectif de gestion</w:t>
      </w:r>
    </w:p>
    <w:p w14:paraId="2EA86D0E" w14:textId="77777777" w:rsidR="00A664D9" w:rsidRPr="004F4CF5" w:rsidRDefault="00A664D9" w:rsidP="00504E87">
      <w:pPr>
        <w:pStyle w:val="AMFTEXTECOURANT"/>
        <w:rPr>
          <w:rFonts w:ascii="Arial" w:hAnsi="Arial"/>
          <w:sz w:val="22"/>
        </w:rPr>
      </w:pPr>
      <w:r w:rsidRPr="004F4CF5">
        <w:rPr>
          <w:rFonts w:ascii="Arial" w:hAnsi="Arial"/>
          <w:sz w:val="22"/>
        </w:rPr>
        <w:t>-</w:t>
      </w:r>
      <w:r w:rsidRPr="004F4CF5">
        <w:rPr>
          <w:rFonts w:ascii="Arial" w:hAnsi="Arial"/>
          <w:sz w:val="22"/>
        </w:rPr>
        <w:tab/>
      </w:r>
      <w:r w:rsidR="00C50BE9" w:rsidRPr="004F4CF5">
        <w:rPr>
          <w:rFonts w:ascii="Arial" w:hAnsi="Arial"/>
          <w:sz w:val="22"/>
        </w:rPr>
        <w:t>L</w:t>
      </w:r>
      <w:r w:rsidRPr="004F4CF5">
        <w:rPr>
          <w:rFonts w:ascii="Arial" w:hAnsi="Arial"/>
          <w:sz w:val="22"/>
        </w:rPr>
        <w:t xml:space="preserve">e </w:t>
      </w:r>
      <w:r w:rsidR="00FA1421" w:rsidRPr="004F4CF5">
        <w:rPr>
          <w:rFonts w:ascii="Arial" w:hAnsi="Arial"/>
          <w:sz w:val="22"/>
        </w:rPr>
        <w:t>règlement</w:t>
      </w:r>
      <w:r w:rsidRPr="004F4CF5">
        <w:rPr>
          <w:rFonts w:ascii="Arial" w:hAnsi="Arial"/>
          <w:sz w:val="22"/>
        </w:rPr>
        <w:t xml:space="preserve"> doit mentionner l'ensemble des classes d'actifs qui entreront dans la composition de l'actif de l'OPCI. Le cas échéant, elle doit également comporter les éléments suivants :</w:t>
      </w:r>
    </w:p>
    <w:p w14:paraId="0E6C8F26" w14:textId="77777777" w:rsidR="00A664D9" w:rsidRPr="004F4CF5" w:rsidRDefault="00A664D9" w:rsidP="00171E45">
      <w:pPr>
        <w:pStyle w:val="AMFTEXTECOURANT"/>
        <w:rPr>
          <w:rFonts w:ascii="Arial" w:hAnsi="Arial"/>
          <w:sz w:val="22"/>
        </w:rPr>
      </w:pPr>
      <w:r w:rsidRPr="004F4CF5">
        <w:rPr>
          <w:rFonts w:ascii="Arial" w:hAnsi="Arial"/>
          <w:sz w:val="22"/>
        </w:rPr>
        <w:t xml:space="preserve">Pour la poche immobilière : </w:t>
      </w:r>
    </w:p>
    <w:p w14:paraId="75BC6F35" w14:textId="74F283A9" w:rsidR="00A664D9" w:rsidRPr="004F4CF5" w:rsidRDefault="00A664D9" w:rsidP="00171E45">
      <w:pPr>
        <w:pStyle w:val="AMFTEXTECOURANT"/>
        <w:numPr>
          <w:ilvl w:val="0"/>
          <w:numId w:val="13"/>
        </w:numPr>
        <w:rPr>
          <w:rFonts w:ascii="Arial" w:hAnsi="Arial"/>
          <w:sz w:val="22"/>
        </w:rPr>
      </w:pPr>
      <w:r w:rsidRPr="004F4CF5">
        <w:rPr>
          <w:rFonts w:ascii="Arial" w:hAnsi="Arial"/>
          <w:sz w:val="22"/>
        </w:rPr>
        <w:t xml:space="preserve">Type d'actif conformément </w:t>
      </w:r>
      <w:r w:rsidR="00FA1421" w:rsidRPr="004F4CF5">
        <w:rPr>
          <w:rFonts w:ascii="Arial" w:hAnsi="Arial"/>
          <w:sz w:val="22"/>
        </w:rPr>
        <w:t xml:space="preserve">aux </w:t>
      </w:r>
      <w:r w:rsidRPr="004F4CF5">
        <w:rPr>
          <w:rFonts w:ascii="Arial" w:hAnsi="Arial"/>
          <w:sz w:val="22"/>
        </w:rPr>
        <w:t>article</w:t>
      </w:r>
      <w:r w:rsidR="00FA1421" w:rsidRPr="004F4CF5">
        <w:rPr>
          <w:rFonts w:ascii="Arial" w:hAnsi="Arial"/>
          <w:sz w:val="22"/>
        </w:rPr>
        <w:t>s</w:t>
      </w:r>
      <w:r w:rsidRPr="004F4CF5">
        <w:rPr>
          <w:rFonts w:ascii="Arial" w:hAnsi="Arial"/>
          <w:sz w:val="22"/>
        </w:rPr>
        <w:t xml:space="preserve"> </w:t>
      </w:r>
      <w:r w:rsidR="00FA1421" w:rsidRPr="004F4CF5">
        <w:rPr>
          <w:rFonts w:ascii="Arial" w:hAnsi="Arial"/>
          <w:sz w:val="22"/>
        </w:rPr>
        <w:t>44</w:t>
      </w:r>
      <w:r w:rsidR="00C50BE9" w:rsidRPr="004F4CF5">
        <w:rPr>
          <w:rFonts w:ascii="Arial" w:hAnsi="Arial"/>
          <w:sz w:val="22"/>
        </w:rPr>
        <w:t>3</w:t>
      </w:r>
      <w:r w:rsidR="00FA1421" w:rsidRPr="004F4CF5">
        <w:rPr>
          <w:rFonts w:ascii="Arial" w:hAnsi="Arial"/>
          <w:sz w:val="22"/>
        </w:rPr>
        <w:t xml:space="preserve"> du </w:t>
      </w:r>
      <w:r w:rsidR="0093198B" w:rsidRPr="004F4CF5">
        <w:rPr>
          <w:rFonts w:ascii="Arial" w:hAnsi="Arial"/>
          <w:sz w:val="22"/>
        </w:rPr>
        <w:t>R</w:t>
      </w:r>
      <w:r w:rsidR="00FA1421" w:rsidRPr="004F4CF5">
        <w:rPr>
          <w:rFonts w:ascii="Arial" w:hAnsi="Arial"/>
          <w:sz w:val="22"/>
        </w:rPr>
        <w:t xml:space="preserve">èglement </w:t>
      </w:r>
      <w:r w:rsidR="0093198B" w:rsidRPr="004F4CF5">
        <w:rPr>
          <w:rFonts w:ascii="Arial" w:hAnsi="Arial"/>
          <w:sz w:val="22"/>
        </w:rPr>
        <w:t>G</w:t>
      </w:r>
      <w:r w:rsidR="00FA1421" w:rsidRPr="004F4CF5">
        <w:rPr>
          <w:rFonts w:ascii="Arial" w:hAnsi="Arial"/>
          <w:sz w:val="22"/>
        </w:rPr>
        <w:t xml:space="preserve">énéral </w:t>
      </w:r>
      <w:r w:rsidR="00C50BE9" w:rsidRPr="004F4CF5">
        <w:rPr>
          <w:rFonts w:ascii="Arial" w:hAnsi="Arial"/>
          <w:sz w:val="22"/>
        </w:rPr>
        <w:t>de la COSUMAF</w:t>
      </w:r>
      <w:r w:rsidRPr="004F4CF5">
        <w:rPr>
          <w:rFonts w:ascii="Arial" w:hAnsi="Arial"/>
          <w:sz w:val="22"/>
        </w:rPr>
        <w:t xml:space="preserve"> (immeubles, parts de sociétés, etc.)</w:t>
      </w:r>
    </w:p>
    <w:p w14:paraId="59032C41" w14:textId="77777777" w:rsidR="00A664D9" w:rsidRPr="004F4CF5" w:rsidRDefault="00A664D9" w:rsidP="00171E45">
      <w:pPr>
        <w:pStyle w:val="AMFTEXTECOURANT"/>
        <w:numPr>
          <w:ilvl w:val="0"/>
          <w:numId w:val="13"/>
        </w:numPr>
        <w:rPr>
          <w:rFonts w:ascii="Arial" w:hAnsi="Arial"/>
          <w:sz w:val="22"/>
        </w:rPr>
      </w:pPr>
      <w:r w:rsidRPr="004F4CF5">
        <w:rPr>
          <w:rFonts w:ascii="Arial" w:hAnsi="Arial"/>
          <w:sz w:val="22"/>
        </w:rPr>
        <w:t>Zone géographique (</w:t>
      </w:r>
      <w:r w:rsidR="00E044AD" w:rsidRPr="004F4CF5">
        <w:rPr>
          <w:rFonts w:ascii="Arial" w:hAnsi="Arial"/>
          <w:sz w:val="22"/>
        </w:rPr>
        <w:t xml:space="preserve">CEMAC, </w:t>
      </w:r>
      <w:r w:rsidR="00C50BE9" w:rsidRPr="004F4CF5">
        <w:rPr>
          <w:rFonts w:ascii="Arial" w:hAnsi="Arial"/>
          <w:sz w:val="22"/>
        </w:rPr>
        <w:t>Cameroun, Centrafrique, Congo, Gabon, Guinée-Équatoriale, Tchad,</w:t>
      </w:r>
      <w:r w:rsidRPr="004F4CF5">
        <w:rPr>
          <w:rFonts w:ascii="Arial" w:hAnsi="Arial"/>
          <w:sz w:val="22"/>
        </w:rPr>
        <w:t xml:space="preserve"> etc.)</w:t>
      </w:r>
    </w:p>
    <w:p w14:paraId="69C597F2" w14:textId="77777777" w:rsidR="00A664D9" w:rsidRPr="004F4CF5" w:rsidRDefault="00A664D9" w:rsidP="00171E45">
      <w:pPr>
        <w:pStyle w:val="AMFTEXTECOURANT"/>
        <w:numPr>
          <w:ilvl w:val="0"/>
          <w:numId w:val="13"/>
        </w:numPr>
        <w:rPr>
          <w:rFonts w:ascii="Arial" w:hAnsi="Arial"/>
          <w:sz w:val="22"/>
        </w:rPr>
      </w:pPr>
      <w:r w:rsidRPr="004F4CF5">
        <w:rPr>
          <w:rFonts w:ascii="Arial" w:hAnsi="Arial"/>
          <w:sz w:val="22"/>
        </w:rPr>
        <w:t>Secteur d'activité (habitation, bureaux, locaux commerciaux, autres, etc.)</w:t>
      </w:r>
    </w:p>
    <w:p w14:paraId="5C63130D" w14:textId="77777777" w:rsidR="00A664D9" w:rsidRPr="004F4CF5" w:rsidRDefault="00A664D9" w:rsidP="00171E45">
      <w:pPr>
        <w:pStyle w:val="AMFTEXTECOURANT"/>
        <w:rPr>
          <w:rFonts w:ascii="Arial" w:hAnsi="Arial"/>
          <w:sz w:val="22"/>
        </w:rPr>
      </w:pPr>
      <w:r w:rsidRPr="004F4CF5">
        <w:rPr>
          <w:rFonts w:ascii="Arial" w:hAnsi="Arial"/>
          <w:sz w:val="22"/>
        </w:rPr>
        <w:t xml:space="preserve">Pour la poche mobilière : </w:t>
      </w:r>
    </w:p>
    <w:p w14:paraId="5FDEC864" w14:textId="77777777" w:rsidR="00A664D9" w:rsidRPr="004F4CF5" w:rsidRDefault="00A664D9" w:rsidP="00171E45">
      <w:pPr>
        <w:pStyle w:val="AMFTEXTECOURANT"/>
        <w:numPr>
          <w:ilvl w:val="0"/>
          <w:numId w:val="13"/>
        </w:numPr>
        <w:rPr>
          <w:rFonts w:ascii="Arial" w:hAnsi="Arial"/>
          <w:sz w:val="22"/>
        </w:rPr>
      </w:pPr>
      <w:r w:rsidRPr="004F4CF5">
        <w:rPr>
          <w:rFonts w:ascii="Arial" w:hAnsi="Arial"/>
          <w:sz w:val="22"/>
        </w:rPr>
        <w:t>Les actions : les principales caractéristiques des investissements envisagés (dans la mesure où elles ne sont pas redondantes avec les éléments décrits plus haut), notamment répartition géographique et/ou sectorielle des émetteurs, petites/moyennes/grandes capitalisations, autres critères de sélection (à préciser) ;</w:t>
      </w:r>
    </w:p>
    <w:p w14:paraId="00BA8909" w14:textId="77777777" w:rsidR="009833A2" w:rsidRPr="004F4CF5" w:rsidRDefault="009833A2" w:rsidP="00171E45">
      <w:pPr>
        <w:pStyle w:val="AMFTEXTECOURANT"/>
        <w:numPr>
          <w:ilvl w:val="0"/>
          <w:numId w:val="13"/>
        </w:numPr>
        <w:rPr>
          <w:rFonts w:ascii="Arial" w:hAnsi="Arial"/>
          <w:sz w:val="22"/>
        </w:rPr>
      </w:pPr>
      <w:r w:rsidRPr="004F4CF5">
        <w:rPr>
          <w:rFonts w:ascii="Arial" w:hAnsi="Arial"/>
          <w:sz w:val="22"/>
        </w:rPr>
        <w:t>Les autres instruments financiers pouvant être utilisés à titre accessoire au titre de l’article 430 du Règlement Général de la COSUMAF.</w:t>
      </w:r>
    </w:p>
    <w:p w14:paraId="0F27D68B" w14:textId="77777777" w:rsidR="00A664D9" w:rsidRPr="004F4CF5" w:rsidRDefault="00A664D9" w:rsidP="00171E45">
      <w:pPr>
        <w:pStyle w:val="AMFTEXTECOURANT"/>
        <w:rPr>
          <w:rFonts w:ascii="Arial" w:hAnsi="Arial"/>
          <w:sz w:val="22"/>
        </w:rPr>
      </w:pPr>
      <w:r w:rsidRPr="004F4CF5">
        <w:rPr>
          <w:rFonts w:ascii="Arial" w:hAnsi="Arial"/>
          <w:sz w:val="22"/>
        </w:rPr>
        <w:t>Pour chacune des catégories mentionnées ci-dessus :</w:t>
      </w:r>
    </w:p>
    <w:p w14:paraId="065E55C9" w14:textId="77777777" w:rsidR="00A664D9" w:rsidRPr="004F4CF5" w:rsidRDefault="00A664D9" w:rsidP="00171E45">
      <w:pPr>
        <w:pStyle w:val="AMFTEXTECOURANT"/>
        <w:numPr>
          <w:ilvl w:val="0"/>
          <w:numId w:val="13"/>
        </w:numPr>
        <w:rPr>
          <w:rFonts w:ascii="Arial" w:hAnsi="Arial"/>
          <w:sz w:val="22"/>
        </w:rPr>
      </w:pPr>
      <w:r w:rsidRPr="004F4CF5">
        <w:rPr>
          <w:rFonts w:ascii="Arial" w:hAnsi="Arial"/>
          <w:sz w:val="22"/>
        </w:rPr>
        <w:t>Les fourchettes de détention qui seront respectées ;</w:t>
      </w:r>
    </w:p>
    <w:p w14:paraId="6C0DC357" w14:textId="77777777" w:rsidR="00A664D9" w:rsidRPr="004F4CF5" w:rsidRDefault="00A664D9" w:rsidP="00171E45">
      <w:pPr>
        <w:pStyle w:val="AMFTEXTECOURANT"/>
        <w:numPr>
          <w:ilvl w:val="0"/>
          <w:numId w:val="13"/>
        </w:numPr>
        <w:rPr>
          <w:rFonts w:ascii="Arial" w:hAnsi="Arial"/>
          <w:sz w:val="22"/>
        </w:rPr>
      </w:pPr>
      <w:r w:rsidRPr="004F4CF5">
        <w:rPr>
          <w:rFonts w:ascii="Arial" w:hAnsi="Arial"/>
          <w:sz w:val="22"/>
        </w:rPr>
        <w:t xml:space="preserve">L'existence d'éventuelles restrictions en matière d'investissement que s'impose la société de gestion </w:t>
      </w:r>
      <w:r w:rsidR="00E044AD" w:rsidRPr="004F4CF5">
        <w:rPr>
          <w:rFonts w:ascii="Arial" w:hAnsi="Arial"/>
          <w:sz w:val="22"/>
        </w:rPr>
        <w:t>d’OPCI</w:t>
      </w:r>
      <w:r w:rsidRPr="004F4CF5">
        <w:rPr>
          <w:rFonts w:ascii="Arial" w:hAnsi="Arial"/>
          <w:sz w:val="22"/>
        </w:rPr>
        <w:t xml:space="preserve"> ;</w:t>
      </w:r>
    </w:p>
    <w:p w14:paraId="670BD574" w14:textId="77777777" w:rsidR="00A664D9" w:rsidRPr="004F4CF5" w:rsidRDefault="00A664D9" w:rsidP="00171E45">
      <w:pPr>
        <w:pStyle w:val="AMFTEXTECOURANT"/>
        <w:numPr>
          <w:ilvl w:val="0"/>
          <w:numId w:val="13"/>
        </w:numPr>
        <w:rPr>
          <w:rFonts w:ascii="Arial" w:hAnsi="Arial"/>
          <w:sz w:val="22"/>
        </w:rPr>
      </w:pPr>
      <w:r w:rsidRPr="004F4CF5">
        <w:rPr>
          <w:rFonts w:ascii="Arial" w:hAnsi="Arial"/>
          <w:sz w:val="22"/>
        </w:rPr>
        <w:t>L'existence d'autres critères (à préciser).</w:t>
      </w:r>
    </w:p>
    <w:p w14:paraId="4C08BA80" w14:textId="77777777" w:rsidR="00A664D9" w:rsidRPr="004F4CF5" w:rsidRDefault="00A664D9" w:rsidP="00171E45">
      <w:pPr>
        <w:pStyle w:val="AMFTEXTECOURANT"/>
        <w:rPr>
          <w:rFonts w:ascii="Arial" w:hAnsi="Arial"/>
          <w:sz w:val="22"/>
        </w:rPr>
      </w:pPr>
    </w:p>
    <w:p w14:paraId="05E7A7E8" w14:textId="77777777" w:rsidR="00A664D9" w:rsidRPr="004F4CF5" w:rsidRDefault="00A664D9" w:rsidP="00171E45">
      <w:pPr>
        <w:pStyle w:val="AMFTEXTECOURANT"/>
        <w:rPr>
          <w:rFonts w:ascii="Arial" w:hAnsi="Arial"/>
          <w:sz w:val="22"/>
        </w:rPr>
      </w:pPr>
      <w:r w:rsidRPr="004F4CF5">
        <w:rPr>
          <w:rFonts w:ascii="Arial" w:hAnsi="Arial"/>
          <w:sz w:val="22"/>
        </w:rPr>
        <w:t>Les OPCI ne doivent pas retenir de rédaction imprécise</w:t>
      </w:r>
      <w:r w:rsidR="00C42194" w:rsidRPr="004F4CF5">
        <w:rPr>
          <w:rFonts w:ascii="Arial" w:hAnsi="Arial"/>
          <w:sz w:val="22"/>
        </w:rPr>
        <w:t xml:space="preserve"> </w:t>
      </w:r>
      <w:r w:rsidRPr="004F4CF5">
        <w:rPr>
          <w:rFonts w:ascii="Arial" w:hAnsi="Arial"/>
          <w:sz w:val="22"/>
        </w:rPr>
        <w:t>ne permettant pas une bonne appréciation des instruments et stratégies utilisés.</w:t>
      </w:r>
    </w:p>
    <w:p w14:paraId="232115DF" w14:textId="77777777" w:rsidR="00C42194" w:rsidRPr="004F4CF5" w:rsidRDefault="00C42194" w:rsidP="00171E45">
      <w:pPr>
        <w:pStyle w:val="AMFTEXTECOURANT"/>
        <w:rPr>
          <w:rFonts w:ascii="Arial" w:hAnsi="Arial"/>
          <w:sz w:val="22"/>
        </w:rPr>
      </w:pPr>
    </w:p>
    <w:p w14:paraId="4750D464" w14:textId="1AAC3744" w:rsidR="00A664D9" w:rsidRPr="004F4CF5" w:rsidRDefault="00A664D9" w:rsidP="00504E87">
      <w:pPr>
        <w:pStyle w:val="AMFTEXTECOURANT"/>
        <w:rPr>
          <w:rFonts w:ascii="Arial" w:hAnsi="Arial"/>
          <w:sz w:val="22"/>
        </w:rPr>
      </w:pPr>
      <w:r w:rsidRPr="004F4CF5">
        <w:rPr>
          <w:rFonts w:ascii="Arial" w:hAnsi="Arial"/>
          <w:sz w:val="22"/>
        </w:rPr>
        <w:t>-</w:t>
      </w:r>
      <w:r w:rsidRPr="004F4CF5">
        <w:rPr>
          <w:rFonts w:ascii="Arial" w:hAnsi="Arial"/>
          <w:sz w:val="22"/>
        </w:rPr>
        <w:tab/>
        <w:t xml:space="preserve">Pour les </w:t>
      </w:r>
      <w:r w:rsidR="00C42194" w:rsidRPr="004F4CF5">
        <w:rPr>
          <w:rFonts w:ascii="Arial" w:hAnsi="Arial"/>
          <w:sz w:val="22"/>
        </w:rPr>
        <w:t>liquidités ou avances en compte courant</w:t>
      </w:r>
      <w:r w:rsidRPr="004F4CF5">
        <w:rPr>
          <w:rFonts w:ascii="Arial" w:hAnsi="Arial"/>
          <w:sz w:val="22"/>
        </w:rPr>
        <w:t xml:space="preserve">, le </w:t>
      </w:r>
      <w:r w:rsidR="00C42194" w:rsidRPr="004F4CF5">
        <w:rPr>
          <w:rFonts w:ascii="Arial" w:hAnsi="Arial"/>
          <w:sz w:val="22"/>
        </w:rPr>
        <w:t xml:space="preserve">règlement </w:t>
      </w:r>
      <w:r w:rsidRPr="004F4CF5">
        <w:rPr>
          <w:rFonts w:ascii="Arial" w:hAnsi="Arial"/>
          <w:sz w:val="22"/>
        </w:rPr>
        <w:t xml:space="preserve">doit mentionner les caractéristiques, </w:t>
      </w:r>
      <w:r w:rsidR="0093198B" w:rsidRPr="004F4CF5">
        <w:rPr>
          <w:rFonts w:ascii="Arial" w:hAnsi="Arial"/>
          <w:sz w:val="22"/>
        </w:rPr>
        <w:t xml:space="preserve">le </w:t>
      </w:r>
      <w:r w:rsidRPr="004F4CF5">
        <w:rPr>
          <w:rFonts w:ascii="Arial" w:hAnsi="Arial"/>
          <w:sz w:val="22"/>
        </w:rPr>
        <w:t xml:space="preserve">niveau d'utilisation et </w:t>
      </w:r>
      <w:r w:rsidR="0093198B" w:rsidRPr="004F4CF5">
        <w:rPr>
          <w:rFonts w:ascii="Arial" w:hAnsi="Arial"/>
          <w:sz w:val="22"/>
        </w:rPr>
        <w:t xml:space="preserve">la </w:t>
      </w:r>
      <w:r w:rsidRPr="004F4CF5">
        <w:rPr>
          <w:rFonts w:ascii="Arial" w:hAnsi="Arial"/>
          <w:sz w:val="22"/>
        </w:rPr>
        <w:t>description de la contribution à la réalisation de l'objectif de gestion.</w:t>
      </w:r>
    </w:p>
    <w:p w14:paraId="02F0EC01" w14:textId="77777777" w:rsidR="00A664D9" w:rsidRPr="004F4CF5" w:rsidRDefault="00A664D9" w:rsidP="00504E87">
      <w:pPr>
        <w:pStyle w:val="AMFTEXTECOURANT"/>
        <w:rPr>
          <w:rFonts w:ascii="Arial" w:hAnsi="Arial"/>
          <w:sz w:val="22"/>
        </w:rPr>
      </w:pPr>
      <w:r w:rsidRPr="004F4CF5">
        <w:rPr>
          <w:rFonts w:ascii="Arial" w:hAnsi="Arial"/>
          <w:sz w:val="22"/>
        </w:rPr>
        <w:t>-</w:t>
      </w:r>
      <w:r w:rsidRPr="004F4CF5">
        <w:rPr>
          <w:rFonts w:ascii="Arial" w:hAnsi="Arial"/>
          <w:sz w:val="22"/>
        </w:rPr>
        <w:tab/>
        <w:t xml:space="preserve">Pour les emprunts d'espèces, le </w:t>
      </w:r>
      <w:r w:rsidR="009833A2" w:rsidRPr="004F4CF5">
        <w:rPr>
          <w:rFonts w:ascii="Arial" w:hAnsi="Arial"/>
          <w:sz w:val="22"/>
        </w:rPr>
        <w:t>règlement</w:t>
      </w:r>
      <w:r w:rsidRPr="004F4CF5">
        <w:rPr>
          <w:rFonts w:ascii="Arial" w:hAnsi="Arial"/>
          <w:sz w:val="22"/>
        </w:rPr>
        <w:t xml:space="preserve"> doit comporter l'indication des techniques et instruments ou des autorisations en matière d'emprunts susceptibles d'être utilisés dans le fonctionnement de l'OPCI.</w:t>
      </w:r>
    </w:p>
    <w:p w14:paraId="09280CF2" w14:textId="77777777" w:rsidR="00A664D9" w:rsidRPr="004F4CF5" w:rsidRDefault="00A664D9" w:rsidP="00171E45">
      <w:pPr>
        <w:pStyle w:val="AMFTEXTECOURANT"/>
        <w:rPr>
          <w:rFonts w:ascii="Arial" w:hAnsi="Arial"/>
          <w:sz w:val="22"/>
        </w:rPr>
      </w:pPr>
    </w:p>
    <w:p w14:paraId="60854C58" w14:textId="77777777" w:rsidR="00A664D9" w:rsidRPr="004F4CF5" w:rsidRDefault="00A664D9" w:rsidP="00171E45">
      <w:pPr>
        <w:pStyle w:val="AMFTEXTECOURANT"/>
        <w:rPr>
          <w:rFonts w:ascii="Arial" w:hAnsi="Arial"/>
          <w:sz w:val="22"/>
        </w:rPr>
      </w:pPr>
      <w:r w:rsidRPr="004F4CF5">
        <w:rPr>
          <w:rFonts w:ascii="Arial" w:hAnsi="Arial"/>
          <w:i/>
          <w:sz w:val="22"/>
        </w:rPr>
        <w:t>c)</w:t>
      </w:r>
      <w:r w:rsidRPr="004F4CF5">
        <w:rPr>
          <w:rFonts w:ascii="Arial" w:hAnsi="Arial"/>
          <w:sz w:val="22"/>
        </w:rPr>
        <w:t xml:space="preserve"> Le niveau d'utilisation maximum des différents instruments</w:t>
      </w:r>
      <w:r w:rsidR="009833A2" w:rsidRPr="004F4CF5">
        <w:rPr>
          <w:rFonts w:ascii="Arial" w:hAnsi="Arial"/>
          <w:sz w:val="22"/>
        </w:rPr>
        <w:t xml:space="preserve"> et actifs </w:t>
      </w:r>
      <w:r w:rsidRPr="004F4CF5">
        <w:rPr>
          <w:rFonts w:ascii="Arial" w:hAnsi="Arial"/>
          <w:sz w:val="22"/>
        </w:rPr>
        <w:t>;</w:t>
      </w:r>
    </w:p>
    <w:p w14:paraId="74CEC127" w14:textId="77777777" w:rsidR="00A664D9" w:rsidRPr="004F4CF5" w:rsidRDefault="00A664D9" w:rsidP="00171E45">
      <w:pPr>
        <w:pStyle w:val="AMFTEXTECOURANT"/>
        <w:rPr>
          <w:rFonts w:ascii="Arial" w:hAnsi="Arial"/>
          <w:sz w:val="22"/>
        </w:rPr>
      </w:pPr>
      <w:r w:rsidRPr="004F4CF5">
        <w:rPr>
          <w:rFonts w:ascii="Arial" w:hAnsi="Arial"/>
          <w:i/>
          <w:sz w:val="22"/>
        </w:rPr>
        <w:t>d)</w:t>
      </w:r>
      <w:r w:rsidRPr="004F4CF5">
        <w:rPr>
          <w:rFonts w:ascii="Arial" w:hAnsi="Arial"/>
          <w:sz w:val="22"/>
        </w:rPr>
        <w:t xml:space="preserve"> Le niveau d'utilisation des différents instruments</w:t>
      </w:r>
      <w:r w:rsidR="009833A2" w:rsidRPr="004F4CF5">
        <w:rPr>
          <w:rFonts w:ascii="Arial" w:hAnsi="Arial"/>
          <w:sz w:val="22"/>
        </w:rPr>
        <w:t xml:space="preserve"> et actifs</w:t>
      </w:r>
      <w:r w:rsidRPr="004F4CF5">
        <w:rPr>
          <w:rFonts w:ascii="Arial" w:hAnsi="Arial"/>
          <w:sz w:val="22"/>
        </w:rPr>
        <w:t xml:space="preserve"> généralement recherché, correspondant à l'utilisation habituelle envisagée par le gérant ;</w:t>
      </w:r>
    </w:p>
    <w:p w14:paraId="3AD4F8AB" w14:textId="77777777" w:rsidR="00A664D9" w:rsidRPr="004F4CF5" w:rsidRDefault="00A664D9" w:rsidP="00171E45">
      <w:pPr>
        <w:pStyle w:val="AMFTEXTECOURANT"/>
        <w:rPr>
          <w:rFonts w:ascii="Arial" w:hAnsi="Arial"/>
          <w:sz w:val="22"/>
        </w:rPr>
      </w:pPr>
      <w:r w:rsidRPr="004F4CF5">
        <w:rPr>
          <w:rFonts w:ascii="Arial" w:hAnsi="Arial"/>
          <w:sz w:val="22"/>
        </w:rPr>
        <w:t xml:space="preserve">e) Le cas échéant, des éventuelles restrictions à l’utilisation de l’effet de levier, ainsi que des éventuelles modalités de remploi d’un collatéral ou d’actifs. </w:t>
      </w:r>
    </w:p>
    <w:p w14:paraId="17548992" w14:textId="3A18E9B3" w:rsidR="00A664D9" w:rsidRPr="004F4CF5" w:rsidRDefault="00A664D9" w:rsidP="00171E45">
      <w:pPr>
        <w:pStyle w:val="AMFTEXTECOURANT"/>
        <w:rPr>
          <w:rFonts w:ascii="Arial" w:hAnsi="Arial"/>
          <w:sz w:val="22"/>
        </w:rPr>
      </w:pPr>
      <w:r w:rsidRPr="004F4CF5">
        <w:rPr>
          <w:rFonts w:ascii="Arial" w:hAnsi="Arial"/>
          <w:sz w:val="22"/>
        </w:rPr>
        <w:t>Le niveau de levier maximal que le gestionnaire est habilité à employer pour le compte de l’OPCI.</w:t>
      </w:r>
    </w:p>
    <w:p w14:paraId="212E6A87" w14:textId="77777777" w:rsidR="00A664D9" w:rsidRPr="004F4CF5" w:rsidRDefault="00A664D9" w:rsidP="00171E45">
      <w:pPr>
        <w:pStyle w:val="AMFTEXTECOURANT"/>
        <w:rPr>
          <w:rFonts w:ascii="Arial" w:hAnsi="Arial"/>
          <w:sz w:val="22"/>
        </w:rPr>
      </w:pPr>
    </w:p>
    <w:p w14:paraId="0CB97145" w14:textId="77777777" w:rsidR="00A664D9" w:rsidRPr="004F4CF5" w:rsidRDefault="00A664D9" w:rsidP="00171E45">
      <w:pPr>
        <w:pStyle w:val="AMFTEXTECOURANT"/>
        <w:rPr>
          <w:rFonts w:ascii="Arial" w:hAnsi="Arial"/>
          <w:sz w:val="22"/>
        </w:rPr>
      </w:pPr>
      <w:r w:rsidRPr="004F4CF5">
        <w:rPr>
          <w:rFonts w:ascii="Arial" w:hAnsi="Arial"/>
          <w:i/>
          <w:sz w:val="22"/>
        </w:rPr>
        <w:t>f)</w:t>
      </w:r>
      <w:r w:rsidRPr="004F4CF5">
        <w:rPr>
          <w:rFonts w:ascii="Arial" w:hAnsi="Arial"/>
          <w:sz w:val="22"/>
        </w:rPr>
        <w:t xml:space="preserve"> Contrats constituant des garanties financières.</w:t>
      </w:r>
    </w:p>
    <w:p w14:paraId="413B2EB2" w14:textId="77777777" w:rsidR="00A664D9" w:rsidRPr="004F4CF5" w:rsidRDefault="00A664D9" w:rsidP="00171E45">
      <w:pPr>
        <w:pStyle w:val="AMFTEXTECOURANT"/>
        <w:rPr>
          <w:rFonts w:ascii="Arial" w:hAnsi="Arial"/>
          <w:sz w:val="22"/>
        </w:rPr>
      </w:pPr>
      <w:r w:rsidRPr="004F4CF5">
        <w:rPr>
          <w:rFonts w:ascii="Arial" w:hAnsi="Arial"/>
          <w:sz w:val="22"/>
        </w:rPr>
        <w:t>La possibilité pour l'OPCI d’octroyer des garanties à des tiers doit être mentionnée de manière expresse. Cette rubrique détaille :</w:t>
      </w:r>
    </w:p>
    <w:p w14:paraId="167B3936" w14:textId="77777777" w:rsidR="00A664D9" w:rsidRPr="004F4CF5" w:rsidRDefault="00A664D9" w:rsidP="00171E45">
      <w:pPr>
        <w:pStyle w:val="AMFTEXTECOURANT"/>
        <w:numPr>
          <w:ilvl w:val="0"/>
          <w:numId w:val="13"/>
        </w:numPr>
        <w:rPr>
          <w:rFonts w:ascii="Arial" w:hAnsi="Arial"/>
          <w:sz w:val="22"/>
        </w:rPr>
      </w:pPr>
      <w:r w:rsidRPr="004F4CF5">
        <w:rPr>
          <w:rFonts w:ascii="Arial" w:hAnsi="Arial"/>
          <w:sz w:val="22"/>
        </w:rPr>
        <w:t>La nature des garanties octroyées par l'OPCI ;</w:t>
      </w:r>
    </w:p>
    <w:p w14:paraId="104E783B" w14:textId="77777777" w:rsidR="00A664D9" w:rsidRPr="004F4CF5" w:rsidRDefault="00A664D9" w:rsidP="00171E45">
      <w:pPr>
        <w:pStyle w:val="AMFTEXTECOURANT"/>
        <w:numPr>
          <w:ilvl w:val="0"/>
          <w:numId w:val="13"/>
        </w:numPr>
        <w:rPr>
          <w:rFonts w:ascii="Arial" w:hAnsi="Arial"/>
          <w:sz w:val="22"/>
        </w:rPr>
      </w:pPr>
      <w:r w:rsidRPr="004F4CF5">
        <w:rPr>
          <w:rFonts w:ascii="Arial" w:hAnsi="Arial"/>
          <w:sz w:val="22"/>
        </w:rPr>
        <w:t>La nature des engagements de l'OPCI pouvant nécessiter ce type de garanties ;</w:t>
      </w:r>
    </w:p>
    <w:p w14:paraId="2D6717F9" w14:textId="77777777" w:rsidR="00A664D9" w:rsidRPr="004F4CF5" w:rsidRDefault="00A664D9" w:rsidP="00171E45">
      <w:pPr>
        <w:pStyle w:val="AMFTEXTECOURANT"/>
        <w:numPr>
          <w:ilvl w:val="0"/>
          <w:numId w:val="13"/>
        </w:numPr>
        <w:rPr>
          <w:rFonts w:ascii="Arial" w:hAnsi="Arial"/>
          <w:sz w:val="22"/>
        </w:rPr>
      </w:pPr>
      <w:r w:rsidRPr="004F4CF5">
        <w:rPr>
          <w:rFonts w:ascii="Arial" w:hAnsi="Arial"/>
          <w:sz w:val="22"/>
        </w:rPr>
        <w:t>La qualité des bénéficiaires de ces garanties.</w:t>
      </w:r>
    </w:p>
    <w:p w14:paraId="660AF5B5" w14:textId="77777777" w:rsidR="00504E87" w:rsidRPr="004F4CF5" w:rsidRDefault="00504E87" w:rsidP="00504E87">
      <w:pPr>
        <w:pStyle w:val="AMFTEXTECOURANT"/>
        <w:ind w:left="851"/>
        <w:rPr>
          <w:rFonts w:ascii="Arial" w:hAnsi="Arial"/>
          <w:sz w:val="22"/>
        </w:rPr>
      </w:pPr>
    </w:p>
    <w:p w14:paraId="670F6932" w14:textId="77777777" w:rsidR="00A664D9" w:rsidRPr="004F4CF5" w:rsidRDefault="00A664D9" w:rsidP="00171E45">
      <w:pPr>
        <w:pStyle w:val="AMFTEXTECOURANT"/>
        <w:rPr>
          <w:rFonts w:ascii="Arial" w:hAnsi="Arial"/>
          <w:sz w:val="22"/>
        </w:rPr>
      </w:pPr>
      <w:r w:rsidRPr="004F4CF5">
        <w:rPr>
          <w:rFonts w:ascii="Arial" w:hAnsi="Arial"/>
          <w:sz w:val="22"/>
        </w:rPr>
        <w:t xml:space="preserve">Le </w:t>
      </w:r>
      <w:r w:rsidR="001666C5" w:rsidRPr="004F4CF5">
        <w:rPr>
          <w:rFonts w:ascii="Arial" w:hAnsi="Arial"/>
          <w:sz w:val="22"/>
        </w:rPr>
        <w:t xml:space="preserve">document d’information </w:t>
      </w:r>
      <w:r w:rsidRPr="004F4CF5">
        <w:rPr>
          <w:rFonts w:ascii="Arial" w:hAnsi="Arial"/>
          <w:sz w:val="22"/>
        </w:rPr>
        <w:t>décrit les garanties acceptables en ce qui concerne les types d’actifs, l’émetteur, l’échéance, la liquidité ainsi que la diversification des garanties et les politiques en matière de corrélation.</w:t>
      </w:r>
    </w:p>
    <w:p w14:paraId="4D811365" w14:textId="77777777" w:rsidR="00504E87" w:rsidRPr="004F4CF5" w:rsidRDefault="00504E87" w:rsidP="00171E45">
      <w:pPr>
        <w:pStyle w:val="AMFTEXTECOURANT"/>
        <w:rPr>
          <w:rFonts w:ascii="Arial" w:hAnsi="Arial"/>
          <w:sz w:val="22"/>
        </w:rPr>
      </w:pPr>
    </w:p>
    <w:p w14:paraId="554396C7" w14:textId="77777777" w:rsidR="00A664D9" w:rsidRPr="004F4CF5" w:rsidRDefault="00A664D9" w:rsidP="00171E45">
      <w:pPr>
        <w:pStyle w:val="AMFTEXTECOURANT"/>
        <w:rPr>
          <w:rFonts w:ascii="Arial" w:hAnsi="Arial"/>
          <w:sz w:val="22"/>
        </w:rPr>
      </w:pPr>
      <w:r w:rsidRPr="004F4CF5">
        <w:rPr>
          <w:rFonts w:ascii="Arial" w:hAnsi="Arial"/>
          <w:sz w:val="22"/>
        </w:rPr>
        <w:t xml:space="preserve">Le </w:t>
      </w:r>
      <w:r w:rsidR="001666C5" w:rsidRPr="004F4CF5">
        <w:rPr>
          <w:rFonts w:ascii="Arial" w:hAnsi="Arial"/>
          <w:sz w:val="22"/>
        </w:rPr>
        <w:t>document d’information</w:t>
      </w:r>
      <w:r w:rsidR="00C42194" w:rsidRPr="004F4CF5">
        <w:rPr>
          <w:rFonts w:ascii="Arial" w:hAnsi="Arial"/>
          <w:sz w:val="22"/>
        </w:rPr>
        <w:t xml:space="preserve"> </w:t>
      </w:r>
      <w:r w:rsidRPr="004F4CF5">
        <w:rPr>
          <w:rFonts w:ascii="Arial" w:hAnsi="Arial"/>
          <w:sz w:val="22"/>
        </w:rPr>
        <w:t>fournit des indications sur la manière dont les actifs faisant l’objet d’opérations de financement sur titres et de contrats d’échange sur rendement global et les garanties reçues sont conservés (par exemple par un dépositaire de fonds) ainsi que sur toute restriction (réglementaire ou volontaire) concernant la réutilisation des garanties.</w:t>
      </w:r>
    </w:p>
    <w:p w14:paraId="1CFC348D" w14:textId="77777777" w:rsidR="00A664D9" w:rsidRPr="004F4CF5" w:rsidRDefault="00A664D9" w:rsidP="00171E45">
      <w:pPr>
        <w:pStyle w:val="AMFTEXTECOURANT"/>
        <w:rPr>
          <w:rFonts w:ascii="Arial" w:hAnsi="Arial"/>
          <w:sz w:val="22"/>
        </w:rPr>
      </w:pPr>
    </w:p>
    <w:p w14:paraId="1278BA0D" w14:textId="77777777" w:rsidR="00A664D9" w:rsidRPr="004F4CF5" w:rsidRDefault="00A664D9" w:rsidP="00171E45">
      <w:pPr>
        <w:pStyle w:val="AMFTEXTECOURANT"/>
        <w:rPr>
          <w:rFonts w:ascii="Arial" w:hAnsi="Arial"/>
          <w:sz w:val="22"/>
        </w:rPr>
      </w:pPr>
    </w:p>
    <w:p w14:paraId="3C863A5F" w14:textId="77777777" w:rsidR="00A664D9" w:rsidRPr="004F4CF5" w:rsidRDefault="00A664D9" w:rsidP="00171E45">
      <w:pPr>
        <w:pStyle w:val="AMFTEXTECOURANT"/>
        <w:rPr>
          <w:rFonts w:ascii="Arial" w:hAnsi="Arial"/>
          <w:sz w:val="22"/>
        </w:rPr>
      </w:pPr>
      <w:r w:rsidRPr="004F4CF5">
        <w:rPr>
          <w:rFonts w:ascii="Arial" w:hAnsi="Arial"/>
          <w:sz w:val="22"/>
        </w:rPr>
        <w:t>4° Profil de risque</w:t>
      </w:r>
    </w:p>
    <w:p w14:paraId="047A2A74" w14:textId="68CA3CF6" w:rsidR="00A664D9" w:rsidRPr="004F4CF5" w:rsidRDefault="00A664D9" w:rsidP="00171E45">
      <w:pPr>
        <w:pStyle w:val="AMFTEXTECOURANT"/>
        <w:rPr>
          <w:rFonts w:ascii="Arial" w:hAnsi="Arial"/>
          <w:sz w:val="22"/>
        </w:rPr>
      </w:pPr>
      <w:r w:rsidRPr="004F4CF5">
        <w:rPr>
          <w:rFonts w:ascii="Arial" w:hAnsi="Arial"/>
          <w:sz w:val="22"/>
        </w:rPr>
        <w:t>L'objectif est d'informer l'investisseur sur les risques liés à la nature de l'OPCI, associés aux techniques employées</w:t>
      </w:r>
      <w:r w:rsidR="0093198B" w:rsidRPr="004F4CF5">
        <w:rPr>
          <w:rStyle w:val="Appelnotedebasdep"/>
          <w:rFonts w:ascii="Arial" w:hAnsi="Arial"/>
          <w:sz w:val="22"/>
        </w:rPr>
        <w:footnoteReference w:id="2"/>
      </w:r>
      <w:r w:rsidRPr="004F4CF5">
        <w:rPr>
          <w:rFonts w:ascii="Arial" w:hAnsi="Arial"/>
          <w:sz w:val="22"/>
        </w:rPr>
        <w:t xml:space="preserve"> et ceux qui résultent des marchés ou des classes d'actifs sur lesquels l'OPCI entend s'exposer. Cette rubrique ne doit pas se limiter à la description des instruments dans lesquels l'OPCI est investi.</w:t>
      </w:r>
    </w:p>
    <w:p w14:paraId="5DBB52BF" w14:textId="77777777" w:rsidR="00A664D9" w:rsidRPr="004F4CF5" w:rsidRDefault="00A664D9" w:rsidP="00171E45">
      <w:pPr>
        <w:pStyle w:val="AMFTEXTECOURANT"/>
        <w:rPr>
          <w:rFonts w:ascii="Arial" w:hAnsi="Arial"/>
          <w:sz w:val="22"/>
        </w:rPr>
      </w:pPr>
      <w:r w:rsidRPr="004F4CF5">
        <w:rPr>
          <w:rFonts w:ascii="Arial" w:hAnsi="Arial"/>
          <w:sz w:val="22"/>
        </w:rPr>
        <w:t>Elle distingue :</w:t>
      </w:r>
    </w:p>
    <w:p w14:paraId="76624279" w14:textId="77777777" w:rsidR="00A664D9" w:rsidRPr="004F4CF5" w:rsidRDefault="00A664D9" w:rsidP="00171E45">
      <w:pPr>
        <w:pStyle w:val="AMFTEXTECOURANT"/>
        <w:rPr>
          <w:rFonts w:ascii="Arial" w:hAnsi="Arial"/>
          <w:sz w:val="22"/>
        </w:rPr>
      </w:pPr>
      <w:r w:rsidRPr="004F4CF5">
        <w:rPr>
          <w:rFonts w:ascii="Arial" w:hAnsi="Arial"/>
          <w:i/>
          <w:sz w:val="22"/>
        </w:rPr>
        <w:t>a)</w:t>
      </w:r>
      <w:r w:rsidRPr="004F4CF5">
        <w:rPr>
          <w:rFonts w:ascii="Arial" w:hAnsi="Arial"/>
          <w:sz w:val="22"/>
        </w:rPr>
        <w:t xml:space="preserve"> Les facteurs de risques pour les OPCI dans leur ensemble ;</w:t>
      </w:r>
    </w:p>
    <w:p w14:paraId="329D1B09" w14:textId="77777777" w:rsidR="00A664D9" w:rsidRPr="004F4CF5" w:rsidRDefault="00A664D9" w:rsidP="00171E45">
      <w:pPr>
        <w:pStyle w:val="AMFTEXTECOURANT"/>
        <w:rPr>
          <w:rFonts w:ascii="Arial" w:hAnsi="Arial"/>
          <w:sz w:val="22"/>
        </w:rPr>
      </w:pPr>
      <w:r w:rsidRPr="004F4CF5">
        <w:rPr>
          <w:rFonts w:ascii="Arial" w:hAnsi="Arial"/>
          <w:i/>
          <w:sz w:val="22"/>
        </w:rPr>
        <w:t>b)</w:t>
      </w:r>
      <w:r w:rsidRPr="004F4CF5">
        <w:rPr>
          <w:rFonts w:ascii="Arial" w:hAnsi="Arial"/>
          <w:sz w:val="22"/>
        </w:rPr>
        <w:t xml:space="preserve"> Les facteurs de risques propres à l'OPCI et liés à sa stratégie d'investissement.</w:t>
      </w:r>
    </w:p>
    <w:p w14:paraId="50230481" w14:textId="77777777" w:rsidR="002D0C4E" w:rsidRPr="004F4CF5" w:rsidRDefault="002D0C4E" w:rsidP="00171E45">
      <w:pPr>
        <w:pStyle w:val="AMFTEXTECOURANT"/>
        <w:rPr>
          <w:rFonts w:ascii="Arial" w:hAnsi="Arial"/>
          <w:sz w:val="22"/>
        </w:rPr>
      </w:pPr>
    </w:p>
    <w:p w14:paraId="6A70B9B4" w14:textId="77777777" w:rsidR="00A664D9" w:rsidRPr="004F4CF5" w:rsidRDefault="00A664D9" w:rsidP="00171E45">
      <w:pPr>
        <w:pStyle w:val="AMFTEXTECOURANT"/>
        <w:rPr>
          <w:rFonts w:ascii="Arial" w:hAnsi="Arial"/>
          <w:sz w:val="22"/>
        </w:rPr>
      </w:pPr>
      <w:r w:rsidRPr="004F4CF5">
        <w:rPr>
          <w:rFonts w:ascii="Arial" w:hAnsi="Arial"/>
          <w:sz w:val="22"/>
        </w:rPr>
        <w:t xml:space="preserve">Le </w:t>
      </w:r>
      <w:r w:rsidR="001666C5" w:rsidRPr="004F4CF5">
        <w:rPr>
          <w:rFonts w:ascii="Arial" w:hAnsi="Arial"/>
          <w:sz w:val="22"/>
        </w:rPr>
        <w:t>document d’information</w:t>
      </w:r>
      <w:r w:rsidRPr="004F4CF5">
        <w:rPr>
          <w:rFonts w:ascii="Arial" w:hAnsi="Arial"/>
          <w:sz w:val="22"/>
        </w:rPr>
        <w:t xml:space="preserve"> a pour vocation de décliner de façon détaillée et hiérarchisée les risques :</w:t>
      </w:r>
    </w:p>
    <w:p w14:paraId="01911D5D" w14:textId="77777777" w:rsidR="00A664D9" w:rsidRPr="004F4CF5" w:rsidRDefault="00A664D9" w:rsidP="00171E45">
      <w:pPr>
        <w:pStyle w:val="AMFTEXTECOURANT"/>
        <w:rPr>
          <w:rFonts w:ascii="Arial" w:hAnsi="Arial"/>
          <w:sz w:val="22"/>
        </w:rPr>
      </w:pPr>
      <w:r w:rsidRPr="004F4CF5">
        <w:rPr>
          <w:rFonts w:ascii="Arial" w:hAnsi="Arial"/>
          <w:sz w:val="22"/>
        </w:rPr>
        <w:t>Par exemple :</w:t>
      </w:r>
    </w:p>
    <w:p w14:paraId="37202CA3" w14:textId="77777777" w:rsidR="00A664D9" w:rsidRPr="004F4CF5" w:rsidRDefault="00A664D9" w:rsidP="00171E45">
      <w:pPr>
        <w:pStyle w:val="AMFTEXTECOURANT"/>
        <w:rPr>
          <w:rFonts w:ascii="Arial" w:hAnsi="Arial"/>
          <w:sz w:val="22"/>
        </w:rPr>
      </w:pPr>
      <w:r w:rsidRPr="004F4CF5">
        <w:rPr>
          <w:rFonts w:ascii="Arial" w:hAnsi="Arial"/>
          <w:i/>
          <w:sz w:val="22"/>
        </w:rPr>
        <w:t>a)</w:t>
      </w:r>
      <w:r w:rsidRPr="004F4CF5">
        <w:rPr>
          <w:rFonts w:ascii="Arial" w:hAnsi="Arial"/>
          <w:sz w:val="22"/>
        </w:rPr>
        <w:t xml:space="preserve"> Mention des caractéristiques spécifiques de l'OPCI (degré minimum d'exposition aux différents marchés</w:t>
      </w:r>
      <w:r w:rsidR="002D0C4E" w:rsidRPr="004F4CF5">
        <w:rPr>
          <w:rFonts w:ascii="Arial" w:hAnsi="Arial"/>
          <w:sz w:val="22"/>
        </w:rPr>
        <w:t>)</w:t>
      </w:r>
      <w:r w:rsidRPr="004F4CF5">
        <w:rPr>
          <w:rFonts w:ascii="Arial" w:hAnsi="Arial"/>
          <w:sz w:val="22"/>
        </w:rPr>
        <w:t xml:space="preserve"> ;</w:t>
      </w:r>
    </w:p>
    <w:p w14:paraId="685D375D" w14:textId="77777777" w:rsidR="00A664D9" w:rsidRPr="004F4CF5" w:rsidRDefault="009833A2" w:rsidP="00171E45">
      <w:pPr>
        <w:pStyle w:val="AMFTEXTECOURANT"/>
        <w:rPr>
          <w:rFonts w:ascii="Arial" w:hAnsi="Arial"/>
          <w:sz w:val="22"/>
        </w:rPr>
      </w:pPr>
      <w:r w:rsidRPr="004F4CF5">
        <w:rPr>
          <w:rFonts w:ascii="Arial" w:hAnsi="Arial"/>
          <w:i/>
          <w:sz w:val="22"/>
        </w:rPr>
        <w:t>b</w:t>
      </w:r>
      <w:r w:rsidR="00A664D9" w:rsidRPr="004F4CF5">
        <w:rPr>
          <w:rFonts w:ascii="Arial" w:hAnsi="Arial"/>
          <w:i/>
          <w:sz w:val="22"/>
        </w:rPr>
        <w:t>)</w:t>
      </w:r>
      <w:r w:rsidR="00A664D9" w:rsidRPr="004F4CF5">
        <w:rPr>
          <w:rFonts w:ascii="Arial" w:hAnsi="Arial"/>
          <w:sz w:val="22"/>
        </w:rPr>
        <w:t xml:space="preserve"> Le risque que la performance de l'OPCI ne soit pas conforme à ses objectifs, aux objectifs de l'investisseur (en précisant que ce dernier risque dépend de la composition du portefeuille de l'investisseur) ;</w:t>
      </w:r>
    </w:p>
    <w:p w14:paraId="5B21E165" w14:textId="77777777" w:rsidR="009833A2" w:rsidRPr="004F4CF5" w:rsidRDefault="009833A2" w:rsidP="00171E45">
      <w:pPr>
        <w:pStyle w:val="AMFTEXTECOURANT"/>
        <w:rPr>
          <w:rFonts w:ascii="Arial" w:hAnsi="Arial"/>
          <w:sz w:val="22"/>
        </w:rPr>
      </w:pPr>
      <w:r w:rsidRPr="004F4CF5">
        <w:rPr>
          <w:rFonts w:ascii="Arial" w:hAnsi="Arial"/>
          <w:sz w:val="22"/>
        </w:rPr>
        <w:t>c) Le risque lié à l’usage de contrat financier ;</w:t>
      </w:r>
    </w:p>
    <w:p w14:paraId="3DD0CE23" w14:textId="77777777" w:rsidR="00A664D9" w:rsidRPr="004F4CF5" w:rsidRDefault="00D872A1" w:rsidP="00171E45">
      <w:pPr>
        <w:pStyle w:val="AMFTEXTECOURANT"/>
        <w:rPr>
          <w:rFonts w:ascii="Arial" w:hAnsi="Arial"/>
          <w:sz w:val="22"/>
        </w:rPr>
      </w:pPr>
      <w:r w:rsidRPr="004F4CF5">
        <w:rPr>
          <w:rFonts w:ascii="Arial" w:hAnsi="Arial"/>
          <w:i/>
          <w:sz w:val="22"/>
        </w:rPr>
        <w:t>d</w:t>
      </w:r>
      <w:r w:rsidR="00A664D9" w:rsidRPr="004F4CF5">
        <w:rPr>
          <w:rFonts w:ascii="Arial" w:hAnsi="Arial"/>
          <w:i/>
          <w:sz w:val="22"/>
        </w:rPr>
        <w:t>)</w:t>
      </w:r>
      <w:r w:rsidR="00A664D9" w:rsidRPr="004F4CF5">
        <w:rPr>
          <w:rFonts w:ascii="Arial" w:hAnsi="Arial"/>
          <w:sz w:val="22"/>
        </w:rPr>
        <w:t xml:space="preserve"> Le risque que le capital investi ne soit pas intégralement restitué ;</w:t>
      </w:r>
    </w:p>
    <w:p w14:paraId="01CB6097" w14:textId="31918767" w:rsidR="002D0C4E" w:rsidRPr="004F4CF5" w:rsidRDefault="00D872A1" w:rsidP="00171E45">
      <w:pPr>
        <w:pStyle w:val="AMFTEXTECOURANT"/>
        <w:rPr>
          <w:rFonts w:ascii="Arial" w:hAnsi="Arial"/>
          <w:sz w:val="22"/>
        </w:rPr>
      </w:pPr>
      <w:r w:rsidRPr="004F4CF5">
        <w:rPr>
          <w:rFonts w:ascii="Arial" w:hAnsi="Arial"/>
          <w:i/>
          <w:sz w:val="22"/>
        </w:rPr>
        <w:t>e</w:t>
      </w:r>
      <w:r w:rsidR="00A664D9" w:rsidRPr="004F4CF5">
        <w:rPr>
          <w:rFonts w:ascii="Arial" w:hAnsi="Arial"/>
          <w:i/>
          <w:sz w:val="22"/>
        </w:rPr>
        <w:t>)</w:t>
      </w:r>
      <w:r w:rsidR="00A664D9" w:rsidRPr="004F4CF5">
        <w:rPr>
          <w:rFonts w:ascii="Arial" w:hAnsi="Arial"/>
          <w:sz w:val="22"/>
        </w:rPr>
        <w:t xml:space="preserve"> Restriction de liquidité ;</w:t>
      </w:r>
    </w:p>
    <w:p w14:paraId="72454304" w14:textId="370452AF" w:rsidR="00A664D9" w:rsidRPr="004F4CF5" w:rsidRDefault="00A664D9" w:rsidP="00171E45">
      <w:pPr>
        <w:pStyle w:val="AMFTEXTECOURANT"/>
        <w:rPr>
          <w:rFonts w:ascii="Arial" w:hAnsi="Arial"/>
          <w:sz w:val="22"/>
        </w:rPr>
      </w:pPr>
      <w:r w:rsidRPr="004F4CF5">
        <w:rPr>
          <w:rFonts w:ascii="Arial" w:hAnsi="Arial"/>
          <w:sz w:val="22"/>
        </w:rPr>
        <w:t xml:space="preserve"> </w:t>
      </w:r>
      <w:r w:rsidR="00D872A1" w:rsidRPr="004F4CF5">
        <w:rPr>
          <w:rFonts w:ascii="Arial" w:hAnsi="Arial"/>
          <w:i/>
          <w:sz w:val="22"/>
        </w:rPr>
        <w:t>f</w:t>
      </w:r>
      <w:r w:rsidR="009833A2" w:rsidRPr="004F4CF5">
        <w:rPr>
          <w:rFonts w:ascii="Arial" w:hAnsi="Arial"/>
          <w:i/>
          <w:sz w:val="22"/>
        </w:rPr>
        <w:t>)</w:t>
      </w:r>
      <w:r w:rsidRPr="004F4CF5">
        <w:rPr>
          <w:rFonts w:ascii="Arial" w:hAnsi="Arial"/>
          <w:sz w:val="22"/>
        </w:rPr>
        <w:t xml:space="preserve"> Risques associés à l’effet de levier.</w:t>
      </w:r>
    </w:p>
    <w:p w14:paraId="6628D934" w14:textId="77777777" w:rsidR="00A664D9" w:rsidRPr="004F4CF5" w:rsidRDefault="00A664D9" w:rsidP="00171E45">
      <w:pPr>
        <w:pStyle w:val="AMFTEXTECOURANT"/>
        <w:rPr>
          <w:rFonts w:ascii="Arial" w:hAnsi="Arial"/>
          <w:sz w:val="22"/>
        </w:rPr>
      </w:pPr>
    </w:p>
    <w:p w14:paraId="48218E43" w14:textId="77777777" w:rsidR="00A664D9" w:rsidRPr="004F4CF5" w:rsidRDefault="00A664D9" w:rsidP="00171E45">
      <w:pPr>
        <w:pStyle w:val="AMFTEXTECOURANT"/>
        <w:rPr>
          <w:rFonts w:ascii="Arial" w:hAnsi="Arial"/>
          <w:sz w:val="22"/>
        </w:rPr>
      </w:pPr>
      <w:r w:rsidRPr="004F4CF5">
        <w:rPr>
          <w:rFonts w:ascii="Arial" w:hAnsi="Arial"/>
          <w:sz w:val="22"/>
          <w:u w:val="single"/>
        </w:rPr>
        <w:t>5° Une description des principales conséquences juridiques</w:t>
      </w:r>
      <w:r w:rsidRPr="004F4CF5">
        <w:rPr>
          <w:rFonts w:ascii="Arial" w:hAnsi="Arial"/>
          <w:sz w:val="22"/>
        </w:rPr>
        <w:t xml:space="preserve"> de l’engagement contractuel pris à des fins d’investissement, y compris des informations sur la compétence judiciaire, sur le droit applicable et sur l’existence ou non d’instruments juridiques permettant la reconnaissance et l’exécution des décisions sur le territoir</w:t>
      </w:r>
      <w:r w:rsidR="009833A2" w:rsidRPr="004F4CF5">
        <w:rPr>
          <w:rFonts w:ascii="Arial" w:hAnsi="Arial"/>
          <w:sz w:val="22"/>
        </w:rPr>
        <w:t>e de domiciliation de l’OPCI</w:t>
      </w:r>
      <w:r w:rsidRPr="004F4CF5">
        <w:rPr>
          <w:rFonts w:ascii="Arial" w:hAnsi="Arial"/>
          <w:sz w:val="22"/>
        </w:rPr>
        <w:t>.</w:t>
      </w:r>
    </w:p>
    <w:p w14:paraId="4A5B692B" w14:textId="77777777" w:rsidR="00A664D9" w:rsidRPr="004F4CF5" w:rsidRDefault="00A664D9" w:rsidP="00171E45">
      <w:pPr>
        <w:pStyle w:val="AMFTEXTECOURANT"/>
        <w:rPr>
          <w:rFonts w:ascii="Arial" w:hAnsi="Arial"/>
          <w:sz w:val="22"/>
        </w:rPr>
      </w:pPr>
    </w:p>
    <w:p w14:paraId="2FDE85BE" w14:textId="77777777" w:rsidR="00A664D9" w:rsidRPr="004F4CF5" w:rsidRDefault="00A664D9" w:rsidP="00171E45">
      <w:pPr>
        <w:pStyle w:val="AMFTEXTECOURANT"/>
        <w:rPr>
          <w:rFonts w:ascii="Arial" w:hAnsi="Arial"/>
          <w:sz w:val="22"/>
        </w:rPr>
      </w:pPr>
      <w:r w:rsidRPr="004F4CF5">
        <w:rPr>
          <w:rFonts w:ascii="Arial" w:hAnsi="Arial"/>
          <w:sz w:val="22"/>
        </w:rPr>
        <w:t xml:space="preserve">6° Souscripteurs concernés, profil de l'investisseur type </w:t>
      </w:r>
    </w:p>
    <w:p w14:paraId="06BD8BD0" w14:textId="77777777" w:rsidR="00A664D9" w:rsidRPr="004F4CF5" w:rsidRDefault="00A664D9" w:rsidP="00171E45">
      <w:pPr>
        <w:pStyle w:val="AMFTEXTECOURANT"/>
        <w:rPr>
          <w:rFonts w:ascii="Arial" w:hAnsi="Arial"/>
          <w:sz w:val="22"/>
        </w:rPr>
      </w:pPr>
      <w:r w:rsidRPr="004F4CF5">
        <w:rPr>
          <w:rFonts w:ascii="Arial" w:hAnsi="Arial"/>
          <w:sz w:val="22"/>
        </w:rPr>
        <w:t xml:space="preserve">L'objectif de cette rubrique est de préciser quels souscripteurs ont accès à l'OPCI et à quel type d'investisseurs l'OPCI s'adresse. </w:t>
      </w:r>
    </w:p>
    <w:p w14:paraId="30A97079" w14:textId="77777777" w:rsidR="00A664D9" w:rsidRPr="004F4CF5" w:rsidRDefault="00A664D9" w:rsidP="00171E45">
      <w:pPr>
        <w:pStyle w:val="AMFTEXTECOURANT"/>
        <w:rPr>
          <w:rFonts w:ascii="Arial" w:hAnsi="Arial"/>
          <w:sz w:val="22"/>
        </w:rPr>
      </w:pPr>
      <w:r w:rsidRPr="004F4CF5">
        <w:rPr>
          <w:rFonts w:ascii="Arial" w:hAnsi="Arial"/>
          <w:sz w:val="22"/>
        </w:rPr>
        <w:t>Elle doit donc :</w:t>
      </w:r>
    </w:p>
    <w:p w14:paraId="6F4C977D" w14:textId="77777777" w:rsidR="00A664D9" w:rsidRPr="004F4CF5" w:rsidRDefault="00A664D9" w:rsidP="00171E45">
      <w:pPr>
        <w:pStyle w:val="AMFTEXTECOURANT"/>
        <w:rPr>
          <w:rFonts w:ascii="Arial" w:hAnsi="Arial"/>
          <w:sz w:val="22"/>
        </w:rPr>
      </w:pPr>
      <w:r w:rsidRPr="004F4CF5">
        <w:rPr>
          <w:rFonts w:ascii="Arial" w:hAnsi="Arial"/>
          <w:i/>
          <w:sz w:val="22"/>
        </w:rPr>
        <w:t>a)</w:t>
      </w:r>
      <w:r w:rsidRPr="004F4CF5">
        <w:rPr>
          <w:rFonts w:ascii="Arial" w:hAnsi="Arial"/>
          <w:sz w:val="22"/>
        </w:rPr>
        <w:t xml:space="preserve"> Préciser si l'OPCI est :</w:t>
      </w:r>
    </w:p>
    <w:p w14:paraId="685C85D4" w14:textId="77777777" w:rsidR="00A664D9" w:rsidRPr="004F4CF5" w:rsidRDefault="00A664D9" w:rsidP="00504E87">
      <w:pPr>
        <w:pStyle w:val="AMFTEXTECOURANT"/>
        <w:numPr>
          <w:ilvl w:val="0"/>
          <w:numId w:val="15"/>
        </w:numPr>
        <w:rPr>
          <w:rFonts w:ascii="Arial" w:hAnsi="Arial"/>
          <w:sz w:val="22"/>
        </w:rPr>
      </w:pPr>
      <w:r w:rsidRPr="004F4CF5">
        <w:rPr>
          <w:rFonts w:ascii="Arial" w:hAnsi="Arial"/>
          <w:sz w:val="22"/>
        </w:rPr>
        <w:t xml:space="preserve">Tous souscripteurs ; </w:t>
      </w:r>
    </w:p>
    <w:p w14:paraId="4086F3C0" w14:textId="77777777" w:rsidR="00A664D9" w:rsidRPr="004F4CF5" w:rsidRDefault="00A664D9" w:rsidP="00504E87">
      <w:pPr>
        <w:pStyle w:val="AMFTEXTECOURANT"/>
        <w:numPr>
          <w:ilvl w:val="0"/>
          <w:numId w:val="15"/>
        </w:numPr>
        <w:rPr>
          <w:rFonts w:ascii="Arial" w:hAnsi="Arial"/>
          <w:sz w:val="22"/>
        </w:rPr>
      </w:pPr>
      <w:r w:rsidRPr="004F4CF5">
        <w:rPr>
          <w:rFonts w:ascii="Arial" w:hAnsi="Arial"/>
          <w:sz w:val="22"/>
        </w:rPr>
        <w:t>Tous souscripteurs, destinés plus particulièrement à X ;</w:t>
      </w:r>
    </w:p>
    <w:p w14:paraId="1441EF82" w14:textId="3BE4DC5D" w:rsidR="00A664D9" w:rsidRPr="004F4CF5" w:rsidRDefault="00A664D9" w:rsidP="00504E87">
      <w:pPr>
        <w:pStyle w:val="AMFTEXTECOURANT"/>
        <w:numPr>
          <w:ilvl w:val="0"/>
          <w:numId w:val="15"/>
        </w:numPr>
        <w:rPr>
          <w:rFonts w:ascii="Arial" w:hAnsi="Arial"/>
          <w:sz w:val="22"/>
        </w:rPr>
      </w:pPr>
      <w:r w:rsidRPr="004F4CF5">
        <w:rPr>
          <w:rFonts w:ascii="Arial" w:hAnsi="Arial"/>
          <w:sz w:val="22"/>
        </w:rPr>
        <w:t xml:space="preserve">Dédié à 20 </w:t>
      </w:r>
      <w:r w:rsidR="008E1EEB" w:rsidRPr="004F4CF5">
        <w:rPr>
          <w:rFonts w:ascii="Arial" w:hAnsi="Arial"/>
          <w:sz w:val="22"/>
        </w:rPr>
        <w:t xml:space="preserve">investisseurs qualifiés </w:t>
      </w:r>
      <w:r w:rsidRPr="004F4CF5">
        <w:rPr>
          <w:rFonts w:ascii="Arial" w:hAnsi="Arial"/>
          <w:sz w:val="22"/>
        </w:rPr>
        <w:t xml:space="preserve">au plus : dans ce cas il est indiqué dans cette rubrique que le nombre de souscripteurs ne peut excéder vingt </w:t>
      </w:r>
      <w:r w:rsidR="008E1EEB" w:rsidRPr="004F4CF5">
        <w:rPr>
          <w:rFonts w:ascii="Arial" w:hAnsi="Arial"/>
          <w:sz w:val="22"/>
        </w:rPr>
        <w:t xml:space="preserve">investisseurs qualifiés </w:t>
      </w:r>
      <w:r w:rsidRPr="004F4CF5">
        <w:rPr>
          <w:rFonts w:ascii="Arial" w:hAnsi="Arial"/>
          <w:sz w:val="22"/>
        </w:rPr>
        <w:t>et  que l'OPCI ne fait l'objet d'aucune publicité, démarchage ou autre forme de sollicitation du public ;</w:t>
      </w:r>
    </w:p>
    <w:p w14:paraId="408E1123" w14:textId="55E6BEFD" w:rsidR="00A664D9" w:rsidRPr="004F4CF5" w:rsidRDefault="00A664D9" w:rsidP="00171E45">
      <w:pPr>
        <w:pStyle w:val="AMFTEXTECOURANT"/>
        <w:numPr>
          <w:ilvl w:val="0"/>
          <w:numId w:val="15"/>
        </w:numPr>
        <w:rPr>
          <w:rFonts w:ascii="Arial" w:hAnsi="Arial"/>
          <w:sz w:val="22"/>
        </w:rPr>
      </w:pPr>
      <w:r w:rsidRPr="004F4CF5">
        <w:rPr>
          <w:rFonts w:ascii="Arial" w:hAnsi="Arial"/>
          <w:sz w:val="22"/>
        </w:rPr>
        <w:lastRenderedPageBreak/>
        <w:t xml:space="preserve">Dédié, plus particulièrement à X (par exemple, dédié aux filiales du groupe </w:t>
      </w:r>
      <w:r w:rsidR="002D0C4E" w:rsidRPr="004F4CF5">
        <w:rPr>
          <w:rFonts w:ascii="Arial" w:hAnsi="Arial"/>
          <w:sz w:val="22"/>
          <w:highlight w:val="yellow"/>
        </w:rPr>
        <w:t>XXXXX</w:t>
      </w:r>
      <w:r w:rsidRPr="004F4CF5">
        <w:rPr>
          <w:rFonts w:ascii="Arial" w:hAnsi="Arial"/>
          <w:sz w:val="22"/>
        </w:rPr>
        <w:t>) : dans ce cas, la rubrique précise clairement les caractéristiques de la catégorie d'investisseurs visés et que l'OPCI ne fait l'objet d'aucune, publicité, démarchage ou autre forme de sollicitation du public.</w:t>
      </w:r>
    </w:p>
    <w:p w14:paraId="2094FDDD" w14:textId="77777777" w:rsidR="0093198B" w:rsidRPr="004F4CF5" w:rsidRDefault="0093198B" w:rsidP="00504E87">
      <w:pPr>
        <w:pStyle w:val="AMFTEXTECOURANT"/>
        <w:rPr>
          <w:rFonts w:ascii="Arial" w:hAnsi="Arial"/>
          <w:sz w:val="22"/>
        </w:rPr>
      </w:pPr>
    </w:p>
    <w:p w14:paraId="25344D6C" w14:textId="77777777" w:rsidR="00A664D9" w:rsidRPr="004F4CF5" w:rsidRDefault="00A664D9" w:rsidP="00171E45">
      <w:pPr>
        <w:pStyle w:val="AMFTEXTECOURANT"/>
        <w:rPr>
          <w:rFonts w:ascii="Arial" w:hAnsi="Arial"/>
          <w:sz w:val="22"/>
        </w:rPr>
      </w:pPr>
      <w:r w:rsidRPr="004F4CF5">
        <w:rPr>
          <w:rFonts w:ascii="Arial" w:hAnsi="Arial"/>
          <w:sz w:val="22"/>
        </w:rPr>
        <w:t xml:space="preserve">Lorsque l'OPCI a vocation à être commercialisé auprès d'une cible particulière d'investisseurs, cette catégorie d'investisseurs est définie précisément dans le </w:t>
      </w:r>
      <w:r w:rsidR="008E1EEB" w:rsidRPr="004F4CF5">
        <w:rPr>
          <w:rFonts w:ascii="Arial" w:hAnsi="Arial"/>
          <w:sz w:val="22"/>
        </w:rPr>
        <w:t>document d’information</w:t>
      </w:r>
      <w:r w:rsidRPr="004F4CF5">
        <w:rPr>
          <w:rFonts w:ascii="Arial" w:hAnsi="Arial"/>
          <w:sz w:val="22"/>
        </w:rPr>
        <w:t>. Une note technique devra être communiquée lors de la demande d'agrément, détaillant notamment la cible de clientèle visée et les modalités de commercialisation retenues.</w:t>
      </w:r>
    </w:p>
    <w:p w14:paraId="628AFCAD" w14:textId="77777777" w:rsidR="002D0C4E" w:rsidRPr="004F4CF5" w:rsidRDefault="002D0C4E" w:rsidP="00171E45">
      <w:pPr>
        <w:pStyle w:val="AMFTEXTECOURANT"/>
        <w:rPr>
          <w:rFonts w:ascii="Arial" w:hAnsi="Arial"/>
          <w:sz w:val="22"/>
        </w:rPr>
      </w:pPr>
    </w:p>
    <w:p w14:paraId="090C6DE4" w14:textId="77777777" w:rsidR="00A664D9" w:rsidRPr="004F4CF5" w:rsidRDefault="008E1EEB" w:rsidP="00171E45">
      <w:pPr>
        <w:pStyle w:val="AMFTEXTECOURANT"/>
        <w:rPr>
          <w:rFonts w:ascii="Arial" w:hAnsi="Arial"/>
          <w:sz w:val="22"/>
        </w:rPr>
      </w:pPr>
      <w:r w:rsidRPr="004F4CF5">
        <w:rPr>
          <w:rFonts w:ascii="Arial" w:hAnsi="Arial"/>
          <w:i/>
          <w:sz w:val="22"/>
        </w:rPr>
        <w:t>b</w:t>
      </w:r>
      <w:r w:rsidR="00A664D9" w:rsidRPr="004F4CF5">
        <w:rPr>
          <w:rFonts w:ascii="Arial" w:hAnsi="Arial"/>
          <w:i/>
          <w:sz w:val="22"/>
        </w:rPr>
        <w:t>)</w:t>
      </w:r>
      <w:r w:rsidR="00A664D9" w:rsidRPr="004F4CF5">
        <w:rPr>
          <w:rFonts w:ascii="Arial" w:hAnsi="Arial"/>
          <w:sz w:val="22"/>
        </w:rPr>
        <w:t xml:space="preserve"> Expliciter quel est le profil type de l'investisseur pour lequel l'OPCI a été créé, ainsi que la durée de placement recommandée.</w:t>
      </w:r>
    </w:p>
    <w:p w14:paraId="3CE06CAA" w14:textId="77777777" w:rsidR="00A664D9" w:rsidRPr="004F4CF5" w:rsidRDefault="00A664D9" w:rsidP="00504E87">
      <w:pPr>
        <w:pStyle w:val="AMFTEXTECOURANT"/>
        <w:numPr>
          <w:ilvl w:val="0"/>
          <w:numId w:val="15"/>
        </w:numPr>
        <w:rPr>
          <w:rFonts w:ascii="Arial" w:hAnsi="Arial"/>
          <w:sz w:val="22"/>
        </w:rPr>
      </w:pPr>
      <w:r w:rsidRPr="004F4CF5">
        <w:rPr>
          <w:rFonts w:ascii="Arial" w:hAnsi="Arial"/>
          <w:sz w:val="22"/>
        </w:rPr>
        <w:t>La description du profil type de l'investisseur complétée, lorsque cela est pertinent, par des éléments sur :</w:t>
      </w:r>
    </w:p>
    <w:p w14:paraId="08B58F60" w14:textId="77777777" w:rsidR="00A664D9" w:rsidRPr="004F4CF5" w:rsidRDefault="00A664D9" w:rsidP="00504E87">
      <w:pPr>
        <w:pStyle w:val="AMFTEXTECOURANT"/>
        <w:numPr>
          <w:ilvl w:val="0"/>
          <w:numId w:val="16"/>
        </w:numPr>
        <w:rPr>
          <w:rFonts w:ascii="Arial" w:hAnsi="Arial"/>
          <w:sz w:val="22"/>
        </w:rPr>
      </w:pPr>
      <w:r w:rsidRPr="004F4CF5">
        <w:rPr>
          <w:rFonts w:ascii="Arial" w:hAnsi="Arial"/>
          <w:sz w:val="22"/>
        </w:rPr>
        <w:t>L'aversion au risque ou la recherche de l'exposition à un risque des souscripteurs visés ;</w:t>
      </w:r>
    </w:p>
    <w:p w14:paraId="384A12A5" w14:textId="77777777" w:rsidR="00A664D9" w:rsidRPr="004F4CF5" w:rsidRDefault="00A664D9" w:rsidP="00504E87">
      <w:pPr>
        <w:pStyle w:val="AMFTEXTECOURANT"/>
        <w:numPr>
          <w:ilvl w:val="0"/>
          <w:numId w:val="16"/>
        </w:numPr>
        <w:rPr>
          <w:rFonts w:ascii="Arial" w:hAnsi="Arial"/>
          <w:sz w:val="22"/>
        </w:rPr>
      </w:pPr>
      <w:r w:rsidRPr="004F4CF5">
        <w:rPr>
          <w:rFonts w:ascii="Arial" w:hAnsi="Arial"/>
          <w:sz w:val="22"/>
        </w:rPr>
        <w:t>La proportion du portefeuille financier ou du patrimoine des clients qu'il est raisonnable d'investir dans cet OPCI ;</w:t>
      </w:r>
    </w:p>
    <w:p w14:paraId="0CBA0356" w14:textId="77777777" w:rsidR="00A664D9" w:rsidRPr="004F4CF5" w:rsidRDefault="00A664D9" w:rsidP="00171E45">
      <w:pPr>
        <w:pStyle w:val="AMFTEXTECOURANT"/>
        <w:rPr>
          <w:rFonts w:ascii="Arial" w:hAnsi="Arial"/>
          <w:sz w:val="22"/>
        </w:rPr>
      </w:pPr>
      <w:r w:rsidRPr="004F4CF5">
        <w:rPr>
          <w:rFonts w:ascii="Arial" w:hAnsi="Arial"/>
          <w:sz w:val="22"/>
        </w:rPr>
        <w:t>Ainsi qu'un avertissement sur la nécessité de diversification des placements.</w:t>
      </w:r>
    </w:p>
    <w:p w14:paraId="571EA0FB" w14:textId="77777777" w:rsidR="005A73D5" w:rsidRPr="004F4CF5" w:rsidRDefault="005A73D5" w:rsidP="00171E45">
      <w:pPr>
        <w:pStyle w:val="AMFTEXTECOURANT"/>
        <w:rPr>
          <w:rFonts w:ascii="Arial" w:hAnsi="Arial"/>
          <w:sz w:val="22"/>
        </w:rPr>
      </w:pPr>
    </w:p>
    <w:p w14:paraId="4D129380" w14:textId="77777777" w:rsidR="00A664D9" w:rsidRPr="004F4CF5" w:rsidRDefault="00A664D9" w:rsidP="00A664D9">
      <w:pPr>
        <w:pStyle w:val="AMFIntertitreframboise"/>
        <w:numPr>
          <w:ilvl w:val="0"/>
          <w:numId w:val="0"/>
        </w:numPr>
        <w:rPr>
          <w:rFonts w:ascii="Arial" w:hAnsi="Arial" w:cs="Arial"/>
          <w:bCs/>
          <w:sz w:val="22"/>
          <w:szCs w:val="22"/>
        </w:rPr>
      </w:pPr>
      <w:r w:rsidRPr="004F4CF5">
        <w:rPr>
          <w:rFonts w:ascii="Arial" w:hAnsi="Arial" w:cs="Arial"/>
          <w:color w:val="auto"/>
          <w:sz w:val="22"/>
          <w:szCs w:val="22"/>
        </w:rPr>
        <w:t>IV - Parts ou actions de l'OPCI</w:t>
      </w:r>
    </w:p>
    <w:p w14:paraId="5CB178EE" w14:textId="77777777" w:rsidR="00A664D9" w:rsidRPr="004F4CF5" w:rsidRDefault="00A664D9" w:rsidP="00171E45">
      <w:pPr>
        <w:pStyle w:val="AMFTEXTECOURANT"/>
        <w:rPr>
          <w:rFonts w:ascii="Arial" w:hAnsi="Arial"/>
          <w:sz w:val="22"/>
        </w:rPr>
      </w:pPr>
      <w:r w:rsidRPr="004F4CF5">
        <w:rPr>
          <w:rFonts w:ascii="Arial" w:hAnsi="Arial"/>
          <w:sz w:val="22"/>
        </w:rPr>
        <w:t xml:space="preserve">Lorsque l’OPCI comprend différentes catégories de parts ou d’actions dans les conditions de l’article </w:t>
      </w:r>
      <w:r w:rsidR="008E1EEB" w:rsidRPr="004F4CF5">
        <w:rPr>
          <w:rFonts w:ascii="Arial" w:hAnsi="Arial"/>
          <w:sz w:val="22"/>
        </w:rPr>
        <w:t>434</w:t>
      </w:r>
      <w:r w:rsidRPr="004F4CF5">
        <w:rPr>
          <w:rFonts w:ascii="Arial" w:hAnsi="Arial"/>
          <w:sz w:val="22"/>
        </w:rPr>
        <w:t xml:space="preserve"> du </w:t>
      </w:r>
      <w:r w:rsidR="008E1EEB" w:rsidRPr="004F4CF5">
        <w:rPr>
          <w:rFonts w:ascii="Arial" w:hAnsi="Arial"/>
          <w:sz w:val="22"/>
        </w:rPr>
        <w:t>R</w:t>
      </w:r>
      <w:r w:rsidRPr="004F4CF5">
        <w:rPr>
          <w:rFonts w:ascii="Arial" w:hAnsi="Arial"/>
          <w:sz w:val="22"/>
        </w:rPr>
        <w:t xml:space="preserve">èglement </w:t>
      </w:r>
      <w:r w:rsidR="008E1EEB" w:rsidRPr="004F4CF5">
        <w:rPr>
          <w:rFonts w:ascii="Arial" w:hAnsi="Arial"/>
          <w:sz w:val="22"/>
        </w:rPr>
        <w:t>G</w:t>
      </w:r>
      <w:r w:rsidRPr="004F4CF5">
        <w:rPr>
          <w:rFonts w:ascii="Arial" w:hAnsi="Arial"/>
          <w:sz w:val="22"/>
        </w:rPr>
        <w:t xml:space="preserve">énéral </w:t>
      </w:r>
      <w:r w:rsidR="008E1EEB" w:rsidRPr="004F4CF5">
        <w:rPr>
          <w:rFonts w:ascii="Arial" w:hAnsi="Arial"/>
          <w:sz w:val="22"/>
        </w:rPr>
        <w:t>de la COSUMAF</w:t>
      </w:r>
      <w:r w:rsidR="002D0C4E" w:rsidRPr="004F4CF5">
        <w:rPr>
          <w:rFonts w:ascii="Arial" w:hAnsi="Arial"/>
          <w:sz w:val="22"/>
        </w:rPr>
        <w:t>,</w:t>
      </w:r>
      <w:r w:rsidRPr="004F4CF5">
        <w:rPr>
          <w:rFonts w:ascii="Arial" w:hAnsi="Arial"/>
          <w:sz w:val="22"/>
        </w:rPr>
        <w:t xml:space="preserve"> le </w:t>
      </w:r>
      <w:r w:rsidR="008E1EEB" w:rsidRPr="004F4CF5">
        <w:rPr>
          <w:rFonts w:ascii="Arial" w:hAnsi="Arial"/>
          <w:sz w:val="22"/>
        </w:rPr>
        <w:t>document d’information</w:t>
      </w:r>
      <w:r w:rsidRPr="004F4CF5">
        <w:rPr>
          <w:rFonts w:ascii="Arial" w:hAnsi="Arial"/>
          <w:sz w:val="22"/>
        </w:rPr>
        <w:t xml:space="preserve"> devra comporter une description de la manière dont la société de gestion </w:t>
      </w:r>
      <w:r w:rsidR="008E1EEB" w:rsidRPr="004F4CF5">
        <w:rPr>
          <w:rFonts w:ascii="Arial" w:hAnsi="Arial"/>
          <w:sz w:val="22"/>
        </w:rPr>
        <w:t>d’OPCI</w:t>
      </w:r>
      <w:r w:rsidRPr="004F4CF5">
        <w:rPr>
          <w:rFonts w:ascii="Arial" w:hAnsi="Arial"/>
          <w:sz w:val="22"/>
        </w:rPr>
        <w:t xml:space="preserve"> garantit un traitement équitable des investisseurs, et, dès lors qu’un investisseur bénéficie d’un traitement préférentiel ou du droit de bénéficier d’un traitement préférentiel, une description de ce traitement préférentiel, le type d’investisseurs qui bénéficient de ce traitement préférentiel, et, le cas échéant, l’indication de leurs liens juridiques ou économiques avec l’OPCI ou la société de gestion </w:t>
      </w:r>
      <w:r w:rsidR="008E1EEB" w:rsidRPr="004F4CF5">
        <w:rPr>
          <w:rFonts w:ascii="Arial" w:hAnsi="Arial"/>
          <w:sz w:val="22"/>
        </w:rPr>
        <w:t>d’OPCI</w:t>
      </w:r>
      <w:r w:rsidRPr="004F4CF5">
        <w:rPr>
          <w:rFonts w:ascii="Arial" w:hAnsi="Arial"/>
          <w:sz w:val="22"/>
        </w:rPr>
        <w:t>.</w:t>
      </w:r>
    </w:p>
    <w:p w14:paraId="1F791DBA" w14:textId="77777777" w:rsidR="00A664D9" w:rsidRPr="004F4CF5" w:rsidRDefault="00A664D9" w:rsidP="00171E45">
      <w:pPr>
        <w:pStyle w:val="AMFTEXTECOURANT"/>
        <w:rPr>
          <w:rFonts w:ascii="Arial" w:hAnsi="Arial"/>
          <w:sz w:val="22"/>
        </w:rPr>
      </w:pPr>
    </w:p>
    <w:p w14:paraId="04762531" w14:textId="77777777" w:rsidR="00A664D9" w:rsidRPr="004F4CF5" w:rsidRDefault="00A664D9" w:rsidP="00171E45">
      <w:pPr>
        <w:pStyle w:val="AMFTEXTECOURANT"/>
        <w:rPr>
          <w:rFonts w:ascii="Arial" w:hAnsi="Arial"/>
          <w:sz w:val="22"/>
        </w:rPr>
      </w:pPr>
      <w:r w:rsidRPr="004F4CF5">
        <w:rPr>
          <w:rFonts w:ascii="Arial" w:hAnsi="Arial"/>
          <w:sz w:val="22"/>
        </w:rPr>
        <w:t xml:space="preserve">1° Caractéristiques des parts ou actions </w:t>
      </w:r>
    </w:p>
    <w:p w14:paraId="437D7A41" w14:textId="77777777" w:rsidR="005A73D5" w:rsidRPr="004F4CF5" w:rsidRDefault="005A73D5" w:rsidP="00171E45">
      <w:pPr>
        <w:pStyle w:val="AMFTEXTECOURANT"/>
        <w:rPr>
          <w:rFonts w:ascii="Arial" w:hAnsi="Arial"/>
          <w:sz w:val="22"/>
        </w:rPr>
      </w:pPr>
    </w:p>
    <w:p w14:paraId="3FC7E4F5" w14:textId="77777777" w:rsidR="00A664D9" w:rsidRPr="004F4CF5" w:rsidRDefault="00A664D9" w:rsidP="00171E45">
      <w:pPr>
        <w:pStyle w:val="AMFTEXTECOURANT"/>
        <w:rPr>
          <w:rFonts w:ascii="Arial" w:hAnsi="Arial"/>
          <w:sz w:val="22"/>
        </w:rPr>
      </w:pPr>
      <w:r w:rsidRPr="004F4CF5">
        <w:rPr>
          <w:rFonts w:ascii="Arial" w:hAnsi="Arial"/>
          <w:sz w:val="22"/>
        </w:rPr>
        <w:t>Figure dans cette rubrique l'ensemble des caractéristiques des parts et actions (fractionnement, catégories, frais, mode de conservation).</w:t>
      </w:r>
    </w:p>
    <w:p w14:paraId="72A76092" w14:textId="77777777" w:rsidR="005A73D5" w:rsidRPr="004F4CF5" w:rsidRDefault="005A73D5" w:rsidP="00171E45">
      <w:pPr>
        <w:pStyle w:val="AMFTEXTECOURANT"/>
        <w:rPr>
          <w:rFonts w:ascii="Arial" w:hAnsi="Arial"/>
          <w:sz w:val="22"/>
        </w:rPr>
      </w:pPr>
    </w:p>
    <w:p w14:paraId="1A30AB84" w14:textId="77777777" w:rsidR="00A664D9" w:rsidRPr="004F4CF5" w:rsidRDefault="00A664D9" w:rsidP="00171E45">
      <w:pPr>
        <w:pStyle w:val="AMFTEXTECOURANT"/>
        <w:rPr>
          <w:rFonts w:ascii="Arial" w:hAnsi="Arial"/>
          <w:sz w:val="22"/>
        </w:rPr>
      </w:pPr>
      <w:r w:rsidRPr="004F4CF5">
        <w:rPr>
          <w:rFonts w:ascii="Arial" w:hAnsi="Arial"/>
          <w:sz w:val="22"/>
        </w:rPr>
        <w:t>Ces informations sont présentées sous la forme d'un tableau récapitulatif pour permettre une bonne lisibilité de l'ensemble de l'offre de gestion.</w:t>
      </w:r>
    </w:p>
    <w:p w14:paraId="58309EC6" w14:textId="77777777" w:rsidR="002D0C4E" w:rsidRPr="004F4CF5" w:rsidRDefault="002D0C4E" w:rsidP="00171E45">
      <w:pPr>
        <w:pStyle w:val="AMFTEXTECOURANT"/>
        <w:rPr>
          <w:rFonts w:ascii="Arial" w:hAnsi="Arial"/>
          <w:sz w:val="22"/>
        </w:rPr>
      </w:pPr>
    </w:p>
    <w:p w14:paraId="5C47F821" w14:textId="77777777" w:rsidR="00A664D9" w:rsidRPr="004F4CF5" w:rsidRDefault="00A664D9" w:rsidP="00171E45">
      <w:pPr>
        <w:pStyle w:val="AMFTEXTECOURANT"/>
        <w:rPr>
          <w:rFonts w:ascii="Arial" w:hAnsi="Arial"/>
          <w:sz w:val="22"/>
        </w:rPr>
      </w:pPr>
      <w:r w:rsidRPr="004F4CF5">
        <w:rPr>
          <w:rFonts w:ascii="Arial" w:hAnsi="Arial"/>
          <w:sz w:val="22"/>
        </w:rPr>
        <w:t>Exemple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03"/>
        <w:gridCol w:w="2160"/>
        <w:gridCol w:w="2520"/>
        <w:gridCol w:w="1643"/>
      </w:tblGrid>
      <w:tr w:rsidR="00A664D9" w:rsidRPr="004F4CF5" w14:paraId="03556FE9" w14:textId="77777777" w:rsidTr="004C534E">
        <w:trPr>
          <w:tblCellSpacing w:w="15" w:type="dxa"/>
          <w:jc w:val="center"/>
        </w:trPr>
        <w:tc>
          <w:tcPr>
            <w:tcW w:w="735" w:type="dxa"/>
            <w:vMerge w:val="restart"/>
            <w:tcBorders>
              <w:top w:val="outset" w:sz="6" w:space="0" w:color="auto"/>
              <w:left w:val="outset" w:sz="6" w:space="0" w:color="auto"/>
              <w:bottom w:val="outset" w:sz="6" w:space="0" w:color="auto"/>
              <w:right w:val="outset" w:sz="6" w:space="0" w:color="auto"/>
            </w:tcBorders>
            <w:vAlign w:val="center"/>
          </w:tcPr>
          <w:p w14:paraId="500700E6" w14:textId="77777777" w:rsidR="00A664D9" w:rsidRPr="004F4CF5" w:rsidRDefault="00A664D9" w:rsidP="00171E45">
            <w:pPr>
              <w:pStyle w:val="AMFTEXTECOURANT"/>
              <w:rPr>
                <w:rFonts w:ascii="Arial" w:hAnsi="Arial"/>
                <w:sz w:val="22"/>
              </w:rPr>
            </w:pPr>
            <w:r w:rsidRPr="004F4CF5">
              <w:rPr>
                <w:rFonts w:ascii="Arial" w:hAnsi="Arial"/>
                <w:sz w:val="22"/>
              </w:rPr>
              <w:t>Parts</w:t>
            </w:r>
          </w:p>
        </w:tc>
        <w:tc>
          <w:tcPr>
            <w:tcW w:w="6278" w:type="dxa"/>
            <w:gridSpan w:val="3"/>
            <w:tcBorders>
              <w:top w:val="outset" w:sz="6" w:space="0" w:color="auto"/>
              <w:left w:val="outset" w:sz="6" w:space="0" w:color="auto"/>
              <w:bottom w:val="outset" w:sz="6" w:space="0" w:color="auto"/>
              <w:right w:val="outset" w:sz="6" w:space="0" w:color="auto"/>
            </w:tcBorders>
            <w:vAlign w:val="center"/>
          </w:tcPr>
          <w:p w14:paraId="37BA5B83" w14:textId="77777777" w:rsidR="00A664D9" w:rsidRPr="004F4CF5" w:rsidRDefault="00A664D9" w:rsidP="00171E45">
            <w:pPr>
              <w:pStyle w:val="AMFTEXTECOURANT"/>
              <w:rPr>
                <w:rFonts w:ascii="Arial" w:hAnsi="Arial"/>
                <w:sz w:val="22"/>
              </w:rPr>
            </w:pPr>
            <w:bookmarkStart w:id="24" w:name="0_pgfId-1186423"/>
            <w:bookmarkEnd w:id="24"/>
            <w:r w:rsidRPr="004F4CF5">
              <w:rPr>
                <w:rFonts w:ascii="Arial" w:hAnsi="Arial"/>
                <w:sz w:val="22"/>
              </w:rPr>
              <w:t>Caractéristiques</w:t>
            </w:r>
          </w:p>
        </w:tc>
      </w:tr>
      <w:tr w:rsidR="00A664D9" w:rsidRPr="004F4CF5" w14:paraId="6B025C64" w14:textId="77777777" w:rsidTr="004C534E">
        <w:trPr>
          <w:tblCellSpacing w:w="15" w:type="dxa"/>
          <w:jc w:val="center"/>
        </w:trPr>
        <w:tc>
          <w:tcPr>
            <w:tcW w:w="735" w:type="dxa"/>
            <w:vMerge/>
            <w:tcBorders>
              <w:top w:val="outset" w:sz="6" w:space="0" w:color="auto"/>
              <w:left w:val="outset" w:sz="6" w:space="0" w:color="auto"/>
              <w:bottom w:val="outset" w:sz="6" w:space="0" w:color="auto"/>
              <w:right w:val="outset" w:sz="6" w:space="0" w:color="auto"/>
            </w:tcBorders>
            <w:vAlign w:val="center"/>
          </w:tcPr>
          <w:p w14:paraId="7FB2DD69" w14:textId="77777777" w:rsidR="00A664D9" w:rsidRPr="004F4CF5" w:rsidRDefault="00A664D9" w:rsidP="00171E45">
            <w:pPr>
              <w:pStyle w:val="AMFTEXTECOURANT"/>
              <w:rPr>
                <w:rFonts w:ascii="Arial" w:hAnsi="Arial"/>
                <w:sz w:val="22"/>
              </w:rPr>
            </w:pPr>
          </w:p>
        </w:tc>
        <w:tc>
          <w:tcPr>
            <w:tcW w:w="2130" w:type="dxa"/>
            <w:tcBorders>
              <w:top w:val="outset" w:sz="6" w:space="0" w:color="auto"/>
              <w:left w:val="outset" w:sz="6" w:space="0" w:color="auto"/>
              <w:bottom w:val="outset" w:sz="6" w:space="0" w:color="auto"/>
              <w:right w:val="outset" w:sz="6" w:space="0" w:color="auto"/>
            </w:tcBorders>
            <w:vAlign w:val="center"/>
          </w:tcPr>
          <w:p w14:paraId="0BE505F4" w14:textId="77777777" w:rsidR="00A664D9" w:rsidRPr="004F4CF5" w:rsidRDefault="00A664D9" w:rsidP="00171E45">
            <w:pPr>
              <w:pStyle w:val="AMFTEXTECOURANT"/>
              <w:rPr>
                <w:rFonts w:ascii="Arial" w:hAnsi="Arial"/>
                <w:sz w:val="22"/>
              </w:rPr>
            </w:pPr>
            <w:bookmarkStart w:id="25" w:name="0_pgfId-1186431"/>
            <w:bookmarkEnd w:id="25"/>
            <w:r w:rsidRPr="004F4CF5">
              <w:rPr>
                <w:rFonts w:ascii="Arial" w:hAnsi="Arial"/>
                <w:sz w:val="22"/>
              </w:rPr>
              <w:t>Code ISIN</w:t>
            </w:r>
          </w:p>
        </w:tc>
        <w:tc>
          <w:tcPr>
            <w:tcW w:w="2490" w:type="dxa"/>
            <w:tcBorders>
              <w:top w:val="outset" w:sz="6" w:space="0" w:color="auto"/>
              <w:left w:val="outset" w:sz="6" w:space="0" w:color="auto"/>
              <w:bottom w:val="outset" w:sz="6" w:space="0" w:color="auto"/>
              <w:right w:val="outset" w:sz="6" w:space="0" w:color="auto"/>
            </w:tcBorders>
            <w:vAlign w:val="center"/>
          </w:tcPr>
          <w:p w14:paraId="6C220EF8" w14:textId="77777777" w:rsidR="00A664D9" w:rsidRPr="004F4CF5" w:rsidRDefault="00A664D9" w:rsidP="00171E45">
            <w:pPr>
              <w:pStyle w:val="AMFTEXTECOURANT"/>
              <w:rPr>
                <w:rFonts w:ascii="Arial" w:hAnsi="Arial"/>
                <w:sz w:val="22"/>
              </w:rPr>
            </w:pPr>
            <w:bookmarkStart w:id="26" w:name="0_pgfId-1186433"/>
            <w:bookmarkEnd w:id="26"/>
            <w:r w:rsidRPr="004F4CF5">
              <w:rPr>
                <w:rFonts w:ascii="Arial" w:hAnsi="Arial"/>
                <w:sz w:val="22"/>
              </w:rPr>
              <w:t>Devise de libellé</w:t>
            </w:r>
          </w:p>
        </w:tc>
        <w:tc>
          <w:tcPr>
            <w:tcW w:w="1598" w:type="dxa"/>
            <w:tcBorders>
              <w:top w:val="outset" w:sz="6" w:space="0" w:color="auto"/>
              <w:left w:val="outset" w:sz="6" w:space="0" w:color="auto"/>
              <w:bottom w:val="outset" w:sz="6" w:space="0" w:color="auto"/>
              <w:right w:val="outset" w:sz="6" w:space="0" w:color="auto"/>
            </w:tcBorders>
            <w:vAlign w:val="center"/>
          </w:tcPr>
          <w:p w14:paraId="71A53C2C" w14:textId="77777777" w:rsidR="00A664D9" w:rsidRPr="004F4CF5" w:rsidRDefault="00A664D9" w:rsidP="00171E45">
            <w:pPr>
              <w:pStyle w:val="AMFTEXTECOURANT"/>
              <w:rPr>
                <w:rFonts w:ascii="Arial" w:hAnsi="Arial"/>
                <w:sz w:val="22"/>
              </w:rPr>
            </w:pPr>
            <w:bookmarkStart w:id="27" w:name="0_pgfId-1186435"/>
            <w:bookmarkEnd w:id="27"/>
            <w:r w:rsidRPr="004F4CF5">
              <w:rPr>
                <w:rFonts w:ascii="Arial" w:hAnsi="Arial"/>
                <w:sz w:val="22"/>
              </w:rPr>
              <w:t>Etc.</w:t>
            </w:r>
          </w:p>
        </w:tc>
      </w:tr>
      <w:tr w:rsidR="00A664D9" w:rsidRPr="004F4CF5" w14:paraId="192805C0" w14:textId="77777777" w:rsidTr="004C534E">
        <w:trPr>
          <w:tblCellSpacing w:w="15" w:type="dxa"/>
          <w:jc w:val="center"/>
        </w:trPr>
        <w:tc>
          <w:tcPr>
            <w:tcW w:w="735" w:type="dxa"/>
            <w:tcBorders>
              <w:top w:val="outset" w:sz="6" w:space="0" w:color="auto"/>
              <w:left w:val="outset" w:sz="6" w:space="0" w:color="auto"/>
              <w:bottom w:val="outset" w:sz="6" w:space="0" w:color="auto"/>
              <w:right w:val="outset" w:sz="6" w:space="0" w:color="auto"/>
            </w:tcBorders>
            <w:vAlign w:val="center"/>
          </w:tcPr>
          <w:p w14:paraId="549F64A2" w14:textId="77777777" w:rsidR="00A664D9" w:rsidRPr="004F4CF5" w:rsidRDefault="00A664D9" w:rsidP="00171E45">
            <w:pPr>
              <w:pStyle w:val="AMFTEXTECOURANT"/>
              <w:rPr>
                <w:rFonts w:ascii="Arial" w:hAnsi="Arial"/>
                <w:sz w:val="22"/>
              </w:rPr>
            </w:pPr>
            <w:bookmarkStart w:id="28" w:name="0_pgfId-1186437"/>
            <w:bookmarkEnd w:id="28"/>
            <w:r w:rsidRPr="004F4CF5">
              <w:rPr>
                <w:rFonts w:ascii="Arial" w:hAnsi="Arial"/>
                <w:sz w:val="22"/>
              </w:rPr>
              <w:t>A</w:t>
            </w:r>
          </w:p>
        </w:tc>
        <w:tc>
          <w:tcPr>
            <w:tcW w:w="2130" w:type="dxa"/>
            <w:tcBorders>
              <w:top w:val="outset" w:sz="6" w:space="0" w:color="auto"/>
              <w:left w:val="outset" w:sz="6" w:space="0" w:color="auto"/>
              <w:bottom w:val="outset" w:sz="6" w:space="0" w:color="auto"/>
              <w:right w:val="outset" w:sz="6" w:space="0" w:color="auto"/>
            </w:tcBorders>
            <w:vAlign w:val="center"/>
          </w:tcPr>
          <w:p w14:paraId="01E481E2" w14:textId="77777777" w:rsidR="00A664D9" w:rsidRPr="004F4CF5" w:rsidRDefault="00A664D9" w:rsidP="00171E45">
            <w:pPr>
              <w:pStyle w:val="AMFTEXTECOURANT"/>
              <w:rPr>
                <w:rFonts w:ascii="Arial" w:hAnsi="Arial"/>
                <w:sz w:val="22"/>
              </w:rPr>
            </w:pPr>
            <w:bookmarkStart w:id="29" w:name="0_pgfId-1186439"/>
            <w:bookmarkEnd w:id="29"/>
            <w:r w:rsidRPr="004F4CF5">
              <w:rPr>
                <w:rFonts w:ascii="Arial" w:hAnsi="Arial"/>
                <w:sz w:val="22"/>
              </w:rPr>
              <w:t>.........................</w:t>
            </w:r>
          </w:p>
        </w:tc>
        <w:tc>
          <w:tcPr>
            <w:tcW w:w="2490" w:type="dxa"/>
            <w:tcBorders>
              <w:top w:val="outset" w:sz="6" w:space="0" w:color="auto"/>
              <w:left w:val="outset" w:sz="6" w:space="0" w:color="auto"/>
              <w:bottom w:val="outset" w:sz="6" w:space="0" w:color="auto"/>
              <w:right w:val="outset" w:sz="6" w:space="0" w:color="auto"/>
            </w:tcBorders>
            <w:vAlign w:val="center"/>
          </w:tcPr>
          <w:p w14:paraId="36576536" w14:textId="77777777" w:rsidR="00A664D9" w:rsidRPr="004F4CF5" w:rsidRDefault="008E1EEB" w:rsidP="00171E45">
            <w:pPr>
              <w:pStyle w:val="AMFTEXTECOURANT"/>
              <w:rPr>
                <w:rFonts w:ascii="Arial" w:hAnsi="Arial"/>
                <w:sz w:val="22"/>
              </w:rPr>
            </w:pPr>
            <w:bookmarkStart w:id="30" w:name="0_pgfId-1186441"/>
            <w:bookmarkEnd w:id="30"/>
            <w:r w:rsidRPr="004F4CF5">
              <w:rPr>
                <w:rFonts w:ascii="Arial" w:hAnsi="Arial"/>
                <w:sz w:val="22"/>
              </w:rPr>
              <w:t>FCFA</w:t>
            </w:r>
          </w:p>
        </w:tc>
        <w:tc>
          <w:tcPr>
            <w:tcW w:w="1598" w:type="dxa"/>
            <w:tcBorders>
              <w:top w:val="outset" w:sz="6" w:space="0" w:color="auto"/>
              <w:left w:val="outset" w:sz="6" w:space="0" w:color="auto"/>
              <w:bottom w:val="outset" w:sz="6" w:space="0" w:color="auto"/>
              <w:right w:val="outset" w:sz="6" w:space="0" w:color="auto"/>
            </w:tcBorders>
            <w:vAlign w:val="center"/>
          </w:tcPr>
          <w:p w14:paraId="51D2A59B" w14:textId="77777777" w:rsidR="00A664D9" w:rsidRPr="004F4CF5" w:rsidRDefault="00A664D9" w:rsidP="00171E45">
            <w:pPr>
              <w:pStyle w:val="AMFTEXTECOURANT"/>
              <w:rPr>
                <w:rFonts w:ascii="Arial" w:hAnsi="Arial"/>
                <w:sz w:val="22"/>
              </w:rPr>
            </w:pPr>
            <w:bookmarkStart w:id="31" w:name="0_pgfId-1186443"/>
            <w:bookmarkEnd w:id="31"/>
          </w:p>
        </w:tc>
      </w:tr>
      <w:tr w:rsidR="00A664D9" w:rsidRPr="004F4CF5" w14:paraId="7436B86F" w14:textId="77777777" w:rsidTr="004C534E">
        <w:trPr>
          <w:tblCellSpacing w:w="15" w:type="dxa"/>
          <w:jc w:val="center"/>
        </w:trPr>
        <w:tc>
          <w:tcPr>
            <w:tcW w:w="735" w:type="dxa"/>
            <w:tcBorders>
              <w:top w:val="outset" w:sz="6" w:space="0" w:color="auto"/>
              <w:left w:val="outset" w:sz="6" w:space="0" w:color="auto"/>
              <w:bottom w:val="outset" w:sz="6" w:space="0" w:color="auto"/>
              <w:right w:val="outset" w:sz="6" w:space="0" w:color="auto"/>
            </w:tcBorders>
            <w:vAlign w:val="center"/>
          </w:tcPr>
          <w:p w14:paraId="2F715371" w14:textId="77777777" w:rsidR="00A664D9" w:rsidRPr="004F4CF5" w:rsidRDefault="00A664D9" w:rsidP="00171E45">
            <w:pPr>
              <w:pStyle w:val="AMFTEXTECOURANT"/>
              <w:rPr>
                <w:rFonts w:ascii="Arial" w:hAnsi="Arial"/>
                <w:sz w:val="22"/>
              </w:rPr>
            </w:pPr>
            <w:bookmarkStart w:id="32" w:name="0_pgfId-1186445"/>
            <w:bookmarkEnd w:id="32"/>
            <w:r w:rsidRPr="004F4CF5">
              <w:rPr>
                <w:rFonts w:ascii="Arial" w:hAnsi="Arial"/>
                <w:sz w:val="22"/>
              </w:rPr>
              <w:t>B</w:t>
            </w:r>
          </w:p>
        </w:tc>
        <w:tc>
          <w:tcPr>
            <w:tcW w:w="2130" w:type="dxa"/>
            <w:tcBorders>
              <w:top w:val="outset" w:sz="6" w:space="0" w:color="auto"/>
              <w:left w:val="outset" w:sz="6" w:space="0" w:color="auto"/>
              <w:bottom w:val="outset" w:sz="6" w:space="0" w:color="auto"/>
              <w:right w:val="outset" w:sz="6" w:space="0" w:color="auto"/>
            </w:tcBorders>
            <w:vAlign w:val="center"/>
          </w:tcPr>
          <w:p w14:paraId="299AF4D6" w14:textId="77777777" w:rsidR="00A664D9" w:rsidRPr="004F4CF5" w:rsidRDefault="00A664D9" w:rsidP="00171E45">
            <w:pPr>
              <w:pStyle w:val="AMFTEXTECOURANT"/>
              <w:rPr>
                <w:rFonts w:ascii="Arial" w:hAnsi="Arial"/>
                <w:sz w:val="22"/>
              </w:rPr>
            </w:pPr>
            <w:bookmarkStart w:id="33" w:name="0_pgfId-1186447"/>
            <w:bookmarkEnd w:id="33"/>
            <w:r w:rsidRPr="004F4CF5">
              <w:rPr>
                <w:rFonts w:ascii="Arial" w:hAnsi="Arial"/>
                <w:sz w:val="22"/>
              </w:rPr>
              <w:t>.........................</w:t>
            </w:r>
          </w:p>
        </w:tc>
        <w:tc>
          <w:tcPr>
            <w:tcW w:w="2490" w:type="dxa"/>
            <w:tcBorders>
              <w:top w:val="outset" w:sz="6" w:space="0" w:color="auto"/>
              <w:left w:val="outset" w:sz="6" w:space="0" w:color="auto"/>
              <w:bottom w:val="outset" w:sz="6" w:space="0" w:color="auto"/>
              <w:right w:val="outset" w:sz="6" w:space="0" w:color="auto"/>
            </w:tcBorders>
            <w:vAlign w:val="center"/>
          </w:tcPr>
          <w:p w14:paraId="38AF86F7" w14:textId="77777777" w:rsidR="00A664D9" w:rsidRPr="004F4CF5" w:rsidRDefault="008E1EEB" w:rsidP="00171E45">
            <w:pPr>
              <w:pStyle w:val="AMFTEXTECOURANT"/>
              <w:rPr>
                <w:rFonts w:ascii="Arial" w:hAnsi="Arial"/>
                <w:sz w:val="22"/>
              </w:rPr>
            </w:pPr>
            <w:bookmarkStart w:id="34" w:name="0_pgfId-1186449"/>
            <w:bookmarkEnd w:id="34"/>
            <w:r w:rsidRPr="004F4CF5">
              <w:rPr>
                <w:rFonts w:ascii="Arial" w:hAnsi="Arial"/>
                <w:sz w:val="22"/>
              </w:rPr>
              <w:t>FCFA</w:t>
            </w:r>
          </w:p>
        </w:tc>
        <w:tc>
          <w:tcPr>
            <w:tcW w:w="1598" w:type="dxa"/>
            <w:tcBorders>
              <w:top w:val="outset" w:sz="6" w:space="0" w:color="auto"/>
              <w:left w:val="outset" w:sz="6" w:space="0" w:color="auto"/>
              <w:bottom w:val="outset" w:sz="6" w:space="0" w:color="auto"/>
              <w:right w:val="outset" w:sz="6" w:space="0" w:color="auto"/>
            </w:tcBorders>
            <w:vAlign w:val="center"/>
          </w:tcPr>
          <w:p w14:paraId="40D987AC" w14:textId="77777777" w:rsidR="00A664D9" w:rsidRPr="004F4CF5" w:rsidRDefault="00A664D9" w:rsidP="00171E45">
            <w:pPr>
              <w:pStyle w:val="AMFTEXTECOURANT"/>
              <w:rPr>
                <w:rFonts w:ascii="Arial" w:hAnsi="Arial"/>
                <w:sz w:val="22"/>
              </w:rPr>
            </w:pPr>
            <w:bookmarkStart w:id="35" w:name="0_pgfId-1186451"/>
            <w:bookmarkEnd w:id="35"/>
          </w:p>
        </w:tc>
      </w:tr>
    </w:tbl>
    <w:p w14:paraId="724E6A30" w14:textId="77777777" w:rsidR="00A664D9" w:rsidRPr="004F4CF5" w:rsidRDefault="00A664D9" w:rsidP="00171E45">
      <w:pPr>
        <w:pStyle w:val="AMFTEXTECOURANT"/>
        <w:rPr>
          <w:rFonts w:ascii="Arial" w:hAnsi="Arial"/>
          <w:sz w:val="22"/>
        </w:rPr>
      </w:pPr>
    </w:p>
    <w:p w14:paraId="454CBAFC" w14:textId="77777777" w:rsidR="00A664D9" w:rsidRPr="004F4CF5" w:rsidRDefault="00A664D9" w:rsidP="00171E45">
      <w:pPr>
        <w:pStyle w:val="AMFTEXTECOURANT"/>
        <w:rPr>
          <w:rFonts w:ascii="Arial" w:hAnsi="Arial"/>
          <w:sz w:val="22"/>
        </w:rPr>
      </w:pPr>
      <w:r w:rsidRPr="004F4CF5">
        <w:rPr>
          <w:rFonts w:ascii="Arial" w:hAnsi="Arial"/>
          <w:sz w:val="22"/>
        </w:rPr>
        <w:t>2° La valeur liquidative</w:t>
      </w:r>
    </w:p>
    <w:p w14:paraId="2BAE1FA7" w14:textId="77777777" w:rsidR="005A73D5" w:rsidRPr="004F4CF5" w:rsidRDefault="005A73D5" w:rsidP="00171E45">
      <w:pPr>
        <w:pStyle w:val="AMFTEXTECOURANT"/>
        <w:rPr>
          <w:rFonts w:ascii="Arial" w:hAnsi="Arial"/>
          <w:sz w:val="22"/>
        </w:rPr>
      </w:pPr>
    </w:p>
    <w:p w14:paraId="520115CB" w14:textId="77777777" w:rsidR="00A664D9" w:rsidRPr="004F4CF5" w:rsidRDefault="00A664D9" w:rsidP="00171E45">
      <w:pPr>
        <w:pStyle w:val="AMFTEXTECOURANT"/>
        <w:rPr>
          <w:rFonts w:ascii="Arial" w:hAnsi="Arial"/>
          <w:sz w:val="22"/>
        </w:rPr>
      </w:pPr>
      <w:r w:rsidRPr="004F4CF5">
        <w:rPr>
          <w:rFonts w:ascii="Arial" w:hAnsi="Arial"/>
          <w:sz w:val="22"/>
        </w:rPr>
        <w:t>Cette rubrique indique la fréquence de calcul de la valeur liquidative ainsi que le lieu de publication de cette valeur.</w:t>
      </w:r>
    </w:p>
    <w:p w14:paraId="0EADFB92" w14:textId="77777777" w:rsidR="005A73D5" w:rsidRPr="004F4CF5" w:rsidRDefault="005A73D5" w:rsidP="00171E45">
      <w:pPr>
        <w:pStyle w:val="AMFTEXTECOURANT"/>
        <w:rPr>
          <w:rFonts w:ascii="Arial" w:hAnsi="Arial"/>
          <w:sz w:val="22"/>
        </w:rPr>
      </w:pPr>
    </w:p>
    <w:p w14:paraId="4398B5F4" w14:textId="77777777" w:rsidR="00A664D9" w:rsidRPr="004F4CF5" w:rsidRDefault="00A664D9" w:rsidP="00171E45">
      <w:pPr>
        <w:pStyle w:val="AMFTEXTECOURANT"/>
        <w:rPr>
          <w:rFonts w:ascii="Arial" w:hAnsi="Arial"/>
          <w:sz w:val="22"/>
        </w:rPr>
      </w:pPr>
      <w:r w:rsidRPr="004F4CF5">
        <w:rPr>
          <w:rFonts w:ascii="Arial" w:hAnsi="Arial"/>
          <w:sz w:val="22"/>
        </w:rPr>
        <w:lastRenderedPageBreak/>
        <w:t>3° Durée de placement recommandée</w:t>
      </w:r>
    </w:p>
    <w:p w14:paraId="54892808" w14:textId="77777777" w:rsidR="005A73D5" w:rsidRPr="004F4CF5" w:rsidRDefault="005A73D5" w:rsidP="00171E45">
      <w:pPr>
        <w:pStyle w:val="AMFTEXTECOURANT"/>
        <w:rPr>
          <w:rFonts w:ascii="Arial" w:hAnsi="Arial"/>
          <w:sz w:val="22"/>
        </w:rPr>
      </w:pPr>
    </w:p>
    <w:p w14:paraId="2CD1A54E" w14:textId="77777777" w:rsidR="00A664D9" w:rsidRPr="004F4CF5" w:rsidRDefault="00A664D9" w:rsidP="00171E45">
      <w:pPr>
        <w:pStyle w:val="AMFTEXTECOURANT"/>
        <w:rPr>
          <w:rFonts w:ascii="Arial" w:hAnsi="Arial"/>
          <w:sz w:val="22"/>
        </w:rPr>
      </w:pPr>
      <w:r w:rsidRPr="004F4CF5">
        <w:rPr>
          <w:rFonts w:ascii="Arial" w:hAnsi="Arial"/>
          <w:sz w:val="22"/>
        </w:rPr>
        <w:t>La durée de placement recommandée doit être cohérente avec l’objectif de gestion et les actifs immobiliers détenus directement et indirectement ainsi que les instruments financiers dans lesquels l’OPCI est investi.</w:t>
      </w:r>
    </w:p>
    <w:p w14:paraId="01BF787B" w14:textId="77777777" w:rsidR="00A664D9" w:rsidRPr="004F4CF5" w:rsidRDefault="00A664D9" w:rsidP="00171E45">
      <w:pPr>
        <w:pStyle w:val="AMFTEXTECOURANT"/>
        <w:rPr>
          <w:rFonts w:ascii="Arial" w:hAnsi="Arial"/>
          <w:sz w:val="22"/>
        </w:rPr>
      </w:pPr>
    </w:p>
    <w:p w14:paraId="297DC3AD" w14:textId="77777777" w:rsidR="00A664D9" w:rsidRPr="004F4CF5" w:rsidRDefault="00A664D9" w:rsidP="00171E45">
      <w:pPr>
        <w:pStyle w:val="AMFTEXTECOURANT"/>
        <w:rPr>
          <w:rFonts w:ascii="Arial" w:hAnsi="Arial"/>
          <w:sz w:val="22"/>
        </w:rPr>
      </w:pPr>
      <w:r w:rsidRPr="004F4CF5">
        <w:rPr>
          <w:rFonts w:ascii="Arial" w:hAnsi="Arial"/>
          <w:sz w:val="22"/>
        </w:rPr>
        <w:t>4° Modalités des souscriptions / rachats</w:t>
      </w:r>
    </w:p>
    <w:p w14:paraId="58C89825" w14:textId="77777777" w:rsidR="005A73D5" w:rsidRPr="004F4CF5" w:rsidRDefault="005A73D5" w:rsidP="00171E45">
      <w:pPr>
        <w:pStyle w:val="AMFTEXTECOURANT"/>
        <w:rPr>
          <w:rFonts w:ascii="Arial" w:hAnsi="Arial"/>
          <w:sz w:val="22"/>
        </w:rPr>
      </w:pPr>
    </w:p>
    <w:p w14:paraId="22819B2F" w14:textId="77777777" w:rsidR="00A664D9" w:rsidRPr="004F4CF5" w:rsidRDefault="00A664D9" w:rsidP="00171E45">
      <w:pPr>
        <w:pStyle w:val="AMFTEXTECOURANT"/>
        <w:rPr>
          <w:rFonts w:ascii="Arial" w:hAnsi="Arial"/>
          <w:sz w:val="22"/>
        </w:rPr>
      </w:pPr>
      <w:r w:rsidRPr="004F4CF5">
        <w:rPr>
          <w:rFonts w:ascii="Arial" w:hAnsi="Arial"/>
          <w:sz w:val="22"/>
        </w:rPr>
        <w:t xml:space="preserve">Cette rubrique comporte deux paragraphes distincts : l’un pour les souscriptions, l’autre pour les rachats. </w:t>
      </w:r>
    </w:p>
    <w:p w14:paraId="612B2873" w14:textId="77777777" w:rsidR="00A664D9" w:rsidRPr="004F4CF5" w:rsidRDefault="00A664D9" w:rsidP="00171E45">
      <w:pPr>
        <w:pStyle w:val="AMFTEXTECOURANT"/>
        <w:rPr>
          <w:rFonts w:ascii="Arial" w:hAnsi="Arial"/>
          <w:sz w:val="22"/>
        </w:rPr>
      </w:pPr>
      <w:r w:rsidRPr="004F4CF5">
        <w:rPr>
          <w:rFonts w:ascii="Arial" w:hAnsi="Arial"/>
          <w:sz w:val="22"/>
        </w:rPr>
        <w:t>Chaque paragraphe est illustré par un exemple mettant en évidence les délais entre la date de l’ordre et la date de livraison/règlement.</w:t>
      </w:r>
    </w:p>
    <w:p w14:paraId="4FBB9D77" w14:textId="77777777" w:rsidR="005A73D5" w:rsidRPr="004F4CF5" w:rsidRDefault="005A73D5" w:rsidP="00171E45">
      <w:pPr>
        <w:pStyle w:val="AMFTEXTECOURANT"/>
        <w:rPr>
          <w:rFonts w:ascii="Arial" w:hAnsi="Arial"/>
          <w:sz w:val="22"/>
        </w:rPr>
      </w:pPr>
    </w:p>
    <w:p w14:paraId="6B94C854" w14:textId="77777777" w:rsidR="00A664D9" w:rsidRPr="004F4CF5" w:rsidRDefault="00A664D9" w:rsidP="00171E45">
      <w:pPr>
        <w:pStyle w:val="AMFTEXTECOURANT"/>
        <w:rPr>
          <w:rFonts w:ascii="Arial" w:hAnsi="Arial"/>
          <w:sz w:val="22"/>
        </w:rPr>
      </w:pPr>
      <w:r w:rsidRPr="004F4CF5">
        <w:rPr>
          <w:rFonts w:ascii="Arial" w:hAnsi="Arial"/>
          <w:sz w:val="22"/>
        </w:rPr>
        <w:t>Y sont notamment mentionnés, le cas échéant, les éléments suivants :</w:t>
      </w:r>
    </w:p>
    <w:p w14:paraId="45D62026" w14:textId="77777777" w:rsidR="00A664D9" w:rsidRPr="004F4CF5" w:rsidRDefault="00A664D9" w:rsidP="00171E45">
      <w:pPr>
        <w:pStyle w:val="AMFTEXTECOURANT"/>
        <w:rPr>
          <w:rFonts w:ascii="Arial" w:hAnsi="Arial"/>
          <w:sz w:val="22"/>
        </w:rPr>
      </w:pPr>
      <w:r w:rsidRPr="004F4CF5">
        <w:rPr>
          <w:rFonts w:ascii="Arial" w:hAnsi="Arial"/>
          <w:sz w:val="22"/>
        </w:rPr>
        <w:t>-</w:t>
      </w:r>
      <w:r w:rsidRPr="004F4CF5">
        <w:rPr>
          <w:rFonts w:ascii="Arial" w:hAnsi="Arial"/>
          <w:sz w:val="22"/>
        </w:rPr>
        <w:tab/>
        <w:t>le montant minimum de la souscription ;</w:t>
      </w:r>
    </w:p>
    <w:p w14:paraId="429C1F5B" w14:textId="77777777" w:rsidR="00A664D9" w:rsidRPr="004F4CF5" w:rsidRDefault="00A664D9" w:rsidP="00171E45">
      <w:pPr>
        <w:pStyle w:val="AMFTEXTECOURANT"/>
        <w:rPr>
          <w:rFonts w:ascii="Arial" w:hAnsi="Arial"/>
          <w:sz w:val="22"/>
        </w:rPr>
      </w:pPr>
      <w:r w:rsidRPr="004F4CF5">
        <w:rPr>
          <w:rFonts w:ascii="Arial" w:hAnsi="Arial"/>
          <w:sz w:val="22"/>
        </w:rPr>
        <w:t>-</w:t>
      </w:r>
      <w:r w:rsidRPr="004F4CF5">
        <w:rPr>
          <w:rFonts w:ascii="Arial" w:hAnsi="Arial"/>
          <w:sz w:val="22"/>
        </w:rPr>
        <w:tab/>
        <w:t>la commission de souscription ou commission de rachat ;</w:t>
      </w:r>
    </w:p>
    <w:p w14:paraId="7A6BBFD2" w14:textId="77777777" w:rsidR="00A664D9" w:rsidRPr="004F4CF5" w:rsidRDefault="00A664D9" w:rsidP="00171E45">
      <w:pPr>
        <w:pStyle w:val="AMFTEXTECOURANT"/>
        <w:rPr>
          <w:rFonts w:ascii="Arial" w:hAnsi="Arial"/>
          <w:sz w:val="22"/>
        </w:rPr>
      </w:pPr>
      <w:r w:rsidRPr="004F4CF5">
        <w:rPr>
          <w:rFonts w:ascii="Arial" w:hAnsi="Arial"/>
          <w:sz w:val="22"/>
        </w:rPr>
        <w:t>-</w:t>
      </w:r>
      <w:r w:rsidRPr="004F4CF5">
        <w:rPr>
          <w:rFonts w:ascii="Arial" w:hAnsi="Arial"/>
          <w:sz w:val="22"/>
        </w:rPr>
        <w:tab/>
        <w:t>la possibilité de fermeture des souscriptions ;</w:t>
      </w:r>
    </w:p>
    <w:p w14:paraId="12AACC5C" w14:textId="77777777" w:rsidR="00A664D9" w:rsidRPr="004F4CF5" w:rsidRDefault="00A664D9" w:rsidP="00171E45">
      <w:pPr>
        <w:pStyle w:val="AMFTEXTECOURANT"/>
        <w:rPr>
          <w:rFonts w:ascii="Arial" w:hAnsi="Arial"/>
          <w:sz w:val="22"/>
        </w:rPr>
      </w:pPr>
      <w:r w:rsidRPr="004F4CF5">
        <w:rPr>
          <w:rFonts w:ascii="Arial" w:hAnsi="Arial"/>
          <w:sz w:val="22"/>
        </w:rPr>
        <w:t>-</w:t>
      </w:r>
      <w:r w:rsidRPr="004F4CF5">
        <w:rPr>
          <w:rFonts w:ascii="Arial" w:hAnsi="Arial"/>
          <w:sz w:val="22"/>
        </w:rPr>
        <w:tab/>
        <w:t>les modalités de déclaration à respecter par les porteurs ou actionnaires franchissant le seuil de 10 % ;</w:t>
      </w:r>
    </w:p>
    <w:p w14:paraId="3D6E9CA5" w14:textId="77777777" w:rsidR="00A664D9" w:rsidRPr="004F4CF5" w:rsidRDefault="00A664D9" w:rsidP="00171E45">
      <w:pPr>
        <w:pStyle w:val="AMFTEXTECOURANT"/>
        <w:rPr>
          <w:rFonts w:ascii="Arial" w:hAnsi="Arial"/>
          <w:sz w:val="22"/>
        </w:rPr>
      </w:pPr>
      <w:r w:rsidRPr="004F4CF5">
        <w:rPr>
          <w:rFonts w:ascii="Arial" w:hAnsi="Arial"/>
          <w:sz w:val="22"/>
        </w:rPr>
        <w:t>-</w:t>
      </w:r>
      <w:r w:rsidRPr="004F4CF5">
        <w:rPr>
          <w:rFonts w:ascii="Arial" w:hAnsi="Arial"/>
          <w:sz w:val="22"/>
        </w:rPr>
        <w:tab/>
        <w:t xml:space="preserve">la possibilité de suspendre les rachats pour les porteurs ou actionnaires détenant plus de 20 % du capital ; </w:t>
      </w:r>
    </w:p>
    <w:p w14:paraId="577C3AC2" w14:textId="77777777" w:rsidR="00A664D9" w:rsidRPr="004F4CF5" w:rsidRDefault="00A664D9" w:rsidP="00171E45">
      <w:pPr>
        <w:pStyle w:val="AMFTEXTECOURANT"/>
        <w:rPr>
          <w:rFonts w:ascii="Arial" w:hAnsi="Arial"/>
          <w:sz w:val="22"/>
        </w:rPr>
      </w:pPr>
      <w:r w:rsidRPr="004F4CF5">
        <w:rPr>
          <w:rFonts w:ascii="Arial" w:hAnsi="Arial"/>
          <w:sz w:val="22"/>
        </w:rPr>
        <w:t>-</w:t>
      </w:r>
      <w:r w:rsidRPr="004F4CF5">
        <w:rPr>
          <w:rFonts w:ascii="Arial" w:hAnsi="Arial"/>
          <w:sz w:val="22"/>
        </w:rPr>
        <w:tab/>
        <w:t xml:space="preserve">l’existence d'un dispositif de plafonnement des rachats (« </w:t>
      </w:r>
      <w:r w:rsidRPr="004F4CF5">
        <w:rPr>
          <w:rFonts w:ascii="Arial" w:hAnsi="Arial"/>
          <w:i/>
          <w:sz w:val="22"/>
        </w:rPr>
        <w:t>gates</w:t>
      </w:r>
      <w:r w:rsidRPr="004F4CF5">
        <w:rPr>
          <w:rFonts w:ascii="Arial" w:hAnsi="Arial"/>
          <w:sz w:val="22"/>
        </w:rPr>
        <w:t xml:space="preserve"> »)</w:t>
      </w:r>
    </w:p>
    <w:p w14:paraId="53E715FE" w14:textId="77777777" w:rsidR="00A664D9" w:rsidRPr="004F4CF5" w:rsidRDefault="00A664D9" w:rsidP="00504E87">
      <w:pPr>
        <w:pStyle w:val="AMFTEXTECOURANT"/>
        <w:rPr>
          <w:rFonts w:ascii="Arial" w:hAnsi="Arial"/>
          <w:sz w:val="22"/>
        </w:rPr>
      </w:pPr>
      <w:r w:rsidRPr="004F4CF5">
        <w:rPr>
          <w:rFonts w:ascii="Arial" w:hAnsi="Arial"/>
          <w:sz w:val="22"/>
        </w:rPr>
        <w:t xml:space="preserve">Les modalités de fonctionnement des « </w:t>
      </w:r>
      <w:r w:rsidRPr="004F4CF5">
        <w:rPr>
          <w:rFonts w:ascii="Arial" w:hAnsi="Arial"/>
          <w:i/>
          <w:sz w:val="22"/>
        </w:rPr>
        <w:t>gates</w:t>
      </w:r>
      <w:r w:rsidRPr="004F4CF5">
        <w:rPr>
          <w:rFonts w:ascii="Arial" w:hAnsi="Arial"/>
          <w:sz w:val="22"/>
        </w:rPr>
        <w:t xml:space="preserve"> » doivent être décrites de façon précise dans le</w:t>
      </w:r>
      <w:r w:rsidR="008E1EEB" w:rsidRPr="004F4CF5">
        <w:rPr>
          <w:rFonts w:ascii="Arial" w:hAnsi="Arial"/>
          <w:sz w:val="22"/>
        </w:rPr>
        <w:t xml:space="preserve"> document d’information</w:t>
      </w:r>
      <w:r w:rsidRPr="004F4CF5">
        <w:rPr>
          <w:rFonts w:ascii="Arial" w:hAnsi="Arial"/>
          <w:sz w:val="22"/>
        </w:rPr>
        <w:t xml:space="preserve"> des OPCI concernés. Il est rappelé que la société de gestion </w:t>
      </w:r>
      <w:r w:rsidR="008E1EEB" w:rsidRPr="004F4CF5">
        <w:rPr>
          <w:rFonts w:ascii="Arial" w:hAnsi="Arial"/>
          <w:sz w:val="22"/>
        </w:rPr>
        <w:t>d’OPCI</w:t>
      </w:r>
      <w:r w:rsidRPr="004F4CF5">
        <w:rPr>
          <w:rFonts w:ascii="Arial" w:hAnsi="Arial"/>
          <w:sz w:val="22"/>
        </w:rPr>
        <w:t xml:space="preserve"> doit évaluer la pertinence du dispositif retenu, notamment au regard des conséquences sur la gestion de la liquidité de l’OPCI que pourraient avoir certains dispositifs de plafonnement des rachats :</w:t>
      </w:r>
    </w:p>
    <w:p w14:paraId="6343923B" w14:textId="77777777" w:rsidR="00A664D9" w:rsidRPr="004F4CF5" w:rsidRDefault="00A664D9" w:rsidP="00504E87">
      <w:pPr>
        <w:pStyle w:val="AMFTEXTECOURANT"/>
        <w:numPr>
          <w:ilvl w:val="0"/>
          <w:numId w:val="16"/>
        </w:numPr>
        <w:rPr>
          <w:rFonts w:ascii="Arial" w:hAnsi="Arial"/>
          <w:sz w:val="22"/>
        </w:rPr>
      </w:pPr>
      <w:r w:rsidRPr="004F4CF5">
        <w:rPr>
          <w:rFonts w:ascii="Arial" w:hAnsi="Arial"/>
          <w:sz w:val="22"/>
        </w:rPr>
        <w:t xml:space="preserve">description de la méthode retenue (seuil d'activation des « </w:t>
      </w:r>
      <w:r w:rsidRPr="004F4CF5">
        <w:rPr>
          <w:rFonts w:ascii="Arial" w:hAnsi="Arial"/>
          <w:i/>
          <w:sz w:val="22"/>
        </w:rPr>
        <w:t>gates</w:t>
      </w:r>
      <w:r w:rsidRPr="004F4CF5">
        <w:rPr>
          <w:rFonts w:ascii="Arial" w:hAnsi="Arial"/>
          <w:sz w:val="22"/>
        </w:rPr>
        <w:t xml:space="preserve"> ») ; </w:t>
      </w:r>
    </w:p>
    <w:p w14:paraId="324DBCEC" w14:textId="77777777" w:rsidR="00A664D9" w:rsidRPr="004F4CF5" w:rsidRDefault="00A664D9" w:rsidP="00504E87">
      <w:pPr>
        <w:pStyle w:val="AMFTEXTECOURANT"/>
        <w:numPr>
          <w:ilvl w:val="0"/>
          <w:numId w:val="16"/>
        </w:numPr>
        <w:rPr>
          <w:rFonts w:ascii="Arial" w:hAnsi="Arial"/>
          <w:sz w:val="22"/>
        </w:rPr>
      </w:pPr>
      <w:r w:rsidRPr="004F4CF5">
        <w:rPr>
          <w:rFonts w:ascii="Arial" w:hAnsi="Arial"/>
          <w:sz w:val="22"/>
        </w:rPr>
        <w:t>en cas d’activation du mécanisme de « </w:t>
      </w:r>
      <w:r w:rsidRPr="004F4CF5">
        <w:rPr>
          <w:rFonts w:ascii="Arial" w:hAnsi="Arial"/>
          <w:i/>
          <w:sz w:val="22"/>
        </w:rPr>
        <w:t>gates</w:t>
      </w:r>
      <w:r w:rsidRPr="004F4CF5">
        <w:rPr>
          <w:rFonts w:ascii="Arial" w:hAnsi="Arial"/>
          <w:sz w:val="22"/>
        </w:rPr>
        <w:t> », modalités d'information des porteurs ou actionnaires dont les ordres n'ont pas été entièrement exécutés ainsi que de l'ensemble des porteurs/actionnaires</w:t>
      </w:r>
      <w:r w:rsidR="00AD0F19" w:rsidRPr="004F4CF5">
        <w:rPr>
          <w:rFonts w:ascii="Arial" w:hAnsi="Arial"/>
          <w:sz w:val="22"/>
        </w:rPr>
        <w:t> ;</w:t>
      </w:r>
    </w:p>
    <w:p w14:paraId="6B557B41" w14:textId="77777777" w:rsidR="00A664D9" w:rsidRPr="004F4CF5" w:rsidRDefault="00A664D9" w:rsidP="00504E87">
      <w:pPr>
        <w:pStyle w:val="AMFTEXTECOURANT"/>
        <w:numPr>
          <w:ilvl w:val="0"/>
          <w:numId w:val="16"/>
        </w:numPr>
        <w:rPr>
          <w:rFonts w:ascii="Arial" w:hAnsi="Arial"/>
          <w:sz w:val="22"/>
        </w:rPr>
      </w:pPr>
      <w:r w:rsidRPr="004F4CF5">
        <w:rPr>
          <w:rFonts w:ascii="Arial" w:hAnsi="Arial"/>
          <w:sz w:val="22"/>
        </w:rPr>
        <w:t>traitement des ordres non exécutés (report, annulation, faculté ouverte au porteur ou actionnaire de s’opposer au report)</w:t>
      </w:r>
      <w:r w:rsidR="00AD0F19" w:rsidRPr="004F4CF5">
        <w:rPr>
          <w:rFonts w:ascii="Arial" w:hAnsi="Arial"/>
          <w:sz w:val="22"/>
        </w:rPr>
        <w:t> ;</w:t>
      </w:r>
    </w:p>
    <w:p w14:paraId="49665E6E" w14:textId="77777777" w:rsidR="00A664D9" w:rsidRPr="004F4CF5" w:rsidRDefault="00A664D9" w:rsidP="00504E87">
      <w:pPr>
        <w:pStyle w:val="AMFTEXTECOURANT"/>
        <w:numPr>
          <w:ilvl w:val="0"/>
          <w:numId w:val="16"/>
        </w:numPr>
        <w:rPr>
          <w:rFonts w:ascii="Arial" w:hAnsi="Arial"/>
          <w:sz w:val="22"/>
        </w:rPr>
      </w:pPr>
      <w:r w:rsidRPr="004F4CF5">
        <w:rPr>
          <w:rFonts w:ascii="Arial" w:hAnsi="Arial"/>
          <w:sz w:val="22"/>
        </w:rPr>
        <w:t>renvoi vers le règlement ou les statuts de l’OPCI pour obtenir des informations plus précises sur le dispositif de « </w:t>
      </w:r>
      <w:r w:rsidRPr="004F4CF5">
        <w:rPr>
          <w:rFonts w:ascii="Arial" w:hAnsi="Arial"/>
          <w:i/>
          <w:sz w:val="22"/>
        </w:rPr>
        <w:t>gates</w:t>
      </w:r>
      <w:r w:rsidRPr="004F4CF5">
        <w:rPr>
          <w:rFonts w:ascii="Arial" w:hAnsi="Arial"/>
          <w:sz w:val="22"/>
        </w:rPr>
        <w:t> »</w:t>
      </w:r>
      <w:r w:rsidR="00AD0F19" w:rsidRPr="004F4CF5">
        <w:rPr>
          <w:rFonts w:ascii="Arial" w:hAnsi="Arial"/>
          <w:sz w:val="22"/>
        </w:rPr>
        <w:t>.</w:t>
      </w:r>
    </w:p>
    <w:p w14:paraId="77417880" w14:textId="77777777" w:rsidR="00AD0F19" w:rsidRPr="004F4CF5" w:rsidRDefault="00AD0F19" w:rsidP="00504E87">
      <w:pPr>
        <w:pStyle w:val="AMFTEXTECOURANT"/>
        <w:rPr>
          <w:rFonts w:ascii="Arial" w:hAnsi="Arial"/>
          <w:sz w:val="22"/>
        </w:rPr>
      </w:pPr>
    </w:p>
    <w:p w14:paraId="25B8BED6" w14:textId="77777777" w:rsidR="00A664D9" w:rsidRPr="004F4CF5" w:rsidRDefault="00A664D9" w:rsidP="00504E87">
      <w:pPr>
        <w:pStyle w:val="AMFTEXTECOURANT"/>
        <w:numPr>
          <w:ilvl w:val="0"/>
          <w:numId w:val="15"/>
        </w:numPr>
        <w:rPr>
          <w:rFonts w:ascii="Arial" w:hAnsi="Arial"/>
          <w:sz w:val="22"/>
        </w:rPr>
      </w:pPr>
      <w:r w:rsidRPr="004F4CF5">
        <w:rPr>
          <w:rFonts w:ascii="Arial" w:hAnsi="Arial"/>
          <w:sz w:val="22"/>
        </w:rPr>
        <w:t>absence de dispositif de « gates » :</w:t>
      </w:r>
    </w:p>
    <w:p w14:paraId="3B7DE6CB" w14:textId="16D1FBD6" w:rsidR="00A664D9" w:rsidRPr="004F4CF5" w:rsidRDefault="00A664D9" w:rsidP="00504E87">
      <w:pPr>
        <w:pStyle w:val="AMFTEXTECOURANT"/>
        <w:rPr>
          <w:rFonts w:ascii="Arial" w:hAnsi="Arial"/>
          <w:sz w:val="22"/>
        </w:rPr>
      </w:pPr>
      <w:r w:rsidRPr="004F4CF5">
        <w:rPr>
          <w:rFonts w:ascii="Arial" w:hAnsi="Arial"/>
          <w:sz w:val="22"/>
        </w:rPr>
        <w:t>Dans l’hypothèse où l’OPCI ne prévoit pas un dispositif de « </w:t>
      </w:r>
      <w:r w:rsidRPr="004F4CF5">
        <w:rPr>
          <w:rFonts w:ascii="Arial" w:hAnsi="Arial"/>
          <w:i/>
          <w:sz w:val="22"/>
        </w:rPr>
        <w:t>gates</w:t>
      </w:r>
      <w:r w:rsidRPr="004F4CF5">
        <w:rPr>
          <w:rFonts w:ascii="Arial" w:hAnsi="Arial"/>
          <w:sz w:val="22"/>
        </w:rPr>
        <w:t xml:space="preserve"> », l’avertissement suivant doit être mentionné de manière visible dans le </w:t>
      </w:r>
      <w:r w:rsidR="008E1EEB" w:rsidRPr="004F4CF5">
        <w:rPr>
          <w:rFonts w:ascii="Arial" w:hAnsi="Arial"/>
          <w:sz w:val="22"/>
        </w:rPr>
        <w:t>document d’information</w:t>
      </w:r>
      <w:r w:rsidRPr="004F4CF5">
        <w:rPr>
          <w:rFonts w:ascii="Arial" w:hAnsi="Arial"/>
          <w:sz w:val="22"/>
        </w:rPr>
        <w:t>, mettant en garde les investisseurs sur l’absence de cet outil de gestion de liquidité</w:t>
      </w:r>
      <w:r w:rsidR="00AD0F19" w:rsidRPr="004F4CF5">
        <w:rPr>
          <w:rFonts w:ascii="Arial" w:hAnsi="Arial"/>
          <w:sz w:val="22"/>
        </w:rPr>
        <w:t xml:space="preserve"> </w:t>
      </w:r>
      <w:r w:rsidRPr="004F4CF5">
        <w:rPr>
          <w:rFonts w:ascii="Arial" w:hAnsi="Arial"/>
          <w:sz w:val="22"/>
        </w:rPr>
        <w:t>:</w:t>
      </w:r>
    </w:p>
    <w:p w14:paraId="680BC56C" w14:textId="77777777" w:rsidR="00AD0F19" w:rsidRPr="004F4CF5" w:rsidRDefault="00AD0F19" w:rsidP="00504E87">
      <w:pPr>
        <w:pStyle w:val="AMFTEXTECOURANT"/>
        <w:rPr>
          <w:rFonts w:ascii="Arial" w:hAnsi="Arial"/>
          <w:sz w:val="22"/>
        </w:rPr>
      </w:pPr>
    </w:p>
    <w:p w14:paraId="26A1AB9C" w14:textId="77777777" w:rsidR="00A664D9" w:rsidRPr="004F4CF5" w:rsidRDefault="00A664D9" w:rsidP="00504E87">
      <w:pPr>
        <w:pStyle w:val="AMFTEXTECOURANT"/>
        <w:rPr>
          <w:rFonts w:ascii="Arial" w:hAnsi="Arial"/>
          <w:sz w:val="22"/>
        </w:rPr>
      </w:pPr>
      <w:r w:rsidRPr="004F4CF5">
        <w:rPr>
          <w:rFonts w:ascii="Arial" w:hAnsi="Arial"/>
          <w:sz w:val="22"/>
        </w:rPr>
        <w:t>« En cas de circonstances exceptionnelles, l’absence de mécanisme de plafonnement des rachats pourra avoir pour conséquence l’incapacité de l’OPCI à honorer les demandes de rachats et ainsi augmenter le risque de suspension complète des souscriptions et des rachats sur cet OPCI. »</w:t>
      </w:r>
      <w:r w:rsidRPr="004F4CF5" w:rsidDel="00346790">
        <w:rPr>
          <w:rFonts w:ascii="Arial" w:hAnsi="Arial"/>
          <w:sz w:val="22"/>
        </w:rPr>
        <w:t xml:space="preserve"> </w:t>
      </w:r>
    </w:p>
    <w:p w14:paraId="23413E50" w14:textId="77777777" w:rsidR="00AD0F19" w:rsidRPr="004F4CF5" w:rsidRDefault="00AD0F19" w:rsidP="00171E45">
      <w:pPr>
        <w:pStyle w:val="AMFTEXTECOURANT"/>
        <w:rPr>
          <w:rFonts w:ascii="Arial" w:hAnsi="Arial"/>
          <w:sz w:val="22"/>
        </w:rPr>
      </w:pPr>
    </w:p>
    <w:p w14:paraId="19005736" w14:textId="77777777" w:rsidR="00A664D9" w:rsidRPr="004F4CF5" w:rsidRDefault="00AD0F19" w:rsidP="00171E45">
      <w:pPr>
        <w:pStyle w:val="AMFTEXTECOURANT"/>
        <w:rPr>
          <w:rFonts w:ascii="Arial" w:hAnsi="Arial"/>
          <w:sz w:val="22"/>
        </w:rPr>
      </w:pPr>
      <w:r w:rsidRPr="004F4CF5">
        <w:rPr>
          <w:rFonts w:ascii="Arial" w:hAnsi="Arial"/>
          <w:sz w:val="22"/>
        </w:rPr>
        <w:t>Cet avertissement n’est pas requis pour les OPCI de type fermé.</w:t>
      </w:r>
    </w:p>
    <w:p w14:paraId="3D1E656B" w14:textId="77777777" w:rsidR="00AD0F19" w:rsidRPr="004F4CF5" w:rsidRDefault="00AD0F19" w:rsidP="00171E45">
      <w:pPr>
        <w:pStyle w:val="AMFTEXTECOURANT"/>
        <w:rPr>
          <w:rFonts w:ascii="Arial" w:hAnsi="Arial"/>
          <w:sz w:val="22"/>
        </w:rPr>
      </w:pPr>
    </w:p>
    <w:p w14:paraId="5225998E" w14:textId="77777777" w:rsidR="00A664D9" w:rsidRPr="004F4CF5" w:rsidRDefault="00A664D9" w:rsidP="00171E45">
      <w:pPr>
        <w:pStyle w:val="AMFTEXTECOURANT"/>
        <w:rPr>
          <w:rFonts w:ascii="Arial" w:hAnsi="Arial"/>
          <w:sz w:val="22"/>
        </w:rPr>
      </w:pPr>
      <w:r w:rsidRPr="004F4CF5">
        <w:rPr>
          <w:rFonts w:ascii="Arial" w:hAnsi="Arial"/>
          <w:sz w:val="22"/>
        </w:rPr>
        <w:t xml:space="preserve"> -  l’existence et la description de préavis ;</w:t>
      </w:r>
    </w:p>
    <w:p w14:paraId="0780B4B5" w14:textId="77777777" w:rsidR="00A664D9" w:rsidRPr="004F4CF5" w:rsidRDefault="00A664D9" w:rsidP="00504E87">
      <w:pPr>
        <w:pStyle w:val="AMFTEXTECOURANT"/>
        <w:rPr>
          <w:rFonts w:ascii="Arial" w:hAnsi="Arial"/>
          <w:sz w:val="22"/>
        </w:rPr>
      </w:pPr>
      <w:r w:rsidRPr="004F4CF5">
        <w:rPr>
          <w:rFonts w:ascii="Arial" w:hAnsi="Arial"/>
          <w:sz w:val="22"/>
        </w:rPr>
        <w:t xml:space="preserve">- </w:t>
      </w:r>
      <w:r w:rsidRPr="004F4CF5">
        <w:rPr>
          <w:rFonts w:ascii="Arial" w:hAnsi="Arial"/>
          <w:sz w:val="22"/>
        </w:rPr>
        <w:tab/>
        <w:t>une description de la gestion du risque de liquidité de l’OPCI, y compris les droits au remboursement dans des circonstances à la fois normales et exceptionnelles, et les modalités existantes avec les investisseurs en matière de remboursement ;</w:t>
      </w:r>
    </w:p>
    <w:p w14:paraId="6FA1283E" w14:textId="77777777" w:rsidR="00A664D9" w:rsidRPr="004F4CF5" w:rsidRDefault="00A664D9" w:rsidP="00171E45">
      <w:pPr>
        <w:pStyle w:val="AMFTEXTECOURANT"/>
        <w:rPr>
          <w:rFonts w:ascii="Arial" w:hAnsi="Arial"/>
          <w:sz w:val="22"/>
        </w:rPr>
      </w:pPr>
      <w:r w:rsidRPr="004F4CF5">
        <w:rPr>
          <w:rFonts w:ascii="Arial" w:hAnsi="Arial"/>
          <w:sz w:val="22"/>
        </w:rPr>
        <w:t>-</w:t>
      </w:r>
      <w:r w:rsidRPr="004F4CF5">
        <w:rPr>
          <w:rFonts w:ascii="Arial" w:hAnsi="Arial"/>
          <w:sz w:val="22"/>
        </w:rPr>
        <w:tab/>
        <w:t>les modalités de versement du montant des souscriptions et la date de jouissance ;</w:t>
      </w:r>
    </w:p>
    <w:p w14:paraId="1491BDF9" w14:textId="77777777" w:rsidR="00A664D9" w:rsidRPr="004F4CF5" w:rsidRDefault="00A664D9" w:rsidP="00171E45">
      <w:pPr>
        <w:pStyle w:val="AMFTEXTECOURANT"/>
        <w:rPr>
          <w:rFonts w:ascii="Arial" w:hAnsi="Arial"/>
          <w:sz w:val="22"/>
        </w:rPr>
      </w:pPr>
      <w:r w:rsidRPr="004F4CF5">
        <w:rPr>
          <w:rFonts w:ascii="Arial" w:hAnsi="Arial"/>
          <w:sz w:val="22"/>
        </w:rPr>
        <w:t>-</w:t>
      </w:r>
      <w:r w:rsidRPr="004F4CF5">
        <w:rPr>
          <w:rFonts w:ascii="Arial" w:hAnsi="Arial"/>
          <w:sz w:val="22"/>
        </w:rPr>
        <w:tab/>
        <w:t>les modalités de passation des ordres ;</w:t>
      </w:r>
    </w:p>
    <w:p w14:paraId="3631BF37" w14:textId="77777777" w:rsidR="00A664D9" w:rsidRPr="004F4CF5" w:rsidRDefault="00A664D9" w:rsidP="00171E45">
      <w:pPr>
        <w:pStyle w:val="AMFTEXTECOURANT"/>
        <w:rPr>
          <w:rFonts w:ascii="Arial" w:hAnsi="Arial"/>
          <w:sz w:val="22"/>
        </w:rPr>
      </w:pPr>
      <w:r w:rsidRPr="004F4CF5">
        <w:rPr>
          <w:rFonts w:ascii="Arial" w:hAnsi="Arial"/>
          <w:sz w:val="22"/>
        </w:rPr>
        <w:lastRenderedPageBreak/>
        <w:t>-</w:t>
      </w:r>
      <w:r w:rsidRPr="004F4CF5">
        <w:rPr>
          <w:rFonts w:ascii="Arial" w:hAnsi="Arial"/>
          <w:sz w:val="22"/>
        </w:rPr>
        <w:tab/>
        <w:t>l’adresse de l'organisme désigné pour recevoir les souscriptions et les rachats.</w:t>
      </w:r>
    </w:p>
    <w:p w14:paraId="2D817EF1" w14:textId="77777777" w:rsidR="00A664D9" w:rsidRPr="004F4CF5" w:rsidRDefault="00A664D9" w:rsidP="00504E87">
      <w:pPr>
        <w:pStyle w:val="AMFTEXTECOURANT"/>
        <w:rPr>
          <w:rFonts w:ascii="Arial" w:hAnsi="Arial"/>
          <w:sz w:val="22"/>
        </w:rPr>
      </w:pPr>
      <w:r w:rsidRPr="004F4CF5">
        <w:rPr>
          <w:rFonts w:ascii="Arial" w:hAnsi="Arial"/>
          <w:sz w:val="22"/>
        </w:rPr>
        <w:t>Par ailleurs, un descriptif précis est donné du mécanisme de frais d’entrée (taux, assiette, répartition, périodicité de mise à jour et modalités de diffusion) destiné à faire supporter les frais de manière égalitaire aux porteurs de parts ou actionnaires.</w:t>
      </w:r>
    </w:p>
    <w:p w14:paraId="5BEFB4D9" w14:textId="77777777" w:rsidR="00A664D9" w:rsidRPr="004F4CF5" w:rsidRDefault="00A664D9" w:rsidP="00171E45">
      <w:pPr>
        <w:pStyle w:val="AMFTEXTECOURANT"/>
        <w:rPr>
          <w:rFonts w:ascii="Arial" w:hAnsi="Arial"/>
          <w:sz w:val="22"/>
        </w:rPr>
      </w:pPr>
      <w:r w:rsidRPr="004F4CF5">
        <w:rPr>
          <w:rFonts w:ascii="Arial" w:hAnsi="Arial"/>
          <w:sz w:val="22"/>
        </w:rPr>
        <w:tab/>
      </w:r>
    </w:p>
    <w:tbl>
      <w:tblPr>
        <w:tblW w:w="0" w:type="auto"/>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03"/>
        <w:gridCol w:w="2552"/>
        <w:gridCol w:w="2395"/>
      </w:tblGrid>
      <w:tr w:rsidR="00A664D9" w:rsidRPr="004F4CF5" w14:paraId="6F214145" w14:textId="77777777" w:rsidTr="00504E87">
        <w:trPr>
          <w:tblCellSpacing w:w="15" w:type="dxa"/>
          <w:jc w:val="right"/>
        </w:trPr>
        <w:tc>
          <w:tcPr>
            <w:tcW w:w="4058" w:type="dxa"/>
            <w:tcBorders>
              <w:top w:val="outset" w:sz="6" w:space="0" w:color="auto"/>
              <w:left w:val="outset" w:sz="6" w:space="0" w:color="auto"/>
              <w:bottom w:val="outset" w:sz="6" w:space="0" w:color="auto"/>
              <w:right w:val="outset" w:sz="6" w:space="0" w:color="auto"/>
            </w:tcBorders>
            <w:vAlign w:val="center"/>
          </w:tcPr>
          <w:p w14:paraId="15F9C5BF" w14:textId="77777777" w:rsidR="00A664D9" w:rsidRPr="004F4CF5" w:rsidRDefault="00A664D9" w:rsidP="00504E87">
            <w:pPr>
              <w:pStyle w:val="AMFTEXTECOURANT"/>
              <w:rPr>
                <w:rFonts w:ascii="Arial" w:hAnsi="Arial"/>
                <w:sz w:val="22"/>
              </w:rPr>
            </w:pPr>
            <w:r w:rsidRPr="004F4CF5">
              <w:rPr>
                <w:rFonts w:ascii="Arial" w:hAnsi="Arial"/>
                <w:sz w:val="22"/>
              </w:rPr>
              <w:t xml:space="preserve">Frais à la charge de l'investisseur, </w:t>
            </w:r>
            <w:r w:rsidRPr="004F4CF5">
              <w:rPr>
                <w:rFonts w:ascii="Arial" w:hAnsi="Arial"/>
                <w:sz w:val="22"/>
              </w:rPr>
              <w:br/>
              <w:t>prélevés lors des souscriptions et des rachats</w:t>
            </w:r>
          </w:p>
        </w:tc>
        <w:tc>
          <w:tcPr>
            <w:tcW w:w="2522" w:type="dxa"/>
            <w:tcBorders>
              <w:top w:val="outset" w:sz="6" w:space="0" w:color="auto"/>
              <w:left w:val="outset" w:sz="6" w:space="0" w:color="auto"/>
              <w:bottom w:val="outset" w:sz="6" w:space="0" w:color="auto"/>
              <w:right w:val="outset" w:sz="6" w:space="0" w:color="auto"/>
            </w:tcBorders>
            <w:vAlign w:val="center"/>
          </w:tcPr>
          <w:p w14:paraId="2A23ECDB" w14:textId="77777777" w:rsidR="00A664D9" w:rsidRPr="004F4CF5" w:rsidRDefault="00A664D9" w:rsidP="00171E45">
            <w:pPr>
              <w:pStyle w:val="AMFTEXTECOURANT"/>
              <w:rPr>
                <w:rFonts w:ascii="Arial" w:hAnsi="Arial"/>
                <w:sz w:val="22"/>
              </w:rPr>
            </w:pPr>
            <w:bookmarkStart w:id="36" w:name="0_pgfId-1186495"/>
            <w:bookmarkEnd w:id="36"/>
            <w:r w:rsidRPr="004F4CF5">
              <w:rPr>
                <w:rFonts w:ascii="Arial" w:hAnsi="Arial"/>
                <w:sz w:val="22"/>
              </w:rPr>
              <w:t>Assiette</w:t>
            </w:r>
          </w:p>
        </w:tc>
        <w:tc>
          <w:tcPr>
            <w:tcW w:w="2350" w:type="dxa"/>
            <w:tcBorders>
              <w:top w:val="outset" w:sz="6" w:space="0" w:color="auto"/>
              <w:left w:val="outset" w:sz="6" w:space="0" w:color="auto"/>
              <w:bottom w:val="outset" w:sz="6" w:space="0" w:color="auto"/>
              <w:right w:val="outset" w:sz="6" w:space="0" w:color="auto"/>
            </w:tcBorders>
            <w:vAlign w:val="center"/>
          </w:tcPr>
          <w:p w14:paraId="3F425770" w14:textId="77777777" w:rsidR="00A664D9" w:rsidRPr="004F4CF5" w:rsidRDefault="00A664D9" w:rsidP="00171E45">
            <w:pPr>
              <w:pStyle w:val="AMFTEXTECOURANT"/>
              <w:rPr>
                <w:rFonts w:ascii="Arial" w:hAnsi="Arial"/>
                <w:sz w:val="22"/>
              </w:rPr>
            </w:pPr>
            <w:bookmarkStart w:id="37" w:name="0_pgfId-1186497"/>
            <w:bookmarkEnd w:id="37"/>
            <w:r w:rsidRPr="004F4CF5">
              <w:rPr>
                <w:rFonts w:ascii="Arial" w:hAnsi="Arial"/>
                <w:sz w:val="22"/>
              </w:rPr>
              <w:t>Taux barème</w:t>
            </w:r>
          </w:p>
        </w:tc>
      </w:tr>
      <w:tr w:rsidR="00A664D9" w:rsidRPr="004F4CF5" w14:paraId="2202EB5D" w14:textId="77777777" w:rsidTr="00504E87">
        <w:trPr>
          <w:tblCellSpacing w:w="15" w:type="dxa"/>
          <w:jc w:val="right"/>
        </w:trPr>
        <w:tc>
          <w:tcPr>
            <w:tcW w:w="4058" w:type="dxa"/>
            <w:tcBorders>
              <w:top w:val="outset" w:sz="6" w:space="0" w:color="auto"/>
              <w:left w:val="outset" w:sz="6" w:space="0" w:color="auto"/>
              <w:bottom w:val="outset" w:sz="6" w:space="0" w:color="auto"/>
              <w:right w:val="outset" w:sz="6" w:space="0" w:color="auto"/>
            </w:tcBorders>
            <w:vAlign w:val="center"/>
          </w:tcPr>
          <w:p w14:paraId="69D1EF3F" w14:textId="77777777" w:rsidR="00A664D9" w:rsidRPr="004F4CF5" w:rsidRDefault="00A664D9" w:rsidP="00171E45">
            <w:pPr>
              <w:pStyle w:val="AMFTEXTECOURANT"/>
              <w:rPr>
                <w:rFonts w:ascii="Arial" w:hAnsi="Arial"/>
                <w:sz w:val="22"/>
              </w:rPr>
            </w:pPr>
            <w:bookmarkStart w:id="38" w:name="0_pgfId-1186499"/>
            <w:bookmarkEnd w:id="38"/>
            <w:r w:rsidRPr="004F4CF5">
              <w:rPr>
                <w:rFonts w:ascii="Arial" w:hAnsi="Arial"/>
                <w:sz w:val="22"/>
              </w:rPr>
              <w:t>Commission de souscription non acquise à l'OPCI</w:t>
            </w:r>
          </w:p>
        </w:tc>
        <w:tc>
          <w:tcPr>
            <w:tcW w:w="2522" w:type="dxa"/>
            <w:tcBorders>
              <w:top w:val="outset" w:sz="6" w:space="0" w:color="auto"/>
              <w:left w:val="outset" w:sz="6" w:space="0" w:color="auto"/>
              <w:bottom w:val="outset" w:sz="6" w:space="0" w:color="auto"/>
              <w:right w:val="outset" w:sz="6" w:space="0" w:color="auto"/>
            </w:tcBorders>
            <w:vAlign w:val="center"/>
          </w:tcPr>
          <w:p w14:paraId="35D43567" w14:textId="77777777" w:rsidR="00A664D9" w:rsidRPr="004F4CF5" w:rsidRDefault="00A664D9" w:rsidP="00171E45">
            <w:pPr>
              <w:pStyle w:val="AMFTEXTECOURANT"/>
              <w:rPr>
                <w:rFonts w:ascii="Arial" w:hAnsi="Arial"/>
                <w:sz w:val="22"/>
              </w:rPr>
            </w:pPr>
            <w:bookmarkStart w:id="39" w:name="0_pgfId-1186501"/>
            <w:bookmarkEnd w:id="39"/>
            <w:r w:rsidRPr="004F4CF5">
              <w:rPr>
                <w:rFonts w:ascii="Arial" w:hAnsi="Arial"/>
                <w:sz w:val="22"/>
              </w:rPr>
              <w:t>valeur liquidative</w:t>
            </w:r>
            <w:r w:rsidRPr="004F4CF5">
              <w:rPr>
                <w:rFonts w:ascii="Arial" w:hAnsi="Arial"/>
                <w:sz w:val="22"/>
              </w:rPr>
              <w:br/>
              <w:t>x</w:t>
            </w:r>
            <w:r w:rsidRPr="004F4CF5">
              <w:rPr>
                <w:rFonts w:ascii="Arial" w:hAnsi="Arial"/>
                <w:sz w:val="22"/>
              </w:rPr>
              <w:br/>
              <w:t>nombre de parts/actions</w:t>
            </w:r>
          </w:p>
        </w:tc>
        <w:tc>
          <w:tcPr>
            <w:tcW w:w="2350" w:type="dxa"/>
            <w:tcBorders>
              <w:top w:val="outset" w:sz="6" w:space="0" w:color="auto"/>
              <w:left w:val="outset" w:sz="6" w:space="0" w:color="auto"/>
              <w:bottom w:val="outset" w:sz="6" w:space="0" w:color="auto"/>
              <w:right w:val="outset" w:sz="6" w:space="0" w:color="auto"/>
            </w:tcBorders>
            <w:vAlign w:val="center"/>
          </w:tcPr>
          <w:p w14:paraId="29119160" w14:textId="77777777" w:rsidR="00A664D9" w:rsidRPr="004F4CF5" w:rsidRDefault="00A664D9" w:rsidP="00171E45">
            <w:pPr>
              <w:pStyle w:val="AMFTEXTECOURANT"/>
              <w:rPr>
                <w:rFonts w:ascii="Arial" w:hAnsi="Arial"/>
                <w:sz w:val="22"/>
              </w:rPr>
            </w:pPr>
            <w:bookmarkStart w:id="40" w:name="0_pgfId-1186503"/>
            <w:bookmarkEnd w:id="40"/>
            <w:r w:rsidRPr="004F4CF5">
              <w:rPr>
                <w:rFonts w:ascii="Arial" w:hAnsi="Arial"/>
                <w:sz w:val="22"/>
              </w:rPr>
              <w:t>A %, A %</w:t>
            </w:r>
            <w:r w:rsidRPr="004F4CF5">
              <w:rPr>
                <w:rFonts w:ascii="Arial" w:hAnsi="Arial"/>
                <w:sz w:val="22"/>
              </w:rPr>
              <w:br/>
              <w:t>maximum, ou</w:t>
            </w:r>
            <w:r w:rsidRPr="004F4CF5">
              <w:rPr>
                <w:rFonts w:ascii="Arial" w:hAnsi="Arial"/>
                <w:sz w:val="22"/>
              </w:rPr>
              <w:br/>
              <w:t>modalité particulière (fourchette, etc.)</w:t>
            </w:r>
          </w:p>
        </w:tc>
      </w:tr>
      <w:tr w:rsidR="00A664D9" w:rsidRPr="004F4CF5" w14:paraId="07DC775E" w14:textId="77777777" w:rsidTr="00504E87">
        <w:trPr>
          <w:tblCellSpacing w:w="15" w:type="dxa"/>
          <w:jc w:val="right"/>
        </w:trPr>
        <w:tc>
          <w:tcPr>
            <w:tcW w:w="4058" w:type="dxa"/>
            <w:tcBorders>
              <w:top w:val="outset" w:sz="6" w:space="0" w:color="auto"/>
              <w:left w:val="outset" w:sz="6" w:space="0" w:color="auto"/>
              <w:bottom w:val="outset" w:sz="6" w:space="0" w:color="auto"/>
              <w:right w:val="outset" w:sz="6" w:space="0" w:color="auto"/>
            </w:tcBorders>
            <w:vAlign w:val="center"/>
          </w:tcPr>
          <w:p w14:paraId="650C204E" w14:textId="77777777" w:rsidR="00A664D9" w:rsidRPr="004F4CF5" w:rsidRDefault="00A664D9" w:rsidP="00171E45">
            <w:pPr>
              <w:pStyle w:val="AMFTEXTECOURANT"/>
              <w:rPr>
                <w:rFonts w:ascii="Arial" w:hAnsi="Arial"/>
                <w:sz w:val="22"/>
              </w:rPr>
            </w:pPr>
            <w:bookmarkStart w:id="41" w:name="0_pgfId-1186505"/>
            <w:bookmarkEnd w:id="41"/>
            <w:r w:rsidRPr="004F4CF5">
              <w:rPr>
                <w:rFonts w:ascii="Arial" w:hAnsi="Arial"/>
                <w:sz w:val="22"/>
              </w:rPr>
              <w:t>Commission de souscription acquise à l'OPCI</w:t>
            </w:r>
          </w:p>
        </w:tc>
        <w:tc>
          <w:tcPr>
            <w:tcW w:w="2522" w:type="dxa"/>
            <w:tcBorders>
              <w:top w:val="outset" w:sz="6" w:space="0" w:color="auto"/>
              <w:left w:val="outset" w:sz="6" w:space="0" w:color="auto"/>
              <w:bottom w:val="outset" w:sz="6" w:space="0" w:color="auto"/>
              <w:right w:val="outset" w:sz="6" w:space="0" w:color="auto"/>
            </w:tcBorders>
            <w:vAlign w:val="center"/>
          </w:tcPr>
          <w:p w14:paraId="1D404228" w14:textId="77777777" w:rsidR="00A664D9" w:rsidRPr="004F4CF5" w:rsidRDefault="00A664D9" w:rsidP="00171E45">
            <w:pPr>
              <w:pStyle w:val="AMFTEXTECOURANT"/>
              <w:rPr>
                <w:rFonts w:ascii="Arial" w:hAnsi="Arial"/>
                <w:sz w:val="22"/>
              </w:rPr>
            </w:pPr>
            <w:bookmarkStart w:id="42" w:name="0_pgfId-1186507"/>
            <w:bookmarkEnd w:id="42"/>
            <w:r w:rsidRPr="004F4CF5">
              <w:rPr>
                <w:rFonts w:ascii="Arial" w:hAnsi="Arial"/>
                <w:sz w:val="22"/>
              </w:rPr>
              <w:t>valeur liquidative</w:t>
            </w:r>
            <w:r w:rsidRPr="004F4CF5">
              <w:rPr>
                <w:rFonts w:ascii="Arial" w:hAnsi="Arial"/>
                <w:sz w:val="22"/>
              </w:rPr>
              <w:br/>
              <w:t>x</w:t>
            </w:r>
            <w:r w:rsidRPr="004F4CF5">
              <w:rPr>
                <w:rFonts w:ascii="Arial" w:hAnsi="Arial"/>
                <w:sz w:val="22"/>
              </w:rPr>
              <w:br/>
              <w:t>nombre de parts/actions</w:t>
            </w:r>
          </w:p>
        </w:tc>
        <w:tc>
          <w:tcPr>
            <w:tcW w:w="2350" w:type="dxa"/>
            <w:tcBorders>
              <w:top w:val="outset" w:sz="6" w:space="0" w:color="auto"/>
              <w:left w:val="outset" w:sz="6" w:space="0" w:color="auto"/>
              <w:bottom w:val="outset" w:sz="6" w:space="0" w:color="auto"/>
              <w:right w:val="outset" w:sz="6" w:space="0" w:color="auto"/>
            </w:tcBorders>
            <w:vAlign w:val="center"/>
          </w:tcPr>
          <w:p w14:paraId="4536A8A3" w14:textId="77777777" w:rsidR="00A664D9" w:rsidRPr="004F4CF5" w:rsidRDefault="00A664D9" w:rsidP="00171E45">
            <w:pPr>
              <w:pStyle w:val="AMFTEXTECOURANT"/>
              <w:rPr>
                <w:rFonts w:ascii="Arial" w:hAnsi="Arial"/>
                <w:sz w:val="22"/>
              </w:rPr>
            </w:pPr>
            <w:bookmarkStart w:id="43" w:name="0_pgfId-1186509"/>
            <w:bookmarkEnd w:id="43"/>
            <w:r w:rsidRPr="004F4CF5">
              <w:rPr>
                <w:rFonts w:ascii="Arial" w:hAnsi="Arial"/>
                <w:sz w:val="22"/>
              </w:rPr>
              <w:t>B % ou selon</w:t>
            </w:r>
          </w:p>
          <w:p w14:paraId="5CF04037" w14:textId="77777777" w:rsidR="00A664D9" w:rsidRPr="004F4CF5" w:rsidRDefault="00A664D9" w:rsidP="00171E45">
            <w:pPr>
              <w:pStyle w:val="AMFTEXTECOURANT"/>
              <w:rPr>
                <w:rFonts w:ascii="Arial" w:hAnsi="Arial"/>
                <w:sz w:val="22"/>
              </w:rPr>
            </w:pPr>
            <w:r w:rsidRPr="004F4CF5">
              <w:rPr>
                <w:rFonts w:ascii="Arial" w:hAnsi="Arial"/>
                <w:sz w:val="22"/>
              </w:rPr>
              <w:t>modalités particulières</w:t>
            </w:r>
            <w:r w:rsidRPr="004F4CF5">
              <w:rPr>
                <w:rFonts w:ascii="Arial" w:hAnsi="Arial"/>
                <w:sz w:val="22"/>
                <w:vertAlign w:val="superscript"/>
              </w:rPr>
              <w:footnoteReference w:id="3"/>
            </w:r>
            <w:r w:rsidRPr="004F4CF5">
              <w:rPr>
                <w:rFonts w:ascii="Arial" w:hAnsi="Arial"/>
                <w:sz w:val="22"/>
              </w:rPr>
              <w:t xml:space="preserve"> (applicables à l’ensemble des souscriptions)</w:t>
            </w:r>
          </w:p>
        </w:tc>
      </w:tr>
      <w:tr w:rsidR="00A664D9" w:rsidRPr="004F4CF5" w14:paraId="2C4FAD7E" w14:textId="77777777" w:rsidTr="00504E87">
        <w:trPr>
          <w:tblCellSpacing w:w="15" w:type="dxa"/>
          <w:jc w:val="right"/>
        </w:trPr>
        <w:tc>
          <w:tcPr>
            <w:tcW w:w="4058" w:type="dxa"/>
            <w:tcBorders>
              <w:top w:val="outset" w:sz="6" w:space="0" w:color="auto"/>
              <w:left w:val="outset" w:sz="6" w:space="0" w:color="auto"/>
              <w:bottom w:val="outset" w:sz="6" w:space="0" w:color="auto"/>
              <w:right w:val="outset" w:sz="6" w:space="0" w:color="auto"/>
            </w:tcBorders>
            <w:vAlign w:val="center"/>
          </w:tcPr>
          <w:p w14:paraId="2FDC0E84" w14:textId="77777777" w:rsidR="00A664D9" w:rsidRPr="004F4CF5" w:rsidRDefault="00A664D9" w:rsidP="00171E45">
            <w:pPr>
              <w:pStyle w:val="AMFTEXTECOURANT"/>
              <w:rPr>
                <w:rFonts w:ascii="Arial" w:hAnsi="Arial"/>
                <w:sz w:val="22"/>
              </w:rPr>
            </w:pPr>
            <w:bookmarkStart w:id="44" w:name="0_pgfId-1186511"/>
            <w:bookmarkEnd w:id="44"/>
            <w:r w:rsidRPr="004F4CF5">
              <w:rPr>
                <w:rFonts w:ascii="Arial" w:hAnsi="Arial"/>
                <w:sz w:val="22"/>
              </w:rPr>
              <w:t>Commission de rachat non acquise à l'OPCI</w:t>
            </w:r>
          </w:p>
        </w:tc>
        <w:tc>
          <w:tcPr>
            <w:tcW w:w="2522" w:type="dxa"/>
            <w:tcBorders>
              <w:top w:val="outset" w:sz="6" w:space="0" w:color="auto"/>
              <w:left w:val="outset" w:sz="6" w:space="0" w:color="auto"/>
              <w:bottom w:val="outset" w:sz="6" w:space="0" w:color="auto"/>
              <w:right w:val="outset" w:sz="6" w:space="0" w:color="auto"/>
            </w:tcBorders>
            <w:vAlign w:val="center"/>
          </w:tcPr>
          <w:p w14:paraId="2825AEBA" w14:textId="77777777" w:rsidR="00A664D9" w:rsidRPr="004F4CF5" w:rsidRDefault="00A664D9" w:rsidP="00171E45">
            <w:pPr>
              <w:pStyle w:val="AMFTEXTECOURANT"/>
              <w:rPr>
                <w:rFonts w:ascii="Arial" w:hAnsi="Arial"/>
                <w:sz w:val="22"/>
              </w:rPr>
            </w:pPr>
            <w:bookmarkStart w:id="45" w:name="0_pgfId-1186513"/>
            <w:bookmarkEnd w:id="45"/>
            <w:r w:rsidRPr="004F4CF5">
              <w:rPr>
                <w:rFonts w:ascii="Arial" w:hAnsi="Arial"/>
                <w:sz w:val="22"/>
              </w:rPr>
              <w:t>valeur liquidative</w:t>
            </w:r>
            <w:r w:rsidRPr="004F4CF5">
              <w:rPr>
                <w:rFonts w:ascii="Arial" w:hAnsi="Arial"/>
                <w:sz w:val="22"/>
              </w:rPr>
              <w:br/>
              <w:t>x</w:t>
            </w:r>
            <w:r w:rsidRPr="004F4CF5">
              <w:rPr>
                <w:rFonts w:ascii="Arial" w:hAnsi="Arial"/>
                <w:sz w:val="22"/>
              </w:rPr>
              <w:br/>
              <w:t>nombre de parts/actions</w:t>
            </w:r>
          </w:p>
        </w:tc>
        <w:tc>
          <w:tcPr>
            <w:tcW w:w="2350" w:type="dxa"/>
            <w:tcBorders>
              <w:top w:val="outset" w:sz="6" w:space="0" w:color="auto"/>
              <w:left w:val="outset" w:sz="6" w:space="0" w:color="auto"/>
              <w:bottom w:val="outset" w:sz="6" w:space="0" w:color="auto"/>
              <w:right w:val="outset" w:sz="6" w:space="0" w:color="auto"/>
            </w:tcBorders>
            <w:vAlign w:val="center"/>
          </w:tcPr>
          <w:p w14:paraId="48ACE811" w14:textId="77777777" w:rsidR="00A664D9" w:rsidRPr="004F4CF5" w:rsidRDefault="00A664D9" w:rsidP="00171E45">
            <w:pPr>
              <w:pStyle w:val="AMFTEXTECOURANT"/>
              <w:rPr>
                <w:rFonts w:ascii="Arial" w:hAnsi="Arial"/>
                <w:sz w:val="22"/>
              </w:rPr>
            </w:pPr>
            <w:bookmarkStart w:id="46" w:name="0_pgfId-1186515"/>
            <w:bookmarkEnd w:id="46"/>
            <w:r w:rsidRPr="004F4CF5">
              <w:rPr>
                <w:rFonts w:ascii="Arial" w:hAnsi="Arial"/>
                <w:sz w:val="22"/>
              </w:rPr>
              <w:t>C %, C%</w:t>
            </w:r>
            <w:r w:rsidRPr="004F4CF5">
              <w:rPr>
                <w:rFonts w:ascii="Arial" w:hAnsi="Arial"/>
                <w:sz w:val="22"/>
              </w:rPr>
              <w:br/>
              <w:t>taux, ou</w:t>
            </w:r>
            <w:r w:rsidRPr="004F4CF5">
              <w:rPr>
                <w:rFonts w:ascii="Arial" w:hAnsi="Arial"/>
                <w:sz w:val="22"/>
              </w:rPr>
              <w:br/>
              <w:t>modalité particulière (fourchette, etc.)</w:t>
            </w:r>
          </w:p>
        </w:tc>
      </w:tr>
      <w:tr w:rsidR="00A664D9" w:rsidRPr="004F4CF5" w14:paraId="36D72A5D" w14:textId="77777777" w:rsidTr="00504E87">
        <w:trPr>
          <w:tblCellSpacing w:w="15" w:type="dxa"/>
          <w:jc w:val="right"/>
        </w:trPr>
        <w:tc>
          <w:tcPr>
            <w:tcW w:w="4058" w:type="dxa"/>
            <w:tcBorders>
              <w:top w:val="outset" w:sz="6" w:space="0" w:color="auto"/>
              <w:left w:val="outset" w:sz="6" w:space="0" w:color="auto"/>
              <w:bottom w:val="outset" w:sz="6" w:space="0" w:color="auto"/>
              <w:right w:val="outset" w:sz="6" w:space="0" w:color="auto"/>
            </w:tcBorders>
            <w:vAlign w:val="center"/>
          </w:tcPr>
          <w:p w14:paraId="07BF8209" w14:textId="77777777" w:rsidR="00A664D9" w:rsidRPr="004F4CF5" w:rsidRDefault="00A664D9" w:rsidP="00171E45">
            <w:pPr>
              <w:pStyle w:val="AMFTEXTECOURANT"/>
              <w:rPr>
                <w:rFonts w:ascii="Arial" w:hAnsi="Arial"/>
                <w:sz w:val="22"/>
              </w:rPr>
            </w:pPr>
            <w:bookmarkStart w:id="47" w:name="0_pgfId-1186517"/>
            <w:bookmarkEnd w:id="47"/>
            <w:r w:rsidRPr="004F4CF5">
              <w:rPr>
                <w:rFonts w:ascii="Arial" w:hAnsi="Arial"/>
                <w:sz w:val="22"/>
              </w:rPr>
              <w:t>Commission de rachat acquise à l'OPCI</w:t>
            </w:r>
          </w:p>
        </w:tc>
        <w:tc>
          <w:tcPr>
            <w:tcW w:w="2522" w:type="dxa"/>
            <w:tcBorders>
              <w:top w:val="outset" w:sz="6" w:space="0" w:color="auto"/>
              <w:left w:val="outset" w:sz="6" w:space="0" w:color="auto"/>
              <w:bottom w:val="outset" w:sz="6" w:space="0" w:color="auto"/>
              <w:right w:val="outset" w:sz="6" w:space="0" w:color="auto"/>
            </w:tcBorders>
            <w:vAlign w:val="center"/>
          </w:tcPr>
          <w:p w14:paraId="58EC3CC7" w14:textId="77777777" w:rsidR="00A664D9" w:rsidRPr="004F4CF5" w:rsidRDefault="00A664D9" w:rsidP="00171E45">
            <w:pPr>
              <w:pStyle w:val="AMFTEXTECOURANT"/>
              <w:rPr>
                <w:rFonts w:ascii="Arial" w:hAnsi="Arial"/>
                <w:sz w:val="22"/>
              </w:rPr>
            </w:pPr>
            <w:bookmarkStart w:id="48" w:name="0_pgfId-1186519"/>
            <w:bookmarkEnd w:id="48"/>
            <w:r w:rsidRPr="004F4CF5">
              <w:rPr>
                <w:rFonts w:ascii="Arial" w:hAnsi="Arial"/>
                <w:sz w:val="22"/>
              </w:rPr>
              <w:t>valeur liquidative</w:t>
            </w:r>
            <w:r w:rsidRPr="004F4CF5">
              <w:rPr>
                <w:rFonts w:ascii="Arial" w:hAnsi="Arial"/>
                <w:sz w:val="22"/>
              </w:rPr>
              <w:br/>
              <w:t>x</w:t>
            </w:r>
            <w:r w:rsidRPr="004F4CF5">
              <w:rPr>
                <w:rFonts w:ascii="Arial" w:hAnsi="Arial"/>
                <w:sz w:val="22"/>
              </w:rPr>
              <w:br/>
              <w:t>nombre de parts/actions</w:t>
            </w:r>
          </w:p>
        </w:tc>
        <w:tc>
          <w:tcPr>
            <w:tcW w:w="2350" w:type="dxa"/>
            <w:tcBorders>
              <w:top w:val="outset" w:sz="6" w:space="0" w:color="auto"/>
              <w:left w:val="outset" w:sz="6" w:space="0" w:color="auto"/>
              <w:bottom w:val="outset" w:sz="6" w:space="0" w:color="auto"/>
              <w:right w:val="outset" w:sz="6" w:space="0" w:color="auto"/>
            </w:tcBorders>
            <w:vAlign w:val="center"/>
          </w:tcPr>
          <w:p w14:paraId="79E49041" w14:textId="77777777" w:rsidR="00A664D9" w:rsidRPr="004F4CF5" w:rsidRDefault="00A664D9" w:rsidP="00171E45">
            <w:pPr>
              <w:pStyle w:val="AMFTEXTECOURANT"/>
              <w:rPr>
                <w:rFonts w:ascii="Arial" w:hAnsi="Arial"/>
                <w:sz w:val="22"/>
              </w:rPr>
            </w:pPr>
            <w:bookmarkStart w:id="49" w:name="0_pgfId-1186521"/>
            <w:bookmarkEnd w:id="49"/>
            <w:r w:rsidRPr="004F4CF5">
              <w:rPr>
                <w:rFonts w:ascii="Arial" w:hAnsi="Arial"/>
                <w:sz w:val="22"/>
              </w:rPr>
              <w:t>D % ou selon</w:t>
            </w:r>
          </w:p>
          <w:p w14:paraId="507F1861" w14:textId="77777777" w:rsidR="00A664D9" w:rsidRPr="004F4CF5" w:rsidRDefault="00A664D9" w:rsidP="00171E45">
            <w:pPr>
              <w:pStyle w:val="AMFTEXTECOURANT"/>
              <w:rPr>
                <w:rFonts w:ascii="Arial" w:hAnsi="Arial"/>
                <w:sz w:val="22"/>
              </w:rPr>
            </w:pPr>
            <w:r w:rsidRPr="004F4CF5">
              <w:rPr>
                <w:rFonts w:ascii="Arial" w:hAnsi="Arial"/>
                <w:sz w:val="22"/>
              </w:rPr>
              <w:t>modalités particulières</w:t>
            </w:r>
            <w:r w:rsidRPr="004F4CF5">
              <w:rPr>
                <w:rFonts w:ascii="Arial" w:hAnsi="Arial"/>
                <w:sz w:val="22"/>
                <w:vertAlign w:val="superscript"/>
              </w:rPr>
              <w:footnoteReference w:id="4"/>
            </w:r>
            <w:r w:rsidRPr="004F4CF5">
              <w:rPr>
                <w:rFonts w:ascii="Arial" w:hAnsi="Arial"/>
                <w:sz w:val="22"/>
              </w:rPr>
              <w:t xml:space="preserve"> (applicables à l’ensemble des achats)</w:t>
            </w:r>
          </w:p>
        </w:tc>
      </w:tr>
    </w:tbl>
    <w:p w14:paraId="7781058D" w14:textId="77777777" w:rsidR="00A664D9" w:rsidRPr="004F4CF5" w:rsidRDefault="00A664D9" w:rsidP="00171E45">
      <w:pPr>
        <w:pStyle w:val="AMFTEXTECOURANT"/>
        <w:rPr>
          <w:rFonts w:ascii="Arial" w:hAnsi="Arial"/>
          <w:sz w:val="22"/>
        </w:rPr>
      </w:pPr>
    </w:p>
    <w:p w14:paraId="2BBEF546" w14:textId="77777777" w:rsidR="00A664D9" w:rsidRPr="004F4CF5" w:rsidRDefault="00A664D9" w:rsidP="00171E45">
      <w:pPr>
        <w:pStyle w:val="AMFTEXTECOURANT"/>
        <w:rPr>
          <w:rFonts w:ascii="Arial" w:hAnsi="Arial"/>
          <w:sz w:val="22"/>
        </w:rPr>
      </w:pPr>
      <w:r w:rsidRPr="004F4CF5">
        <w:rPr>
          <w:rFonts w:ascii="Arial" w:hAnsi="Arial"/>
          <w:sz w:val="22"/>
        </w:rPr>
        <w:t xml:space="preserve">S'agissant des commissions de souscription et de rachat acquises à l'OPCI, le taux affiché est un taux maximum. Le taux effectivement appliqué est fixé par la société de gestion </w:t>
      </w:r>
      <w:r w:rsidR="00C30C39" w:rsidRPr="004F4CF5">
        <w:rPr>
          <w:rFonts w:ascii="Arial" w:hAnsi="Arial"/>
          <w:sz w:val="22"/>
        </w:rPr>
        <w:t>d’OPCI</w:t>
      </w:r>
      <w:r w:rsidRPr="004F4CF5">
        <w:rPr>
          <w:rFonts w:ascii="Arial" w:hAnsi="Arial"/>
          <w:sz w:val="22"/>
        </w:rPr>
        <w:t xml:space="preserve"> avec une fréquence adaptée à la stratégie d'investissement et la structure du passif de l'OPCI. Cette fréquence est au moins annuelle. La société de gestion </w:t>
      </w:r>
      <w:r w:rsidR="00C30C39" w:rsidRPr="004F4CF5">
        <w:rPr>
          <w:rFonts w:ascii="Arial" w:hAnsi="Arial"/>
          <w:sz w:val="22"/>
        </w:rPr>
        <w:t>d’OPCI</w:t>
      </w:r>
      <w:r w:rsidRPr="004F4CF5">
        <w:rPr>
          <w:rFonts w:ascii="Arial" w:hAnsi="Arial"/>
          <w:sz w:val="22"/>
        </w:rPr>
        <w:t xml:space="preserve"> en informe les investisseurs au moment de la souscription et/ou du rachat des parts ou actions par celui-ci ainsi que les conditions dans lesquelles ce taux peut être réduit.</w:t>
      </w:r>
    </w:p>
    <w:p w14:paraId="57D44C6E" w14:textId="77777777" w:rsidR="00A664D9" w:rsidRPr="004F4CF5" w:rsidRDefault="00A664D9" w:rsidP="00A664D9">
      <w:pPr>
        <w:pStyle w:val="AMFIntertitreframboise"/>
        <w:numPr>
          <w:ilvl w:val="0"/>
          <w:numId w:val="0"/>
        </w:numPr>
        <w:rPr>
          <w:rFonts w:ascii="Arial" w:hAnsi="Arial" w:cs="Arial"/>
          <w:bCs/>
          <w:color w:val="auto"/>
          <w:sz w:val="22"/>
          <w:szCs w:val="22"/>
        </w:rPr>
      </w:pPr>
      <w:r w:rsidRPr="004F4CF5">
        <w:rPr>
          <w:rFonts w:ascii="Arial" w:hAnsi="Arial" w:cs="Arial"/>
          <w:color w:val="auto"/>
          <w:sz w:val="22"/>
          <w:szCs w:val="22"/>
        </w:rPr>
        <w:t>V- Frais - Commissions</w:t>
      </w:r>
    </w:p>
    <w:p w14:paraId="0684F52D" w14:textId="77777777" w:rsidR="00A664D9" w:rsidRPr="004F4CF5" w:rsidRDefault="00A664D9" w:rsidP="00171E45">
      <w:pPr>
        <w:pStyle w:val="AMFTEXTECOURANT"/>
        <w:rPr>
          <w:rFonts w:ascii="Arial" w:hAnsi="Arial"/>
          <w:sz w:val="22"/>
        </w:rPr>
      </w:pPr>
      <w:r w:rsidRPr="004F4CF5">
        <w:rPr>
          <w:rFonts w:ascii="Arial" w:hAnsi="Arial"/>
          <w:sz w:val="22"/>
        </w:rPr>
        <w:t>(A décliner par catégories de part, le cas échéant)</w:t>
      </w:r>
    </w:p>
    <w:p w14:paraId="35BE7153" w14:textId="77777777" w:rsidR="00A664D9" w:rsidRPr="004F4CF5" w:rsidRDefault="00A664D9" w:rsidP="00171E45">
      <w:pPr>
        <w:pStyle w:val="AMFTEXTECOURANT"/>
        <w:rPr>
          <w:rFonts w:ascii="Arial" w:hAnsi="Arial"/>
          <w:sz w:val="22"/>
        </w:rPr>
      </w:pPr>
    </w:p>
    <w:p w14:paraId="660E5CE9" w14:textId="77777777" w:rsidR="00A664D9" w:rsidRPr="004F4CF5" w:rsidRDefault="00A664D9" w:rsidP="00171E45">
      <w:pPr>
        <w:pStyle w:val="AMFTEXTECOURANT"/>
        <w:rPr>
          <w:rFonts w:ascii="Arial" w:hAnsi="Arial"/>
          <w:sz w:val="22"/>
        </w:rPr>
      </w:pPr>
      <w:r w:rsidRPr="004F4CF5">
        <w:rPr>
          <w:rFonts w:ascii="Arial" w:hAnsi="Arial"/>
          <w:sz w:val="22"/>
        </w:rPr>
        <w:t xml:space="preserve">L'objectif de cette rubrique dans le </w:t>
      </w:r>
      <w:r w:rsidR="00C30C39" w:rsidRPr="004F4CF5">
        <w:rPr>
          <w:rFonts w:ascii="Arial" w:hAnsi="Arial"/>
          <w:sz w:val="22"/>
        </w:rPr>
        <w:t>document d’information</w:t>
      </w:r>
      <w:r w:rsidRPr="004F4CF5">
        <w:rPr>
          <w:rFonts w:ascii="Arial" w:hAnsi="Arial"/>
          <w:sz w:val="22"/>
        </w:rPr>
        <w:t xml:space="preserve"> est la description de l'exhaustivité des frais, commissions et rémunérations des différents acteurs et intermédiaires, les informations complémentaires (acquisition et cession temporaire de titres par exemple)</w:t>
      </w:r>
    </w:p>
    <w:p w14:paraId="500F35BA" w14:textId="77777777" w:rsidR="00A664D9" w:rsidRPr="004F4CF5" w:rsidRDefault="00A664D9" w:rsidP="00171E45">
      <w:pPr>
        <w:pStyle w:val="AMFTEXTECOURANT"/>
        <w:rPr>
          <w:rFonts w:ascii="Arial" w:hAnsi="Arial"/>
          <w:sz w:val="22"/>
        </w:rPr>
      </w:pPr>
    </w:p>
    <w:tbl>
      <w:tblPr>
        <w:tblW w:w="5000" w:type="pct"/>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677"/>
        <w:gridCol w:w="2695"/>
        <w:gridCol w:w="2678"/>
      </w:tblGrid>
      <w:tr w:rsidR="00A664D9" w:rsidRPr="004F4CF5" w14:paraId="56BA8BA2" w14:textId="77777777" w:rsidTr="00504E87">
        <w:trPr>
          <w:tblCellSpacing w:w="15" w:type="dxa"/>
          <w:jc w:val="right"/>
        </w:trPr>
        <w:tc>
          <w:tcPr>
            <w:tcW w:w="2007" w:type="pct"/>
            <w:tcBorders>
              <w:top w:val="outset" w:sz="6" w:space="0" w:color="auto"/>
              <w:left w:val="outset" w:sz="6" w:space="0" w:color="auto"/>
              <w:bottom w:val="outset" w:sz="6" w:space="0" w:color="auto"/>
              <w:right w:val="outset" w:sz="6" w:space="0" w:color="auto"/>
            </w:tcBorders>
            <w:vAlign w:val="center"/>
          </w:tcPr>
          <w:p w14:paraId="728D0DAA" w14:textId="77777777" w:rsidR="00A664D9" w:rsidRPr="004F4CF5" w:rsidRDefault="00A664D9" w:rsidP="00171E45">
            <w:pPr>
              <w:pStyle w:val="AMFTEXTECOURANT"/>
              <w:rPr>
                <w:rFonts w:ascii="Arial" w:hAnsi="Arial"/>
                <w:sz w:val="22"/>
              </w:rPr>
            </w:pPr>
            <w:r w:rsidRPr="004F4CF5">
              <w:rPr>
                <w:rFonts w:ascii="Arial" w:hAnsi="Arial"/>
                <w:sz w:val="22"/>
              </w:rPr>
              <w:t>Frais à la charge de l'investisseur</w:t>
            </w:r>
          </w:p>
        </w:tc>
        <w:tc>
          <w:tcPr>
            <w:tcW w:w="1472" w:type="pct"/>
            <w:tcBorders>
              <w:top w:val="outset" w:sz="6" w:space="0" w:color="auto"/>
              <w:left w:val="outset" w:sz="6" w:space="0" w:color="auto"/>
              <w:bottom w:val="outset" w:sz="6" w:space="0" w:color="auto"/>
              <w:right w:val="outset" w:sz="6" w:space="0" w:color="auto"/>
            </w:tcBorders>
            <w:vAlign w:val="center"/>
          </w:tcPr>
          <w:p w14:paraId="28521E95" w14:textId="77777777" w:rsidR="00A664D9" w:rsidRPr="004F4CF5" w:rsidRDefault="00A664D9" w:rsidP="00171E45">
            <w:pPr>
              <w:pStyle w:val="AMFTEXTECOURANT"/>
              <w:rPr>
                <w:rFonts w:ascii="Arial" w:hAnsi="Arial"/>
                <w:sz w:val="22"/>
              </w:rPr>
            </w:pPr>
            <w:bookmarkStart w:id="50" w:name="0_pgfId-1191460"/>
            <w:bookmarkEnd w:id="50"/>
            <w:r w:rsidRPr="004F4CF5">
              <w:rPr>
                <w:rFonts w:ascii="Arial" w:hAnsi="Arial"/>
                <w:sz w:val="22"/>
              </w:rPr>
              <w:t>Assiette</w:t>
            </w:r>
          </w:p>
        </w:tc>
        <w:tc>
          <w:tcPr>
            <w:tcW w:w="1455" w:type="pct"/>
            <w:tcBorders>
              <w:top w:val="outset" w:sz="6" w:space="0" w:color="auto"/>
              <w:left w:val="outset" w:sz="6" w:space="0" w:color="auto"/>
              <w:bottom w:val="outset" w:sz="6" w:space="0" w:color="auto"/>
              <w:right w:val="outset" w:sz="6" w:space="0" w:color="auto"/>
            </w:tcBorders>
            <w:vAlign w:val="center"/>
          </w:tcPr>
          <w:p w14:paraId="716BFC4A" w14:textId="77777777" w:rsidR="00A664D9" w:rsidRPr="004F4CF5" w:rsidRDefault="00A664D9" w:rsidP="00171E45">
            <w:pPr>
              <w:pStyle w:val="AMFTEXTECOURANT"/>
              <w:rPr>
                <w:rFonts w:ascii="Arial" w:hAnsi="Arial"/>
                <w:sz w:val="22"/>
              </w:rPr>
            </w:pPr>
            <w:bookmarkStart w:id="51" w:name="0_pgfId-1191462"/>
            <w:bookmarkEnd w:id="51"/>
            <w:r w:rsidRPr="004F4CF5">
              <w:rPr>
                <w:rFonts w:ascii="Arial" w:hAnsi="Arial"/>
                <w:sz w:val="22"/>
              </w:rPr>
              <w:t>Taux barème</w:t>
            </w:r>
          </w:p>
        </w:tc>
      </w:tr>
      <w:tr w:rsidR="00A664D9" w:rsidRPr="004F4CF5" w14:paraId="2192521C" w14:textId="77777777" w:rsidTr="00504E87">
        <w:trPr>
          <w:tblCellSpacing w:w="15" w:type="dxa"/>
          <w:jc w:val="right"/>
        </w:trPr>
        <w:tc>
          <w:tcPr>
            <w:tcW w:w="2007" w:type="pct"/>
            <w:tcBorders>
              <w:top w:val="outset" w:sz="6" w:space="0" w:color="auto"/>
              <w:left w:val="outset" w:sz="6" w:space="0" w:color="auto"/>
              <w:bottom w:val="outset" w:sz="6" w:space="0" w:color="auto"/>
              <w:right w:val="outset" w:sz="6" w:space="0" w:color="auto"/>
            </w:tcBorders>
            <w:vAlign w:val="center"/>
          </w:tcPr>
          <w:p w14:paraId="4D8B9D4B" w14:textId="77777777" w:rsidR="00A664D9" w:rsidRPr="004F4CF5" w:rsidRDefault="00A664D9" w:rsidP="00171E45">
            <w:pPr>
              <w:pStyle w:val="AMFTEXTECOURANT"/>
              <w:rPr>
                <w:rFonts w:ascii="Arial" w:hAnsi="Arial"/>
                <w:sz w:val="22"/>
              </w:rPr>
            </w:pPr>
            <w:r w:rsidRPr="004F4CF5">
              <w:rPr>
                <w:rFonts w:ascii="Arial" w:hAnsi="Arial"/>
                <w:sz w:val="22"/>
              </w:rPr>
              <w:t>Frais de fonctionnement et de gestion</w:t>
            </w:r>
          </w:p>
        </w:tc>
        <w:tc>
          <w:tcPr>
            <w:tcW w:w="1472" w:type="pct"/>
            <w:tcBorders>
              <w:top w:val="outset" w:sz="6" w:space="0" w:color="auto"/>
              <w:left w:val="outset" w:sz="6" w:space="0" w:color="auto"/>
              <w:bottom w:val="outset" w:sz="6" w:space="0" w:color="auto"/>
              <w:right w:val="outset" w:sz="6" w:space="0" w:color="auto"/>
            </w:tcBorders>
            <w:vAlign w:val="center"/>
          </w:tcPr>
          <w:p w14:paraId="001E1F1E" w14:textId="77777777" w:rsidR="00A664D9" w:rsidRPr="004F4CF5" w:rsidRDefault="00A664D9" w:rsidP="00171E45">
            <w:pPr>
              <w:pStyle w:val="AMFTEXTECOURANT"/>
              <w:rPr>
                <w:rFonts w:ascii="Arial" w:hAnsi="Arial"/>
                <w:sz w:val="22"/>
              </w:rPr>
            </w:pPr>
            <w:bookmarkStart w:id="52" w:name="0_pgfId-1191466"/>
            <w:bookmarkEnd w:id="52"/>
            <w:r w:rsidRPr="004F4CF5">
              <w:rPr>
                <w:rFonts w:ascii="Arial" w:hAnsi="Arial"/>
                <w:sz w:val="22"/>
              </w:rPr>
              <w:t>Actif net</w:t>
            </w:r>
          </w:p>
          <w:p w14:paraId="1E9C5F59" w14:textId="77777777" w:rsidR="00A664D9" w:rsidRPr="004F4CF5" w:rsidRDefault="00A664D9" w:rsidP="00171E45">
            <w:pPr>
              <w:pStyle w:val="AMFTEXTECOURANT"/>
              <w:rPr>
                <w:rFonts w:ascii="Arial" w:hAnsi="Arial"/>
                <w:sz w:val="22"/>
              </w:rPr>
            </w:pPr>
            <w:bookmarkStart w:id="53" w:name="0_pgfId-1191467"/>
            <w:bookmarkEnd w:id="53"/>
            <w:r w:rsidRPr="004F4CF5">
              <w:rPr>
                <w:rFonts w:ascii="Arial" w:hAnsi="Arial"/>
                <w:sz w:val="22"/>
              </w:rPr>
              <w:t>Valeur globale des actifs gérés</w:t>
            </w:r>
          </w:p>
        </w:tc>
        <w:tc>
          <w:tcPr>
            <w:tcW w:w="1455" w:type="pct"/>
            <w:tcBorders>
              <w:top w:val="outset" w:sz="6" w:space="0" w:color="auto"/>
              <w:left w:val="outset" w:sz="6" w:space="0" w:color="auto"/>
              <w:bottom w:val="outset" w:sz="6" w:space="0" w:color="auto"/>
              <w:right w:val="outset" w:sz="6" w:space="0" w:color="auto"/>
            </w:tcBorders>
            <w:vAlign w:val="center"/>
          </w:tcPr>
          <w:p w14:paraId="70029B91" w14:textId="77777777" w:rsidR="00A664D9" w:rsidRPr="004F4CF5" w:rsidRDefault="00A664D9" w:rsidP="00171E45">
            <w:pPr>
              <w:pStyle w:val="AMFTEXTECOURANT"/>
              <w:rPr>
                <w:rFonts w:ascii="Arial" w:hAnsi="Arial"/>
                <w:sz w:val="22"/>
                <w:lang w:val="en-GB"/>
              </w:rPr>
            </w:pPr>
            <w:bookmarkStart w:id="54" w:name="0_pgfId-1191469"/>
            <w:bookmarkEnd w:id="54"/>
            <w:r w:rsidRPr="004F4CF5">
              <w:rPr>
                <w:rFonts w:ascii="Arial" w:hAnsi="Arial"/>
                <w:sz w:val="22"/>
                <w:lang w:val="en-GB"/>
              </w:rPr>
              <w:t>E % maximum TTC</w:t>
            </w:r>
          </w:p>
          <w:p w14:paraId="2F1707C8" w14:textId="77777777" w:rsidR="00A664D9" w:rsidRPr="004F4CF5" w:rsidRDefault="00A664D9" w:rsidP="00171E45">
            <w:pPr>
              <w:pStyle w:val="AMFTEXTECOURANT"/>
              <w:rPr>
                <w:rFonts w:ascii="Arial" w:hAnsi="Arial"/>
                <w:sz w:val="22"/>
                <w:lang w:val="en-GB"/>
              </w:rPr>
            </w:pPr>
            <w:bookmarkStart w:id="55" w:name="0_pgfId-1191470"/>
            <w:bookmarkEnd w:id="55"/>
            <w:r w:rsidRPr="004F4CF5">
              <w:rPr>
                <w:rFonts w:ascii="Arial" w:hAnsi="Arial"/>
                <w:sz w:val="22"/>
                <w:lang w:val="en-GB"/>
              </w:rPr>
              <w:t>F % maximum TTC</w:t>
            </w:r>
          </w:p>
        </w:tc>
      </w:tr>
      <w:tr w:rsidR="00A664D9" w:rsidRPr="004F4CF5" w14:paraId="11BE422C" w14:textId="77777777" w:rsidTr="00504E87">
        <w:trPr>
          <w:tblCellSpacing w:w="15" w:type="dxa"/>
          <w:jc w:val="right"/>
        </w:trPr>
        <w:tc>
          <w:tcPr>
            <w:tcW w:w="2007" w:type="pct"/>
            <w:tcBorders>
              <w:top w:val="outset" w:sz="6" w:space="0" w:color="auto"/>
              <w:left w:val="outset" w:sz="6" w:space="0" w:color="auto"/>
              <w:bottom w:val="outset" w:sz="6" w:space="0" w:color="auto"/>
              <w:right w:val="outset" w:sz="6" w:space="0" w:color="auto"/>
            </w:tcBorders>
            <w:vAlign w:val="center"/>
          </w:tcPr>
          <w:p w14:paraId="0564B678" w14:textId="77777777" w:rsidR="00A664D9" w:rsidRPr="004F4CF5" w:rsidRDefault="00A664D9" w:rsidP="00171E45">
            <w:pPr>
              <w:pStyle w:val="AMFTEXTECOURANT"/>
              <w:rPr>
                <w:rFonts w:ascii="Arial" w:hAnsi="Arial"/>
                <w:sz w:val="22"/>
              </w:rPr>
            </w:pPr>
            <w:r w:rsidRPr="004F4CF5">
              <w:rPr>
                <w:rFonts w:ascii="Arial" w:hAnsi="Arial"/>
                <w:sz w:val="22"/>
              </w:rPr>
              <w:lastRenderedPageBreak/>
              <w:t>Frais d'exploitation immobilière</w:t>
            </w:r>
          </w:p>
        </w:tc>
        <w:tc>
          <w:tcPr>
            <w:tcW w:w="1472" w:type="pct"/>
            <w:tcBorders>
              <w:top w:val="outset" w:sz="6" w:space="0" w:color="auto"/>
              <w:left w:val="outset" w:sz="6" w:space="0" w:color="auto"/>
              <w:bottom w:val="outset" w:sz="6" w:space="0" w:color="auto"/>
              <w:right w:val="outset" w:sz="6" w:space="0" w:color="auto"/>
            </w:tcBorders>
            <w:vAlign w:val="center"/>
          </w:tcPr>
          <w:p w14:paraId="03B8D936" w14:textId="77777777" w:rsidR="00A664D9" w:rsidRPr="004F4CF5" w:rsidRDefault="00A664D9" w:rsidP="00171E45">
            <w:pPr>
              <w:pStyle w:val="AMFTEXTECOURANT"/>
              <w:rPr>
                <w:rFonts w:ascii="Arial" w:hAnsi="Arial"/>
                <w:sz w:val="22"/>
              </w:rPr>
            </w:pPr>
            <w:bookmarkStart w:id="56" w:name="0_pgfId-1191474"/>
            <w:bookmarkEnd w:id="56"/>
            <w:r w:rsidRPr="004F4CF5">
              <w:rPr>
                <w:rFonts w:ascii="Arial" w:hAnsi="Arial"/>
                <w:sz w:val="22"/>
              </w:rPr>
              <w:t>Actif net</w:t>
            </w:r>
          </w:p>
          <w:p w14:paraId="6571A842" w14:textId="77777777" w:rsidR="00A664D9" w:rsidRPr="004F4CF5" w:rsidRDefault="00A664D9" w:rsidP="00171E45">
            <w:pPr>
              <w:pStyle w:val="AMFTEXTECOURANT"/>
              <w:rPr>
                <w:rFonts w:ascii="Arial" w:hAnsi="Arial"/>
                <w:sz w:val="22"/>
              </w:rPr>
            </w:pPr>
            <w:bookmarkStart w:id="57" w:name="0_pgfId-1191475"/>
            <w:bookmarkEnd w:id="57"/>
            <w:r w:rsidRPr="004F4CF5">
              <w:rPr>
                <w:rFonts w:ascii="Arial" w:hAnsi="Arial"/>
                <w:sz w:val="22"/>
              </w:rPr>
              <w:t>Valeur globale des actifs immobiliers gérés</w:t>
            </w:r>
          </w:p>
        </w:tc>
        <w:tc>
          <w:tcPr>
            <w:tcW w:w="1455" w:type="pct"/>
            <w:tcBorders>
              <w:top w:val="outset" w:sz="6" w:space="0" w:color="auto"/>
              <w:left w:val="outset" w:sz="6" w:space="0" w:color="auto"/>
              <w:bottom w:val="outset" w:sz="6" w:space="0" w:color="auto"/>
              <w:right w:val="outset" w:sz="6" w:space="0" w:color="auto"/>
            </w:tcBorders>
            <w:vAlign w:val="center"/>
          </w:tcPr>
          <w:p w14:paraId="5450DC4B" w14:textId="77777777" w:rsidR="00A664D9" w:rsidRPr="004F4CF5" w:rsidRDefault="00A664D9" w:rsidP="00171E45">
            <w:pPr>
              <w:pStyle w:val="AMFTEXTECOURANT"/>
              <w:rPr>
                <w:rFonts w:ascii="Arial" w:hAnsi="Arial"/>
                <w:sz w:val="22"/>
              </w:rPr>
            </w:pPr>
            <w:bookmarkStart w:id="58" w:name="0_pgfId-1191477"/>
            <w:bookmarkEnd w:id="58"/>
            <w:r w:rsidRPr="004F4CF5">
              <w:rPr>
                <w:rFonts w:ascii="Arial" w:hAnsi="Arial"/>
                <w:sz w:val="22"/>
              </w:rPr>
              <w:t xml:space="preserve">G % TTC en moyenne </w:t>
            </w:r>
            <w:r w:rsidRPr="004F4CF5">
              <w:rPr>
                <w:rFonts w:ascii="Arial" w:hAnsi="Arial"/>
                <w:sz w:val="22"/>
              </w:rPr>
              <w:br/>
              <w:t>sur les 3 prochaines années</w:t>
            </w:r>
            <w:r w:rsidRPr="004F4CF5">
              <w:rPr>
                <w:rFonts w:ascii="Arial" w:hAnsi="Arial"/>
                <w:sz w:val="22"/>
                <w:vertAlign w:val="superscript"/>
              </w:rPr>
              <w:t xml:space="preserve"> </w:t>
            </w:r>
          </w:p>
          <w:p w14:paraId="3D200DCD" w14:textId="77777777" w:rsidR="00A664D9" w:rsidRPr="004F4CF5" w:rsidRDefault="00A664D9" w:rsidP="00171E45">
            <w:pPr>
              <w:pStyle w:val="AMFTEXTECOURANT"/>
              <w:rPr>
                <w:rFonts w:ascii="Arial" w:hAnsi="Arial"/>
                <w:sz w:val="22"/>
              </w:rPr>
            </w:pPr>
            <w:bookmarkStart w:id="59" w:name="0_pgfId-1191481"/>
            <w:bookmarkEnd w:id="59"/>
            <w:r w:rsidRPr="004F4CF5">
              <w:rPr>
                <w:rFonts w:ascii="Arial" w:hAnsi="Arial"/>
                <w:sz w:val="22"/>
              </w:rPr>
              <w:t xml:space="preserve">H % TTC en moyenne </w:t>
            </w:r>
            <w:r w:rsidRPr="004F4CF5">
              <w:rPr>
                <w:rFonts w:ascii="Arial" w:hAnsi="Arial"/>
                <w:sz w:val="22"/>
              </w:rPr>
              <w:br/>
              <w:t>sur les 3 prochaines années</w:t>
            </w:r>
            <w:r w:rsidRPr="004F4CF5">
              <w:rPr>
                <w:rFonts w:ascii="Arial" w:hAnsi="Arial"/>
                <w:sz w:val="22"/>
                <w:vertAlign w:val="superscript"/>
              </w:rPr>
              <w:t xml:space="preserve"> </w:t>
            </w:r>
          </w:p>
        </w:tc>
      </w:tr>
      <w:tr w:rsidR="00A664D9" w:rsidRPr="004F4CF5" w14:paraId="16565825" w14:textId="77777777" w:rsidTr="00504E87">
        <w:trPr>
          <w:tblCellSpacing w:w="15" w:type="dxa"/>
          <w:jc w:val="right"/>
        </w:trPr>
        <w:tc>
          <w:tcPr>
            <w:tcW w:w="2007" w:type="pct"/>
            <w:tcBorders>
              <w:top w:val="outset" w:sz="6" w:space="0" w:color="auto"/>
              <w:left w:val="outset" w:sz="6" w:space="0" w:color="auto"/>
              <w:bottom w:val="outset" w:sz="6" w:space="0" w:color="auto"/>
              <w:right w:val="outset" w:sz="6" w:space="0" w:color="auto"/>
            </w:tcBorders>
            <w:vAlign w:val="center"/>
          </w:tcPr>
          <w:p w14:paraId="4AFD5D83" w14:textId="77777777" w:rsidR="00A664D9" w:rsidRPr="004F4CF5" w:rsidRDefault="00A664D9" w:rsidP="00171E45">
            <w:pPr>
              <w:pStyle w:val="AMFTEXTECOURANT"/>
              <w:rPr>
                <w:rFonts w:ascii="Arial" w:hAnsi="Arial"/>
                <w:sz w:val="22"/>
              </w:rPr>
            </w:pPr>
            <w:r w:rsidRPr="004F4CF5">
              <w:rPr>
                <w:rFonts w:ascii="Arial" w:hAnsi="Arial"/>
                <w:sz w:val="22"/>
              </w:rPr>
              <w:t xml:space="preserve">Commission de </w:t>
            </w:r>
            <w:r w:rsidR="005A73D5" w:rsidRPr="004F4CF5">
              <w:rPr>
                <w:rFonts w:ascii="Arial" w:hAnsi="Arial"/>
                <w:sz w:val="22"/>
              </w:rPr>
              <w:t>surperformance</w:t>
            </w:r>
            <w:r w:rsidRPr="004F4CF5">
              <w:rPr>
                <w:rFonts w:ascii="Arial" w:hAnsi="Arial"/>
                <w:sz w:val="22"/>
              </w:rPr>
              <w:t xml:space="preserve"> (*)</w:t>
            </w:r>
          </w:p>
        </w:tc>
        <w:tc>
          <w:tcPr>
            <w:tcW w:w="1472" w:type="pct"/>
            <w:tcBorders>
              <w:top w:val="outset" w:sz="6" w:space="0" w:color="auto"/>
              <w:left w:val="outset" w:sz="6" w:space="0" w:color="auto"/>
              <w:bottom w:val="outset" w:sz="6" w:space="0" w:color="auto"/>
              <w:right w:val="outset" w:sz="6" w:space="0" w:color="auto"/>
            </w:tcBorders>
            <w:vAlign w:val="center"/>
          </w:tcPr>
          <w:p w14:paraId="74F94806" w14:textId="77777777" w:rsidR="00A664D9" w:rsidRPr="004F4CF5" w:rsidRDefault="00A664D9" w:rsidP="00171E45">
            <w:pPr>
              <w:pStyle w:val="AMFTEXTECOURANT"/>
              <w:rPr>
                <w:rFonts w:ascii="Arial" w:hAnsi="Arial"/>
                <w:sz w:val="22"/>
              </w:rPr>
            </w:pPr>
            <w:bookmarkStart w:id="60" w:name="0_pgfId-1191488"/>
            <w:bookmarkEnd w:id="60"/>
            <w:r w:rsidRPr="004F4CF5">
              <w:rPr>
                <w:rFonts w:ascii="Arial" w:hAnsi="Arial"/>
                <w:sz w:val="22"/>
              </w:rPr>
              <w:t>Actif net</w:t>
            </w:r>
          </w:p>
        </w:tc>
        <w:tc>
          <w:tcPr>
            <w:tcW w:w="1455" w:type="pct"/>
            <w:tcBorders>
              <w:top w:val="outset" w:sz="6" w:space="0" w:color="auto"/>
              <w:left w:val="outset" w:sz="6" w:space="0" w:color="auto"/>
              <w:bottom w:val="outset" w:sz="6" w:space="0" w:color="auto"/>
              <w:right w:val="outset" w:sz="6" w:space="0" w:color="auto"/>
            </w:tcBorders>
            <w:vAlign w:val="center"/>
          </w:tcPr>
          <w:p w14:paraId="1A4CFB6E" w14:textId="77777777" w:rsidR="00A664D9" w:rsidRPr="004F4CF5" w:rsidRDefault="00A664D9" w:rsidP="00171E45">
            <w:pPr>
              <w:pStyle w:val="AMFTEXTECOURANT"/>
              <w:rPr>
                <w:rFonts w:ascii="Arial" w:hAnsi="Arial"/>
                <w:sz w:val="22"/>
              </w:rPr>
            </w:pPr>
            <w:bookmarkStart w:id="61" w:name="0_pgfId-1191490"/>
            <w:bookmarkEnd w:id="61"/>
            <w:r w:rsidRPr="004F4CF5">
              <w:rPr>
                <w:rFonts w:ascii="Arial" w:hAnsi="Arial"/>
                <w:sz w:val="22"/>
              </w:rPr>
              <w:t>I % de la performance au-delà de J TTC</w:t>
            </w:r>
          </w:p>
        </w:tc>
      </w:tr>
      <w:tr w:rsidR="00A664D9" w:rsidRPr="004F4CF5" w14:paraId="25A3412F" w14:textId="77777777" w:rsidTr="00504E87">
        <w:trPr>
          <w:tblCellSpacing w:w="15" w:type="dxa"/>
          <w:jc w:val="right"/>
        </w:trPr>
        <w:tc>
          <w:tcPr>
            <w:tcW w:w="2007" w:type="pct"/>
            <w:tcBorders>
              <w:top w:val="outset" w:sz="6" w:space="0" w:color="auto"/>
              <w:left w:val="outset" w:sz="6" w:space="0" w:color="auto"/>
              <w:bottom w:val="outset" w:sz="6" w:space="0" w:color="auto"/>
              <w:right w:val="outset" w:sz="6" w:space="0" w:color="auto"/>
            </w:tcBorders>
            <w:vAlign w:val="center"/>
          </w:tcPr>
          <w:p w14:paraId="09804B3A" w14:textId="77777777" w:rsidR="00A664D9" w:rsidRPr="004F4CF5" w:rsidRDefault="00A664D9" w:rsidP="00171E45">
            <w:pPr>
              <w:pStyle w:val="AMFTEXTECOURANT"/>
              <w:rPr>
                <w:rFonts w:ascii="Arial" w:hAnsi="Arial"/>
                <w:sz w:val="22"/>
              </w:rPr>
            </w:pPr>
            <w:r w:rsidRPr="004F4CF5">
              <w:rPr>
                <w:rFonts w:ascii="Arial" w:hAnsi="Arial"/>
                <w:sz w:val="22"/>
              </w:rPr>
              <w:t>Frais et commissions liés aux transactions immobilières et financières :</w:t>
            </w:r>
          </w:p>
          <w:p w14:paraId="19D2A400" w14:textId="77777777" w:rsidR="00A664D9" w:rsidRPr="004F4CF5" w:rsidRDefault="00A664D9" w:rsidP="00171E45">
            <w:pPr>
              <w:pStyle w:val="AMFTEXTECOURANT"/>
              <w:rPr>
                <w:rFonts w:ascii="Arial" w:hAnsi="Arial"/>
                <w:sz w:val="22"/>
              </w:rPr>
            </w:pPr>
            <w:bookmarkStart w:id="62" w:name="0_pgfId-1191493"/>
            <w:bookmarkEnd w:id="62"/>
            <w:r w:rsidRPr="004F4CF5">
              <w:rPr>
                <w:rFonts w:ascii="Arial" w:hAnsi="Arial"/>
                <w:sz w:val="22"/>
              </w:rPr>
              <w:t>- Frais liés aux opérations sur actifs immobiliers hors commissions de mouvement liées aux opérations d'investissement et d'arbitrage sur actifs immobiliers</w:t>
            </w:r>
          </w:p>
          <w:p w14:paraId="40EA42C1" w14:textId="77777777" w:rsidR="00A664D9" w:rsidRPr="004F4CF5" w:rsidRDefault="00A664D9" w:rsidP="00171E45">
            <w:pPr>
              <w:pStyle w:val="AMFTEXTECOURANT"/>
              <w:rPr>
                <w:rFonts w:ascii="Arial" w:hAnsi="Arial"/>
                <w:sz w:val="22"/>
              </w:rPr>
            </w:pPr>
            <w:bookmarkStart w:id="63" w:name="0_pgfId-1191494"/>
            <w:bookmarkEnd w:id="63"/>
            <w:r w:rsidRPr="004F4CF5">
              <w:rPr>
                <w:rFonts w:ascii="Arial" w:hAnsi="Arial"/>
                <w:sz w:val="22"/>
              </w:rPr>
              <w:t>- Commissions de mouvement liées aux opérations d'investissement et d'arbitrage sur actifs immobiliers</w:t>
            </w:r>
          </w:p>
          <w:p w14:paraId="760FCD23" w14:textId="77777777" w:rsidR="00A664D9" w:rsidRPr="004F4CF5" w:rsidRDefault="00A664D9" w:rsidP="00171E45">
            <w:pPr>
              <w:pStyle w:val="AMFTEXTECOURANT"/>
              <w:rPr>
                <w:rFonts w:ascii="Arial" w:hAnsi="Arial"/>
                <w:sz w:val="22"/>
              </w:rPr>
            </w:pPr>
            <w:bookmarkStart w:id="64" w:name="0_pgfId-1191495"/>
            <w:bookmarkEnd w:id="64"/>
            <w:r w:rsidRPr="004F4CF5">
              <w:rPr>
                <w:rFonts w:ascii="Arial" w:hAnsi="Arial"/>
                <w:sz w:val="22"/>
              </w:rPr>
              <w:t>- Commissions de mouvement liées aux opérations sur instruments financiers</w:t>
            </w:r>
          </w:p>
        </w:tc>
        <w:tc>
          <w:tcPr>
            <w:tcW w:w="1472" w:type="pct"/>
            <w:tcBorders>
              <w:top w:val="outset" w:sz="6" w:space="0" w:color="auto"/>
              <w:left w:val="outset" w:sz="6" w:space="0" w:color="auto"/>
              <w:bottom w:val="outset" w:sz="6" w:space="0" w:color="auto"/>
              <w:right w:val="outset" w:sz="6" w:space="0" w:color="auto"/>
            </w:tcBorders>
            <w:vAlign w:val="center"/>
          </w:tcPr>
          <w:p w14:paraId="573DAE8D" w14:textId="77777777" w:rsidR="00A664D9" w:rsidRPr="004F4CF5" w:rsidRDefault="00A664D9" w:rsidP="00171E45">
            <w:pPr>
              <w:pStyle w:val="AMFTEXTECOURANT"/>
              <w:rPr>
                <w:rFonts w:ascii="Arial" w:hAnsi="Arial"/>
                <w:sz w:val="22"/>
              </w:rPr>
            </w:pPr>
            <w:bookmarkStart w:id="65" w:name="0_pgfId-1191497"/>
            <w:bookmarkEnd w:id="65"/>
            <w:r w:rsidRPr="004F4CF5">
              <w:rPr>
                <w:rFonts w:ascii="Arial" w:hAnsi="Arial"/>
                <w:sz w:val="22"/>
              </w:rPr>
              <w:br/>
            </w:r>
          </w:p>
          <w:p w14:paraId="745E345B" w14:textId="77777777" w:rsidR="00A664D9" w:rsidRPr="004F4CF5" w:rsidRDefault="00A664D9" w:rsidP="00171E45">
            <w:pPr>
              <w:pStyle w:val="AMFTEXTECOURANT"/>
              <w:rPr>
                <w:rFonts w:ascii="Arial" w:hAnsi="Arial"/>
                <w:sz w:val="22"/>
              </w:rPr>
            </w:pPr>
            <w:bookmarkStart w:id="66" w:name="0_pgfId-1191498"/>
            <w:bookmarkEnd w:id="66"/>
            <w:r w:rsidRPr="004F4CF5">
              <w:rPr>
                <w:rFonts w:ascii="Arial" w:hAnsi="Arial"/>
                <w:sz w:val="22"/>
              </w:rPr>
              <w:br/>
            </w:r>
            <w:r w:rsidRPr="004F4CF5">
              <w:rPr>
                <w:rFonts w:ascii="Arial" w:hAnsi="Arial"/>
                <w:sz w:val="22"/>
              </w:rPr>
              <w:br/>
              <w:t>A définir</w:t>
            </w:r>
          </w:p>
          <w:p w14:paraId="5D0B7ECB" w14:textId="77777777" w:rsidR="00A664D9" w:rsidRPr="004F4CF5" w:rsidRDefault="00A664D9" w:rsidP="00171E45">
            <w:pPr>
              <w:pStyle w:val="AMFTEXTECOURANT"/>
              <w:rPr>
                <w:rFonts w:ascii="Arial" w:hAnsi="Arial"/>
                <w:sz w:val="22"/>
              </w:rPr>
            </w:pPr>
            <w:bookmarkStart w:id="67" w:name="0_pgfId-1191499"/>
            <w:bookmarkEnd w:id="67"/>
            <w:r w:rsidRPr="004F4CF5">
              <w:rPr>
                <w:rFonts w:ascii="Arial" w:hAnsi="Arial"/>
                <w:sz w:val="22"/>
              </w:rPr>
              <w:br/>
              <w:t>A définir</w:t>
            </w:r>
            <w:r w:rsidRPr="004F4CF5">
              <w:rPr>
                <w:rFonts w:ascii="Arial" w:hAnsi="Arial"/>
                <w:sz w:val="22"/>
              </w:rPr>
              <w:br/>
            </w:r>
            <w:r w:rsidRPr="004F4CF5">
              <w:rPr>
                <w:rFonts w:ascii="Arial" w:hAnsi="Arial"/>
                <w:sz w:val="22"/>
              </w:rPr>
              <w:br/>
            </w:r>
            <w:r w:rsidRPr="004F4CF5">
              <w:rPr>
                <w:rFonts w:ascii="Arial" w:hAnsi="Arial"/>
                <w:sz w:val="22"/>
              </w:rPr>
              <w:br/>
              <w:t>A définir</w:t>
            </w:r>
          </w:p>
        </w:tc>
        <w:tc>
          <w:tcPr>
            <w:tcW w:w="1455" w:type="pct"/>
            <w:tcBorders>
              <w:top w:val="outset" w:sz="6" w:space="0" w:color="auto"/>
              <w:left w:val="outset" w:sz="6" w:space="0" w:color="auto"/>
              <w:bottom w:val="outset" w:sz="6" w:space="0" w:color="auto"/>
              <w:right w:val="outset" w:sz="6" w:space="0" w:color="auto"/>
            </w:tcBorders>
            <w:vAlign w:val="center"/>
          </w:tcPr>
          <w:p w14:paraId="1D0C15C7" w14:textId="77777777" w:rsidR="00A664D9" w:rsidRPr="004F4CF5" w:rsidRDefault="00A664D9" w:rsidP="00171E45">
            <w:pPr>
              <w:pStyle w:val="AMFTEXTECOURANT"/>
              <w:rPr>
                <w:rFonts w:ascii="Arial" w:hAnsi="Arial"/>
                <w:sz w:val="22"/>
              </w:rPr>
            </w:pPr>
            <w:bookmarkStart w:id="68" w:name="0_pgfId-1191501"/>
            <w:bookmarkEnd w:id="68"/>
            <w:r w:rsidRPr="004F4CF5">
              <w:rPr>
                <w:rFonts w:ascii="Arial" w:hAnsi="Arial"/>
                <w:sz w:val="22"/>
              </w:rPr>
              <w:br/>
            </w:r>
          </w:p>
          <w:p w14:paraId="73AC3993" w14:textId="77777777" w:rsidR="00A664D9" w:rsidRPr="004F4CF5" w:rsidRDefault="00A664D9" w:rsidP="00171E45">
            <w:pPr>
              <w:pStyle w:val="AMFTEXTECOURANT"/>
              <w:rPr>
                <w:rFonts w:ascii="Arial" w:hAnsi="Arial"/>
                <w:sz w:val="22"/>
              </w:rPr>
            </w:pPr>
            <w:bookmarkStart w:id="69" w:name="0_pgfId-1191502"/>
            <w:bookmarkEnd w:id="69"/>
            <w:r w:rsidRPr="004F4CF5">
              <w:rPr>
                <w:rFonts w:ascii="Arial" w:hAnsi="Arial"/>
                <w:sz w:val="22"/>
              </w:rPr>
              <w:br/>
            </w:r>
            <w:r w:rsidRPr="004F4CF5">
              <w:rPr>
                <w:rFonts w:ascii="Arial" w:hAnsi="Arial"/>
                <w:sz w:val="22"/>
              </w:rPr>
              <w:br/>
              <w:t>K % TTC</w:t>
            </w:r>
          </w:p>
          <w:p w14:paraId="3129A4C7" w14:textId="77777777" w:rsidR="00A664D9" w:rsidRPr="004F4CF5" w:rsidRDefault="00A664D9" w:rsidP="00171E45">
            <w:pPr>
              <w:pStyle w:val="AMFTEXTECOURANT"/>
              <w:rPr>
                <w:rFonts w:ascii="Arial" w:hAnsi="Arial"/>
                <w:sz w:val="22"/>
              </w:rPr>
            </w:pPr>
            <w:bookmarkStart w:id="70" w:name="0_pgfId-1191503"/>
            <w:bookmarkEnd w:id="70"/>
            <w:r w:rsidRPr="004F4CF5">
              <w:rPr>
                <w:rFonts w:ascii="Arial" w:hAnsi="Arial"/>
                <w:sz w:val="22"/>
              </w:rPr>
              <w:br/>
              <w:t>L % TTC</w:t>
            </w:r>
            <w:r w:rsidRPr="004F4CF5">
              <w:rPr>
                <w:rFonts w:ascii="Arial" w:hAnsi="Arial"/>
                <w:sz w:val="22"/>
              </w:rPr>
              <w:br/>
            </w:r>
            <w:r w:rsidRPr="004F4CF5">
              <w:rPr>
                <w:rFonts w:ascii="Arial" w:hAnsi="Arial"/>
                <w:sz w:val="22"/>
              </w:rPr>
              <w:br/>
            </w:r>
            <w:r w:rsidRPr="004F4CF5">
              <w:rPr>
                <w:rFonts w:ascii="Arial" w:hAnsi="Arial"/>
                <w:sz w:val="22"/>
              </w:rPr>
              <w:br/>
              <w:t>M % TTC</w:t>
            </w:r>
          </w:p>
        </w:tc>
      </w:tr>
    </w:tbl>
    <w:p w14:paraId="03086838" w14:textId="77777777" w:rsidR="00A664D9" w:rsidRPr="004F4CF5" w:rsidRDefault="00A664D9" w:rsidP="00171E45">
      <w:pPr>
        <w:pStyle w:val="AMFTEXTECOURANT"/>
        <w:rPr>
          <w:rFonts w:ascii="Arial" w:hAnsi="Arial"/>
          <w:sz w:val="22"/>
        </w:rPr>
      </w:pPr>
      <w:r w:rsidRPr="004F4CF5">
        <w:rPr>
          <w:rFonts w:ascii="Arial" w:hAnsi="Arial"/>
          <w:sz w:val="22"/>
        </w:rPr>
        <w:t>(*) Le cas échéant, un taux maximum peut être indiqué, en plus du taux effectif.</w:t>
      </w:r>
    </w:p>
    <w:p w14:paraId="7492CC09" w14:textId="77777777" w:rsidR="00C30C39" w:rsidRPr="004F4CF5" w:rsidRDefault="00C30C39" w:rsidP="00171E45">
      <w:pPr>
        <w:pStyle w:val="AMFTEXTECOURANT"/>
        <w:rPr>
          <w:rFonts w:ascii="Arial" w:hAnsi="Arial"/>
          <w:sz w:val="22"/>
        </w:rPr>
      </w:pPr>
    </w:p>
    <w:p w14:paraId="3EAA6F1B" w14:textId="77777777" w:rsidR="00A664D9" w:rsidRPr="004F4CF5" w:rsidRDefault="00A664D9" w:rsidP="00171E45">
      <w:pPr>
        <w:pStyle w:val="AMFTEXTECOURANT"/>
        <w:rPr>
          <w:rFonts w:ascii="Arial" w:hAnsi="Arial"/>
          <w:sz w:val="22"/>
        </w:rPr>
      </w:pPr>
      <w:r w:rsidRPr="004F4CF5">
        <w:rPr>
          <w:rFonts w:ascii="Arial" w:hAnsi="Arial"/>
          <w:sz w:val="22"/>
        </w:rPr>
        <w:t>1</w:t>
      </w:r>
      <w:r w:rsidRPr="004F4CF5">
        <w:rPr>
          <w:rFonts w:ascii="Arial" w:hAnsi="Arial"/>
          <w:sz w:val="22"/>
          <w:vertAlign w:val="superscript"/>
        </w:rPr>
        <w:t>°</w:t>
      </w:r>
      <w:r w:rsidRPr="004F4CF5">
        <w:rPr>
          <w:rFonts w:ascii="Arial" w:hAnsi="Arial"/>
          <w:sz w:val="22"/>
        </w:rPr>
        <w:t>Frais de fonctionnement et de gestion</w:t>
      </w:r>
    </w:p>
    <w:p w14:paraId="2B7536B3" w14:textId="77777777" w:rsidR="005A73D5" w:rsidRPr="004F4CF5" w:rsidRDefault="005A73D5" w:rsidP="00171E45">
      <w:pPr>
        <w:pStyle w:val="AMFTEXTECOURANT"/>
        <w:rPr>
          <w:rFonts w:ascii="Arial" w:hAnsi="Arial"/>
          <w:sz w:val="22"/>
        </w:rPr>
      </w:pPr>
    </w:p>
    <w:p w14:paraId="4AC04D57" w14:textId="10B6F113" w:rsidR="00A664D9" w:rsidRPr="004F4CF5" w:rsidRDefault="00A664D9" w:rsidP="00171E45">
      <w:pPr>
        <w:pStyle w:val="AMFTEXTECOURANT"/>
        <w:rPr>
          <w:rFonts w:ascii="Arial" w:hAnsi="Arial"/>
          <w:sz w:val="22"/>
        </w:rPr>
      </w:pPr>
      <w:r w:rsidRPr="004F4CF5">
        <w:rPr>
          <w:rFonts w:ascii="Arial" w:hAnsi="Arial"/>
          <w:sz w:val="22"/>
        </w:rPr>
        <w:t xml:space="preserve">Les frais de fonctionnement et de gestion recouvrent l'ensemble des frais supportés de manière récurrente par l'OPCI afin d'en assurer le fonctionnement à l'exclusion des frais liés à l'exploitation immobilière, des commissions de surperformance et des frais et commissions liés aux opérations de transaction. L'OPCI règle ainsi la rémunération de la société de gestion </w:t>
      </w:r>
      <w:r w:rsidR="00C30C39" w:rsidRPr="004F4CF5">
        <w:rPr>
          <w:rFonts w:ascii="Arial" w:hAnsi="Arial"/>
          <w:sz w:val="22"/>
        </w:rPr>
        <w:t>d’OPCI</w:t>
      </w:r>
      <w:r w:rsidRPr="004F4CF5">
        <w:rPr>
          <w:rFonts w:ascii="Arial" w:hAnsi="Arial"/>
          <w:sz w:val="22"/>
        </w:rPr>
        <w:t xml:space="preserve"> au titre de ses prestations liées à l'exécution de</w:t>
      </w:r>
      <w:r w:rsidR="008B0C8B" w:rsidRPr="004F4CF5">
        <w:rPr>
          <w:rFonts w:ascii="Arial" w:hAnsi="Arial"/>
          <w:sz w:val="22"/>
        </w:rPr>
        <w:t xml:space="preserve"> ses</w:t>
      </w:r>
      <w:r w:rsidRPr="004F4CF5">
        <w:rPr>
          <w:rFonts w:ascii="Arial" w:hAnsi="Arial"/>
          <w:sz w:val="22"/>
        </w:rPr>
        <w:t xml:space="preserve"> missions notamment de :</w:t>
      </w:r>
    </w:p>
    <w:p w14:paraId="4E63D40D" w14:textId="77777777" w:rsidR="00E27254" w:rsidRPr="004F4CF5" w:rsidRDefault="00E27254" w:rsidP="00171E45">
      <w:pPr>
        <w:pStyle w:val="AMFTEXTECOURANT"/>
        <w:rPr>
          <w:rFonts w:ascii="Arial" w:hAnsi="Arial"/>
          <w:sz w:val="22"/>
        </w:rPr>
      </w:pPr>
    </w:p>
    <w:p w14:paraId="66CAE191" w14:textId="77777777" w:rsidR="00A664D9" w:rsidRPr="004F4CF5" w:rsidRDefault="00A664D9" w:rsidP="00504E87">
      <w:pPr>
        <w:pStyle w:val="AMFTEXTECOURANT"/>
        <w:rPr>
          <w:rFonts w:ascii="Arial" w:hAnsi="Arial"/>
          <w:sz w:val="22"/>
        </w:rPr>
      </w:pPr>
      <w:r w:rsidRPr="004F4CF5">
        <w:rPr>
          <w:rFonts w:ascii="Arial" w:hAnsi="Arial"/>
          <w:sz w:val="22"/>
        </w:rPr>
        <w:t>-</w:t>
      </w:r>
      <w:r w:rsidRPr="004F4CF5">
        <w:rPr>
          <w:rFonts w:ascii="Arial" w:hAnsi="Arial"/>
          <w:sz w:val="22"/>
        </w:rPr>
        <w:tab/>
        <w:t xml:space="preserve">Gestion de l'OPCI (fund management immobilier), à savoir notamment l'établissement de la stratégie d'investissement et du business plan général de l'OPCI ainsi que l'allocation entre la poche immobilière, la poche financière et les liquidités, l'identification et l'évaluation des opportunités d'investissement, la détermination des modalités de financement des actifs immobiliers ainsi que, le cas échéant, des actifs financiers, la détermination des modalités de réalisation des actifs immobiliers, financiers et des liquidités de l'OPCI, les prestations liées aux obligations d'information de </w:t>
      </w:r>
      <w:r w:rsidR="00C30C39" w:rsidRPr="004F4CF5">
        <w:rPr>
          <w:rFonts w:ascii="Arial" w:hAnsi="Arial"/>
          <w:sz w:val="22"/>
        </w:rPr>
        <w:t>la COSUMAF</w:t>
      </w:r>
      <w:r w:rsidRPr="004F4CF5">
        <w:rPr>
          <w:rFonts w:ascii="Arial" w:hAnsi="Arial"/>
          <w:sz w:val="22"/>
        </w:rPr>
        <w:t xml:space="preserve"> et des actionnaires/porteurs, et notamment l'établissement du rapport annuel de gestion et des documents d'information périodique ; </w:t>
      </w:r>
    </w:p>
    <w:p w14:paraId="103C78A1" w14:textId="77777777" w:rsidR="00E27254" w:rsidRPr="004F4CF5" w:rsidRDefault="00E27254" w:rsidP="00504E87">
      <w:pPr>
        <w:pStyle w:val="AMFTEXTECOURANT"/>
        <w:rPr>
          <w:rFonts w:ascii="Arial" w:hAnsi="Arial"/>
          <w:sz w:val="22"/>
        </w:rPr>
      </w:pPr>
    </w:p>
    <w:p w14:paraId="7AEC831D" w14:textId="77777777" w:rsidR="00A664D9" w:rsidRPr="004F4CF5" w:rsidRDefault="00A664D9" w:rsidP="00504E87">
      <w:pPr>
        <w:pStyle w:val="AMFTEXTECOURANT"/>
        <w:rPr>
          <w:rFonts w:ascii="Arial" w:hAnsi="Arial"/>
          <w:sz w:val="22"/>
        </w:rPr>
      </w:pPr>
      <w:r w:rsidRPr="004F4CF5">
        <w:rPr>
          <w:rFonts w:ascii="Arial" w:hAnsi="Arial"/>
          <w:sz w:val="22"/>
        </w:rPr>
        <w:t>-</w:t>
      </w:r>
      <w:r w:rsidRPr="004F4CF5">
        <w:rPr>
          <w:rFonts w:ascii="Arial" w:hAnsi="Arial"/>
          <w:sz w:val="22"/>
        </w:rPr>
        <w:tab/>
        <w:t xml:space="preserve">Gestion des actifs immobiliers (asset management immobilier), à savoir l'élaboration des stratégies d'acquisition, de construction, de financement, d'arbitrage et de commercialisation des actifs immobiliers, l'élaboration de la stratégie de gestion des actifs immobiliers et notamment l'établissement du plan de travaux et de sa mise à jour ; </w:t>
      </w:r>
    </w:p>
    <w:p w14:paraId="5E6EEC70" w14:textId="77777777" w:rsidR="00E27254" w:rsidRPr="004F4CF5" w:rsidRDefault="00E27254" w:rsidP="00504E87">
      <w:pPr>
        <w:pStyle w:val="AMFTEXTECOURANT"/>
        <w:rPr>
          <w:rFonts w:ascii="Arial" w:hAnsi="Arial"/>
          <w:sz w:val="22"/>
        </w:rPr>
      </w:pPr>
    </w:p>
    <w:p w14:paraId="60717D18" w14:textId="77777777" w:rsidR="00A664D9" w:rsidRPr="004F4CF5" w:rsidRDefault="00A664D9" w:rsidP="00504E87">
      <w:pPr>
        <w:pStyle w:val="AMFTEXTECOURANT"/>
        <w:rPr>
          <w:rFonts w:ascii="Arial" w:hAnsi="Arial"/>
          <w:sz w:val="22"/>
        </w:rPr>
      </w:pPr>
      <w:r w:rsidRPr="004F4CF5">
        <w:rPr>
          <w:rFonts w:ascii="Arial" w:hAnsi="Arial"/>
          <w:sz w:val="22"/>
        </w:rPr>
        <w:t>-</w:t>
      </w:r>
      <w:r w:rsidRPr="004F4CF5">
        <w:rPr>
          <w:rFonts w:ascii="Arial" w:hAnsi="Arial"/>
          <w:sz w:val="22"/>
        </w:rPr>
        <w:tab/>
        <w:t xml:space="preserve">Suivi des montages immobiliers attachés à l'acquisition ou à la cession d'actifs et suivi de la gestion des actifs immobiliers. </w:t>
      </w:r>
    </w:p>
    <w:p w14:paraId="7CD8FDF2" w14:textId="77777777" w:rsidR="00E27254" w:rsidRPr="004F4CF5" w:rsidRDefault="00E27254" w:rsidP="00504E87">
      <w:pPr>
        <w:pStyle w:val="AMFTEXTECOURANT"/>
        <w:rPr>
          <w:rFonts w:ascii="Arial" w:hAnsi="Arial"/>
          <w:sz w:val="22"/>
        </w:rPr>
      </w:pPr>
    </w:p>
    <w:p w14:paraId="2B933343" w14:textId="77777777" w:rsidR="00A664D9" w:rsidRPr="004F4CF5" w:rsidRDefault="00A664D9" w:rsidP="00504E87">
      <w:pPr>
        <w:pStyle w:val="AMFTEXTECOURANT"/>
        <w:rPr>
          <w:rFonts w:ascii="Arial" w:hAnsi="Arial"/>
          <w:sz w:val="22"/>
        </w:rPr>
      </w:pPr>
      <w:r w:rsidRPr="004F4CF5">
        <w:rPr>
          <w:rFonts w:ascii="Arial" w:hAnsi="Arial"/>
          <w:sz w:val="22"/>
        </w:rPr>
        <w:lastRenderedPageBreak/>
        <w:t xml:space="preserve">Outre la rémunération de la société de gestion </w:t>
      </w:r>
      <w:r w:rsidR="00C30C39" w:rsidRPr="004F4CF5">
        <w:rPr>
          <w:rFonts w:ascii="Arial" w:hAnsi="Arial"/>
          <w:sz w:val="22"/>
        </w:rPr>
        <w:t>d’OPCI</w:t>
      </w:r>
      <w:r w:rsidRPr="004F4CF5">
        <w:rPr>
          <w:rFonts w:ascii="Arial" w:hAnsi="Arial"/>
          <w:sz w:val="22"/>
        </w:rPr>
        <w:t xml:space="preserve">, l'OPCI supporte également de façon récurrente, l'ensemble des frais et charges mentionnés ci-dessous : </w:t>
      </w:r>
    </w:p>
    <w:p w14:paraId="49225F0A" w14:textId="77777777" w:rsidR="00A664D9" w:rsidRPr="004F4CF5" w:rsidRDefault="00A664D9" w:rsidP="00504E87">
      <w:pPr>
        <w:pStyle w:val="AMFTEXTECOURANT"/>
        <w:rPr>
          <w:rFonts w:ascii="Arial" w:hAnsi="Arial"/>
          <w:sz w:val="22"/>
        </w:rPr>
      </w:pPr>
      <w:r w:rsidRPr="004F4CF5">
        <w:rPr>
          <w:rFonts w:ascii="Arial" w:hAnsi="Arial"/>
          <w:sz w:val="22"/>
        </w:rPr>
        <w:t>-</w:t>
      </w:r>
      <w:r w:rsidRPr="004F4CF5">
        <w:rPr>
          <w:rFonts w:ascii="Arial" w:hAnsi="Arial"/>
          <w:sz w:val="22"/>
        </w:rPr>
        <w:tab/>
        <w:t xml:space="preserve">Les frais et charges liés à l'administration de l'OPCI et à sa vie sociale, notamment ceux du dépositaire, du commissaire aux comptes, les frais de fonctionnement des organes de gouvernance (conseil d'administration/ conseil de surveillance), notamment la rémunération de leurs membres, les éventuels frais de publication ; </w:t>
      </w:r>
    </w:p>
    <w:p w14:paraId="46A4EA55" w14:textId="77777777" w:rsidR="00A664D9" w:rsidRPr="004F4CF5" w:rsidRDefault="00A664D9" w:rsidP="00504E87">
      <w:pPr>
        <w:pStyle w:val="AMFTEXTECOURANT"/>
        <w:rPr>
          <w:rFonts w:ascii="Arial" w:hAnsi="Arial"/>
          <w:sz w:val="22"/>
        </w:rPr>
      </w:pPr>
      <w:r w:rsidRPr="004F4CF5">
        <w:rPr>
          <w:rFonts w:ascii="Arial" w:hAnsi="Arial"/>
          <w:sz w:val="22"/>
        </w:rPr>
        <w:t>-</w:t>
      </w:r>
      <w:r w:rsidRPr="004F4CF5">
        <w:rPr>
          <w:rFonts w:ascii="Arial" w:hAnsi="Arial"/>
          <w:sz w:val="22"/>
        </w:rPr>
        <w:tab/>
        <w:t>Les honoraires liés à la valorisation des actifs, notamment ceux des évaluateurs immobiliers.</w:t>
      </w:r>
    </w:p>
    <w:p w14:paraId="3FBEA7B4" w14:textId="77777777" w:rsidR="005A73D5" w:rsidRPr="004F4CF5" w:rsidRDefault="005A73D5" w:rsidP="00504E87">
      <w:pPr>
        <w:pStyle w:val="AMFTEXTECOURANT"/>
        <w:rPr>
          <w:rFonts w:ascii="Arial" w:hAnsi="Arial"/>
          <w:sz w:val="22"/>
        </w:rPr>
      </w:pPr>
    </w:p>
    <w:p w14:paraId="103482A7" w14:textId="77777777" w:rsidR="00A664D9" w:rsidRPr="004F4CF5" w:rsidRDefault="00A664D9" w:rsidP="00171E45">
      <w:pPr>
        <w:pStyle w:val="AMFTEXTECOURANT"/>
        <w:rPr>
          <w:rFonts w:ascii="Arial" w:hAnsi="Arial"/>
          <w:sz w:val="22"/>
        </w:rPr>
      </w:pPr>
      <w:r w:rsidRPr="004F4CF5">
        <w:rPr>
          <w:rFonts w:ascii="Arial" w:hAnsi="Arial"/>
          <w:sz w:val="22"/>
        </w:rPr>
        <w:t>2° Frais d'exploitation immobilière</w:t>
      </w:r>
    </w:p>
    <w:p w14:paraId="4985077A" w14:textId="77777777" w:rsidR="005A73D5" w:rsidRPr="004F4CF5" w:rsidRDefault="005A73D5" w:rsidP="00171E45">
      <w:pPr>
        <w:pStyle w:val="AMFTEXTECOURANT"/>
        <w:rPr>
          <w:rFonts w:ascii="Arial" w:hAnsi="Arial"/>
          <w:sz w:val="22"/>
        </w:rPr>
      </w:pPr>
    </w:p>
    <w:p w14:paraId="0F7C9FC0" w14:textId="77777777" w:rsidR="00A664D9" w:rsidRPr="004F4CF5" w:rsidRDefault="00A664D9" w:rsidP="00171E45">
      <w:pPr>
        <w:pStyle w:val="AMFTEXTECOURANT"/>
        <w:rPr>
          <w:rFonts w:ascii="Arial" w:hAnsi="Arial"/>
          <w:sz w:val="22"/>
        </w:rPr>
      </w:pPr>
      <w:r w:rsidRPr="004F4CF5">
        <w:rPr>
          <w:rFonts w:ascii="Arial" w:hAnsi="Arial"/>
          <w:sz w:val="22"/>
        </w:rPr>
        <w:t xml:space="preserve">Ces frais recouvrent l'intégralité des frais et charges liés à la gestion du patrimoine immobilier, en particulier ceux liés aux travaux, fonction de la stratégie de l'OPCI et des conditions de marché. L'OPCI supporte essentiellement les frais mentionnés ci-dessous, dans la mesure où ils ne sont pas refacturés aux locataires et qu'ils ne sont pas immobilisables dans la comptabilité de l'OPCI : </w:t>
      </w:r>
    </w:p>
    <w:p w14:paraId="3B0946B7" w14:textId="77777777" w:rsidR="00E27254" w:rsidRPr="004F4CF5" w:rsidRDefault="00E27254" w:rsidP="00171E45">
      <w:pPr>
        <w:pStyle w:val="AMFTEXTECOURANT"/>
        <w:rPr>
          <w:rFonts w:ascii="Arial" w:hAnsi="Arial"/>
          <w:sz w:val="22"/>
        </w:rPr>
      </w:pPr>
    </w:p>
    <w:p w14:paraId="6DEABCA2" w14:textId="77777777" w:rsidR="00A664D9" w:rsidRPr="004F4CF5" w:rsidRDefault="00A664D9" w:rsidP="00504E87">
      <w:pPr>
        <w:pStyle w:val="AMFTEXTECOURANT"/>
        <w:rPr>
          <w:rFonts w:ascii="Arial" w:hAnsi="Arial"/>
          <w:sz w:val="22"/>
        </w:rPr>
      </w:pPr>
      <w:r w:rsidRPr="004F4CF5">
        <w:rPr>
          <w:rFonts w:ascii="Arial" w:hAnsi="Arial"/>
          <w:sz w:val="22"/>
        </w:rPr>
        <w:t>-</w:t>
      </w:r>
      <w:r w:rsidRPr="004F4CF5">
        <w:rPr>
          <w:rFonts w:ascii="Arial" w:hAnsi="Arial"/>
          <w:sz w:val="22"/>
        </w:rPr>
        <w:tab/>
        <w:t xml:space="preserve">L'ensemble des charges des actifs immobiliers, notamment les loyers des baux à construction, de baux emphytéotiques ou autres, les impôts, taxes et redevances afférents aux actifs immobiliers non refacturés aux occupants, en ce compris notamment la taxe foncière, les taxes ou redevances sur les bureaux et locaux commerciaux, les fournitures d'éclairage, d'eau, de chauffage, de climatisation, de ventilation, et généralement toute consommation d'énergie et de fluides quels qu'ils soient, les primes d'assurances et commissions de courtage y afférentes, les frais du personnel affecté au gardiennage, à la sécurité, les honoraires d'administration de biens et de « property » management, l'ensemble des dépenses, frais et charges liés à la détention des parts et actions de sociétés immobilières ; </w:t>
      </w:r>
    </w:p>
    <w:p w14:paraId="6153911B" w14:textId="77777777" w:rsidR="00E27254" w:rsidRPr="004F4CF5" w:rsidRDefault="00E27254" w:rsidP="00504E87">
      <w:pPr>
        <w:pStyle w:val="AMFTEXTECOURANT"/>
        <w:rPr>
          <w:rFonts w:ascii="Arial" w:hAnsi="Arial"/>
          <w:sz w:val="22"/>
        </w:rPr>
      </w:pPr>
    </w:p>
    <w:p w14:paraId="5DF29532" w14:textId="77777777" w:rsidR="00A664D9" w:rsidRPr="004F4CF5" w:rsidRDefault="00A664D9" w:rsidP="00504E87">
      <w:pPr>
        <w:pStyle w:val="AMFTEXTECOURANT"/>
        <w:rPr>
          <w:rFonts w:ascii="Arial" w:hAnsi="Arial"/>
          <w:sz w:val="22"/>
        </w:rPr>
      </w:pPr>
      <w:r w:rsidRPr="004F4CF5">
        <w:rPr>
          <w:rFonts w:ascii="Arial" w:hAnsi="Arial"/>
          <w:sz w:val="22"/>
        </w:rPr>
        <w:t>-</w:t>
      </w:r>
      <w:r w:rsidRPr="004F4CF5">
        <w:rPr>
          <w:rFonts w:ascii="Arial" w:hAnsi="Arial"/>
          <w:sz w:val="22"/>
        </w:rPr>
        <w:tab/>
        <w:t xml:space="preserve">L'ensemble des frais liés à la commercialisation locative, notamment les frais et commissions de location et de recherche de locataires et les frais et honoraires de gestion y afférents ; </w:t>
      </w:r>
    </w:p>
    <w:p w14:paraId="3E527794" w14:textId="77777777" w:rsidR="00E27254" w:rsidRPr="004F4CF5" w:rsidRDefault="00E27254" w:rsidP="00504E87">
      <w:pPr>
        <w:pStyle w:val="AMFTEXTECOURANT"/>
        <w:rPr>
          <w:rFonts w:ascii="Arial" w:hAnsi="Arial"/>
          <w:sz w:val="22"/>
        </w:rPr>
      </w:pPr>
    </w:p>
    <w:p w14:paraId="7CC24F7D" w14:textId="77777777" w:rsidR="00A664D9" w:rsidRPr="004F4CF5" w:rsidRDefault="00A664D9" w:rsidP="00504E87">
      <w:pPr>
        <w:pStyle w:val="AMFTEXTECOURANT"/>
        <w:rPr>
          <w:rFonts w:ascii="Arial" w:hAnsi="Arial"/>
          <w:sz w:val="22"/>
        </w:rPr>
      </w:pPr>
      <w:r w:rsidRPr="004F4CF5">
        <w:rPr>
          <w:rFonts w:ascii="Arial" w:hAnsi="Arial"/>
          <w:sz w:val="22"/>
        </w:rPr>
        <w:t>-</w:t>
      </w:r>
      <w:r w:rsidRPr="004F4CF5">
        <w:rPr>
          <w:rFonts w:ascii="Arial" w:hAnsi="Arial"/>
          <w:sz w:val="22"/>
        </w:rPr>
        <w:tab/>
        <w:t xml:space="preserve">L'ensemble des dépenses d'aménagement, d'entretien, de nettoyage, de maintenance, de réparation, de remplacement et de mise en conformité à effectuer sur les immeubles et leurs équipements, en ce compris les honoraires techniques et juridiques y afférents (architectes, bureaux d'études, maîtrise d'ouvrage déléguée, notaires, avocats et évaluateurs, etc.) ainsi que les impôts, taxes et redevances y afférents ; </w:t>
      </w:r>
    </w:p>
    <w:p w14:paraId="45706FBD" w14:textId="77777777" w:rsidR="00E27254" w:rsidRPr="004F4CF5" w:rsidRDefault="00E27254" w:rsidP="00504E87">
      <w:pPr>
        <w:pStyle w:val="AMFTEXTECOURANT"/>
        <w:rPr>
          <w:rFonts w:ascii="Arial" w:hAnsi="Arial"/>
          <w:sz w:val="22"/>
        </w:rPr>
      </w:pPr>
    </w:p>
    <w:p w14:paraId="057B6CEC" w14:textId="77777777" w:rsidR="00A664D9" w:rsidRPr="004F4CF5" w:rsidRDefault="00A664D9" w:rsidP="00504E87">
      <w:pPr>
        <w:pStyle w:val="AMFTEXTECOURANT"/>
        <w:rPr>
          <w:rFonts w:ascii="Arial" w:hAnsi="Arial"/>
          <w:sz w:val="22"/>
        </w:rPr>
      </w:pPr>
      <w:r w:rsidRPr="004F4CF5">
        <w:rPr>
          <w:rFonts w:ascii="Arial" w:hAnsi="Arial"/>
          <w:sz w:val="22"/>
        </w:rPr>
        <w:t>-</w:t>
      </w:r>
      <w:r w:rsidRPr="004F4CF5">
        <w:rPr>
          <w:rFonts w:ascii="Arial" w:hAnsi="Arial"/>
          <w:sz w:val="22"/>
        </w:rPr>
        <w:tab/>
        <w:t xml:space="preserve">Les honoraires de conseils divers, notamment liés à la gestion des contentieux ou autres entrants dans le cadre de l'activité de l'OPCI, dès lors que ces honoraires ne se rapportent pas à des contentieux découlant d'un manquement contractuel ou d'une méconnaissance des obligations légales ou réglementaires de la société de gestion </w:t>
      </w:r>
      <w:r w:rsidR="003D745A" w:rsidRPr="004F4CF5">
        <w:rPr>
          <w:rFonts w:ascii="Arial" w:hAnsi="Arial"/>
          <w:sz w:val="22"/>
        </w:rPr>
        <w:t>d’OPCI</w:t>
      </w:r>
      <w:r w:rsidRPr="004F4CF5">
        <w:rPr>
          <w:rFonts w:ascii="Arial" w:hAnsi="Arial"/>
          <w:sz w:val="22"/>
        </w:rPr>
        <w:t xml:space="preserve">. </w:t>
      </w:r>
    </w:p>
    <w:p w14:paraId="6B0E433E" w14:textId="77777777" w:rsidR="005A73D5" w:rsidRPr="004F4CF5" w:rsidRDefault="005A73D5" w:rsidP="00504E87">
      <w:pPr>
        <w:pStyle w:val="AMFTEXTECOURANT"/>
        <w:rPr>
          <w:rFonts w:ascii="Arial" w:hAnsi="Arial"/>
          <w:sz w:val="22"/>
        </w:rPr>
      </w:pPr>
    </w:p>
    <w:p w14:paraId="1D36937E" w14:textId="77777777" w:rsidR="00A664D9" w:rsidRPr="004F4CF5" w:rsidRDefault="00A664D9" w:rsidP="00171E45">
      <w:pPr>
        <w:pStyle w:val="AMFTEXTECOURANT"/>
        <w:rPr>
          <w:rFonts w:ascii="Arial" w:hAnsi="Arial"/>
          <w:sz w:val="22"/>
        </w:rPr>
      </w:pPr>
      <w:r w:rsidRPr="004F4CF5">
        <w:rPr>
          <w:rFonts w:ascii="Arial" w:hAnsi="Arial"/>
          <w:sz w:val="22"/>
        </w:rPr>
        <w:t>3°Frais et commissions liés aux opérations de transactions immobilières et financières</w:t>
      </w:r>
    </w:p>
    <w:p w14:paraId="51C506E3" w14:textId="77777777" w:rsidR="005A73D5" w:rsidRPr="004F4CF5" w:rsidRDefault="005A73D5" w:rsidP="00171E45">
      <w:pPr>
        <w:pStyle w:val="AMFTEXTECOURANT"/>
        <w:rPr>
          <w:rFonts w:ascii="Arial" w:hAnsi="Arial"/>
          <w:sz w:val="22"/>
        </w:rPr>
      </w:pPr>
    </w:p>
    <w:p w14:paraId="0EA62290" w14:textId="77777777" w:rsidR="00A664D9" w:rsidRPr="004F4CF5" w:rsidRDefault="00A664D9" w:rsidP="00171E45">
      <w:pPr>
        <w:pStyle w:val="AMFTEXTECOURANT"/>
        <w:rPr>
          <w:rFonts w:ascii="Arial" w:hAnsi="Arial"/>
          <w:sz w:val="22"/>
        </w:rPr>
      </w:pPr>
      <w:r w:rsidRPr="004F4CF5">
        <w:rPr>
          <w:rFonts w:ascii="Arial" w:hAnsi="Arial"/>
          <w:sz w:val="22"/>
        </w:rPr>
        <w:t>3.1 Frais liés aux opérations sur actifs immobiliers hors commissions de mouvement liées aux opérations d'investissement et d'arbitrage sur actifs immobiliers</w:t>
      </w:r>
      <w:r w:rsidR="00E27254" w:rsidRPr="004F4CF5">
        <w:rPr>
          <w:rFonts w:ascii="Arial" w:hAnsi="Arial"/>
          <w:sz w:val="22"/>
        </w:rPr>
        <w:t>.</w:t>
      </w:r>
    </w:p>
    <w:p w14:paraId="1688979A" w14:textId="77777777" w:rsidR="00E27254" w:rsidRPr="004F4CF5" w:rsidRDefault="00E27254" w:rsidP="00171E45">
      <w:pPr>
        <w:pStyle w:val="AMFTEXTECOURANT"/>
        <w:rPr>
          <w:rFonts w:ascii="Arial" w:hAnsi="Arial"/>
          <w:sz w:val="22"/>
        </w:rPr>
      </w:pPr>
    </w:p>
    <w:p w14:paraId="112CA5A5" w14:textId="77777777" w:rsidR="00A664D9" w:rsidRPr="004F4CF5" w:rsidRDefault="00A664D9" w:rsidP="00171E45">
      <w:pPr>
        <w:pStyle w:val="AMFTEXTECOURANT"/>
        <w:rPr>
          <w:rFonts w:ascii="Arial" w:hAnsi="Arial"/>
          <w:sz w:val="22"/>
        </w:rPr>
      </w:pPr>
      <w:r w:rsidRPr="004F4CF5">
        <w:rPr>
          <w:rFonts w:ascii="Arial" w:hAnsi="Arial"/>
          <w:sz w:val="22"/>
        </w:rPr>
        <w:t xml:space="preserve">Les frais suivants liés aux opérations de transactions immobilières viennent en supplément des commissions de mouvement : </w:t>
      </w:r>
    </w:p>
    <w:p w14:paraId="78DB7558" w14:textId="77777777" w:rsidR="00E27254" w:rsidRPr="004F4CF5" w:rsidRDefault="00E27254" w:rsidP="00171E45">
      <w:pPr>
        <w:pStyle w:val="AMFTEXTECOURANT"/>
        <w:rPr>
          <w:rFonts w:ascii="Arial" w:hAnsi="Arial"/>
          <w:sz w:val="22"/>
        </w:rPr>
      </w:pPr>
    </w:p>
    <w:p w14:paraId="163198F9" w14:textId="554B1F72" w:rsidR="00A664D9" w:rsidRPr="004F4CF5" w:rsidRDefault="00A664D9" w:rsidP="00504E87">
      <w:pPr>
        <w:pStyle w:val="AMFTEXTECOURANT"/>
        <w:rPr>
          <w:rFonts w:ascii="Arial" w:hAnsi="Arial"/>
          <w:sz w:val="22"/>
        </w:rPr>
      </w:pPr>
      <w:r w:rsidRPr="004F4CF5">
        <w:rPr>
          <w:rFonts w:ascii="Arial" w:hAnsi="Arial"/>
          <w:sz w:val="22"/>
        </w:rPr>
        <w:t>-</w:t>
      </w:r>
      <w:r w:rsidRPr="004F4CF5">
        <w:rPr>
          <w:rFonts w:ascii="Arial" w:hAnsi="Arial"/>
          <w:sz w:val="22"/>
        </w:rPr>
        <w:tab/>
        <w:t xml:space="preserve">L'ensemble des frais afférents aux acquisitions et ventes d'actifs immobiliers, notamment les frais d'acquisition et de cession de tous biens et droits immobiliers ou titres </w:t>
      </w:r>
      <w:r w:rsidRPr="004F4CF5">
        <w:rPr>
          <w:rFonts w:ascii="Arial" w:hAnsi="Arial"/>
          <w:sz w:val="22"/>
        </w:rPr>
        <w:lastRenderedPageBreak/>
        <w:t>de sociétés immobilières, les émoluments de notaire, les honoraires de conseil, les commissions d'agents</w:t>
      </w:r>
      <w:r w:rsidR="00E27254" w:rsidRPr="004F4CF5">
        <w:rPr>
          <w:rFonts w:ascii="Arial" w:hAnsi="Arial"/>
          <w:sz w:val="22"/>
        </w:rPr>
        <w:t> ;</w:t>
      </w:r>
    </w:p>
    <w:p w14:paraId="07C6406F" w14:textId="77777777" w:rsidR="00A664D9" w:rsidRPr="004F4CF5" w:rsidRDefault="00A664D9" w:rsidP="00504E87">
      <w:pPr>
        <w:pStyle w:val="AMFTEXTECOURANT"/>
        <w:rPr>
          <w:rFonts w:ascii="Arial" w:hAnsi="Arial"/>
          <w:sz w:val="22"/>
        </w:rPr>
      </w:pPr>
      <w:r w:rsidRPr="004F4CF5">
        <w:rPr>
          <w:rFonts w:ascii="Arial" w:hAnsi="Arial"/>
          <w:sz w:val="22"/>
        </w:rPr>
        <w:t>-</w:t>
      </w:r>
      <w:r w:rsidRPr="004F4CF5">
        <w:rPr>
          <w:rFonts w:ascii="Arial" w:hAnsi="Arial"/>
          <w:sz w:val="22"/>
        </w:rPr>
        <w:tab/>
        <w:t xml:space="preserve">Les frais d'actes, les impôts et taxes afférents aux actes, les frais d'audit, d'études techniques et d'évaluation des actifs, les frais d'audit techniques, juridiques et fiscaux, que lesdites opérations d'acquisition et de cession soient effectivement conclues ou qu'elles soient interrompues ou abandonnées pour quelque cause que ce soit ; </w:t>
      </w:r>
    </w:p>
    <w:p w14:paraId="5BA289BC" w14:textId="77777777" w:rsidR="00A664D9" w:rsidRPr="004F4CF5" w:rsidRDefault="00A664D9" w:rsidP="00504E87">
      <w:pPr>
        <w:pStyle w:val="AMFTEXTECOURANT"/>
        <w:rPr>
          <w:rFonts w:ascii="Arial" w:hAnsi="Arial"/>
          <w:sz w:val="22"/>
        </w:rPr>
      </w:pPr>
      <w:r w:rsidRPr="004F4CF5">
        <w:rPr>
          <w:rFonts w:ascii="Arial" w:hAnsi="Arial"/>
          <w:sz w:val="22"/>
        </w:rPr>
        <w:t>-</w:t>
      </w:r>
      <w:r w:rsidRPr="004F4CF5">
        <w:rPr>
          <w:rFonts w:ascii="Arial" w:hAnsi="Arial"/>
          <w:sz w:val="22"/>
        </w:rPr>
        <w:tab/>
        <w:t xml:space="preserve">L'ensemble des frais afférents à la construction des actifs immobiliers, notamment la rémunération des entreprises, des promoteurs, maîtres d'ouvrage délégués, maîtres d'œuvre, les honoraires techniques et juridiques (architectes, bureaux d'études, notaires, avocats et évaluateurs, etc.), ainsi que les impôts, taxes et redevances y afférents ; </w:t>
      </w:r>
    </w:p>
    <w:p w14:paraId="058ADFF8" w14:textId="77777777" w:rsidR="00A664D9" w:rsidRPr="004F4CF5" w:rsidRDefault="00A664D9" w:rsidP="00504E87">
      <w:pPr>
        <w:pStyle w:val="AMFTEXTECOURANT"/>
        <w:rPr>
          <w:rFonts w:ascii="Arial" w:hAnsi="Arial"/>
          <w:sz w:val="22"/>
        </w:rPr>
      </w:pPr>
      <w:r w:rsidRPr="004F4CF5">
        <w:rPr>
          <w:rFonts w:ascii="Arial" w:hAnsi="Arial"/>
          <w:sz w:val="22"/>
        </w:rPr>
        <w:t>-</w:t>
      </w:r>
      <w:r w:rsidRPr="004F4CF5">
        <w:rPr>
          <w:rFonts w:ascii="Arial" w:hAnsi="Arial"/>
          <w:sz w:val="22"/>
        </w:rPr>
        <w:tab/>
        <w:t xml:space="preserve">L'ensemble des frais afférents au financement des acquisitions ou des constructions des actifs immobiliers, que lesdites opérations d'acquisition ou de construction soient effectivement conclues ou qu'elles soient interrompues ou abandonnées pour quelque cause que ce soit, les commissions, intérêts, frais de couverture de taux et coûts des sûretés afférents aux financements et à leur remboursement. </w:t>
      </w:r>
    </w:p>
    <w:p w14:paraId="3BBEEB6F" w14:textId="77777777" w:rsidR="005A73D5" w:rsidRPr="004F4CF5" w:rsidRDefault="005A73D5" w:rsidP="00504E87">
      <w:pPr>
        <w:pStyle w:val="AMFTEXTECOURANT"/>
        <w:rPr>
          <w:rFonts w:ascii="Arial" w:hAnsi="Arial"/>
          <w:sz w:val="22"/>
        </w:rPr>
      </w:pPr>
    </w:p>
    <w:p w14:paraId="265ADFF6" w14:textId="77777777" w:rsidR="00A664D9" w:rsidRPr="004F4CF5" w:rsidRDefault="00A664D9" w:rsidP="00171E45">
      <w:pPr>
        <w:pStyle w:val="AMFTEXTECOURANT"/>
        <w:rPr>
          <w:rFonts w:ascii="Arial" w:hAnsi="Arial"/>
          <w:sz w:val="22"/>
        </w:rPr>
      </w:pPr>
      <w:r w:rsidRPr="004F4CF5">
        <w:rPr>
          <w:rFonts w:ascii="Arial" w:hAnsi="Arial"/>
          <w:sz w:val="22"/>
        </w:rPr>
        <w:t>3.2 Commissions de mouvement liées aux opérations d'investissement et d'arbitrage sur actifs immobiliers</w:t>
      </w:r>
    </w:p>
    <w:p w14:paraId="074EA3A8" w14:textId="77777777" w:rsidR="005A73D5" w:rsidRPr="004F4CF5" w:rsidRDefault="005A73D5" w:rsidP="00171E45">
      <w:pPr>
        <w:pStyle w:val="AMFTEXTECOURANT"/>
        <w:rPr>
          <w:rFonts w:ascii="Arial" w:hAnsi="Arial"/>
          <w:sz w:val="22"/>
        </w:rPr>
      </w:pPr>
    </w:p>
    <w:p w14:paraId="6EE91BDA" w14:textId="77777777" w:rsidR="00A664D9" w:rsidRPr="004F4CF5" w:rsidRDefault="00A664D9" w:rsidP="00171E45">
      <w:pPr>
        <w:pStyle w:val="AMFTEXTECOURANT"/>
        <w:rPr>
          <w:rFonts w:ascii="Arial" w:hAnsi="Arial"/>
          <w:sz w:val="22"/>
        </w:rPr>
      </w:pPr>
      <w:r w:rsidRPr="004F4CF5">
        <w:rPr>
          <w:rFonts w:ascii="Arial" w:hAnsi="Arial"/>
          <w:sz w:val="22"/>
        </w:rPr>
        <w:t xml:space="preserve">Les commissions de mouvement d'investissement et d'arbitrage couvrent l'ensemble des diligences réalisées par la société de gestion </w:t>
      </w:r>
      <w:r w:rsidR="003D745A" w:rsidRPr="004F4CF5">
        <w:rPr>
          <w:rFonts w:ascii="Arial" w:hAnsi="Arial"/>
          <w:sz w:val="22"/>
        </w:rPr>
        <w:t>d’OPCI</w:t>
      </w:r>
      <w:r w:rsidRPr="004F4CF5">
        <w:rPr>
          <w:rFonts w:ascii="Arial" w:hAnsi="Arial"/>
          <w:sz w:val="22"/>
        </w:rPr>
        <w:t>.</w:t>
      </w:r>
    </w:p>
    <w:p w14:paraId="7FDE6065" w14:textId="77777777" w:rsidR="00E27254" w:rsidRPr="004F4CF5" w:rsidRDefault="00E27254" w:rsidP="00171E45">
      <w:pPr>
        <w:pStyle w:val="AMFTEXTECOURANT"/>
        <w:rPr>
          <w:rFonts w:ascii="Arial" w:hAnsi="Arial"/>
          <w:sz w:val="22"/>
        </w:rPr>
      </w:pPr>
    </w:p>
    <w:p w14:paraId="1124F99B" w14:textId="77777777" w:rsidR="00A664D9" w:rsidRPr="004F4CF5" w:rsidRDefault="00A664D9" w:rsidP="00171E45">
      <w:pPr>
        <w:pStyle w:val="AMFTEXTECOURANT"/>
        <w:rPr>
          <w:rFonts w:ascii="Arial" w:hAnsi="Arial"/>
          <w:sz w:val="22"/>
        </w:rPr>
      </w:pPr>
      <w:r w:rsidRPr="004F4CF5">
        <w:rPr>
          <w:rFonts w:ascii="Arial" w:hAnsi="Arial"/>
          <w:sz w:val="22"/>
        </w:rPr>
        <w:t xml:space="preserve">Le barème de ces commissions devant figurer dans le </w:t>
      </w:r>
      <w:r w:rsidR="003D745A" w:rsidRPr="004F4CF5">
        <w:rPr>
          <w:rFonts w:ascii="Arial" w:hAnsi="Arial"/>
          <w:sz w:val="22"/>
        </w:rPr>
        <w:t>document d’information</w:t>
      </w:r>
      <w:r w:rsidRPr="004F4CF5">
        <w:rPr>
          <w:rFonts w:ascii="Arial" w:hAnsi="Arial"/>
          <w:sz w:val="22"/>
        </w:rPr>
        <w:t xml:space="preserve"> devra préciser notamment :</w:t>
      </w:r>
    </w:p>
    <w:p w14:paraId="52886CF9" w14:textId="77777777" w:rsidR="00E27254" w:rsidRPr="004F4CF5" w:rsidRDefault="00E27254" w:rsidP="00171E45">
      <w:pPr>
        <w:pStyle w:val="AMFTEXTECOURANT"/>
        <w:rPr>
          <w:rFonts w:ascii="Arial" w:hAnsi="Arial"/>
          <w:sz w:val="22"/>
        </w:rPr>
      </w:pPr>
    </w:p>
    <w:p w14:paraId="56C9791A" w14:textId="77777777" w:rsidR="00A664D9" w:rsidRPr="004F4CF5" w:rsidRDefault="00A664D9" w:rsidP="00171E45">
      <w:pPr>
        <w:pStyle w:val="AMFTEXTECOURANT"/>
        <w:rPr>
          <w:rFonts w:ascii="Arial" w:hAnsi="Arial"/>
          <w:sz w:val="22"/>
        </w:rPr>
      </w:pPr>
      <w:r w:rsidRPr="004F4CF5">
        <w:rPr>
          <w:rFonts w:ascii="Arial" w:hAnsi="Arial"/>
          <w:sz w:val="22"/>
        </w:rPr>
        <w:t>-</w:t>
      </w:r>
      <w:r w:rsidRPr="004F4CF5">
        <w:rPr>
          <w:rFonts w:ascii="Arial" w:hAnsi="Arial"/>
          <w:sz w:val="22"/>
        </w:rPr>
        <w:tab/>
        <w:t>Les assiettes retenues sur :</w:t>
      </w:r>
    </w:p>
    <w:p w14:paraId="0A37C2D3" w14:textId="77777777" w:rsidR="00A664D9" w:rsidRPr="004F4CF5" w:rsidRDefault="00A664D9" w:rsidP="00504E87">
      <w:pPr>
        <w:pStyle w:val="AMFTEXTECOURANT"/>
        <w:numPr>
          <w:ilvl w:val="0"/>
          <w:numId w:val="17"/>
        </w:numPr>
        <w:rPr>
          <w:rFonts w:ascii="Arial" w:hAnsi="Arial"/>
          <w:sz w:val="22"/>
        </w:rPr>
      </w:pPr>
      <w:r w:rsidRPr="004F4CF5">
        <w:rPr>
          <w:rFonts w:ascii="Arial" w:hAnsi="Arial"/>
          <w:sz w:val="22"/>
        </w:rPr>
        <w:t>les acquisitions ;</w:t>
      </w:r>
    </w:p>
    <w:p w14:paraId="1839CD1B" w14:textId="77777777" w:rsidR="00A664D9" w:rsidRPr="004F4CF5" w:rsidRDefault="00A664D9" w:rsidP="00504E87">
      <w:pPr>
        <w:pStyle w:val="AMFTEXTECOURANT"/>
        <w:numPr>
          <w:ilvl w:val="0"/>
          <w:numId w:val="17"/>
        </w:numPr>
        <w:rPr>
          <w:rFonts w:ascii="Arial" w:hAnsi="Arial"/>
          <w:sz w:val="22"/>
        </w:rPr>
      </w:pPr>
      <w:r w:rsidRPr="004F4CF5">
        <w:rPr>
          <w:rFonts w:ascii="Arial" w:hAnsi="Arial"/>
          <w:sz w:val="22"/>
        </w:rPr>
        <w:t>les cessions ;</w:t>
      </w:r>
    </w:p>
    <w:p w14:paraId="7C7E3DFA" w14:textId="77777777" w:rsidR="00A664D9" w:rsidRPr="004F4CF5" w:rsidRDefault="00A664D9" w:rsidP="00504E87">
      <w:pPr>
        <w:pStyle w:val="AMFTEXTECOURANT"/>
        <w:numPr>
          <w:ilvl w:val="0"/>
          <w:numId w:val="17"/>
        </w:numPr>
        <w:rPr>
          <w:rFonts w:ascii="Arial" w:hAnsi="Arial"/>
          <w:sz w:val="22"/>
        </w:rPr>
      </w:pPr>
      <w:r w:rsidRPr="004F4CF5">
        <w:rPr>
          <w:rFonts w:ascii="Arial" w:hAnsi="Arial"/>
          <w:sz w:val="22"/>
        </w:rPr>
        <w:t>les autres opérations ;</w:t>
      </w:r>
    </w:p>
    <w:p w14:paraId="121C905E" w14:textId="77777777" w:rsidR="00E27254" w:rsidRPr="004F4CF5" w:rsidRDefault="00E27254" w:rsidP="00504E87">
      <w:pPr>
        <w:pStyle w:val="AMFTEXTECOURANT"/>
        <w:rPr>
          <w:rFonts w:ascii="Arial" w:hAnsi="Arial"/>
          <w:sz w:val="22"/>
        </w:rPr>
      </w:pPr>
    </w:p>
    <w:p w14:paraId="6CDB1307" w14:textId="77777777" w:rsidR="00A664D9" w:rsidRPr="004F4CF5" w:rsidRDefault="00A664D9" w:rsidP="00504E87">
      <w:pPr>
        <w:pStyle w:val="AMFTEXTECOURANT"/>
        <w:rPr>
          <w:rFonts w:ascii="Arial" w:hAnsi="Arial"/>
          <w:sz w:val="22"/>
        </w:rPr>
      </w:pPr>
      <w:r w:rsidRPr="004F4CF5">
        <w:rPr>
          <w:rFonts w:ascii="Arial" w:hAnsi="Arial"/>
          <w:sz w:val="22"/>
        </w:rPr>
        <w:t>-</w:t>
      </w:r>
      <w:r w:rsidRPr="004F4CF5">
        <w:rPr>
          <w:rFonts w:ascii="Arial" w:hAnsi="Arial"/>
          <w:sz w:val="22"/>
        </w:rPr>
        <w:tab/>
        <w:t>Les taux ou montants applicables à ces différentes assiettes (par mesure de simplification, les OPCI ont la possibilité de mentionner un taux maximum, pour l'ensemble des opérations) ;</w:t>
      </w:r>
    </w:p>
    <w:p w14:paraId="2B75EC2E" w14:textId="77777777" w:rsidR="00E27254" w:rsidRPr="004F4CF5" w:rsidRDefault="00E27254" w:rsidP="00504E87">
      <w:pPr>
        <w:pStyle w:val="AMFTEXTECOURANT"/>
        <w:rPr>
          <w:rFonts w:ascii="Arial" w:hAnsi="Arial"/>
          <w:sz w:val="22"/>
        </w:rPr>
      </w:pPr>
    </w:p>
    <w:p w14:paraId="65F26545" w14:textId="77777777" w:rsidR="00A664D9" w:rsidRPr="004F4CF5" w:rsidRDefault="00A664D9" w:rsidP="00171E45">
      <w:pPr>
        <w:pStyle w:val="AMFTEXTECOURANT"/>
        <w:rPr>
          <w:rFonts w:ascii="Arial" w:hAnsi="Arial"/>
          <w:sz w:val="22"/>
        </w:rPr>
      </w:pPr>
      <w:r w:rsidRPr="004F4CF5">
        <w:rPr>
          <w:rFonts w:ascii="Arial" w:hAnsi="Arial"/>
          <w:sz w:val="22"/>
        </w:rPr>
        <w:t>-</w:t>
      </w:r>
      <w:r w:rsidRPr="004F4CF5">
        <w:rPr>
          <w:rFonts w:ascii="Arial" w:hAnsi="Arial"/>
          <w:sz w:val="22"/>
        </w:rPr>
        <w:tab/>
        <w:t xml:space="preserve">Le montant prélevé par la société de gestion </w:t>
      </w:r>
      <w:r w:rsidR="003D745A" w:rsidRPr="004F4CF5">
        <w:rPr>
          <w:rFonts w:ascii="Arial" w:hAnsi="Arial"/>
          <w:sz w:val="22"/>
        </w:rPr>
        <w:t>d’OPCI</w:t>
      </w:r>
      <w:r w:rsidRPr="004F4CF5">
        <w:rPr>
          <w:rFonts w:ascii="Arial" w:hAnsi="Arial"/>
          <w:sz w:val="22"/>
        </w:rPr>
        <w:t>.</w:t>
      </w:r>
    </w:p>
    <w:p w14:paraId="1F23E9A0" w14:textId="77777777" w:rsidR="005A73D5" w:rsidRPr="004F4CF5" w:rsidRDefault="005A73D5" w:rsidP="00171E45">
      <w:pPr>
        <w:pStyle w:val="AMFTEXTECOURANT"/>
        <w:rPr>
          <w:rFonts w:ascii="Arial" w:hAnsi="Arial"/>
          <w:sz w:val="22"/>
        </w:rPr>
      </w:pPr>
    </w:p>
    <w:p w14:paraId="3FC665A2" w14:textId="77777777" w:rsidR="00A664D9" w:rsidRPr="004F4CF5" w:rsidRDefault="00A664D9" w:rsidP="00171E45">
      <w:pPr>
        <w:pStyle w:val="AMFTEXTECOURANT"/>
        <w:rPr>
          <w:rFonts w:ascii="Arial" w:hAnsi="Arial"/>
          <w:sz w:val="22"/>
        </w:rPr>
      </w:pPr>
      <w:r w:rsidRPr="004F4CF5">
        <w:rPr>
          <w:rFonts w:ascii="Arial" w:hAnsi="Arial"/>
          <w:sz w:val="22"/>
        </w:rPr>
        <w:t xml:space="preserve">3.3 Commissions de mouvement liées à l'investissement en instruments financiers </w:t>
      </w:r>
    </w:p>
    <w:p w14:paraId="3935CEC5" w14:textId="77777777" w:rsidR="005A73D5" w:rsidRPr="004F4CF5" w:rsidRDefault="005A73D5" w:rsidP="00171E45">
      <w:pPr>
        <w:pStyle w:val="AMFTEXTECOURANT"/>
        <w:rPr>
          <w:rFonts w:ascii="Arial" w:hAnsi="Arial"/>
          <w:sz w:val="22"/>
        </w:rPr>
      </w:pPr>
    </w:p>
    <w:p w14:paraId="604A2A04" w14:textId="77777777" w:rsidR="00A664D9" w:rsidRPr="004F4CF5" w:rsidRDefault="00A664D9" w:rsidP="00171E45">
      <w:pPr>
        <w:pStyle w:val="AMFTEXTECOURANT"/>
        <w:rPr>
          <w:rFonts w:ascii="Arial" w:hAnsi="Arial"/>
          <w:sz w:val="22"/>
        </w:rPr>
      </w:pPr>
      <w:r w:rsidRPr="004F4CF5">
        <w:rPr>
          <w:rFonts w:ascii="Arial" w:hAnsi="Arial"/>
          <w:sz w:val="22"/>
        </w:rPr>
        <w:t xml:space="preserve">Les frais de transaction sur instruments financiers incluent les frais d'intermédiation (courtage, impôt de bourse, ...) et la commission de mouvement, le cas échéant, qui peut être perçue sur chaque opération, notamment par le dépositaire et la société de gestion </w:t>
      </w:r>
      <w:r w:rsidR="003D745A" w:rsidRPr="004F4CF5">
        <w:rPr>
          <w:rFonts w:ascii="Arial" w:hAnsi="Arial"/>
          <w:sz w:val="22"/>
        </w:rPr>
        <w:t>d’OPCI</w:t>
      </w:r>
      <w:r w:rsidRPr="004F4CF5">
        <w:rPr>
          <w:rFonts w:ascii="Arial" w:hAnsi="Arial"/>
          <w:sz w:val="22"/>
        </w:rPr>
        <w:t xml:space="preserve">. </w:t>
      </w:r>
    </w:p>
    <w:p w14:paraId="183ABC1D" w14:textId="77777777" w:rsidR="00E27254" w:rsidRPr="004F4CF5" w:rsidRDefault="00E27254" w:rsidP="00171E45">
      <w:pPr>
        <w:pStyle w:val="AMFTEXTECOURANT"/>
        <w:rPr>
          <w:rFonts w:ascii="Arial" w:hAnsi="Arial"/>
          <w:sz w:val="22"/>
        </w:rPr>
      </w:pPr>
    </w:p>
    <w:p w14:paraId="204F6427" w14:textId="77777777" w:rsidR="00A664D9" w:rsidRPr="004F4CF5" w:rsidRDefault="00A664D9" w:rsidP="00171E45">
      <w:pPr>
        <w:pStyle w:val="AMFTEXTECOURANT"/>
        <w:rPr>
          <w:rFonts w:ascii="Arial" w:hAnsi="Arial"/>
          <w:sz w:val="22"/>
        </w:rPr>
      </w:pPr>
      <w:r w:rsidRPr="004F4CF5">
        <w:rPr>
          <w:rFonts w:ascii="Arial" w:hAnsi="Arial"/>
          <w:sz w:val="22"/>
        </w:rPr>
        <w:t xml:space="preserve">Le barème de ces commissions devant figurer dans le </w:t>
      </w:r>
      <w:r w:rsidR="001666C5" w:rsidRPr="004F4CF5">
        <w:rPr>
          <w:rFonts w:ascii="Arial" w:hAnsi="Arial"/>
          <w:sz w:val="22"/>
        </w:rPr>
        <w:t>document d’information</w:t>
      </w:r>
      <w:r w:rsidRPr="004F4CF5">
        <w:rPr>
          <w:rFonts w:ascii="Arial" w:hAnsi="Arial"/>
          <w:sz w:val="22"/>
        </w:rPr>
        <w:t xml:space="preserve"> devra préciser notamment :</w:t>
      </w:r>
    </w:p>
    <w:p w14:paraId="20C1E7D0" w14:textId="77777777" w:rsidR="00A664D9" w:rsidRPr="004F4CF5" w:rsidRDefault="00A664D9" w:rsidP="00171E45">
      <w:pPr>
        <w:pStyle w:val="AMFTEXTECOURANT"/>
        <w:rPr>
          <w:rFonts w:ascii="Arial" w:hAnsi="Arial"/>
          <w:sz w:val="22"/>
        </w:rPr>
      </w:pPr>
      <w:r w:rsidRPr="004F4CF5">
        <w:rPr>
          <w:rFonts w:ascii="Arial" w:hAnsi="Arial"/>
          <w:sz w:val="22"/>
        </w:rPr>
        <w:t>-</w:t>
      </w:r>
      <w:r w:rsidRPr="004F4CF5">
        <w:rPr>
          <w:rFonts w:ascii="Arial" w:hAnsi="Arial"/>
          <w:sz w:val="22"/>
        </w:rPr>
        <w:tab/>
        <w:t>Les assiettes retenues sur :</w:t>
      </w:r>
    </w:p>
    <w:p w14:paraId="49E6E084" w14:textId="77777777" w:rsidR="00A664D9" w:rsidRPr="004F4CF5" w:rsidRDefault="00A664D9" w:rsidP="00504E87">
      <w:pPr>
        <w:pStyle w:val="AMFTEXTECOURANT"/>
        <w:numPr>
          <w:ilvl w:val="0"/>
          <w:numId w:val="17"/>
        </w:numPr>
        <w:rPr>
          <w:rFonts w:ascii="Arial" w:hAnsi="Arial"/>
          <w:sz w:val="22"/>
        </w:rPr>
      </w:pPr>
      <w:r w:rsidRPr="004F4CF5">
        <w:rPr>
          <w:rFonts w:ascii="Arial" w:hAnsi="Arial"/>
          <w:sz w:val="22"/>
        </w:rPr>
        <w:t>les transactions ;</w:t>
      </w:r>
    </w:p>
    <w:p w14:paraId="39400C82" w14:textId="77777777" w:rsidR="00A664D9" w:rsidRPr="004F4CF5" w:rsidRDefault="00A664D9" w:rsidP="00504E87">
      <w:pPr>
        <w:pStyle w:val="AMFTEXTECOURANT"/>
        <w:numPr>
          <w:ilvl w:val="0"/>
          <w:numId w:val="17"/>
        </w:numPr>
        <w:rPr>
          <w:rFonts w:ascii="Arial" w:hAnsi="Arial"/>
          <w:sz w:val="22"/>
        </w:rPr>
      </w:pPr>
      <w:r w:rsidRPr="004F4CF5">
        <w:rPr>
          <w:rFonts w:ascii="Arial" w:hAnsi="Arial"/>
          <w:sz w:val="22"/>
        </w:rPr>
        <w:t>les opérations sur titres ;</w:t>
      </w:r>
    </w:p>
    <w:p w14:paraId="692CA7EC" w14:textId="77777777" w:rsidR="00A664D9" w:rsidRPr="004F4CF5" w:rsidRDefault="00A664D9" w:rsidP="00504E87">
      <w:pPr>
        <w:pStyle w:val="AMFTEXTECOURANT"/>
        <w:numPr>
          <w:ilvl w:val="0"/>
          <w:numId w:val="17"/>
        </w:numPr>
        <w:rPr>
          <w:rFonts w:ascii="Arial" w:hAnsi="Arial"/>
          <w:sz w:val="22"/>
        </w:rPr>
      </w:pPr>
      <w:r w:rsidRPr="004F4CF5">
        <w:rPr>
          <w:rFonts w:ascii="Arial" w:hAnsi="Arial"/>
          <w:sz w:val="22"/>
        </w:rPr>
        <w:t>les autres opérations ;</w:t>
      </w:r>
    </w:p>
    <w:p w14:paraId="7132FA9F" w14:textId="77777777" w:rsidR="00E27254" w:rsidRPr="004F4CF5" w:rsidRDefault="00E27254" w:rsidP="00504E87">
      <w:pPr>
        <w:pStyle w:val="AMFTEXTECOURANT"/>
        <w:rPr>
          <w:rFonts w:ascii="Arial" w:hAnsi="Arial"/>
          <w:sz w:val="22"/>
        </w:rPr>
      </w:pPr>
    </w:p>
    <w:p w14:paraId="4BC5A98F" w14:textId="77777777" w:rsidR="00A664D9" w:rsidRPr="004F4CF5" w:rsidRDefault="00A664D9" w:rsidP="00504E87">
      <w:pPr>
        <w:pStyle w:val="AMFTEXTECOURANT"/>
        <w:rPr>
          <w:rFonts w:ascii="Arial" w:hAnsi="Arial"/>
          <w:sz w:val="22"/>
        </w:rPr>
      </w:pPr>
      <w:r w:rsidRPr="004F4CF5">
        <w:rPr>
          <w:rFonts w:ascii="Arial" w:hAnsi="Arial"/>
          <w:sz w:val="22"/>
        </w:rPr>
        <w:t>-</w:t>
      </w:r>
      <w:r w:rsidRPr="004F4CF5">
        <w:rPr>
          <w:rFonts w:ascii="Arial" w:hAnsi="Arial"/>
          <w:sz w:val="22"/>
        </w:rPr>
        <w:tab/>
        <w:t>Les taux ou montants applicables à ces différentes assiettes (par mesure de simplification, les OPCI ont la possibilité de mentionner un taux maximum, pour l'ensemble des instruments) ;</w:t>
      </w:r>
    </w:p>
    <w:p w14:paraId="7906C044" w14:textId="77777777" w:rsidR="00E27254" w:rsidRPr="004F4CF5" w:rsidRDefault="00E27254" w:rsidP="00504E87">
      <w:pPr>
        <w:pStyle w:val="AMFTEXTECOURANT"/>
        <w:rPr>
          <w:rFonts w:ascii="Arial" w:hAnsi="Arial"/>
          <w:sz w:val="22"/>
        </w:rPr>
      </w:pPr>
    </w:p>
    <w:p w14:paraId="130AF16F" w14:textId="77777777" w:rsidR="00A664D9" w:rsidRPr="004F4CF5" w:rsidRDefault="00A664D9" w:rsidP="00504E87">
      <w:pPr>
        <w:pStyle w:val="AMFTEXTECOURANT"/>
        <w:rPr>
          <w:rFonts w:ascii="Arial" w:hAnsi="Arial"/>
          <w:sz w:val="22"/>
        </w:rPr>
      </w:pPr>
      <w:r w:rsidRPr="004F4CF5">
        <w:rPr>
          <w:rFonts w:ascii="Arial" w:hAnsi="Arial"/>
          <w:sz w:val="22"/>
        </w:rPr>
        <w:t>-</w:t>
      </w:r>
      <w:r w:rsidRPr="004F4CF5">
        <w:rPr>
          <w:rFonts w:ascii="Arial" w:hAnsi="Arial"/>
          <w:sz w:val="22"/>
        </w:rPr>
        <w:tab/>
        <w:t>Les clés de répartition entre les différents acteurs.</w:t>
      </w:r>
    </w:p>
    <w:p w14:paraId="25DCE533" w14:textId="77777777" w:rsidR="00E27254" w:rsidRPr="004F4CF5" w:rsidRDefault="00E27254" w:rsidP="00504E87">
      <w:pPr>
        <w:pStyle w:val="AMFTEXTECOURANT"/>
        <w:rPr>
          <w:rFonts w:ascii="Arial" w:hAnsi="Arial"/>
          <w:sz w:val="22"/>
        </w:rPr>
      </w:pPr>
    </w:p>
    <w:p w14:paraId="2651A002" w14:textId="77777777" w:rsidR="00A664D9" w:rsidRPr="004F4CF5" w:rsidRDefault="00A664D9" w:rsidP="00171E45">
      <w:pPr>
        <w:pStyle w:val="AMFTEXTECOURANT"/>
        <w:rPr>
          <w:rFonts w:ascii="Arial" w:hAnsi="Arial"/>
          <w:sz w:val="22"/>
        </w:rPr>
      </w:pPr>
      <w:r w:rsidRPr="004F4CF5">
        <w:rPr>
          <w:rFonts w:ascii="Arial" w:hAnsi="Arial"/>
          <w:sz w:val="22"/>
        </w:rPr>
        <w:t>Dans la mesure où de façon exceptionnelle un sous-conservateur, pour une opération particulière, serait amené à prélever des frais de transaction non prévus dans les modalités ci-dessus, la description de l'opération et de ces frais facturés doit être renseignée dans le rapport de gestion de l'OPCI.</w:t>
      </w:r>
    </w:p>
    <w:p w14:paraId="24743556" w14:textId="77777777" w:rsidR="005A73D5" w:rsidRPr="004F4CF5" w:rsidRDefault="005A73D5" w:rsidP="00171E45">
      <w:pPr>
        <w:pStyle w:val="AMFTEXTECOURANT"/>
        <w:rPr>
          <w:rFonts w:ascii="Arial" w:hAnsi="Arial"/>
          <w:sz w:val="22"/>
        </w:rPr>
      </w:pPr>
    </w:p>
    <w:p w14:paraId="192ED818" w14:textId="77777777" w:rsidR="00A664D9" w:rsidRPr="004F4CF5" w:rsidRDefault="00A664D9" w:rsidP="00171E45">
      <w:pPr>
        <w:pStyle w:val="AMFTEXTECOURANT"/>
        <w:rPr>
          <w:rFonts w:ascii="Arial" w:hAnsi="Arial"/>
          <w:sz w:val="22"/>
        </w:rPr>
      </w:pPr>
      <w:r w:rsidRPr="004F4CF5">
        <w:rPr>
          <w:rFonts w:ascii="Arial" w:hAnsi="Arial"/>
          <w:sz w:val="22"/>
        </w:rPr>
        <w:t>4 - Frais indirects</w:t>
      </w:r>
    </w:p>
    <w:p w14:paraId="3524DEDF" w14:textId="77777777" w:rsidR="005A73D5" w:rsidRPr="004F4CF5" w:rsidRDefault="005A73D5" w:rsidP="00171E45">
      <w:pPr>
        <w:pStyle w:val="AMFTEXTECOURANT"/>
        <w:rPr>
          <w:rFonts w:ascii="Arial" w:hAnsi="Arial"/>
          <w:sz w:val="22"/>
        </w:rPr>
      </w:pPr>
    </w:p>
    <w:p w14:paraId="6286D5CB" w14:textId="77777777" w:rsidR="00A664D9" w:rsidRPr="004F4CF5" w:rsidRDefault="00A664D9" w:rsidP="00171E45">
      <w:pPr>
        <w:pStyle w:val="AMFTEXTECOURANT"/>
        <w:rPr>
          <w:rFonts w:ascii="Arial" w:hAnsi="Arial"/>
          <w:sz w:val="22"/>
        </w:rPr>
      </w:pPr>
      <w:r w:rsidRPr="004F4CF5">
        <w:rPr>
          <w:rFonts w:ascii="Arial" w:hAnsi="Arial"/>
          <w:sz w:val="22"/>
        </w:rPr>
        <w:t>Les frais indirects comprennent les frais supportés par l'OPCI relatifs aux investissements immobiliers et financiers réalisés indirectement.</w:t>
      </w:r>
    </w:p>
    <w:p w14:paraId="69C4C335" w14:textId="77777777" w:rsidR="004327EF" w:rsidRPr="004F4CF5" w:rsidRDefault="004327EF" w:rsidP="00171E45">
      <w:pPr>
        <w:pStyle w:val="AMFTEXTECOURANT"/>
        <w:rPr>
          <w:rFonts w:ascii="Arial" w:hAnsi="Arial"/>
          <w:sz w:val="22"/>
        </w:rPr>
      </w:pPr>
    </w:p>
    <w:p w14:paraId="3C81A8C3" w14:textId="77777777" w:rsidR="00A664D9" w:rsidRPr="004F4CF5" w:rsidRDefault="00A664D9" w:rsidP="00171E45">
      <w:pPr>
        <w:pStyle w:val="AMFTEXTECOURANT"/>
        <w:rPr>
          <w:rFonts w:ascii="Arial" w:hAnsi="Arial"/>
          <w:sz w:val="22"/>
        </w:rPr>
      </w:pPr>
      <w:r w:rsidRPr="004F4CF5">
        <w:rPr>
          <w:rFonts w:ascii="Arial" w:hAnsi="Arial"/>
          <w:sz w:val="22"/>
        </w:rPr>
        <w:t>Ils doivent être inclus dans les taux mentionnés aux rubriques précédentes à partir du moment où l'OPCI prévoit d'investir plus de 20 % de son actif indirectement dans des sous-jacents immobiliers et/ou financiers.</w:t>
      </w:r>
    </w:p>
    <w:p w14:paraId="553418E1" w14:textId="77777777" w:rsidR="005A73D5" w:rsidRPr="004F4CF5" w:rsidRDefault="005A73D5" w:rsidP="00171E45">
      <w:pPr>
        <w:pStyle w:val="AMFTEXTECOURANT"/>
        <w:rPr>
          <w:rFonts w:ascii="Arial" w:hAnsi="Arial"/>
          <w:sz w:val="22"/>
        </w:rPr>
      </w:pPr>
    </w:p>
    <w:p w14:paraId="4AAB59FC" w14:textId="77777777" w:rsidR="00A664D9" w:rsidRPr="004F4CF5" w:rsidRDefault="00A664D9" w:rsidP="00171E45">
      <w:pPr>
        <w:pStyle w:val="AMFTEXTECOURANT"/>
        <w:rPr>
          <w:rFonts w:ascii="Arial" w:hAnsi="Arial"/>
          <w:sz w:val="22"/>
        </w:rPr>
      </w:pPr>
      <w:r w:rsidRPr="004F4CF5">
        <w:rPr>
          <w:rFonts w:ascii="Arial" w:hAnsi="Arial"/>
          <w:sz w:val="22"/>
        </w:rPr>
        <w:t>5 – Commission de surperformance</w:t>
      </w:r>
    </w:p>
    <w:p w14:paraId="2AA8081E" w14:textId="77777777" w:rsidR="005A73D5" w:rsidRPr="004F4CF5" w:rsidRDefault="005A73D5" w:rsidP="00171E45">
      <w:pPr>
        <w:pStyle w:val="AMFTEXTECOURANT"/>
        <w:rPr>
          <w:rFonts w:ascii="Arial" w:hAnsi="Arial"/>
          <w:sz w:val="22"/>
        </w:rPr>
      </w:pPr>
    </w:p>
    <w:p w14:paraId="0B4C2C23" w14:textId="3E02456F" w:rsidR="00A664D9" w:rsidRPr="004F4CF5" w:rsidRDefault="00A664D9" w:rsidP="00171E45">
      <w:pPr>
        <w:pStyle w:val="AMFTEXTECOURANT"/>
        <w:rPr>
          <w:rFonts w:ascii="Arial" w:hAnsi="Arial"/>
          <w:sz w:val="22"/>
        </w:rPr>
      </w:pPr>
      <w:r w:rsidRPr="004F4CF5">
        <w:rPr>
          <w:rFonts w:ascii="Arial" w:hAnsi="Arial"/>
          <w:sz w:val="22"/>
        </w:rPr>
        <w:t xml:space="preserve">Celle-ci rémunère la société de gestion </w:t>
      </w:r>
      <w:r w:rsidR="0065620E" w:rsidRPr="004F4CF5">
        <w:rPr>
          <w:rFonts w:ascii="Arial" w:hAnsi="Arial"/>
          <w:sz w:val="22"/>
        </w:rPr>
        <w:t>d’OPCI</w:t>
      </w:r>
      <w:r w:rsidRPr="004F4CF5">
        <w:rPr>
          <w:rFonts w:ascii="Arial" w:hAnsi="Arial"/>
          <w:sz w:val="22"/>
        </w:rPr>
        <w:t xml:space="preserve"> dès lors que l'OPCI a dépassé ses objectifs. Elle est facturée à l'OPCI.</w:t>
      </w:r>
    </w:p>
    <w:p w14:paraId="0445E7E7" w14:textId="77777777" w:rsidR="005A73D5" w:rsidRPr="004F4CF5" w:rsidRDefault="005A73D5" w:rsidP="00171E45">
      <w:pPr>
        <w:pStyle w:val="AMFTEXTECOURANT"/>
        <w:rPr>
          <w:rFonts w:ascii="Arial" w:hAnsi="Arial"/>
          <w:sz w:val="22"/>
        </w:rPr>
      </w:pPr>
    </w:p>
    <w:p w14:paraId="41C5803A" w14:textId="77777777" w:rsidR="00A664D9" w:rsidRPr="004F4CF5" w:rsidRDefault="00A664D9" w:rsidP="00171E45">
      <w:pPr>
        <w:pStyle w:val="AMFTEXTECOURANT"/>
        <w:rPr>
          <w:rFonts w:ascii="Arial" w:hAnsi="Arial"/>
          <w:sz w:val="22"/>
        </w:rPr>
      </w:pPr>
      <w:r w:rsidRPr="004F4CF5">
        <w:rPr>
          <w:rFonts w:ascii="Arial" w:hAnsi="Arial"/>
          <w:sz w:val="22"/>
        </w:rPr>
        <w:t xml:space="preserve">Pour toute information complémentaire, l'actionnaire/porteur de parts pourra également se reporter au rapport annuel de l'OPCI. </w:t>
      </w:r>
    </w:p>
    <w:p w14:paraId="50D50E0E" w14:textId="77777777" w:rsidR="005A73D5" w:rsidRPr="004F4CF5" w:rsidRDefault="005A73D5" w:rsidP="00171E45">
      <w:pPr>
        <w:pStyle w:val="AMFTEXTECOURANT"/>
        <w:rPr>
          <w:rFonts w:ascii="Arial" w:hAnsi="Arial"/>
          <w:sz w:val="22"/>
        </w:rPr>
      </w:pPr>
    </w:p>
    <w:p w14:paraId="188918E3" w14:textId="2EF7DAC9" w:rsidR="00A664D9" w:rsidRPr="004F4CF5" w:rsidRDefault="00C46E59" w:rsidP="00171E45">
      <w:pPr>
        <w:pStyle w:val="AMFTEXTECOURANT"/>
        <w:rPr>
          <w:rFonts w:ascii="Arial" w:hAnsi="Arial"/>
          <w:sz w:val="22"/>
        </w:rPr>
      </w:pPr>
      <w:r w:rsidRPr="004F4CF5">
        <w:rPr>
          <w:rFonts w:ascii="Arial" w:hAnsi="Arial"/>
          <w:sz w:val="22"/>
        </w:rPr>
        <w:t>« </w:t>
      </w:r>
      <w:r w:rsidR="00A664D9" w:rsidRPr="004F4CF5">
        <w:rPr>
          <w:rFonts w:ascii="Arial" w:hAnsi="Arial"/>
          <w:sz w:val="22"/>
        </w:rPr>
        <w:t>L'attention de l'investisseur est appelée sur le fait que hormis les frais de fonctionnement et de gestion, les autres frais sont susceptibles de varier d'une année sur l'autre</w:t>
      </w:r>
      <w:r w:rsidRPr="004F4CF5">
        <w:rPr>
          <w:rFonts w:ascii="Arial" w:hAnsi="Arial"/>
          <w:sz w:val="22"/>
        </w:rPr>
        <w:t> »</w:t>
      </w:r>
      <w:r w:rsidR="00A664D9" w:rsidRPr="004F4CF5">
        <w:rPr>
          <w:rFonts w:ascii="Arial" w:hAnsi="Arial"/>
          <w:sz w:val="22"/>
        </w:rPr>
        <w:t>.</w:t>
      </w:r>
    </w:p>
    <w:p w14:paraId="5E8C8239" w14:textId="77777777" w:rsidR="00A664D9" w:rsidRPr="004F4CF5" w:rsidRDefault="00A664D9" w:rsidP="00A664D9">
      <w:pPr>
        <w:pStyle w:val="AMFIntertitreframboise"/>
        <w:numPr>
          <w:ilvl w:val="0"/>
          <w:numId w:val="0"/>
        </w:numPr>
        <w:rPr>
          <w:rFonts w:ascii="Arial" w:hAnsi="Arial" w:cs="Arial"/>
          <w:color w:val="1967B0"/>
          <w:sz w:val="22"/>
          <w:szCs w:val="22"/>
        </w:rPr>
      </w:pPr>
      <w:r w:rsidRPr="004F4CF5">
        <w:rPr>
          <w:rFonts w:ascii="Arial" w:hAnsi="Arial" w:cs="Arial"/>
          <w:color w:val="auto"/>
          <w:sz w:val="22"/>
          <w:szCs w:val="22"/>
        </w:rPr>
        <w:t>VI - Organe de gouvernance</w:t>
      </w:r>
    </w:p>
    <w:p w14:paraId="4F6CA2AB" w14:textId="77777777" w:rsidR="00A664D9" w:rsidRPr="004F4CF5" w:rsidRDefault="00A664D9" w:rsidP="00171E45">
      <w:pPr>
        <w:pStyle w:val="AMFTEXTECOURANT"/>
        <w:rPr>
          <w:rFonts w:ascii="Arial" w:hAnsi="Arial"/>
          <w:sz w:val="22"/>
        </w:rPr>
      </w:pPr>
      <w:r w:rsidRPr="004F4CF5">
        <w:rPr>
          <w:rFonts w:ascii="Arial" w:hAnsi="Arial"/>
          <w:sz w:val="22"/>
        </w:rPr>
        <w:t xml:space="preserve">Cette rubrique expose toute information utile concernant : </w:t>
      </w:r>
    </w:p>
    <w:p w14:paraId="15A94B6C" w14:textId="77777777" w:rsidR="00A664D9" w:rsidRPr="004F4CF5" w:rsidRDefault="00A664D9" w:rsidP="00504E87">
      <w:pPr>
        <w:pStyle w:val="AMFTEXTECOURANT"/>
        <w:rPr>
          <w:rFonts w:ascii="Arial" w:hAnsi="Arial"/>
          <w:sz w:val="22"/>
        </w:rPr>
      </w:pPr>
      <w:r w:rsidRPr="004F4CF5">
        <w:rPr>
          <w:rFonts w:ascii="Arial" w:hAnsi="Arial"/>
          <w:sz w:val="22"/>
        </w:rPr>
        <w:t>-</w:t>
      </w:r>
      <w:r w:rsidRPr="004F4CF5">
        <w:rPr>
          <w:rFonts w:ascii="Arial" w:hAnsi="Arial"/>
          <w:sz w:val="22"/>
        </w:rPr>
        <w:tab/>
        <w:t>Le fonctionnement, notamment les missions de l’organe de gouvernance, les modalités de convocation de cet organe (quorum, constat de carence) ;</w:t>
      </w:r>
    </w:p>
    <w:p w14:paraId="1ABF24C9" w14:textId="77777777" w:rsidR="00A664D9" w:rsidRPr="004F4CF5" w:rsidRDefault="00A664D9" w:rsidP="00171E45">
      <w:pPr>
        <w:pStyle w:val="AMFTEXTECOURANT"/>
        <w:rPr>
          <w:rFonts w:ascii="Arial" w:hAnsi="Arial"/>
          <w:sz w:val="22"/>
        </w:rPr>
      </w:pPr>
      <w:r w:rsidRPr="004F4CF5">
        <w:rPr>
          <w:rFonts w:ascii="Arial" w:hAnsi="Arial"/>
          <w:sz w:val="22"/>
        </w:rPr>
        <w:t>-</w:t>
      </w:r>
      <w:r w:rsidRPr="004F4CF5">
        <w:rPr>
          <w:rFonts w:ascii="Arial" w:hAnsi="Arial"/>
          <w:sz w:val="22"/>
        </w:rPr>
        <w:tab/>
        <w:t>Les modalités de désignation de ses membres ;</w:t>
      </w:r>
    </w:p>
    <w:p w14:paraId="6FE426C9" w14:textId="30B0C14A" w:rsidR="007F0F9D" w:rsidRPr="004F4CF5" w:rsidRDefault="00A664D9" w:rsidP="00171E45">
      <w:pPr>
        <w:pStyle w:val="AMFTEXTECOURANT"/>
        <w:rPr>
          <w:rFonts w:ascii="Arial" w:hAnsi="Arial"/>
          <w:sz w:val="22"/>
        </w:rPr>
      </w:pPr>
      <w:r w:rsidRPr="004F4CF5">
        <w:rPr>
          <w:rFonts w:ascii="Arial" w:hAnsi="Arial"/>
          <w:sz w:val="22"/>
        </w:rPr>
        <w:t>-</w:t>
      </w:r>
      <w:r w:rsidRPr="004F4CF5">
        <w:rPr>
          <w:rFonts w:ascii="Arial" w:hAnsi="Arial"/>
          <w:sz w:val="22"/>
        </w:rPr>
        <w:tab/>
        <w:t>Les moyens d’obtention de l’identité de ces membres et les moyens de les contacter</w:t>
      </w:r>
    </w:p>
    <w:p w14:paraId="4FDA584A" w14:textId="64FD9904" w:rsidR="00A664D9" w:rsidRPr="004F4CF5" w:rsidRDefault="00A664D9" w:rsidP="00171E45">
      <w:pPr>
        <w:pStyle w:val="AMFTEXTECOURANT"/>
        <w:rPr>
          <w:rFonts w:ascii="Arial" w:hAnsi="Arial"/>
          <w:sz w:val="22"/>
        </w:rPr>
      </w:pPr>
      <w:r w:rsidRPr="004F4CF5">
        <w:rPr>
          <w:rFonts w:ascii="Arial" w:hAnsi="Arial"/>
          <w:sz w:val="22"/>
        </w:rPr>
        <w:t>Mention des principales activités exercées par ces personnes en dehors de la société lorsqu’elles sont significatives par rapport à celle-ci.</w:t>
      </w:r>
    </w:p>
    <w:p w14:paraId="0679EC79" w14:textId="77777777" w:rsidR="00A664D9" w:rsidRPr="004F4CF5" w:rsidRDefault="00A664D9" w:rsidP="00A664D9">
      <w:pPr>
        <w:pStyle w:val="AMFIntertitreframboise"/>
        <w:numPr>
          <w:ilvl w:val="0"/>
          <w:numId w:val="0"/>
        </w:numPr>
        <w:rPr>
          <w:rFonts w:ascii="Arial" w:hAnsi="Arial" w:cs="Arial"/>
          <w:bCs/>
          <w:sz w:val="22"/>
          <w:szCs w:val="22"/>
        </w:rPr>
      </w:pPr>
      <w:r w:rsidRPr="004F4CF5">
        <w:rPr>
          <w:rFonts w:ascii="Arial" w:hAnsi="Arial" w:cs="Arial"/>
          <w:color w:val="auto"/>
          <w:sz w:val="22"/>
          <w:szCs w:val="22"/>
        </w:rPr>
        <w:t>VII - Évaluation - Comptabilisation</w:t>
      </w:r>
    </w:p>
    <w:p w14:paraId="0E718C6A" w14:textId="77777777" w:rsidR="00A664D9" w:rsidRPr="004F4CF5" w:rsidRDefault="00A664D9" w:rsidP="00171E45">
      <w:pPr>
        <w:pStyle w:val="AMFTEXTECOURANT"/>
        <w:rPr>
          <w:rFonts w:ascii="Arial" w:hAnsi="Arial"/>
          <w:sz w:val="22"/>
        </w:rPr>
      </w:pPr>
      <w:r w:rsidRPr="004F4CF5">
        <w:rPr>
          <w:rFonts w:ascii="Arial" w:hAnsi="Arial"/>
          <w:sz w:val="22"/>
        </w:rPr>
        <w:t>Cette rubrique décrit les règles d’évaluation des actifs de l'OPCI telles qu’elles sont appliquées pour le calcul de la valeur liquidative ainsi que les options retenues pour la comptabilisation ou l’évaluation de certains actifs.</w:t>
      </w:r>
    </w:p>
    <w:p w14:paraId="352489A9" w14:textId="77777777" w:rsidR="00A664D9" w:rsidRPr="004F4CF5" w:rsidRDefault="00A664D9" w:rsidP="00171E45">
      <w:pPr>
        <w:pStyle w:val="AMFTEXTECOURANT"/>
        <w:rPr>
          <w:rFonts w:ascii="Arial" w:hAnsi="Arial"/>
          <w:sz w:val="22"/>
        </w:rPr>
      </w:pPr>
      <w:r w:rsidRPr="004F4CF5">
        <w:rPr>
          <w:rFonts w:ascii="Arial" w:hAnsi="Arial"/>
          <w:sz w:val="22"/>
        </w:rPr>
        <w:t xml:space="preserve">Les règles d'évaluation de l'actif reposent sur des méthodes d'évaluation et sur des modalités pratiques qui sont précisées dans l'annexe aux comptes annuels et dans le </w:t>
      </w:r>
      <w:r w:rsidR="001666C5" w:rsidRPr="004F4CF5">
        <w:rPr>
          <w:rFonts w:ascii="Arial" w:hAnsi="Arial"/>
          <w:sz w:val="22"/>
        </w:rPr>
        <w:t>document d’information</w:t>
      </w:r>
      <w:r w:rsidRPr="004F4CF5">
        <w:rPr>
          <w:rFonts w:ascii="Arial" w:hAnsi="Arial"/>
          <w:sz w:val="22"/>
        </w:rPr>
        <w:t>.</w:t>
      </w:r>
    </w:p>
    <w:p w14:paraId="55C1F95A" w14:textId="77777777" w:rsidR="005A73D5" w:rsidRPr="004F4CF5" w:rsidRDefault="005A73D5" w:rsidP="00171E45">
      <w:pPr>
        <w:pStyle w:val="AMFTEXTECOURANT"/>
        <w:rPr>
          <w:rFonts w:ascii="Arial" w:hAnsi="Arial"/>
          <w:sz w:val="22"/>
        </w:rPr>
      </w:pPr>
    </w:p>
    <w:p w14:paraId="0D87CD30" w14:textId="77777777" w:rsidR="00A664D9" w:rsidRPr="004F4CF5" w:rsidRDefault="00A664D9" w:rsidP="00171E45">
      <w:pPr>
        <w:pStyle w:val="AMFTEXTECOURANT"/>
        <w:rPr>
          <w:rFonts w:ascii="Arial" w:hAnsi="Arial"/>
          <w:sz w:val="22"/>
        </w:rPr>
      </w:pPr>
      <w:r w:rsidRPr="004F4CF5">
        <w:rPr>
          <w:rFonts w:ascii="Arial" w:hAnsi="Arial"/>
          <w:sz w:val="22"/>
        </w:rPr>
        <w:t xml:space="preserve">1° Les règles d'évaluation sont fixées, sous sa responsabilité, par la société de gestion </w:t>
      </w:r>
      <w:r w:rsidR="0065620E" w:rsidRPr="004F4CF5">
        <w:rPr>
          <w:rFonts w:ascii="Arial" w:hAnsi="Arial"/>
          <w:sz w:val="22"/>
        </w:rPr>
        <w:t>d’OPCI</w:t>
      </w:r>
      <w:r w:rsidRPr="004F4CF5">
        <w:rPr>
          <w:rFonts w:ascii="Arial" w:hAnsi="Arial"/>
          <w:sz w:val="22"/>
        </w:rPr>
        <w:t xml:space="preserve">. </w:t>
      </w:r>
    </w:p>
    <w:p w14:paraId="2DD75599" w14:textId="77777777" w:rsidR="005A73D5" w:rsidRPr="004F4CF5" w:rsidRDefault="005A73D5" w:rsidP="00171E45">
      <w:pPr>
        <w:pStyle w:val="AMFTEXTECOURANT"/>
        <w:rPr>
          <w:rFonts w:ascii="Arial" w:hAnsi="Arial"/>
          <w:sz w:val="22"/>
        </w:rPr>
      </w:pPr>
    </w:p>
    <w:p w14:paraId="38FB9A09" w14:textId="77777777" w:rsidR="00A664D9" w:rsidRPr="004F4CF5" w:rsidRDefault="00A664D9" w:rsidP="00171E45">
      <w:pPr>
        <w:pStyle w:val="AMFTEXTECOURANT"/>
        <w:rPr>
          <w:rFonts w:ascii="Arial" w:hAnsi="Arial"/>
          <w:sz w:val="22"/>
        </w:rPr>
      </w:pPr>
      <w:r w:rsidRPr="004F4CF5">
        <w:rPr>
          <w:rFonts w:ascii="Arial" w:hAnsi="Arial"/>
          <w:sz w:val="22"/>
        </w:rPr>
        <w:t xml:space="preserve">Le </w:t>
      </w:r>
      <w:r w:rsidR="001666C5" w:rsidRPr="004F4CF5">
        <w:rPr>
          <w:rFonts w:ascii="Arial" w:hAnsi="Arial"/>
          <w:sz w:val="22"/>
        </w:rPr>
        <w:t>document d’information</w:t>
      </w:r>
      <w:r w:rsidRPr="004F4CF5">
        <w:rPr>
          <w:rFonts w:ascii="Arial" w:hAnsi="Arial"/>
          <w:sz w:val="22"/>
        </w:rPr>
        <w:t xml:space="preserve"> précise les méthodes d'évaluation de chaque nature d'instruments financiers, dépôts ou valeurs, y compris les méthodes employées pour les actifs difficiles à évaluer, et les modalités pratiques de valorisation de ceux-ci. Les méthodes d'évaluation fixent les principes généraux de valorisation par référence à une négociation sur un marché ou par référence aux méthodes spécifiques prévues notamment par le plan comptable OPCI. Ces principes permettent de définir les modalités pratiques de valorisation. Par « modalités pratiques », il faut entendre pour chaque information </w:t>
      </w:r>
      <w:r w:rsidRPr="004F4CF5">
        <w:rPr>
          <w:rFonts w:ascii="Arial" w:hAnsi="Arial"/>
          <w:sz w:val="22"/>
        </w:rPr>
        <w:lastRenderedPageBreak/>
        <w:t>nécessaire à la valorisation, la source des informations nécessaires à la valorisation et, le cas échéant, l’heure de récupération. Ces modalités pratiques doivent permettre de s’assurer que les valeurs liquidatives sont calculées de manière identique à chaque valeur liquidative.</w:t>
      </w:r>
    </w:p>
    <w:p w14:paraId="275121BD" w14:textId="77777777" w:rsidR="00A664D9" w:rsidRPr="004F4CF5" w:rsidRDefault="00A664D9" w:rsidP="00171E45">
      <w:pPr>
        <w:pStyle w:val="AMFTEXTECOURANT"/>
        <w:rPr>
          <w:rFonts w:ascii="Arial" w:hAnsi="Arial"/>
          <w:sz w:val="22"/>
        </w:rPr>
      </w:pPr>
      <w:r w:rsidRPr="004F4CF5">
        <w:rPr>
          <w:rFonts w:ascii="Arial" w:hAnsi="Arial"/>
          <w:sz w:val="22"/>
        </w:rPr>
        <w:t xml:space="preserve">Le </w:t>
      </w:r>
      <w:r w:rsidR="0065620E" w:rsidRPr="004F4CF5">
        <w:rPr>
          <w:rFonts w:ascii="Arial" w:hAnsi="Arial"/>
          <w:sz w:val="22"/>
        </w:rPr>
        <w:t>document d’information</w:t>
      </w:r>
      <w:r w:rsidRPr="004F4CF5">
        <w:rPr>
          <w:rFonts w:ascii="Arial" w:hAnsi="Arial"/>
          <w:sz w:val="22"/>
        </w:rPr>
        <w:t xml:space="preserve"> prévoit également des modalités pratiques alternatives en cas, notamment, d'indisponibilité des données financières nécessaires à l'évaluation ainsi qu'une information du commissaire aux comptes de l'OPCI en cas de mise en œuvre.</w:t>
      </w:r>
    </w:p>
    <w:p w14:paraId="6E881AA9" w14:textId="77777777" w:rsidR="005A73D5" w:rsidRPr="004F4CF5" w:rsidRDefault="005A73D5" w:rsidP="00171E45">
      <w:pPr>
        <w:pStyle w:val="AMFTEXTECOURANT"/>
        <w:rPr>
          <w:rFonts w:ascii="Arial" w:hAnsi="Arial"/>
          <w:sz w:val="22"/>
        </w:rPr>
      </w:pPr>
    </w:p>
    <w:p w14:paraId="7673BEC6" w14:textId="0C6C93B0" w:rsidR="00A664D9" w:rsidRPr="004F4CF5" w:rsidRDefault="00A664D9" w:rsidP="00171E45">
      <w:pPr>
        <w:pStyle w:val="AMFTEXTECOURANT"/>
        <w:rPr>
          <w:rFonts w:ascii="Arial" w:hAnsi="Arial"/>
          <w:sz w:val="22"/>
        </w:rPr>
      </w:pPr>
      <w:r w:rsidRPr="004F4CF5">
        <w:rPr>
          <w:rFonts w:ascii="Arial" w:hAnsi="Arial"/>
          <w:sz w:val="22"/>
        </w:rPr>
        <w:t xml:space="preserve">2° La méthode de comptabilisation : le mode de comptabilisation retenu pour l'enregistrement des revenus des instruments financiers (coupon couru ou coupon encaissé, prise en compte des intérêts du </w:t>
      </w:r>
      <w:r w:rsidR="00504E87" w:rsidRPr="004F4CF5">
        <w:rPr>
          <w:rFonts w:ascii="Arial" w:hAnsi="Arial"/>
          <w:i/>
          <w:sz w:val="22"/>
        </w:rPr>
        <w:t>weekend</w:t>
      </w:r>
      <w:r w:rsidRPr="004F4CF5">
        <w:rPr>
          <w:rFonts w:ascii="Arial" w:hAnsi="Arial"/>
          <w:i/>
          <w:sz w:val="22"/>
        </w:rPr>
        <w:t xml:space="preserve"> end</w:t>
      </w:r>
      <w:r w:rsidRPr="004F4CF5">
        <w:rPr>
          <w:rFonts w:ascii="Arial" w:hAnsi="Arial"/>
          <w:sz w:val="22"/>
        </w:rPr>
        <w:t>,</w:t>
      </w:r>
      <w:r w:rsidRPr="004F4CF5">
        <w:rPr>
          <w:rFonts w:ascii="Arial" w:hAnsi="Arial"/>
          <w:i/>
          <w:sz w:val="22"/>
        </w:rPr>
        <w:t xml:space="preserve"> </w:t>
      </w:r>
      <w:r w:rsidRPr="004F4CF5">
        <w:rPr>
          <w:rFonts w:ascii="Arial" w:hAnsi="Arial"/>
          <w:sz w:val="22"/>
        </w:rPr>
        <w:t>…) et des frais de transaction (frais inclus ou frais exclus, le cas échéant, par nature d’instruments et actifs immobiliers) doit être précisé.</w:t>
      </w:r>
    </w:p>
    <w:p w14:paraId="516ABC06" w14:textId="77777777" w:rsidR="005A73D5" w:rsidRPr="004F4CF5" w:rsidRDefault="005A73D5" w:rsidP="00171E45">
      <w:pPr>
        <w:pStyle w:val="AMFTEXTECOURANT"/>
        <w:rPr>
          <w:rFonts w:ascii="Arial" w:hAnsi="Arial"/>
          <w:sz w:val="22"/>
        </w:rPr>
      </w:pPr>
    </w:p>
    <w:p w14:paraId="06BC0308" w14:textId="77777777" w:rsidR="0065620E" w:rsidRPr="004F4CF5" w:rsidRDefault="00A664D9" w:rsidP="00171E45">
      <w:pPr>
        <w:pStyle w:val="AMFTEXTECOURANT"/>
        <w:rPr>
          <w:rFonts w:ascii="Arial" w:hAnsi="Arial"/>
          <w:sz w:val="22"/>
        </w:rPr>
      </w:pPr>
      <w:r w:rsidRPr="004F4CF5">
        <w:rPr>
          <w:rFonts w:ascii="Arial" w:hAnsi="Arial"/>
          <w:sz w:val="22"/>
        </w:rPr>
        <w:t xml:space="preserve">3° Mention de la méthode de calcul du ratio du risque global </w:t>
      </w:r>
    </w:p>
    <w:p w14:paraId="75CCFD01" w14:textId="77777777" w:rsidR="00A664D9" w:rsidRPr="004F4CF5" w:rsidRDefault="00A664D9" w:rsidP="00171E45">
      <w:pPr>
        <w:pStyle w:val="AMFTEXTECOURANT"/>
        <w:rPr>
          <w:rFonts w:ascii="Arial" w:hAnsi="Arial"/>
          <w:sz w:val="22"/>
        </w:rPr>
      </w:pPr>
      <w:r w:rsidRPr="004F4CF5">
        <w:rPr>
          <w:rFonts w:ascii="Arial" w:hAnsi="Arial"/>
          <w:sz w:val="22"/>
        </w:rPr>
        <w:t xml:space="preserve"> </w:t>
      </w:r>
    </w:p>
    <w:p w14:paraId="54130AEB" w14:textId="77777777" w:rsidR="00A664D9" w:rsidRPr="004F4CF5" w:rsidRDefault="00A664D9" w:rsidP="00171E45">
      <w:pPr>
        <w:pStyle w:val="AMFTEXTECOURANT"/>
        <w:rPr>
          <w:rFonts w:ascii="Arial" w:hAnsi="Arial"/>
          <w:sz w:val="22"/>
        </w:rPr>
      </w:pPr>
      <w:r w:rsidRPr="004F4CF5">
        <w:rPr>
          <w:rFonts w:ascii="Arial" w:hAnsi="Arial"/>
          <w:sz w:val="22"/>
        </w:rPr>
        <w:t xml:space="preserve">Le </w:t>
      </w:r>
      <w:r w:rsidR="0065620E" w:rsidRPr="004F4CF5">
        <w:rPr>
          <w:rFonts w:ascii="Arial" w:hAnsi="Arial"/>
          <w:sz w:val="22"/>
        </w:rPr>
        <w:t xml:space="preserve">document d’information </w:t>
      </w:r>
      <w:r w:rsidRPr="004F4CF5">
        <w:rPr>
          <w:rFonts w:ascii="Arial" w:hAnsi="Arial"/>
          <w:sz w:val="22"/>
        </w:rPr>
        <w:t>décrit la méthode d’évaluation des garanties et sa justification et mentionne l’utilisation ou non d’une évaluation au prix du marché (</w:t>
      </w:r>
      <w:r w:rsidRPr="004F4CF5">
        <w:rPr>
          <w:rFonts w:ascii="Arial" w:hAnsi="Arial"/>
          <w:i/>
          <w:sz w:val="22"/>
        </w:rPr>
        <w:t>mark-to-market</w:t>
      </w:r>
      <w:r w:rsidRPr="004F4CF5">
        <w:rPr>
          <w:rFonts w:ascii="Arial" w:hAnsi="Arial"/>
          <w:sz w:val="22"/>
        </w:rPr>
        <w:t>) quotidienne et de marges de variation quotidiennes.</w:t>
      </w:r>
    </w:p>
    <w:p w14:paraId="7996C770" w14:textId="77777777" w:rsidR="00A664D9" w:rsidRPr="004F4CF5" w:rsidRDefault="00A664D9" w:rsidP="00A664D9">
      <w:pPr>
        <w:pStyle w:val="AMFIntertitreframboise"/>
        <w:numPr>
          <w:ilvl w:val="0"/>
          <w:numId w:val="0"/>
        </w:numPr>
        <w:rPr>
          <w:rFonts w:ascii="Arial" w:hAnsi="Arial" w:cs="Arial"/>
          <w:bCs/>
          <w:sz w:val="22"/>
          <w:szCs w:val="22"/>
        </w:rPr>
      </w:pPr>
      <w:r w:rsidRPr="004F4CF5">
        <w:rPr>
          <w:rFonts w:ascii="Arial" w:hAnsi="Arial" w:cs="Arial"/>
          <w:color w:val="auto"/>
          <w:sz w:val="22"/>
          <w:szCs w:val="22"/>
        </w:rPr>
        <w:t>VIII - Régime fiscal</w:t>
      </w:r>
    </w:p>
    <w:p w14:paraId="286E0D5F" w14:textId="62AE35BE" w:rsidR="00A664D9" w:rsidRPr="004F4CF5" w:rsidRDefault="00A664D9" w:rsidP="00171E45">
      <w:pPr>
        <w:pStyle w:val="AMFTEXTECOURANT"/>
        <w:rPr>
          <w:rFonts w:ascii="Arial" w:hAnsi="Arial"/>
          <w:sz w:val="22"/>
        </w:rPr>
      </w:pPr>
      <w:r w:rsidRPr="004F4CF5">
        <w:rPr>
          <w:rFonts w:ascii="Arial" w:hAnsi="Arial"/>
          <w:sz w:val="22"/>
        </w:rPr>
        <w:t>Cette rubrique décrit le régime fiscal auquel est soumis l’OPCI.</w:t>
      </w:r>
    </w:p>
    <w:p w14:paraId="2103CEC1" w14:textId="77777777" w:rsidR="005A73D5" w:rsidRPr="004F4CF5" w:rsidRDefault="005A73D5" w:rsidP="00171E45">
      <w:pPr>
        <w:pStyle w:val="AMFTEXTECOURANT"/>
        <w:rPr>
          <w:rFonts w:ascii="Arial" w:hAnsi="Arial"/>
          <w:sz w:val="22"/>
        </w:rPr>
      </w:pPr>
    </w:p>
    <w:p w14:paraId="2A1F8267" w14:textId="38AE04A8" w:rsidR="00A664D9" w:rsidRPr="004F4CF5" w:rsidRDefault="00171E45" w:rsidP="00171E45">
      <w:pPr>
        <w:pStyle w:val="AMFTEXTECOURANT"/>
        <w:rPr>
          <w:rFonts w:ascii="Arial" w:hAnsi="Arial"/>
          <w:sz w:val="22"/>
        </w:rPr>
      </w:pPr>
      <w:r w:rsidRPr="004F4CF5">
        <w:rPr>
          <w:rFonts w:ascii="Arial" w:hAnsi="Arial"/>
          <w:sz w:val="22"/>
        </w:rPr>
        <w:t xml:space="preserve">Le document d’information précise qu’une </w:t>
      </w:r>
      <w:r w:rsidR="00A664D9" w:rsidRPr="004F4CF5">
        <w:rPr>
          <w:rFonts w:ascii="Arial" w:hAnsi="Arial"/>
          <w:sz w:val="22"/>
        </w:rPr>
        <w:t xml:space="preserve">note relative au régime fiscal auquel est soumis l’OPCI est </w:t>
      </w:r>
      <w:r w:rsidRPr="004F4CF5">
        <w:rPr>
          <w:rFonts w:ascii="Arial" w:hAnsi="Arial"/>
          <w:sz w:val="22"/>
        </w:rPr>
        <w:t xml:space="preserve">tenue </w:t>
      </w:r>
      <w:r w:rsidR="00A664D9" w:rsidRPr="004F4CF5">
        <w:rPr>
          <w:rFonts w:ascii="Arial" w:hAnsi="Arial"/>
          <w:sz w:val="22"/>
        </w:rPr>
        <w:t xml:space="preserve">à </w:t>
      </w:r>
      <w:r w:rsidRPr="004F4CF5">
        <w:rPr>
          <w:rFonts w:ascii="Arial" w:hAnsi="Arial"/>
          <w:sz w:val="22"/>
        </w:rPr>
        <w:t>l</w:t>
      </w:r>
      <w:r w:rsidR="00A664D9" w:rsidRPr="004F4CF5">
        <w:rPr>
          <w:rFonts w:ascii="Arial" w:hAnsi="Arial"/>
          <w:sz w:val="22"/>
        </w:rPr>
        <w:t>a disposition</w:t>
      </w:r>
      <w:r w:rsidRPr="004F4CF5">
        <w:rPr>
          <w:rFonts w:ascii="Arial" w:hAnsi="Arial"/>
          <w:sz w:val="22"/>
        </w:rPr>
        <w:t xml:space="preserve"> des souscripteurs</w:t>
      </w:r>
      <w:r w:rsidR="00A664D9" w:rsidRPr="004F4CF5">
        <w:rPr>
          <w:rFonts w:ascii="Arial" w:hAnsi="Arial"/>
          <w:sz w:val="22"/>
        </w:rPr>
        <w:t xml:space="preserve"> auprès de la société de gestion </w:t>
      </w:r>
      <w:r w:rsidR="0065620E" w:rsidRPr="004F4CF5">
        <w:rPr>
          <w:rFonts w:ascii="Arial" w:hAnsi="Arial"/>
          <w:sz w:val="22"/>
        </w:rPr>
        <w:t>d’OPCI</w:t>
      </w:r>
      <w:r w:rsidR="00A664D9" w:rsidRPr="004F4CF5">
        <w:rPr>
          <w:rFonts w:ascii="Arial" w:hAnsi="Arial"/>
          <w:sz w:val="22"/>
        </w:rPr>
        <w:t>.</w:t>
      </w:r>
    </w:p>
    <w:p w14:paraId="15DA7D6A" w14:textId="77777777" w:rsidR="00A664D9" w:rsidRPr="004F4CF5" w:rsidRDefault="00A664D9" w:rsidP="00171E45">
      <w:pPr>
        <w:pStyle w:val="AMFTEXTECOURANT"/>
        <w:rPr>
          <w:rFonts w:ascii="Arial" w:hAnsi="Arial"/>
          <w:sz w:val="22"/>
        </w:rPr>
      </w:pPr>
    </w:p>
    <w:p w14:paraId="7A0A16BC" w14:textId="77777777" w:rsidR="00A664D9" w:rsidRPr="004F4CF5" w:rsidRDefault="00A664D9" w:rsidP="00171E45">
      <w:pPr>
        <w:pStyle w:val="AMFTEXTECOURANT"/>
        <w:rPr>
          <w:rFonts w:ascii="Arial" w:hAnsi="Arial"/>
          <w:sz w:val="22"/>
        </w:rPr>
      </w:pPr>
    </w:p>
    <w:p w14:paraId="70171238" w14:textId="77777777" w:rsidR="00A664D9" w:rsidRPr="004F4CF5" w:rsidRDefault="00A664D9" w:rsidP="00171E45">
      <w:pPr>
        <w:pStyle w:val="AMFTEXTECOURANT"/>
        <w:rPr>
          <w:rFonts w:ascii="Arial" w:hAnsi="Arial"/>
          <w:sz w:val="22"/>
        </w:rPr>
      </w:pPr>
    </w:p>
    <w:p w14:paraId="09570C4F" w14:textId="77777777" w:rsidR="00272BE1" w:rsidRPr="004F4CF5" w:rsidRDefault="00272BE1" w:rsidP="00171E45">
      <w:pPr>
        <w:pStyle w:val="AMFTEXTECOURANT"/>
        <w:rPr>
          <w:rFonts w:ascii="Arial" w:hAnsi="Arial"/>
          <w:sz w:val="22"/>
        </w:rPr>
      </w:pPr>
    </w:p>
    <w:p w14:paraId="4022EC26" w14:textId="77777777" w:rsidR="004C0145" w:rsidRPr="004F4CF5" w:rsidRDefault="004C0145">
      <w:pPr>
        <w:rPr>
          <w:rFonts w:ascii="Arial" w:hAnsi="Arial" w:cs="Arial"/>
          <w:sz w:val="22"/>
          <w:szCs w:val="22"/>
        </w:rPr>
      </w:pPr>
    </w:p>
    <w:sectPr w:rsidR="004C0145" w:rsidRPr="004F4CF5" w:rsidSect="00352333">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EA316" w14:textId="77777777" w:rsidR="00352333" w:rsidRDefault="00352333" w:rsidP="00A664D9">
      <w:r>
        <w:separator/>
      </w:r>
    </w:p>
  </w:endnote>
  <w:endnote w:type="continuationSeparator" w:id="0">
    <w:p w14:paraId="234F102A" w14:textId="77777777" w:rsidR="00352333" w:rsidRDefault="00352333" w:rsidP="00A6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36130"/>
      <w:docPartObj>
        <w:docPartGallery w:val="Page Numbers (Bottom of Page)"/>
        <w:docPartUnique/>
      </w:docPartObj>
    </w:sdtPr>
    <w:sdtContent>
      <w:p w14:paraId="2A229269" w14:textId="3662F49D" w:rsidR="00504E87" w:rsidRDefault="00504E87">
        <w:pPr>
          <w:pStyle w:val="Pieddepage"/>
          <w:jc w:val="center"/>
        </w:pPr>
        <w:r>
          <w:fldChar w:fldCharType="begin"/>
        </w:r>
        <w:r>
          <w:instrText>PAGE   \* MERGEFORMAT</w:instrText>
        </w:r>
        <w:r>
          <w:fldChar w:fldCharType="separate"/>
        </w:r>
        <w:r w:rsidR="00683FDB">
          <w:rPr>
            <w:noProof/>
          </w:rPr>
          <w:t>16</w:t>
        </w:r>
        <w:r>
          <w:fldChar w:fldCharType="end"/>
        </w:r>
      </w:p>
    </w:sdtContent>
  </w:sdt>
  <w:p w14:paraId="2C502D5E" w14:textId="77777777" w:rsidR="00504E87" w:rsidRDefault="00504E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A30AF" w14:textId="77777777" w:rsidR="00352333" w:rsidRDefault="00352333" w:rsidP="00A664D9">
      <w:r>
        <w:separator/>
      </w:r>
    </w:p>
  </w:footnote>
  <w:footnote w:type="continuationSeparator" w:id="0">
    <w:p w14:paraId="73B398C6" w14:textId="77777777" w:rsidR="00352333" w:rsidRDefault="00352333" w:rsidP="00A664D9">
      <w:r>
        <w:continuationSeparator/>
      </w:r>
    </w:p>
  </w:footnote>
  <w:footnote w:id="1">
    <w:p w14:paraId="2F8B3490" w14:textId="77777777" w:rsidR="004C534E" w:rsidRPr="00F318FA" w:rsidRDefault="004C534E" w:rsidP="00A664D9">
      <w:pPr>
        <w:pStyle w:val="AMFNotedebasdepage"/>
        <w:rPr>
          <w:bCs/>
          <w:i/>
          <w:iCs/>
        </w:rPr>
      </w:pPr>
      <w:r w:rsidRPr="00A65022">
        <w:rPr>
          <w:vertAlign w:val="superscript"/>
        </w:rPr>
        <w:footnoteRef/>
      </w:r>
      <w:r w:rsidRPr="0006079F">
        <w:t xml:space="preserve"> </w:t>
      </w:r>
      <w:r w:rsidRPr="0065620E">
        <w:rPr>
          <w:sz w:val="15"/>
          <w:szCs w:val="15"/>
        </w:rPr>
        <w:t>Syntaxe à rajouter dans l’avertissement pour les OPCI mettant en place une période de blocage des rachats.</w:t>
      </w:r>
    </w:p>
  </w:footnote>
  <w:footnote w:id="2">
    <w:p w14:paraId="2EF87081" w14:textId="77777777" w:rsidR="0093198B" w:rsidRPr="00F318FA" w:rsidRDefault="0093198B" w:rsidP="0093198B">
      <w:pPr>
        <w:pStyle w:val="AMFNotedebasdepage"/>
        <w:jc w:val="both"/>
      </w:pPr>
      <w:r>
        <w:rPr>
          <w:rStyle w:val="Appelnotedebasdep"/>
        </w:rPr>
        <w:footnoteRef/>
      </w:r>
      <w:r>
        <w:t xml:space="preserve"> </w:t>
      </w:r>
      <w:r w:rsidRPr="008E1EEB">
        <w:rPr>
          <w:sz w:val="16"/>
          <w:szCs w:val="16"/>
        </w:rPr>
        <w:t>Les risques liés aux opérations de financement sur titres et aux contrats d’échange sur rendement global, ainsi que des risques liés à la gestion des garanties, tels que risque opérationnel, risque de liquidité, risque de contrepartie, risque de conservation et risque juridique et, le cas échéant, les risques liés à la réutilisation des garanties doivent également être décrits</w:t>
      </w:r>
      <w:r w:rsidRPr="00766FD1">
        <w:t>.</w:t>
      </w:r>
    </w:p>
    <w:p w14:paraId="46B464A0" w14:textId="0C00DEB5" w:rsidR="0093198B" w:rsidRDefault="0093198B">
      <w:pPr>
        <w:pStyle w:val="Notedebasdepage"/>
      </w:pPr>
    </w:p>
  </w:footnote>
  <w:footnote w:id="3">
    <w:p w14:paraId="3AB1E0EE" w14:textId="77777777" w:rsidR="004C534E" w:rsidRPr="00C30C39" w:rsidRDefault="004C534E" w:rsidP="00A664D9">
      <w:pPr>
        <w:pStyle w:val="AMFNotedebasdepage"/>
        <w:jc w:val="both"/>
        <w:rPr>
          <w:i/>
          <w:sz w:val="16"/>
        </w:rPr>
      </w:pPr>
    </w:p>
  </w:footnote>
  <w:footnote w:id="4">
    <w:p w14:paraId="550ED876" w14:textId="77777777" w:rsidR="004C534E" w:rsidRPr="00F318FA" w:rsidRDefault="004C534E" w:rsidP="00A664D9">
      <w:pPr>
        <w:pStyle w:val="AMFNotedebasdepage"/>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93EB5"/>
    <w:multiLevelType w:val="hybridMultilevel"/>
    <w:tmpl w:val="AB626CB6"/>
    <w:lvl w:ilvl="0" w:tplc="040C0001">
      <w:start w:val="1"/>
      <w:numFmt w:val="bullet"/>
      <w:lvlText w:val=""/>
      <w:lvlJc w:val="left"/>
      <w:pPr>
        <w:tabs>
          <w:tab w:val="num" w:pos="2260"/>
        </w:tabs>
        <w:ind w:left="2260" w:hanging="360"/>
      </w:pPr>
      <w:rPr>
        <w:rFonts w:ascii="Symbol" w:hAnsi="Symbol" w:hint="default"/>
      </w:rPr>
    </w:lvl>
    <w:lvl w:ilvl="1" w:tplc="4AD65B90">
      <w:start w:val="1"/>
      <w:numFmt w:val="bullet"/>
      <w:lvlText w:val="o"/>
      <w:lvlJc w:val="left"/>
      <w:pPr>
        <w:tabs>
          <w:tab w:val="num" w:pos="2980"/>
        </w:tabs>
        <w:ind w:left="1418" w:hanging="284"/>
      </w:pPr>
      <w:rPr>
        <w:rFonts w:ascii="Courier New" w:hAnsi="Courier New" w:hint="default"/>
      </w:rPr>
    </w:lvl>
    <w:lvl w:ilvl="2" w:tplc="040C0005" w:tentative="1">
      <w:start w:val="1"/>
      <w:numFmt w:val="bullet"/>
      <w:lvlText w:val=""/>
      <w:lvlJc w:val="left"/>
      <w:pPr>
        <w:tabs>
          <w:tab w:val="num" w:pos="3700"/>
        </w:tabs>
        <w:ind w:left="3700" w:hanging="360"/>
      </w:pPr>
      <w:rPr>
        <w:rFonts w:ascii="Wingdings" w:hAnsi="Wingdings" w:hint="default"/>
      </w:rPr>
    </w:lvl>
    <w:lvl w:ilvl="3" w:tplc="040C0001" w:tentative="1">
      <w:start w:val="1"/>
      <w:numFmt w:val="bullet"/>
      <w:lvlText w:val=""/>
      <w:lvlJc w:val="left"/>
      <w:pPr>
        <w:tabs>
          <w:tab w:val="num" w:pos="4420"/>
        </w:tabs>
        <w:ind w:left="4420" w:hanging="360"/>
      </w:pPr>
      <w:rPr>
        <w:rFonts w:ascii="Symbol" w:hAnsi="Symbol" w:hint="default"/>
      </w:rPr>
    </w:lvl>
    <w:lvl w:ilvl="4" w:tplc="040C0003" w:tentative="1">
      <w:start w:val="1"/>
      <w:numFmt w:val="bullet"/>
      <w:lvlText w:val="o"/>
      <w:lvlJc w:val="left"/>
      <w:pPr>
        <w:tabs>
          <w:tab w:val="num" w:pos="5140"/>
        </w:tabs>
        <w:ind w:left="5140" w:hanging="360"/>
      </w:pPr>
      <w:rPr>
        <w:rFonts w:ascii="Courier New" w:hAnsi="Courier New" w:cs="Courier New" w:hint="default"/>
      </w:rPr>
    </w:lvl>
    <w:lvl w:ilvl="5" w:tplc="040C0005" w:tentative="1">
      <w:start w:val="1"/>
      <w:numFmt w:val="bullet"/>
      <w:lvlText w:val=""/>
      <w:lvlJc w:val="left"/>
      <w:pPr>
        <w:tabs>
          <w:tab w:val="num" w:pos="5860"/>
        </w:tabs>
        <w:ind w:left="5860" w:hanging="360"/>
      </w:pPr>
      <w:rPr>
        <w:rFonts w:ascii="Wingdings" w:hAnsi="Wingdings" w:hint="default"/>
      </w:rPr>
    </w:lvl>
    <w:lvl w:ilvl="6" w:tplc="040C0001" w:tentative="1">
      <w:start w:val="1"/>
      <w:numFmt w:val="bullet"/>
      <w:lvlText w:val=""/>
      <w:lvlJc w:val="left"/>
      <w:pPr>
        <w:tabs>
          <w:tab w:val="num" w:pos="6580"/>
        </w:tabs>
        <w:ind w:left="6580" w:hanging="360"/>
      </w:pPr>
      <w:rPr>
        <w:rFonts w:ascii="Symbol" w:hAnsi="Symbol" w:hint="default"/>
      </w:rPr>
    </w:lvl>
    <w:lvl w:ilvl="7" w:tplc="040C0003" w:tentative="1">
      <w:start w:val="1"/>
      <w:numFmt w:val="bullet"/>
      <w:lvlText w:val="o"/>
      <w:lvlJc w:val="left"/>
      <w:pPr>
        <w:tabs>
          <w:tab w:val="num" w:pos="7300"/>
        </w:tabs>
        <w:ind w:left="7300" w:hanging="360"/>
      </w:pPr>
      <w:rPr>
        <w:rFonts w:ascii="Courier New" w:hAnsi="Courier New" w:cs="Courier New" w:hint="default"/>
      </w:rPr>
    </w:lvl>
    <w:lvl w:ilvl="8" w:tplc="040C0005" w:tentative="1">
      <w:start w:val="1"/>
      <w:numFmt w:val="bullet"/>
      <w:lvlText w:val=""/>
      <w:lvlJc w:val="left"/>
      <w:pPr>
        <w:tabs>
          <w:tab w:val="num" w:pos="8020"/>
        </w:tabs>
        <w:ind w:left="8020" w:hanging="360"/>
      </w:pPr>
      <w:rPr>
        <w:rFonts w:ascii="Wingdings" w:hAnsi="Wingdings" w:hint="default"/>
      </w:rPr>
    </w:lvl>
  </w:abstractNum>
  <w:abstractNum w:abstractNumId="1" w15:restartNumberingAfterBreak="0">
    <w:nsid w:val="1614246D"/>
    <w:multiLevelType w:val="hybridMultilevel"/>
    <w:tmpl w:val="CC3E0DA4"/>
    <w:lvl w:ilvl="0" w:tplc="7034EF74">
      <w:start w:val="1"/>
      <w:numFmt w:val="bullet"/>
      <w:suff w:val="space"/>
      <w:lvlText w:val=""/>
      <w:lvlJc w:val="left"/>
      <w:pPr>
        <w:ind w:left="567" w:firstLine="77"/>
      </w:pPr>
      <w:rPr>
        <w:rFonts w:ascii="Symbol" w:hAnsi="Symbol" w:hint="default"/>
      </w:rPr>
    </w:lvl>
    <w:lvl w:ilvl="1" w:tplc="040C0003">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67D6E51"/>
    <w:multiLevelType w:val="multilevel"/>
    <w:tmpl w:val="9BC69822"/>
    <w:lvl w:ilvl="0">
      <w:start w:val="1"/>
      <w:numFmt w:val="decimal"/>
      <w:pStyle w:val="Titre1"/>
      <w:suff w:val="space"/>
      <w:lvlText w:val="Chapitre %1"/>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suff w:val="nothing"/>
      <w:lvlText w:val=""/>
      <w:lvlJc w:val="left"/>
      <w:pPr>
        <w:ind w:left="0" w:firstLine="0"/>
      </w:pPr>
    </w:lvl>
    <w:lvl w:ilvl="4">
      <w:start w:val="1"/>
      <w:numFmt w:val="none"/>
      <w:pStyle w:val="Titre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45C299E"/>
    <w:multiLevelType w:val="hybridMultilevel"/>
    <w:tmpl w:val="4CE0A712"/>
    <w:lvl w:ilvl="0" w:tplc="040C000F">
      <w:start w:val="1"/>
      <w:numFmt w:val="decimal"/>
      <w:lvlText w:val="%1."/>
      <w:lvlJc w:val="left"/>
      <w:pPr>
        <w:tabs>
          <w:tab w:val="num" w:pos="720"/>
        </w:tabs>
        <w:ind w:left="720" w:hanging="360"/>
      </w:pPr>
    </w:lvl>
    <w:lvl w:ilvl="1" w:tplc="AA8C43AA">
      <w:start w:val="1"/>
      <w:numFmt w:val="lowerLetter"/>
      <w:lvlText w:val="%2)"/>
      <w:lvlJc w:val="left"/>
      <w:pPr>
        <w:tabs>
          <w:tab w:val="num" w:pos="1440"/>
        </w:tabs>
        <w:ind w:left="567" w:hanging="283"/>
      </w:pPr>
      <w:rPr>
        <w:rFonts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4" w15:restartNumberingAfterBreak="0">
    <w:nsid w:val="291264CF"/>
    <w:multiLevelType w:val="hybridMultilevel"/>
    <w:tmpl w:val="BE729B46"/>
    <w:lvl w:ilvl="0" w:tplc="040C0001">
      <w:start w:val="1"/>
      <w:numFmt w:val="bullet"/>
      <w:lvlText w:val=""/>
      <w:lvlJc w:val="left"/>
      <w:pPr>
        <w:tabs>
          <w:tab w:val="num" w:pos="2260"/>
        </w:tabs>
        <w:ind w:left="2260" w:hanging="360"/>
      </w:pPr>
      <w:rPr>
        <w:rFonts w:ascii="Symbol" w:hAnsi="Symbol" w:hint="default"/>
      </w:rPr>
    </w:lvl>
    <w:lvl w:ilvl="1" w:tplc="040C0003" w:tentative="1">
      <w:start w:val="1"/>
      <w:numFmt w:val="bullet"/>
      <w:lvlText w:val="o"/>
      <w:lvlJc w:val="left"/>
      <w:pPr>
        <w:tabs>
          <w:tab w:val="num" w:pos="2808"/>
        </w:tabs>
        <w:ind w:left="2808" w:hanging="360"/>
      </w:pPr>
      <w:rPr>
        <w:rFonts w:ascii="Courier New" w:hAnsi="Courier New" w:cs="Courier New" w:hint="default"/>
      </w:rPr>
    </w:lvl>
    <w:lvl w:ilvl="2" w:tplc="040C0005" w:tentative="1">
      <w:start w:val="1"/>
      <w:numFmt w:val="bullet"/>
      <w:lvlText w:val=""/>
      <w:lvlJc w:val="left"/>
      <w:pPr>
        <w:tabs>
          <w:tab w:val="num" w:pos="3528"/>
        </w:tabs>
        <w:ind w:left="3528" w:hanging="360"/>
      </w:pPr>
      <w:rPr>
        <w:rFonts w:ascii="Wingdings" w:hAnsi="Wingdings" w:hint="default"/>
      </w:rPr>
    </w:lvl>
    <w:lvl w:ilvl="3" w:tplc="040C0001" w:tentative="1">
      <w:start w:val="1"/>
      <w:numFmt w:val="bullet"/>
      <w:lvlText w:val=""/>
      <w:lvlJc w:val="left"/>
      <w:pPr>
        <w:tabs>
          <w:tab w:val="num" w:pos="4248"/>
        </w:tabs>
        <w:ind w:left="4248" w:hanging="360"/>
      </w:pPr>
      <w:rPr>
        <w:rFonts w:ascii="Symbol" w:hAnsi="Symbol" w:hint="default"/>
      </w:rPr>
    </w:lvl>
    <w:lvl w:ilvl="4" w:tplc="040C0003" w:tentative="1">
      <w:start w:val="1"/>
      <w:numFmt w:val="bullet"/>
      <w:lvlText w:val="o"/>
      <w:lvlJc w:val="left"/>
      <w:pPr>
        <w:tabs>
          <w:tab w:val="num" w:pos="4968"/>
        </w:tabs>
        <w:ind w:left="4968" w:hanging="360"/>
      </w:pPr>
      <w:rPr>
        <w:rFonts w:ascii="Courier New" w:hAnsi="Courier New" w:cs="Courier New" w:hint="default"/>
      </w:rPr>
    </w:lvl>
    <w:lvl w:ilvl="5" w:tplc="040C0005" w:tentative="1">
      <w:start w:val="1"/>
      <w:numFmt w:val="bullet"/>
      <w:lvlText w:val=""/>
      <w:lvlJc w:val="left"/>
      <w:pPr>
        <w:tabs>
          <w:tab w:val="num" w:pos="5688"/>
        </w:tabs>
        <w:ind w:left="5688" w:hanging="360"/>
      </w:pPr>
      <w:rPr>
        <w:rFonts w:ascii="Wingdings" w:hAnsi="Wingdings" w:hint="default"/>
      </w:rPr>
    </w:lvl>
    <w:lvl w:ilvl="6" w:tplc="040C0001" w:tentative="1">
      <w:start w:val="1"/>
      <w:numFmt w:val="bullet"/>
      <w:lvlText w:val=""/>
      <w:lvlJc w:val="left"/>
      <w:pPr>
        <w:tabs>
          <w:tab w:val="num" w:pos="6408"/>
        </w:tabs>
        <w:ind w:left="6408" w:hanging="360"/>
      </w:pPr>
      <w:rPr>
        <w:rFonts w:ascii="Symbol" w:hAnsi="Symbol" w:hint="default"/>
      </w:rPr>
    </w:lvl>
    <w:lvl w:ilvl="7" w:tplc="040C0003" w:tentative="1">
      <w:start w:val="1"/>
      <w:numFmt w:val="bullet"/>
      <w:lvlText w:val="o"/>
      <w:lvlJc w:val="left"/>
      <w:pPr>
        <w:tabs>
          <w:tab w:val="num" w:pos="7128"/>
        </w:tabs>
        <w:ind w:left="7128" w:hanging="360"/>
      </w:pPr>
      <w:rPr>
        <w:rFonts w:ascii="Courier New" w:hAnsi="Courier New" w:cs="Courier New" w:hint="default"/>
      </w:rPr>
    </w:lvl>
    <w:lvl w:ilvl="8" w:tplc="040C0005" w:tentative="1">
      <w:start w:val="1"/>
      <w:numFmt w:val="bullet"/>
      <w:lvlText w:val=""/>
      <w:lvlJc w:val="left"/>
      <w:pPr>
        <w:tabs>
          <w:tab w:val="num" w:pos="7848"/>
        </w:tabs>
        <w:ind w:left="7848" w:hanging="360"/>
      </w:pPr>
      <w:rPr>
        <w:rFonts w:ascii="Wingdings" w:hAnsi="Wingdings" w:hint="default"/>
      </w:rPr>
    </w:lvl>
  </w:abstractNum>
  <w:abstractNum w:abstractNumId="5" w15:restartNumberingAfterBreak="0">
    <w:nsid w:val="31F700EA"/>
    <w:multiLevelType w:val="hybridMultilevel"/>
    <w:tmpl w:val="6366D414"/>
    <w:lvl w:ilvl="0" w:tplc="040C0017">
      <w:start w:val="1"/>
      <w:numFmt w:val="lowerLetter"/>
      <w:lvlText w:val="%1)"/>
      <w:lvlJc w:val="left"/>
      <w:pPr>
        <w:ind w:left="460" w:hanging="360"/>
      </w:pPr>
    </w:lvl>
    <w:lvl w:ilvl="1" w:tplc="040C0019" w:tentative="1">
      <w:start w:val="1"/>
      <w:numFmt w:val="lowerLetter"/>
      <w:lvlText w:val="%2."/>
      <w:lvlJc w:val="left"/>
      <w:pPr>
        <w:ind w:left="1180" w:hanging="360"/>
      </w:pPr>
    </w:lvl>
    <w:lvl w:ilvl="2" w:tplc="040C001B" w:tentative="1">
      <w:start w:val="1"/>
      <w:numFmt w:val="lowerRoman"/>
      <w:lvlText w:val="%3."/>
      <w:lvlJc w:val="right"/>
      <w:pPr>
        <w:ind w:left="1900" w:hanging="180"/>
      </w:pPr>
    </w:lvl>
    <w:lvl w:ilvl="3" w:tplc="040C000F" w:tentative="1">
      <w:start w:val="1"/>
      <w:numFmt w:val="decimal"/>
      <w:lvlText w:val="%4."/>
      <w:lvlJc w:val="left"/>
      <w:pPr>
        <w:ind w:left="2620" w:hanging="360"/>
      </w:pPr>
    </w:lvl>
    <w:lvl w:ilvl="4" w:tplc="040C0019" w:tentative="1">
      <w:start w:val="1"/>
      <w:numFmt w:val="lowerLetter"/>
      <w:lvlText w:val="%5."/>
      <w:lvlJc w:val="left"/>
      <w:pPr>
        <w:ind w:left="3340" w:hanging="360"/>
      </w:pPr>
    </w:lvl>
    <w:lvl w:ilvl="5" w:tplc="040C001B" w:tentative="1">
      <w:start w:val="1"/>
      <w:numFmt w:val="lowerRoman"/>
      <w:lvlText w:val="%6."/>
      <w:lvlJc w:val="right"/>
      <w:pPr>
        <w:ind w:left="4060" w:hanging="180"/>
      </w:pPr>
    </w:lvl>
    <w:lvl w:ilvl="6" w:tplc="040C000F" w:tentative="1">
      <w:start w:val="1"/>
      <w:numFmt w:val="decimal"/>
      <w:lvlText w:val="%7."/>
      <w:lvlJc w:val="left"/>
      <w:pPr>
        <w:ind w:left="4780" w:hanging="360"/>
      </w:pPr>
    </w:lvl>
    <w:lvl w:ilvl="7" w:tplc="040C0019" w:tentative="1">
      <w:start w:val="1"/>
      <w:numFmt w:val="lowerLetter"/>
      <w:lvlText w:val="%8."/>
      <w:lvlJc w:val="left"/>
      <w:pPr>
        <w:ind w:left="5500" w:hanging="360"/>
      </w:pPr>
    </w:lvl>
    <w:lvl w:ilvl="8" w:tplc="040C001B" w:tentative="1">
      <w:start w:val="1"/>
      <w:numFmt w:val="lowerRoman"/>
      <w:lvlText w:val="%9."/>
      <w:lvlJc w:val="right"/>
      <w:pPr>
        <w:ind w:left="6220" w:hanging="180"/>
      </w:pPr>
    </w:lvl>
  </w:abstractNum>
  <w:abstractNum w:abstractNumId="6" w15:restartNumberingAfterBreak="0">
    <w:nsid w:val="370909DF"/>
    <w:multiLevelType w:val="multilevel"/>
    <w:tmpl w:val="AD541F3E"/>
    <w:lvl w:ilvl="0">
      <w:start w:val="1"/>
      <w:numFmt w:val="decimal"/>
      <w:suff w:val="space"/>
      <w:lvlText w:val="Chapitre %1"/>
      <w:lvlJc w:val="left"/>
      <w:pPr>
        <w:ind w:left="39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8D46F70"/>
    <w:multiLevelType w:val="hybridMultilevel"/>
    <w:tmpl w:val="5E50A8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B333450"/>
    <w:multiLevelType w:val="hybridMultilevel"/>
    <w:tmpl w:val="3CB8E3FE"/>
    <w:lvl w:ilvl="0" w:tplc="401006CC">
      <w:start w:val="2"/>
      <w:numFmt w:val="bullet"/>
      <w:lvlText w:val="-"/>
      <w:lvlJc w:val="left"/>
      <w:pPr>
        <w:tabs>
          <w:tab w:val="num" w:pos="1987"/>
        </w:tabs>
        <w:ind w:left="1987" w:hanging="360"/>
      </w:pPr>
      <w:rPr>
        <w:rFonts w:ascii="Arial" w:eastAsia="Times New Roman" w:hAnsi="Arial" w:cs="Arial" w:hint="default"/>
      </w:rPr>
    </w:lvl>
    <w:lvl w:ilvl="1" w:tplc="040C0003" w:tentative="1">
      <w:start w:val="1"/>
      <w:numFmt w:val="bullet"/>
      <w:lvlText w:val="o"/>
      <w:lvlJc w:val="left"/>
      <w:pPr>
        <w:tabs>
          <w:tab w:val="num" w:pos="2707"/>
        </w:tabs>
        <w:ind w:left="2707" w:hanging="360"/>
      </w:pPr>
      <w:rPr>
        <w:rFonts w:ascii="Courier New" w:hAnsi="Courier New" w:cs="Courier New" w:hint="default"/>
      </w:rPr>
    </w:lvl>
    <w:lvl w:ilvl="2" w:tplc="040C0005" w:tentative="1">
      <w:start w:val="1"/>
      <w:numFmt w:val="bullet"/>
      <w:lvlText w:val=""/>
      <w:lvlJc w:val="left"/>
      <w:pPr>
        <w:tabs>
          <w:tab w:val="num" w:pos="3427"/>
        </w:tabs>
        <w:ind w:left="3427" w:hanging="360"/>
      </w:pPr>
      <w:rPr>
        <w:rFonts w:ascii="Wingdings" w:hAnsi="Wingdings" w:hint="default"/>
      </w:rPr>
    </w:lvl>
    <w:lvl w:ilvl="3" w:tplc="040C0001" w:tentative="1">
      <w:start w:val="1"/>
      <w:numFmt w:val="bullet"/>
      <w:lvlText w:val=""/>
      <w:lvlJc w:val="left"/>
      <w:pPr>
        <w:tabs>
          <w:tab w:val="num" w:pos="4147"/>
        </w:tabs>
        <w:ind w:left="4147" w:hanging="360"/>
      </w:pPr>
      <w:rPr>
        <w:rFonts w:ascii="Symbol" w:hAnsi="Symbol" w:hint="default"/>
      </w:rPr>
    </w:lvl>
    <w:lvl w:ilvl="4" w:tplc="040C0003" w:tentative="1">
      <w:start w:val="1"/>
      <w:numFmt w:val="bullet"/>
      <w:lvlText w:val="o"/>
      <w:lvlJc w:val="left"/>
      <w:pPr>
        <w:tabs>
          <w:tab w:val="num" w:pos="4867"/>
        </w:tabs>
        <w:ind w:left="4867" w:hanging="360"/>
      </w:pPr>
      <w:rPr>
        <w:rFonts w:ascii="Courier New" w:hAnsi="Courier New" w:cs="Courier New" w:hint="default"/>
      </w:rPr>
    </w:lvl>
    <w:lvl w:ilvl="5" w:tplc="040C0005" w:tentative="1">
      <w:start w:val="1"/>
      <w:numFmt w:val="bullet"/>
      <w:lvlText w:val=""/>
      <w:lvlJc w:val="left"/>
      <w:pPr>
        <w:tabs>
          <w:tab w:val="num" w:pos="5587"/>
        </w:tabs>
        <w:ind w:left="5587" w:hanging="360"/>
      </w:pPr>
      <w:rPr>
        <w:rFonts w:ascii="Wingdings" w:hAnsi="Wingdings" w:hint="default"/>
      </w:rPr>
    </w:lvl>
    <w:lvl w:ilvl="6" w:tplc="040C0001" w:tentative="1">
      <w:start w:val="1"/>
      <w:numFmt w:val="bullet"/>
      <w:lvlText w:val=""/>
      <w:lvlJc w:val="left"/>
      <w:pPr>
        <w:tabs>
          <w:tab w:val="num" w:pos="6307"/>
        </w:tabs>
        <w:ind w:left="6307" w:hanging="360"/>
      </w:pPr>
      <w:rPr>
        <w:rFonts w:ascii="Symbol" w:hAnsi="Symbol" w:hint="default"/>
      </w:rPr>
    </w:lvl>
    <w:lvl w:ilvl="7" w:tplc="040C0003" w:tentative="1">
      <w:start w:val="1"/>
      <w:numFmt w:val="bullet"/>
      <w:lvlText w:val="o"/>
      <w:lvlJc w:val="left"/>
      <w:pPr>
        <w:tabs>
          <w:tab w:val="num" w:pos="7027"/>
        </w:tabs>
        <w:ind w:left="7027" w:hanging="360"/>
      </w:pPr>
      <w:rPr>
        <w:rFonts w:ascii="Courier New" w:hAnsi="Courier New" w:cs="Courier New" w:hint="default"/>
      </w:rPr>
    </w:lvl>
    <w:lvl w:ilvl="8" w:tplc="040C0005" w:tentative="1">
      <w:start w:val="1"/>
      <w:numFmt w:val="bullet"/>
      <w:lvlText w:val=""/>
      <w:lvlJc w:val="left"/>
      <w:pPr>
        <w:tabs>
          <w:tab w:val="num" w:pos="7747"/>
        </w:tabs>
        <w:ind w:left="7747" w:hanging="360"/>
      </w:pPr>
      <w:rPr>
        <w:rFonts w:ascii="Wingdings" w:hAnsi="Wingdings" w:hint="default"/>
      </w:rPr>
    </w:lvl>
  </w:abstractNum>
  <w:abstractNum w:abstractNumId="9" w15:restartNumberingAfterBreak="0">
    <w:nsid w:val="4C6B7A8B"/>
    <w:multiLevelType w:val="hybridMultilevel"/>
    <w:tmpl w:val="CDB098F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53AC28E2"/>
    <w:multiLevelType w:val="hybridMultilevel"/>
    <w:tmpl w:val="4C6ACFB8"/>
    <w:lvl w:ilvl="0" w:tplc="0AEC7ED2">
      <w:start w:val="1"/>
      <w:numFmt w:val="bullet"/>
      <w:suff w:val="space"/>
      <w:lvlText w:val=""/>
      <w:lvlJc w:val="left"/>
      <w:pPr>
        <w:ind w:left="851" w:hanging="207"/>
      </w:pPr>
      <w:rPr>
        <w:rFonts w:ascii="Symbol" w:hAnsi="Symbol" w:hint="default"/>
      </w:rPr>
    </w:lvl>
    <w:lvl w:ilvl="1" w:tplc="040C0003">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AA11E98"/>
    <w:multiLevelType w:val="multilevel"/>
    <w:tmpl w:val="EF10C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451138C"/>
    <w:multiLevelType w:val="hybridMultilevel"/>
    <w:tmpl w:val="40BCEA76"/>
    <w:lvl w:ilvl="0" w:tplc="29482E20">
      <w:start w:val="1"/>
      <w:numFmt w:val="bullet"/>
      <w:pStyle w:val="AMFIntertitreframboise"/>
      <w:lvlText w:val=""/>
      <w:lvlJc w:val="left"/>
      <w:pPr>
        <w:ind w:left="1004" w:hanging="360"/>
      </w:pPr>
      <w:rPr>
        <w:rFonts w:ascii="Wingdings" w:hAnsi="Wingdings" w:hint="default"/>
        <w:color w:val="1967B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DA22E5"/>
    <w:multiLevelType w:val="hybridMultilevel"/>
    <w:tmpl w:val="A9C438A6"/>
    <w:lvl w:ilvl="0" w:tplc="401006C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F86256"/>
    <w:multiLevelType w:val="hybridMultilevel"/>
    <w:tmpl w:val="747427D6"/>
    <w:lvl w:ilvl="0" w:tplc="040C0001">
      <w:start w:val="1"/>
      <w:numFmt w:val="bullet"/>
      <w:lvlText w:val=""/>
      <w:lvlJc w:val="left"/>
      <w:pPr>
        <w:tabs>
          <w:tab w:val="num" w:pos="2088"/>
        </w:tabs>
        <w:ind w:left="2088" w:hanging="360"/>
      </w:pPr>
      <w:rPr>
        <w:rFonts w:ascii="Symbol" w:hAnsi="Symbol" w:hint="default"/>
      </w:rPr>
    </w:lvl>
    <w:lvl w:ilvl="1" w:tplc="040C0003" w:tentative="1">
      <w:start w:val="1"/>
      <w:numFmt w:val="bullet"/>
      <w:lvlText w:val="o"/>
      <w:lvlJc w:val="left"/>
      <w:pPr>
        <w:tabs>
          <w:tab w:val="num" w:pos="2808"/>
        </w:tabs>
        <w:ind w:left="2808" w:hanging="360"/>
      </w:pPr>
      <w:rPr>
        <w:rFonts w:ascii="Courier New" w:hAnsi="Courier New" w:cs="Courier New" w:hint="default"/>
      </w:rPr>
    </w:lvl>
    <w:lvl w:ilvl="2" w:tplc="040C0005" w:tentative="1">
      <w:start w:val="1"/>
      <w:numFmt w:val="bullet"/>
      <w:lvlText w:val=""/>
      <w:lvlJc w:val="left"/>
      <w:pPr>
        <w:tabs>
          <w:tab w:val="num" w:pos="3528"/>
        </w:tabs>
        <w:ind w:left="3528" w:hanging="360"/>
      </w:pPr>
      <w:rPr>
        <w:rFonts w:ascii="Wingdings" w:hAnsi="Wingdings" w:hint="default"/>
      </w:rPr>
    </w:lvl>
    <w:lvl w:ilvl="3" w:tplc="040C0001" w:tentative="1">
      <w:start w:val="1"/>
      <w:numFmt w:val="bullet"/>
      <w:lvlText w:val=""/>
      <w:lvlJc w:val="left"/>
      <w:pPr>
        <w:tabs>
          <w:tab w:val="num" w:pos="4248"/>
        </w:tabs>
        <w:ind w:left="4248" w:hanging="360"/>
      </w:pPr>
      <w:rPr>
        <w:rFonts w:ascii="Symbol" w:hAnsi="Symbol" w:hint="default"/>
      </w:rPr>
    </w:lvl>
    <w:lvl w:ilvl="4" w:tplc="040C0003" w:tentative="1">
      <w:start w:val="1"/>
      <w:numFmt w:val="bullet"/>
      <w:lvlText w:val="o"/>
      <w:lvlJc w:val="left"/>
      <w:pPr>
        <w:tabs>
          <w:tab w:val="num" w:pos="4968"/>
        </w:tabs>
        <w:ind w:left="4968" w:hanging="360"/>
      </w:pPr>
      <w:rPr>
        <w:rFonts w:ascii="Courier New" w:hAnsi="Courier New" w:cs="Courier New" w:hint="default"/>
      </w:rPr>
    </w:lvl>
    <w:lvl w:ilvl="5" w:tplc="040C0005" w:tentative="1">
      <w:start w:val="1"/>
      <w:numFmt w:val="bullet"/>
      <w:lvlText w:val=""/>
      <w:lvlJc w:val="left"/>
      <w:pPr>
        <w:tabs>
          <w:tab w:val="num" w:pos="5688"/>
        </w:tabs>
        <w:ind w:left="5688" w:hanging="360"/>
      </w:pPr>
      <w:rPr>
        <w:rFonts w:ascii="Wingdings" w:hAnsi="Wingdings" w:hint="default"/>
      </w:rPr>
    </w:lvl>
    <w:lvl w:ilvl="6" w:tplc="040C0001" w:tentative="1">
      <w:start w:val="1"/>
      <w:numFmt w:val="bullet"/>
      <w:lvlText w:val=""/>
      <w:lvlJc w:val="left"/>
      <w:pPr>
        <w:tabs>
          <w:tab w:val="num" w:pos="6408"/>
        </w:tabs>
        <w:ind w:left="6408" w:hanging="360"/>
      </w:pPr>
      <w:rPr>
        <w:rFonts w:ascii="Symbol" w:hAnsi="Symbol" w:hint="default"/>
      </w:rPr>
    </w:lvl>
    <w:lvl w:ilvl="7" w:tplc="040C0003" w:tentative="1">
      <w:start w:val="1"/>
      <w:numFmt w:val="bullet"/>
      <w:lvlText w:val="o"/>
      <w:lvlJc w:val="left"/>
      <w:pPr>
        <w:tabs>
          <w:tab w:val="num" w:pos="7128"/>
        </w:tabs>
        <w:ind w:left="7128" w:hanging="360"/>
      </w:pPr>
      <w:rPr>
        <w:rFonts w:ascii="Courier New" w:hAnsi="Courier New" w:cs="Courier New" w:hint="default"/>
      </w:rPr>
    </w:lvl>
    <w:lvl w:ilvl="8" w:tplc="040C0005" w:tentative="1">
      <w:start w:val="1"/>
      <w:numFmt w:val="bullet"/>
      <w:lvlText w:val=""/>
      <w:lvlJc w:val="left"/>
      <w:pPr>
        <w:tabs>
          <w:tab w:val="num" w:pos="7848"/>
        </w:tabs>
        <w:ind w:left="7848" w:hanging="360"/>
      </w:pPr>
      <w:rPr>
        <w:rFonts w:ascii="Wingdings" w:hAnsi="Wingdings" w:hint="default"/>
      </w:rPr>
    </w:lvl>
  </w:abstractNum>
  <w:num w:numId="1" w16cid:durableId="1894921829">
    <w:abstractNumId w:val="6"/>
  </w:num>
  <w:num w:numId="2" w16cid:durableId="2011327307">
    <w:abstractNumId w:val="6"/>
  </w:num>
  <w:num w:numId="3" w16cid:durableId="1717316230">
    <w:abstractNumId w:val="6"/>
  </w:num>
  <w:num w:numId="4" w16cid:durableId="83577565">
    <w:abstractNumId w:val="6"/>
  </w:num>
  <w:num w:numId="5" w16cid:durableId="129905694">
    <w:abstractNumId w:val="2"/>
  </w:num>
  <w:num w:numId="6" w16cid:durableId="289475806">
    <w:abstractNumId w:val="2"/>
  </w:num>
  <w:num w:numId="7" w16cid:durableId="1472291092">
    <w:abstractNumId w:val="2"/>
  </w:num>
  <w:num w:numId="8" w16cid:durableId="17857533">
    <w:abstractNumId w:val="11"/>
  </w:num>
  <w:num w:numId="9" w16cid:durableId="930700691">
    <w:abstractNumId w:val="12"/>
  </w:num>
  <w:num w:numId="10" w16cid:durableId="787889937">
    <w:abstractNumId w:val="3"/>
  </w:num>
  <w:num w:numId="11" w16cid:durableId="949627222">
    <w:abstractNumId w:val="5"/>
  </w:num>
  <w:num w:numId="12" w16cid:durableId="368530714">
    <w:abstractNumId w:val="1"/>
  </w:num>
  <w:num w:numId="13" w16cid:durableId="1591888828">
    <w:abstractNumId w:val="10"/>
  </w:num>
  <w:num w:numId="14" w16cid:durableId="141193483">
    <w:abstractNumId w:val="0"/>
  </w:num>
  <w:num w:numId="15" w16cid:durableId="1811090396">
    <w:abstractNumId w:val="8"/>
  </w:num>
  <w:num w:numId="16" w16cid:durableId="788470385">
    <w:abstractNumId w:val="4"/>
  </w:num>
  <w:num w:numId="17" w16cid:durableId="409545494">
    <w:abstractNumId w:val="14"/>
  </w:num>
  <w:num w:numId="18" w16cid:durableId="529562790">
    <w:abstractNumId w:val="7"/>
  </w:num>
  <w:num w:numId="19" w16cid:durableId="335427322">
    <w:abstractNumId w:val="9"/>
  </w:num>
  <w:num w:numId="20" w16cid:durableId="11736884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4D9"/>
    <w:rsid w:val="00005A48"/>
    <w:rsid w:val="000E4DB6"/>
    <w:rsid w:val="000F3198"/>
    <w:rsid w:val="001666C5"/>
    <w:rsid w:val="00171E45"/>
    <w:rsid w:val="001B2E7F"/>
    <w:rsid w:val="001C0D88"/>
    <w:rsid w:val="001D6C0C"/>
    <w:rsid w:val="00205082"/>
    <w:rsid w:val="00246E2A"/>
    <w:rsid w:val="00272BE1"/>
    <w:rsid w:val="002D0C4E"/>
    <w:rsid w:val="00352333"/>
    <w:rsid w:val="003700E8"/>
    <w:rsid w:val="00376000"/>
    <w:rsid w:val="003A5F34"/>
    <w:rsid w:val="003D745A"/>
    <w:rsid w:val="004308AE"/>
    <w:rsid w:val="00432768"/>
    <w:rsid w:val="004327EF"/>
    <w:rsid w:val="004975E7"/>
    <w:rsid w:val="004B6A2C"/>
    <w:rsid w:val="004C0145"/>
    <w:rsid w:val="004C534E"/>
    <w:rsid w:val="004F4CF5"/>
    <w:rsid w:val="00504E87"/>
    <w:rsid w:val="00570AE3"/>
    <w:rsid w:val="005A73D5"/>
    <w:rsid w:val="00613565"/>
    <w:rsid w:val="0065620E"/>
    <w:rsid w:val="00683FDB"/>
    <w:rsid w:val="006D10E9"/>
    <w:rsid w:val="00717529"/>
    <w:rsid w:val="00720457"/>
    <w:rsid w:val="00740753"/>
    <w:rsid w:val="007E12FD"/>
    <w:rsid w:val="007F0F9D"/>
    <w:rsid w:val="00810AD7"/>
    <w:rsid w:val="008B0C8B"/>
    <w:rsid w:val="008E1EEB"/>
    <w:rsid w:val="0093198B"/>
    <w:rsid w:val="009833A2"/>
    <w:rsid w:val="00A224A1"/>
    <w:rsid w:val="00A664D9"/>
    <w:rsid w:val="00A767B6"/>
    <w:rsid w:val="00AB739C"/>
    <w:rsid w:val="00AD0F19"/>
    <w:rsid w:val="00B47846"/>
    <w:rsid w:val="00B91EEE"/>
    <w:rsid w:val="00BE4987"/>
    <w:rsid w:val="00C3003A"/>
    <w:rsid w:val="00C30C39"/>
    <w:rsid w:val="00C42194"/>
    <w:rsid w:val="00C46E59"/>
    <w:rsid w:val="00C50BE9"/>
    <w:rsid w:val="00C925FB"/>
    <w:rsid w:val="00CA6B89"/>
    <w:rsid w:val="00CD579F"/>
    <w:rsid w:val="00D211FF"/>
    <w:rsid w:val="00D872A1"/>
    <w:rsid w:val="00DD71FE"/>
    <w:rsid w:val="00DF5697"/>
    <w:rsid w:val="00E044AD"/>
    <w:rsid w:val="00E27254"/>
    <w:rsid w:val="00E73636"/>
    <w:rsid w:val="00EA1963"/>
    <w:rsid w:val="00EF212E"/>
    <w:rsid w:val="00FA1421"/>
    <w:rsid w:val="00FB0F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4707D"/>
  <w15:chartTrackingRefBased/>
  <w15:docId w15:val="{A3C0DEBC-C3CA-794E-B187-C6FE2C18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4D9"/>
    <w:rPr>
      <w:rFonts w:ascii="Times New Roman" w:eastAsia="Times New Roman" w:hAnsi="Times New Roman" w:cs="Times New Roman"/>
      <w:lang w:eastAsia="fr-FR"/>
    </w:rPr>
  </w:style>
  <w:style w:type="paragraph" w:styleId="Titre1">
    <w:name w:val="heading 1"/>
    <w:basedOn w:val="Normal"/>
    <w:next w:val="Normal"/>
    <w:link w:val="Titre1Car"/>
    <w:autoRedefine/>
    <w:uiPriority w:val="9"/>
    <w:qFormat/>
    <w:rsid w:val="00EF212E"/>
    <w:pPr>
      <w:keepNext/>
      <w:keepLines/>
      <w:numPr>
        <w:numId w:val="7"/>
      </w:numPr>
      <w:spacing w:before="240"/>
      <w:jc w:val="center"/>
      <w:outlineLvl w:val="0"/>
    </w:pPr>
    <w:rPr>
      <w:rFonts w:eastAsiaTheme="majorEastAsia" w:cs="Times New Roman (Titres CS)"/>
      <w:b/>
      <w:smallCaps/>
      <w:color w:val="000000" w:themeColor="text1"/>
      <w:szCs w:val="32"/>
    </w:rPr>
  </w:style>
  <w:style w:type="paragraph" w:styleId="Titre2">
    <w:name w:val="heading 2"/>
    <w:basedOn w:val="Normal"/>
    <w:next w:val="Normal"/>
    <w:link w:val="Titre2Car"/>
    <w:autoRedefine/>
    <w:uiPriority w:val="9"/>
    <w:unhideWhenUsed/>
    <w:qFormat/>
    <w:rsid w:val="00EF212E"/>
    <w:pPr>
      <w:keepNext/>
      <w:keepLines/>
      <w:numPr>
        <w:ilvl w:val="1"/>
        <w:numId w:val="7"/>
      </w:numPr>
      <w:spacing w:before="40"/>
      <w:jc w:val="center"/>
      <w:outlineLvl w:val="1"/>
    </w:pPr>
    <w:rPr>
      <w:rFonts w:eastAsiaTheme="majorEastAsia" w:cs="Times New Roman (Titres CS)"/>
      <w:i/>
      <w:caps/>
      <w:color w:val="000000" w:themeColor="text1"/>
      <w:sz w:val="22"/>
      <w:szCs w:val="26"/>
    </w:rPr>
  </w:style>
  <w:style w:type="paragraph" w:styleId="Titre3">
    <w:name w:val="heading 3"/>
    <w:basedOn w:val="Normal"/>
    <w:next w:val="Normal"/>
    <w:link w:val="Titre3Car"/>
    <w:autoRedefine/>
    <w:uiPriority w:val="9"/>
    <w:unhideWhenUsed/>
    <w:qFormat/>
    <w:rsid w:val="00EF212E"/>
    <w:pPr>
      <w:keepNext/>
      <w:keepLines/>
      <w:numPr>
        <w:ilvl w:val="2"/>
        <w:numId w:val="7"/>
      </w:numPr>
      <w:spacing w:before="40"/>
      <w:jc w:val="center"/>
      <w:outlineLvl w:val="2"/>
    </w:pPr>
    <w:rPr>
      <w:rFonts w:asciiTheme="majorHAnsi" w:eastAsiaTheme="majorEastAsia" w:hAnsiTheme="majorHAnsi" w:cs="Times New Roman (Titres CS)"/>
      <w:b/>
      <w:i/>
      <w:caps/>
      <w:color w:val="000000" w:themeColor="text1"/>
      <w:sz w:val="22"/>
    </w:rPr>
  </w:style>
  <w:style w:type="paragraph" w:styleId="Titre5">
    <w:name w:val="heading 5"/>
    <w:basedOn w:val="Normal"/>
    <w:next w:val="Normal"/>
    <w:link w:val="Titre5Car"/>
    <w:autoRedefine/>
    <w:uiPriority w:val="9"/>
    <w:unhideWhenUsed/>
    <w:qFormat/>
    <w:rsid w:val="00EF212E"/>
    <w:pPr>
      <w:keepNext/>
      <w:keepLines/>
      <w:numPr>
        <w:ilvl w:val="4"/>
        <w:numId w:val="7"/>
      </w:numPr>
      <w:spacing w:before="40"/>
      <w:jc w:val="center"/>
      <w:outlineLvl w:val="4"/>
    </w:pPr>
    <w:rPr>
      <w:rFonts w:eastAsiaTheme="majorEastAsia" w:cstheme="majorBidi"/>
      <w:i/>
      <w:color w:val="000000" w:themeColor="text1"/>
      <w:sz w:val="22"/>
    </w:rPr>
  </w:style>
  <w:style w:type="paragraph" w:styleId="Titre6">
    <w:name w:val="heading 6"/>
    <w:basedOn w:val="Normal"/>
    <w:next w:val="Normal"/>
    <w:link w:val="Titre6Car"/>
    <w:autoRedefine/>
    <w:uiPriority w:val="9"/>
    <w:unhideWhenUsed/>
    <w:qFormat/>
    <w:rsid w:val="00EF212E"/>
    <w:pPr>
      <w:keepNext/>
      <w:keepLines/>
      <w:numPr>
        <w:ilvl w:val="5"/>
        <w:numId w:val="8"/>
      </w:numPr>
      <w:spacing w:before="40"/>
      <w:jc w:val="center"/>
      <w:outlineLvl w:val="5"/>
    </w:pPr>
    <w:rPr>
      <w:rFonts w:eastAsiaTheme="majorEastAsia" w:cstheme="majorBidi"/>
      <w:i/>
      <w:color w:val="000000" w:themeColor="text1"/>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739C"/>
    <w:rPr>
      <w:rFonts w:eastAsiaTheme="majorEastAsia" w:cs="Times New Roman (Titres CS)"/>
      <w:b/>
      <w:smallCaps/>
      <w:color w:val="000000" w:themeColor="text1"/>
      <w:szCs w:val="32"/>
      <w:lang w:eastAsia="fr-FR"/>
    </w:rPr>
  </w:style>
  <w:style w:type="character" w:customStyle="1" w:styleId="Titre2Car">
    <w:name w:val="Titre 2 Car"/>
    <w:basedOn w:val="Policepardfaut"/>
    <w:link w:val="Titre2"/>
    <w:uiPriority w:val="9"/>
    <w:rsid w:val="00AB739C"/>
    <w:rPr>
      <w:rFonts w:eastAsiaTheme="majorEastAsia" w:cs="Times New Roman (Titres CS)"/>
      <w:i/>
      <w:caps/>
      <w:color w:val="000000" w:themeColor="text1"/>
      <w:sz w:val="22"/>
      <w:szCs w:val="26"/>
      <w:lang w:eastAsia="fr-FR"/>
    </w:rPr>
  </w:style>
  <w:style w:type="character" w:customStyle="1" w:styleId="Titre3Car">
    <w:name w:val="Titre 3 Car"/>
    <w:basedOn w:val="Policepardfaut"/>
    <w:link w:val="Titre3"/>
    <w:uiPriority w:val="9"/>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uiPriority w:val="9"/>
    <w:rsid w:val="00EF212E"/>
    <w:rPr>
      <w:rFonts w:eastAsiaTheme="majorEastAsia" w:cstheme="majorBidi"/>
      <w:i/>
      <w:color w:val="000000" w:themeColor="text1"/>
      <w:sz w:val="22"/>
      <w:lang w:eastAsia="fr-FR"/>
    </w:rPr>
  </w:style>
  <w:style w:type="character" w:customStyle="1" w:styleId="Titre5Car">
    <w:name w:val="Titre 5 Car"/>
    <w:basedOn w:val="Policepardfaut"/>
    <w:link w:val="Titre5"/>
    <w:uiPriority w:val="9"/>
    <w:rsid w:val="00EF212E"/>
    <w:rPr>
      <w:rFonts w:eastAsiaTheme="majorEastAsia" w:cstheme="majorBidi"/>
      <w:i/>
      <w:color w:val="000000" w:themeColor="text1"/>
      <w:sz w:val="22"/>
      <w:lang w:eastAsia="fr-FR"/>
    </w:rPr>
  </w:style>
  <w:style w:type="paragraph" w:styleId="NormalWeb">
    <w:name w:val="Normal (Web)"/>
    <w:basedOn w:val="Normal"/>
    <w:uiPriority w:val="99"/>
    <w:unhideWhenUsed/>
    <w:rsid w:val="00A664D9"/>
    <w:pPr>
      <w:spacing w:before="100" w:beforeAutospacing="1" w:after="100" w:afterAutospacing="1"/>
    </w:pPr>
  </w:style>
  <w:style w:type="paragraph" w:customStyle="1" w:styleId="AMFTEXTECOURANT">
    <w:name w:val="AMF TEXTE COURANT"/>
    <w:basedOn w:val="Normal"/>
    <w:autoRedefine/>
    <w:qFormat/>
    <w:rsid w:val="00171E45"/>
    <w:pPr>
      <w:ind w:left="284"/>
      <w:jc w:val="both"/>
    </w:pPr>
    <w:rPr>
      <w:rFonts w:ascii="Calibri" w:hAnsi="Calibri" w:cs="Arial"/>
      <w:bCs/>
      <w:iCs/>
      <w:sz w:val="20"/>
      <w:szCs w:val="22"/>
    </w:rPr>
  </w:style>
  <w:style w:type="character" w:styleId="Appelnotedebasdep">
    <w:name w:val="footnote reference"/>
    <w:aliases w:val="fr"/>
    <w:basedOn w:val="Policepardfaut"/>
    <w:rsid w:val="00A664D9"/>
    <w:rPr>
      <w:vertAlign w:val="superscript"/>
    </w:rPr>
  </w:style>
  <w:style w:type="paragraph" w:customStyle="1" w:styleId="AMFNotedebasdepage">
    <w:name w:val="AMF Note de bas de page"/>
    <w:basedOn w:val="Notedebasdepage"/>
    <w:qFormat/>
    <w:rsid w:val="00A664D9"/>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rsid w:val="00A664D9"/>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rsid w:val="00A664D9"/>
    <w:rPr>
      <w:rFonts w:ascii="Times New Roman" w:eastAsia="Times New Roman" w:hAnsi="Times New Roman" w:cs="Times New Roman"/>
      <w:lang w:eastAsia="fr-FR"/>
    </w:rPr>
  </w:style>
  <w:style w:type="paragraph" w:customStyle="1" w:styleId="AMFIntertitreframboise">
    <w:name w:val="AMF Intertitre framboise"/>
    <w:basedOn w:val="Paragraphedeliste"/>
    <w:qFormat/>
    <w:rsid w:val="00A664D9"/>
    <w:pPr>
      <w:numPr>
        <w:numId w:val="9"/>
      </w:numPr>
      <w:spacing w:before="240" w:after="240"/>
      <w:ind w:left="0" w:firstLine="0"/>
    </w:pPr>
    <w:rPr>
      <w:rFonts w:ascii="Calibri" w:hAnsi="Calibri" w:cs="Calibri"/>
      <w:b/>
      <w:color w:val="A5A5A5" w:themeColor="accent3"/>
    </w:rPr>
  </w:style>
  <w:style w:type="table" w:styleId="Grilledutableau">
    <w:name w:val="Table Grid"/>
    <w:basedOn w:val="TableauNormal"/>
    <w:rsid w:val="00A664D9"/>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uleIntitul">
    <w:name w:val="Cellule Intitulé"/>
    <w:rsid w:val="00A664D9"/>
    <w:pPr>
      <w:widowControl w:val="0"/>
      <w:suppressAutoHyphens/>
      <w:autoSpaceDE w:val="0"/>
      <w:autoSpaceDN w:val="0"/>
      <w:adjustRightInd w:val="0"/>
      <w:spacing w:line="280" w:lineRule="atLeast"/>
      <w:jc w:val="center"/>
    </w:pPr>
    <w:rPr>
      <w:rFonts w:ascii="Times New Roman" w:eastAsia="Times New Roman" w:hAnsi="Times New Roman" w:cs="Times New Roman"/>
      <w:color w:val="000000"/>
      <w:w w:val="0"/>
      <w:lang w:eastAsia="fr-FR"/>
    </w:rPr>
  </w:style>
  <w:style w:type="paragraph" w:styleId="Paragraphedeliste">
    <w:name w:val="List Paragraph"/>
    <w:basedOn w:val="Normal"/>
    <w:uiPriority w:val="34"/>
    <w:qFormat/>
    <w:rsid w:val="00A664D9"/>
    <w:pPr>
      <w:ind w:left="720"/>
      <w:contextualSpacing/>
    </w:pPr>
  </w:style>
  <w:style w:type="paragraph" w:styleId="Textedebulles">
    <w:name w:val="Balloon Text"/>
    <w:basedOn w:val="Normal"/>
    <w:link w:val="TextedebullesCar"/>
    <w:uiPriority w:val="99"/>
    <w:semiHidden/>
    <w:unhideWhenUsed/>
    <w:rsid w:val="00246E2A"/>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6E2A"/>
    <w:rPr>
      <w:rFonts w:ascii="Segoe UI" w:eastAsia="Times New Roman" w:hAnsi="Segoe UI" w:cs="Segoe UI"/>
      <w:sz w:val="18"/>
      <w:szCs w:val="18"/>
      <w:lang w:eastAsia="fr-FR"/>
    </w:rPr>
  </w:style>
  <w:style w:type="paragraph" w:styleId="Rvision">
    <w:name w:val="Revision"/>
    <w:hidden/>
    <w:uiPriority w:val="99"/>
    <w:semiHidden/>
    <w:rsid w:val="004308AE"/>
    <w:rPr>
      <w:rFonts w:ascii="Times New Roman" w:eastAsia="Times New Roman" w:hAnsi="Times New Roman" w:cs="Times New Roman"/>
      <w:lang w:eastAsia="fr-FR"/>
    </w:rPr>
  </w:style>
  <w:style w:type="paragraph" w:styleId="En-tte">
    <w:name w:val="header"/>
    <w:basedOn w:val="Normal"/>
    <w:link w:val="En-tteCar"/>
    <w:uiPriority w:val="99"/>
    <w:unhideWhenUsed/>
    <w:rsid w:val="00504E87"/>
    <w:pPr>
      <w:tabs>
        <w:tab w:val="center" w:pos="4536"/>
        <w:tab w:val="right" w:pos="9072"/>
      </w:tabs>
    </w:pPr>
  </w:style>
  <w:style w:type="character" w:customStyle="1" w:styleId="En-tteCar">
    <w:name w:val="En-tête Car"/>
    <w:basedOn w:val="Policepardfaut"/>
    <w:link w:val="En-tte"/>
    <w:uiPriority w:val="99"/>
    <w:rsid w:val="00504E87"/>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504E87"/>
    <w:pPr>
      <w:tabs>
        <w:tab w:val="center" w:pos="4536"/>
        <w:tab w:val="right" w:pos="9072"/>
      </w:tabs>
    </w:pPr>
  </w:style>
  <w:style w:type="character" w:customStyle="1" w:styleId="PieddepageCar">
    <w:name w:val="Pied de page Car"/>
    <w:basedOn w:val="Policepardfaut"/>
    <w:link w:val="Pieddepage"/>
    <w:uiPriority w:val="99"/>
    <w:rsid w:val="00504E87"/>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569926">
      <w:bodyDiv w:val="1"/>
      <w:marLeft w:val="0"/>
      <w:marRight w:val="0"/>
      <w:marTop w:val="0"/>
      <w:marBottom w:val="0"/>
      <w:divBdr>
        <w:top w:val="none" w:sz="0" w:space="0" w:color="auto"/>
        <w:left w:val="none" w:sz="0" w:space="0" w:color="auto"/>
        <w:bottom w:val="none" w:sz="0" w:space="0" w:color="auto"/>
        <w:right w:val="none" w:sz="0" w:space="0" w:color="auto"/>
      </w:divBdr>
    </w:div>
    <w:div w:id="204262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D8395-1169-468C-80EA-F3868644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5565</Words>
  <Characters>31726</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Didier LOUKAKOU</cp:lastModifiedBy>
  <cp:revision>3</cp:revision>
  <dcterms:created xsi:type="dcterms:W3CDTF">2024-04-07T10:25:00Z</dcterms:created>
  <dcterms:modified xsi:type="dcterms:W3CDTF">2024-04-07T11:36:00Z</dcterms:modified>
</cp:coreProperties>
</file>