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6C6A54" w:rsidRDefault="00C9723A" w:rsidP="00923263">
      <w:pPr>
        <w:jc w:val="both"/>
        <w:rPr>
          <w:rFonts w:ascii="Arial" w:hAnsi="Arial" w:cs="Arial"/>
          <w:sz w:val="22"/>
          <w:szCs w:val="22"/>
        </w:rPr>
      </w:pPr>
    </w:p>
    <w:p w14:paraId="202D521C" w14:textId="6F6E38B2" w:rsidR="00C9723A" w:rsidRPr="006C6A54" w:rsidRDefault="00C9723A" w:rsidP="006863D5">
      <w:pPr>
        <w:spacing w:before="100" w:beforeAutospacing="1" w:after="100" w:afterAutospacing="1"/>
        <w:rPr>
          <w:rFonts w:ascii="Arial" w:hAnsi="Arial" w:cs="Arial"/>
          <w:b/>
          <w:sz w:val="22"/>
          <w:szCs w:val="22"/>
        </w:rPr>
      </w:pPr>
      <w:r w:rsidRPr="006C6A54">
        <w:rPr>
          <w:rFonts w:ascii="Arial" w:hAnsi="Arial" w:cs="Arial"/>
          <w:b/>
          <w:sz w:val="22"/>
          <w:szCs w:val="22"/>
        </w:rPr>
        <w:t xml:space="preserve">Union </w:t>
      </w:r>
      <w:r w:rsidR="00271283" w:rsidRPr="006C6A54">
        <w:rPr>
          <w:rFonts w:ascii="Arial" w:hAnsi="Arial" w:cs="Arial"/>
          <w:b/>
          <w:sz w:val="22"/>
          <w:szCs w:val="22"/>
        </w:rPr>
        <w:t>Monétaire</w:t>
      </w:r>
      <w:r w:rsidRPr="006C6A54">
        <w:rPr>
          <w:rFonts w:ascii="Arial" w:hAnsi="Arial" w:cs="Arial"/>
          <w:b/>
          <w:sz w:val="22"/>
          <w:szCs w:val="22"/>
        </w:rPr>
        <w:t xml:space="preserve"> de l'Afrique Centrale </w:t>
      </w:r>
    </w:p>
    <w:p w14:paraId="47ADA14E" w14:textId="052CBBCD" w:rsidR="00C9723A" w:rsidRPr="006C6A54" w:rsidRDefault="00C9723A" w:rsidP="006863D5">
      <w:pPr>
        <w:spacing w:before="100" w:beforeAutospacing="1" w:after="100" w:afterAutospacing="1"/>
        <w:rPr>
          <w:rFonts w:ascii="Arial" w:hAnsi="Arial" w:cs="Arial"/>
          <w:b/>
          <w:sz w:val="22"/>
          <w:szCs w:val="22"/>
        </w:rPr>
      </w:pPr>
      <w:r w:rsidRPr="006C6A54">
        <w:rPr>
          <w:rFonts w:ascii="Arial" w:hAnsi="Arial" w:cs="Arial"/>
          <w:b/>
          <w:sz w:val="22"/>
          <w:szCs w:val="22"/>
        </w:rPr>
        <w:t xml:space="preserve">Commission de Surveillance du Marché </w:t>
      </w:r>
    </w:p>
    <w:p w14:paraId="1B2AC503" w14:textId="77777777" w:rsidR="00C9723A" w:rsidRPr="006C6A54" w:rsidRDefault="00C9723A" w:rsidP="006863D5">
      <w:pPr>
        <w:spacing w:before="100" w:beforeAutospacing="1" w:after="100" w:afterAutospacing="1"/>
        <w:ind w:left="284"/>
        <w:rPr>
          <w:rFonts w:ascii="Arial" w:hAnsi="Arial" w:cs="Arial"/>
          <w:b/>
          <w:sz w:val="22"/>
          <w:szCs w:val="22"/>
        </w:rPr>
      </w:pPr>
      <w:r w:rsidRPr="006C6A54">
        <w:rPr>
          <w:rFonts w:ascii="Arial" w:hAnsi="Arial" w:cs="Arial"/>
          <w:b/>
          <w:sz w:val="22"/>
          <w:szCs w:val="22"/>
        </w:rPr>
        <w:t xml:space="preserve">Financier de l'Afrique centrale </w:t>
      </w:r>
    </w:p>
    <w:p w14:paraId="2E8AB505" w14:textId="52D4C7C0" w:rsidR="00C9723A" w:rsidRPr="006C6A54" w:rsidRDefault="00C9723A" w:rsidP="006863D5">
      <w:pPr>
        <w:spacing w:before="100" w:beforeAutospacing="1" w:after="100" w:afterAutospacing="1"/>
        <w:ind w:left="709"/>
        <w:rPr>
          <w:rFonts w:ascii="Arial" w:hAnsi="Arial" w:cs="Arial"/>
          <w:b/>
          <w:sz w:val="22"/>
          <w:szCs w:val="22"/>
        </w:rPr>
      </w:pPr>
      <w:r w:rsidRPr="006C6A54">
        <w:rPr>
          <w:rFonts w:ascii="Arial" w:hAnsi="Arial" w:cs="Arial"/>
          <w:b/>
          <w:sz w:val="22"/>
          <w:szCs w:val="22"/>
        </w:rPr>
        <w:t xml:space="preserve">COSUMAF </w:t>
      </w:r>
    </w:p>
    <w:p w14:paraId="7210884B" w14:textId="77777777" w:rsidR="00C9723A" w:rsidRPr="006C6A54" w:rsidRDefault="00C9723A" w:rsidP="00923263">
      <w:pPr>
        <w:pStyle w:val="NormalWeb"/>
        <w:jc w:val="both"/>
        <w:rPr>
          <w:rFonts w:ascii="Arial" w:hAnsi="Arial" w:cs="Arial"/>
          <w:b/>
          <w:sz w:val="22"/>
          <w:szCs w:val="22"/>
        </w:rPr>
      </w:pPr>
    </w:p>
    <w:p w14:paraId="353C22A9" w14:textId="77777777" w:rsidR="003913FE" w:rsidRDefault="003913FE" w:rsidP="003913FE">
      <w:pPr>
        <w:pStyle w:val="NormalWeb"/>
        <w:jc w:val="center"/>
        <w:rPr>
          <w:rFonts w:ascii="Arial" w:hAnsi="Arial" w:cs="Arial"/>
          <w:b/>
          <w:sz w:val="22"/>
          <w:szCs w:val="22"/>
        </w:rPr>
      </w:pPr>
      <w:r>
        <w:rPr>
          <w:rFonts w:ascii="Arial" w:hAnsi="Arial" w:cs="Arial"/>
          <w:b/>
          <w:sz w:val="22"/>
          <w:szCs w:val="22"/>
        </w:rPr>
        <w:t xml:space="preserve">INSTRUCTION COSUMAF n° </w:t>
      </w:r>
      <w:r>
        <w:rPr>
          <w:rFonts w:ascii="Arial" w:hAnsi="Arial" w:cs="Arial"/>
          <w:b/>
          <w:sz w:val="22"/>
          <w:szCs w:val="22"/>
          <w:highlight w:val="yellow"/>
        </w:rPr>
        <w:t>XX</w:t>
      </w:r>
      <w:r>
        <w:rPr>
          <w:rFonts w:ascii="Arial" w:hAnsi="Arial" w:cs="Arial"/>
          <w:b/>
          <w:sz w:val="22"/>
          <w:szCs w:val="22"/>
        </w:rPr>
        <w:t xml:space="preserve"> du </w:t>
      </w:r>
      <w:r>
        <w:rPr>
          <w:rFonts w:ascii="Arial" w:hAnsi="Arial" w:cs="Arial"/>
          <w:b/>
          <w:sz w:val="22"/>
          <w:szCs w:val="22"/>
          <w:highlight w:val="yellow"/>
        </w:rPr>
        <w:t>XX/XX/2024</w:t>
      </w:r>
    </w:p>
    <w:p w14:paraId="20D34039" w14:textId="4F2140E6" w:rsidR="00EF5E4D" w:rsidRPr="006C6A54" w:rsidRDefault="00EF5E4D" w:rsidP="00271283">
      <w:pPr>
        <w:pStyle w:val="NormalWeb"/>
        <w:jc w:val="center"/>
        <w:rPr>
          <w:rFonts w:ascii="Arial" w:hAnsi="Arial" w:cs="Arial"/>
          <w:b/>
          <w:sz w:val="22"/>
          <w:szCs w:val="22"/>
        </w:rPr>
      </w:pPr>
      <w:r w:rsidRPr="006C6A54">
        <w:rPr>
          <w:rFonts w:ascii="Arial" w:hAnsi="Arial" w:cs="Arial"/>
          <w:b/>
          <w:sz w:val="22"/>
          <w:szCs w:val="22"/>
        </w:rPr>
        <w:t xml:space="preserve">RELATIVE </w:t>
      </w:r>
      <w:r w:rsidR="007A275C" w:rsidRPr="006C6A54">
        <w:rPr>
          <w:rFonts w:ascii="Arial" w:hAnsi="Arial" w:cs="Arial"/>
          <w:b/>
          <w:sz w:val="22"/>
          <w:szCs w:val="22"/>
        </w:rPr>
        <w:t>AU</w:t>
      </w:r>
      <w:r w:rsidR="001F5C61" w:rsidRPr="006C6A54">
        <w:rPr>
          <w:rFonts w:ascii="Arial" w:hAnsi="Arial" w:cs="Arial"/>
          <w:b/>
          <w:sz w:val="22"/>
          <w:szCs w:val="22"/>
        </w:rPr>
        <w:t xml:space="preserve">X MODALITES DE DIFFUSION D’INFORMATIONS </w:t>
      </w:r>
      <w:r w:rsidR="00C7068E" w:rsidRPr="006C6A54">
        <w:rPr>
          <w:rFonts w:ascii="Arial" w:hAnsi="Arial" w:cs="Arial"/>
          <w:b/>
          <w:sz w:val="22"/>
          <w:szCs w:val="22"/>
        </w:rPr>
        <w:t>PUBLICITAIRES DANS LE CADRE D’UNE OPERATION D’APPEL PUBLIC A L’EPARGNE</w:t>
      </w:r>
    </w:p>
    <w:p w14:paraId="64401E0F" w14:textId="655543E7" w:rsidR="00EF5E4D" w:rsidRPr="006C6A54" w:rsidRDefault="00564435" w:rsidP="00271283">
      <w:pPr>
        <w:pStyle w:val="NormalWeb"/>
        <w:jc w:val="center"/>
        <w:rPr>
          <w:rFonts w:ascii="Arial" w:hAnsi="Arial" w:cs="Arial"/>
          <w:sz w:val="22"/>
          <w:szCs w:val="22"/>
        </w:rPr>
      </w:pPr>
      <w:r w:rsidRPr="006C6A54">
        <w:rPr>
          <w:rFonts w:ascii="Arial" w:hAnsi="Arial" w:cs="Arial"/>
          <w:sz w:val="22"/>
          <w:szCs w:val="22"/>
        </w:rPr>
        <w:t>***</w:t>
      </w:r>
    </w:p>
    <w:p w14:paraId="63538A05" w14:textId="59EE97CD" w:rsidR="00EF5E4D" w:rsidRPr="006C6A54" w:rsidRDefault="00EF5E4D" w:rsidP="00923263">
      <w:pPr>
        <w:pStyle w:val="NormalWeb"/>
        <w:jc w:val="both"/>
        <w:rPr>
          <w:rFonts w:ascii="Arial" w:hAnsi="Arial" w:cs="Arial"/>
          <w:sz w:val="22"/>
          <w:szCs w:val="22"/>
        </w:rPr>
      </w:pPr>
      <w:r w:rsidRPr="006C6A54">
        <w:rPr>
          <w:rFonts w:ascii="Arial" w:hAnsi="Arial" w:cs="Arial"/>
          <w:sz w:val="22"/>
          <w:szCs w:val="22"/>
        </w:rPr>
        <w:t>L</w:t>
      </w:r>
      <w:r w:rsidR="00E868A8" w:rsidRPr="006C6A54">
        <w:rPr>
          <w:rFonts w:ascii="Arial" w:hAnsi="Arial" w:cs="Arial"/>
          <w:sz w:val="22"/>
          <w:szCs w:val="22"/>
        </w:rPr>
        <w:t xml:space="preserve">E COLLEGE DE LA </w:t>
      </w:r>
      <w:r w:rsidRPr="006C6A54">
        <w:rPr>
          <w:rFonts w:ascii="Arial" w:hAnsi="Arial" w:cs="Arial"/>
          <w:sz w:val="22"/>
          <w:szCs w:val="22"/>
        </w:rPr>
        <w:t xml:space="preserve"> COMMISSION DE SURVEILLANCE DU MARCHE FINANCIER DE L'AFRIQ</w:t>
      </w:r>
      <w:r w:rsidR="00DC1AAD" w:rsidRPr="006C6A54">
        <w:rPr>
          <w:rFonts w:ascii="Arial" w:hAnsi="Arial" w:cs="Arial"/>
          <w:sz w:val="22"/>
          <w:szCs w:val="22"/>
        </w:rPr>
        <w:t>U</w:t>
      </w:r>
      <w:r w:rsidRPr="006C6A54">
        <w:rPr>
          <w:rFonts w:ascii="Arial" w:hAnsi="Arial" w:cs="Arial"/>
          <w:sz w:val="22"/>
          <w:szCs w:val="22"/>
        </w:rPr>
        <w:t xml:space="preserve">E CENTRALE </w:t>
      </w:r>
    </w:p>
    <w:p w14:paraId="16E2CE51" w14:textId="2E41278E" w:rsidR="00EF5E4D" w:rsidRPr="006C6A54" w:rsidRDefault="00EF5E4D" w:rsidP="00923263">
      <w:pPr>
        <w:pStyle w:val="NormalWeb"/>
        <w:jc w:val="both"/>
        <w:rPr>
          <w:rFonts w:ascii="Arial" w:hAnsi="Arial" w:cs="Arial"/>
          <w:sz w:val="22"/>
          <w:szCs w:val="22"/>
        </w:rPr>
      </w:pPr>
      <w:r w:rsidRPr="006C6A54">
        <w:rPr>
          <w:rFonts w:ascii="Arial" w:hAnsi="Arial" w:cs="Arial"/>
          <w:sz w:val="22"/>
          <w:szCs w:val="22"/>
        </w:rPr>
        <w:t>Vu l'Acte Additionnel n</w:t>
      </w:r>
      <w:r w:rsidR="009B2655" w:rsidRPr="006C6A54">
        <w:rPr>
          <w:rFonts w:ascii="Arial" w:hAnsi="Arial" w:cs="Arial"/>
          <w:sz w:val="22"/>
          <w:szCs w:val="22"/>
        </w:rPr>
        <w:t>°</w:t>
      </w:r>
      <w:r w:rsidR="00B96D5A">
        <w:rPr>
          <w:rFonts w:ascii="Arial" w:hAnsi="Arial" w:cs="Arial"/>
          <w:sz w:val="22"/>
          <w:szCs w:val="22"/>
        </w:rPr>
        <w:t xml:space="preserve"> 03/01-CEMAC-CE-</w:t>
      </w:r>
      <w:r w:rsidRPr="006C6A54">
        <w:rPr>
          <w:rFonts w:ascii="Arial" w:hAnsi="Arial" w:cs="Arial"/>
          <w:sz w:val="22"/>
          <w:szCs w:val="22"/>
        </w:rPr>
        <w:t xml:space="preserve">03 du 8 </w:t>
      </w:r>
      <w:r w:rsidR="00C9723A" w:rsidRPr="006C6A54">
        <w:rPr>
          <w:rFonts w:ascii="Arial" w:hAnsi="Arial" w:cs="Arial"/>
          <w:sz w:val="22"/>
          <w:szCs w:val="22"/>
        </w:rPr>
        <w:t>décembre</w:t>
      </w:r>
      <w:r w:rsidRPr="006C6A54">
        <w:rPr>
          <w:rFonts w:ascii="Arial" w:hAnsi="Arial" w:cs="Arial"/>
          <w:sz w:val="22"/>
          <w:szCs w:val="22"/>
        </w:rPr>
        <w:t xml:space="preserve"> 2001 portant </w:t>
      </w:r>
      <w:r w:rsidR="00C9723A" w:rsidRPr="006C6A54">
        <w:rPr>
          <w:rFonts w:ascii="Arial" w:hAnsi="Arial" w:cs="Arial"/>
          <w:sz w:val="22"/>
          <w:szCs w:val="22"/>
        </w:rPr>
        <w:t>création</w:t>
      </w:r>
      <w:r w:rsidRPr="006C6A54">
        <w:rPr>
          <w:rFonts w:ascii="Arial" w:hAnsi="Arial" w:cs="Arial"/>
          <w:sz w:val="22"/>
          <w:szCs w:val="22"/>
        </w:rPr>
        <w:t xml:space="preserve"> de la Commission de Surveillance du Marché Financier de l'Afrique Centrale (COS</w:t>
      </w:r>
      <w:r w:rsidR="00C9723A" w:rsidRPr="006C6A54">
        <w:rPr>
          <w:rFonts w:ascii="Arial" w:hAnsi="Arial" w:cs="Arial"/>
          <w:sz w:val="22"/>
          <w:szCs w:val="22"/>
        </w:rPr>
        <w:t>U</w:t>
      </w:r>
      <w:r w:rsidRPr="006C6A54">
        <w:rPr>
          <w:rFonts w:ascii="Arial" w:hAnsi="Arial" w:cs="Arial"/>
          <w:sz w:val="22"/>
          <w:szCs w:val="22"/>
        </w:rPr>
        <w:t xml:space="preserve">MAF) </w:t>
      </w:r>
      <w:r w:rsidRPr="006C6A54">
        <w:rPr>
          <w:rFonts w:ascii="Arial" w:hAnsi="Arial" w:cs="Arial"/>
          <w:position w:val="-4"/>
          <w:sz w:val="22"/>
          <w:szCs w:val="22"/>
        </w:rPr>
        <w:t xml:space="preserve">; </w:t>
      </w:r>
    </w:p>
    <w:p w14:paraId="1611AD81" w14:textId="648D1C5F" w:rsidR="00EF5E4D" w:rsidRPr="006C6A54" w:rsidRDefault="00EF5E4D" w:rsidP="00923263">
      <w:pPr>
        <w:pStyle w:val="NormalWeb"/>
        <w:jc w:val="both"/>
        <w:rPr>
          <w:rFonts w:ascii="Arial" w:hAnsi="Arial" w:cs="Arial"/>
          <w:sz w:val="22"/>
          <w:szCs w:val="22"/>
        </w:rPr>
      </w:pPr>
      <w:r w:rsidRPr="006C6A54">
        <w:rPr>
          <w:rFonts w:ascii="Arial" w:hAnsi="Arial" w:cs="Arial"/>
          <w:sz w:val="22"/>
          <w:szCs w:val="22"/>
        </w:rPr>
        <w:t xml:space="preserve">Vu le </w:t>
      </w:r>
      <w:r w:rsidR="009B2655" w:rsidRPr="006C6A54">
        <w:rPr>
          <w:rFonts w:ascii="Arial" w:hAnsi="Arial" w:cs="Arial"/>
          <w:sz w:val="22"/>
          <w:szCs w:val="22"/>
        </w:rPr>
        <w:t>Règlemen</w:t>
      </w:r>
      <w:r w:rsidR="007168BE" w:rsidRPr="006C6A54">
        <w:rPr>
          <w:rFonts w:ascii="Arial" w:hAnsi="Arial" w:cs="Arial"/>
          <w:sz w:val="22"/>
          <w:szCs w:val="22"/>
        </w:rPr>
        <w:t xml:space="preserve">t N°01/22/CEMAC/UMAC/CM/COSUMAF </w:t>
      </w:r>
      <w:r w:rsidR="009B2655" w:rsidRPr="006C6A54">
        <w:rPr>
          <w:rFonts w:ascii="Arial" w:hAnsi="Arial" w:cs="Arial"/>
          <w:sz w:val="22"/>
          <w:szCs w:val="22"/>
        </w:rPr>
        <w:t xml:space="preserve">du 21 juillet 2022 </w:t>
      </w:r>
      <w:r w:rsidRPr="006C6A54">
        <w:rPr>
          <w:rFonts w:ascii="Arial" w:hAnsi="Arial" w:cs="Arial"/>
          <w:sz w:val="22"/>
          <w:szCs w:val="22"/>
        </w:rPr>
        <w:t>porta</w:t>
      </w:r>
      <w:r w:rsidR="00C9723A" w:rsidRPr="006C6A54">
        <w:rPr>
          <w:rFonts w:ascii="Arial" w:hAnsi="Arial" w:cs="Arial"/>
          <w:sz w:val="22"/>
          <w:szCs w:val="22"/>
        </w:rPr>
        <w:t>n</w:t>
      </w:r>
      <w:r w:rsidRPr="006C6A54">
        <w:rPr>
          <w:rFonts w:ascii="Arial" w:hAnsi="Arial" w:cs="Arial"/>
          <w:sz w:val="22"/>
          <w:szCs w:val="22"/>
        </w:rPr>
        <w:t>t Organisation</w:t>
      </w:r>
      <w:r w:rsidR="009B2655" w:rsidRPr="006C6A54">
        <w:rPr>
          <w:rFonts w:ascii="Arial" w:hAnsi="Arial" w:cs="Arial"/>
          <w:sz w:val="22"/>
          <w:szCs w:val="22"/>
        </w:rPr>
        <w:t xml:space="preserve"> </w:t>
      </w:r>
      <w:r w:rsidR="00923263" w:rsidRPr="006C6A54">
        <w:rPr>
          <w:rFonts w:ascii="Arial" w:hAnsi="Arial" w:cs="Arial"/>
          <w:sz w:val="22"/>
          <w:szCs w:val="22"/>
        </w:rPr>
        <w:t>et fonctionnement</w:t>
      </w:r>
      <w:r w:rsidRPr="006C6A54">
        <w:rPr>
          <w:rFonts w:ascii="Arial" w:hAnsi="Arial" w:cs="Arial"/>
          <w:sz w:val="22"/>
          <w:szCs w:val="22"/>
        </w:rPr>
        <w:t xml:space="preserve"> du Marché Financier de </w:t>
      </w:r>
      <w:r w:rsidR="0031620A" w:rsidRPr="006C6A54">
        <w:rPr>
          <w:rFonts w:ascii="Arial" w:hAnsi="Arial" w:cs="Arial"/>
          <w:sz w:val="22"/>
          <w:szCs w:val="22"/>
        </w:rPr>
        <w:t>l</w:t>
      </w:r>
      <w:r w:rsidRPr="006C6A54">
        <w:rPr>
          <w:rFonts w:ascii="Arial" w:hAnsi="Arial" w:cs="Arial"/>
          <w:sz w:val="22"/>
          <w:szCs w:val="22"/>
        </w:rPr>
        <w:t>'Afrique Centrale</w:t>
      </w:r>
      <w:r w:rsidR="009B2655" w:rsidRPr="006C6A54">
        <w:rPr>
          <w:rFonts w:ascii="Arial" w:hAnsi="Arial" w:cs="Arial"/>
          <w:sz w:val="22"/>
          <w:szCs w:val="22"/>
        </w:rPr>
        <w:t> ;</w:t>
      </w:r>
    </w:p>
    <w:p w14:paraId="3F39EA8E" w14:textId="2726716F" w:rsidR="00EF5E4D" w:rsidRPr="006C6A54" w:rsidRDefault="00EF5E4D" w:rsidP="00923263">
      <w:pPr>
        <w:pStyle w:val="NormalWeb"/>
        <w:jc w:val="both"/>
        <w:rPr>
          <w:rFonts w:ascii="Arial" w:hAnsi="Arial" w:cs="Arial"/>
          <w:sz w:val="22"/>
          <w:szCs w:val="22"/>
        </w:rPr>
      </w:pPr>
      <w:r w:rsidRPr="006C6A54">
        <w:rPr>
          <w:rFonts w:ascii="Arial" w:hAnsi="Arial" w:cs="Arial"/>
          <w:sz w:val="22"/>
          <w:szCs w:val="22"/>
        </w:rPr>
        <w:t xml:space="preserve">Vu </w:t>
      </w:r>
      <w:r w:rsidR="00C9723A" w:rsidRPr="006C6A54">
        <w:rPr>
          <w:rFonts w:ascii="Arial" w:hAnsi="Arial" w:cs="Arial"/>
          <w:sz w:val="22"/>
          <w:szCs w:val="22"/>
        </w:rPr>
        <w:t>l</w:t>
      </w:r>
      <w:r w:rsidRPr="006C6A54">
        <w:rPr>
          <w:rFonts w:ascii="Arial" w:hAnsi="Arial" w:cs="Arial"/>
          <w:sz w:val="22"/>
          <w:szCs w:val="22"/>
        </w:rPr>
        <w:t xml:space="preserve">e </w:t>
      </w:r>
      <w:r w:rsidR="00C7068E" w:rsidRPr="006C6A54">
        <w:rPr>
          <w:rFonts w:ascii="Arial" w:hAnsi="Arial" w:cs="Arial"/>
          <w:sz w:val="22"/>
          <w:szCs w:val="22"/>
        </w:rPr>
        <w:t>Règlement</w:t>
      </w:r>
      <w:r w:rsidRPr="006C6A54">
        <w:rPr>
          <w:rFonts w:ascii="Arial" w:hAnsi="Arial" w:cs="Arial"/>
          <w:sz w:val="22"/>
          <w:szCs w:val="22"/>
        </w:rPr>
        <w:t xml:space="preserve"> </w:t>
      </w:r>
      <w:r w:rsidR="00C7068E" w:rsidRPr="006C6A54">
        <w:rPr>
          <w:rFonts w:ascii="Arial" w:hAnsi="Arial" w:cs="Arial"/>
          <w:sz w:val="22"/>
          <w:szCs w:val="22"/>
        </w:rPr>
        <w:t>Général</w:t>
      </w:r>
      <w:r w:rsidRPr="006C6A54">
        <w:rPr>
          <w:rFonts w:ascii="Arial" w:hAnsi="Arial" w:cs="Arial"/>
          <w:sz w:val="22"/>
          <w:szCs w:val="22"/>
        </w:rPr>
        <w:t xml:space="preserve"> de la Commission de Surveillance du Marché Financier de l'Afrique Centrale</w:t>
      </w:r>
      <w:r w:rsidR="009B2655" w:rsidRPr="006C6A54">
        <w:rPr>
          <w:rFonts w:ascii="Arial" w:hAnsi="Arial" w:cs="Arial"/>
          <w:sz w:val="22"/>
          <w:szCs w:val="22"/>
        </w:rPr>
        <w:t> ;</w:t>
      </w:r>
    </w:p>
    <w:p w14:paraId="2BE8285F" w14:textId="5C545877" w:rsidR="00EF5E4D" w:rsidRPr="006C6A54" w:rsidRDefault="00EF5E4D" w:rsidP="00923263">
      <w:pPr>
        <w:pStyle w:val="NormalWeb"/>
        <w:jc w:val="both"/>
        <w:rPr>
          <w:rFonts w:ascii="Arial" w:hAnsi="Arial" w:cs="Arial"/>
          <w:sz w:val="22"/>
          <w:szCs w:val="22"/>
        </w:rPr>
      </w:pPr>
      <w:r w:rsidRPr="006C6A54">
        <w:rPr>
          <w:rFonts w:ascii="Arial" w:hAnsi="Arial" w:cs="Arial"/>
          <w:sz w:val="22"/>
          <w:szCs w:val="22"/>
        </w:rPr>
        <w:t>En sa séance du</w:t>
      </w:r>
      <w:r w:rsidR="009B2655" w:rsidRPr="006C6A54">
        <w:rPr>
          <w:rFonts w:ascii="Arial" w:hAnsi="Arial" w:cs="Arial"/>
          <w:sz w:val="22"/>
          <w:szCs w:val="22"/>
        </w:rPr>
        <w:t xml:space="preserve"> </w:t>
      </w:r>
      <w:r w:rsidR="00923263" w:rsidRPr="006C6A54">
        <w:rPr>
          <w:rFonts w:ascii="Arial" w:hAnsi="Arial" w:cs="Arial"/>
          <w:sz w:val="22"/>
          <w:szCs w:val="22"/>
          <w:highlight w:val="yellow"/>
        </w:rPr>
        <w:t>XXX</w:t>
      </w:r>
      <w:r w:rsidRPr="006C6A54">
        <w:rPr>
          <w:rFonts w:ascii="Arial" w:hAnsi="Arial" w:cs="Arial"/>
          <w:sz w:val="22"/>
          <w:szCs w:val="22"/>
          <w:highlight w:val="yellow"/>
        </w:rPr>
        <w:t> ;</w:t>
      </w:r>
    </w:p>
    <w:p w14:paraId="2AD2A2BA" w14:textId="77777777" w:rsidR="00923263" w:rsidRPr="006C6A54" w:rsidRDefault="00923263" w:rsidP="00923263">
      <w:pPr>
        <w:pStyle w:val="NormalWeb"/>
        <w:jc w:val="both"/>
        <w:rPr>
          <w:rFonts w:ascii="Arial" w:hAnsi="Arial" w:cs="Arial"/>
          <w:sz w:val="22"/>
          <w:szCs w:val="22"/>
        </w:rPr>
      </w:pPr>
    </w:p>
    <w:p w14:paraId="7F881F42" w14:textId="77777777" w:rsidR="000B6737" w:rsidRPr="006C6A54" w:rsidRDefault="000B6737" w:rsidP="00923263">
      <w:pPr>
        <w:pStyle w:val="NormalWeb"/>
        <w:jc w:val="both"/>
        <w:rPr>
          <w:rFonts w:ascii="Arial" w:hAnsi="Arial" w:cs="Arial"/>
          <w:sz w:val="22"/>
          <w:szCs w:val="22"/>
        </w:rPr>
      </w:pPr>
    </w:p>
    <w:p w14:paraId="6DB976B6" w14:textId="77777777" w:rsidR="00923263" w:rsidRPr="006C6A54" w:rsidRDefault="00923263" w:rsidP="00923263">
      <w:pPr>
        <w:pStyle w:val="NormalWeb"/>
        <w:jc w:val="both"/>
        <w:rPr>
          <w:rFonts w:ascii="Arial" w:hAnsi="Arial" w:cs="Arial"/>
          <w:sz w:val="22"/>
          <w:szCs w:val="22"/>
        </w:rPr>
      </w:pPr>
    </w:p>
    <w:p w14:paraId="76DCAC7C" w14:textId="3F8A65F0" w:rsidR="00EF5E4D" w:rsidRPr="006C6A54" w:rsidRDefault="00EF5E4D" w:rsidP="000B6737">
      <w:pPr>
        <w:pStyle w:val="NormalWeb"/>
        <w:jc w:val="center"/>
        <w:rPr>
          <w:rFonts w:ascii="Arial" w:hAnsi="Arial" w:cs="Arial"/>
          <w:sz w:val="22"/>
          <w:szCs w:val="22"/>
        </w:rPr>
      </w:pPr>
      <w:r w:rsidRPr="006C6A54">
        <w:rPr>
          <w:rFonts w:ascii="Arial" w:hAnsi="Arial" w:cs="Arial"/>
          <w:sz w:val="22"/>
          <w:szCs w:val="22"/>
        </w:rPr>
        <w:t>ADOPTE L'INSTRUCTION DONT LA TENEUR SUIT</w:t>
      </w:r>
      <w:r w:rsidR="004765F7" w:rsidRPr="006C6A54">
        <w:rPr>
          <w:rFonts w:ascii="Arial" w:hAnsi="Arial" w:cs="Arial"/>
          <w:sz w:val="22"/>
          <w:szCs w:val="22"/>
        </w:rPr>
        <w:t xml:space="preserve"> </w:t>
      </w:r>
      <w:r w:rsidRPr="006C6A54">
        <w:rPr>
          <w:rFonts w:ascii="Arial" w:hAnsi="Arial" w:cs="Arial"/>
          <w:sz w:val="22"/>
          <w:szCs w:val="22"/>
        </w:rPr>
        <w:t>:</w:t>
      </w:r>
    </w:p>
    <w:p w14:paraId="3D3A53DD" w14:textId="77777777" w:rsidR="00EE0C7A" w:rsidRPr="006C6A54" w:rsidRDefault="004765F7" w:rsidP="00923263">
      <w:pPr>
        <w:jc w:val="both"/>
        <w:rPr>
          <w:rFonts w:ascii="Arial" w:hAnsi="Arial" w:cs="Arial"/>
          <w:sz w:val="22"/>
          <w:szCs w:val="22"/>
        </w:rPr>
      </w:pPr>
      <w:r w:rsidRPr="006C6A54">
        <w:rPr>
          <w:rFonts w:ascii="Arial" w:hAnsi="Arial" w:cs="Arial"/>
          <w:sz w:val="22"/>
          <w:szCs w:val="22"/>
        </w:rPr>
        <w:br w:type="page"/>
      </w:r>
    </w:p>
    <w:p w14:paraId="00789D04" w14:textId="70F91D7A" w:rsidR="00EF5E4D" w:rsidRPr="006C6A54" w:rsidRDefault="00EF5E4D" w:rsidP="00923263">
      <w:pPr>
        <w:pStyle w:val="NormalWeb"/>
        <w:shd w:val="clear" w:color="auto" w:fill="FFFFFF" w:themeFill="background1"/>
        <w:jc w:val="both"/>
        <w:rPr>
          <w:rFonts w:ascii="Arial" w:hAnsi="Arial" w:cs="Arial"/>
          <w:b/>
          <w:bCs/>
          <w:sz w:val="22"/>
          <w:szCs w:val="22"/>
        </w:rPr>
      </w:pPr>
      <w:r w:rsidRPr="006C6A54">
        <w:rPr>
          <w:rFonts w:ascii="Arial" w:hAnsi="Arial" w:cs="Arial"/>
          <w:b/>
          <w:bCs/>
          <w:sz w:val="22"/>
          <w:szCs w:val="22"/>
        </w:rPr>
        <w:lastRenderedPageBreak/>
        <w:t xml:space="preserve">ARTICLE PREMIER </w:t>
      </w:r>
    </w:p>
    <w:p w14:paraId="28DA36A1" w14:textId="3F439251" w:rsidR="00FD1893" w:rsidRPr="006C6A54" w:rsidRDefault="00262416" w:rsidP="00923263">
      <w:pPr>
        <w:pStyle w:val="NormalWeb"/>
        <w:jc w:val="both"/>
        <w:rPr>
          <w:rFonts w:ascii="Arial" w:hAnsi="Arial" w:cs="Arial"/>
          <w:sz w:val="22"/>
          <w:szCs w:val="22"/>
        </w:rPr>
      </w:pPr>
      <w:r w:rsidRPr="006C6A54">
        <w:rPr>
          <w:rFonts w:ascii="Arial" w:hAnsi="Arial" w:cs="Arial"/>
          <w:sz w:val="22"/>
          <w:szCs w:val="22"/>
        </w:rPr>
        <w:t>La présente Instruction</w:t>
      </w:r>
      <w:r w:rsidR="007A275C" w:rsidRPr="006C6A54">
        <w:rPr>
          <w:rFonts w:ascii="Arial" w:hAnsi="Arial" w:cs="Arial"/>
          <w:sz w:val="22"/>
          <w:szCs w:val="22"/>
        </w:rPr>
        <w:t xml:space="preserve"> </w:t>
      </w:r>
      <w:r w:rsidR="007A275C" w:rsidRPr="006C6A54">
        <w:rPr>
          <w:rFonts w:ascii="Arial" w:hAnsi="Arial" w:cs="Arial"/>
          <w:i/>
          <w:iCs/>
          <w:sz w:val="22"/>
          <w:szCs w:val="22"/>
        </w:rPr>
        <w:t>s’applique</w:t>
      </w:r>
      <w:r w:rsidR="007A275C" w:rsidRPr="006C6A54">
        <w:rPr>
          <w:rFonts w:ascii="Arial" w:hAnsi="Arial" w:cs="Arial"/>
          <w:sz w:val="22"/>
          <w:szCs w:val="22"/>
        </w:rPr>
        <w:t xml:space="preserve"> </w:t>
      </w:r>
      <w:r w:rsidR="001F5C61" w:rsidRPr="006C6A54">
        <w:rPr>
          <w:rFonts w:ascii="Arial" w:hAnsi="Arial" w:cs="Arial"/>
          <w:sz w:val="22"/>
          <w:szCs w:val="22"/>
        </w:rPr>
        <w:t>à toute personne ou entité qui prévoit de diffuser des documents publicitaires dans le cadre d’une opération d’appel public à l’épargne.</w:t>
      </w:r>
    </w:p>
    <w:p w14:paraId="58487904" w14:textId="4AD480B8" w:rsidR="001F5C61" w:rsidRPr="006C6A54" w:rsidRDefault="00EF5E4D" w:rsidP="00923263">
      <w:pPr>
        <w:pStyle w:val="NormalWeb"/>
        <w:jc w:val="both"/>
        <w:rPr>
          <w:rFonts w:ascii="Arial" w:hAnsi="Arial" w:cs="Arial"/>
          <w:b/>
          <w:bCs/>
          <w:sz w:val="22"/>
          <w:szCs w:val="22"/>
        </w:rPr>
      </w:pPr>
      <w:r w:rsidRPr="006C6A54">
        <w:rPr>
          <w:rFonts w:ascii="Arial" w:hAnsi="Arial" w:cs="Arial"/>
          <w:b/>
          <w:bCs/>
          <w:sz w:val="22"/>
          <w:szCs w:val="22"/>
        </w:rPr>
        <w:t xml:space="preserve">ARTICLE 2 </w:t>
      </w:r>
      <w:r w:rsidR="00F803A8" w:rsidRPr="006C6A54">
        <w:rPr>
          <w:rFonts w:ascii="Arial" w:hAnsi="Arial" w:cs="Arial"/>
          <w:b/>
          <w:bCs/>
          <w:sz w:val="22"/>
          <w:szCs w:val="22"/>
        </w:rPr>
        <w:t xml:space="preserve">– </w:t>
      </w:r>
      <w:r w:rsidR="001F5C61" w:rsidRPr="006C6A54">
        <w:rPr>
          <w:rFonts w:ascii="Arial" w:hAnsi="Arial" w:cs="Arial"/>
          <w:b/>
          <w:bCs/>
          <w:sz w:val="22"/>
          <w:szCs w:val="22"/>
        </w:rPr>
        <w:t>DEFINITIONS</w:t>
      </w:r>
      <w:r w:rsidR="00AC4D54" w:rsidRPr="006C6A54">
        <w:rPr>
          <w:rFonts w:ascii="Arial" w:hAnsi="Arial" w:cs="Arial"/>
          <w:b/>
          <w:bCs/>
          <w:sz w:val="22"/>
          <w:szCs w:val="22"/>
        </w:rPr>
        <w:t xml:space="preserve"> </w:t>
      </w:r>
    </w:p>
    <w:p w14:paraId="6582748A" w14:textId="725906EF" w:rsidR="001F5C61" w:rsidRPr="006C6A54" w:rsidRDefault="001F5C61" w:rsidP="00923263">
      <w:p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Les documents publicitaires comprennent toutes </w:t>
      </w:r>
      <w:r w:rsidR="000A6E7D" w:rsidRPr="006C6A54">
        <w:rPr>
          <w:rFonts w:ascii="Arial" w:hAnsi="Arial" w:cs="Arial"/>
          <w:sz w:val="22"/>
          <w:szCs w:val="22"/>
        </w:rPr>
        <w:t xml:space="preserve">les </w:t>
      </w:r>
      <w:r w:rsidRPr="006C6A54">
        <w:rPr>
          <w:rFonts w:ascii="Arial" w:hAnsi="Arial" w:cs="Arial"/>
          <w:sz w:val="22"/>
          <w:szCs w:val="22"/>
        </w:rPr>
        <w:t xml:space="preserve">communications publicitaires adressées </w:t>
      </w:r>
      <w:r w:rsidR="000A6E7D" w:rsidRPr="006C6A54">
        <w:rPr>
          <w:rFonts w:ascii="Arial" w:hAnsi="Arial" w:cs="Arial"/>
          <w:sz w:val="22"/>
          <w:szCs w:val="22"/>
        </w:rPr>
        <w:t xml:space="preserve">au public </w:t>
      </w:r>
      <w:r w:rsidRPr="006C6A54">
        <w:rPr>
          <w:rFonts w:ascii="Arial" w:hAnsi="Arial" w:cs="Arial"/>
          <w:sz w:val="22"/>
          <w:szCs w:val="22"/>
        </w:rPr>
        <w:t>qui revêt</w:t>
      </w:r>
      <w:r w:rsidR="000A6E7D" w:rsidRPr="006C6A54">
        <w:rPr>
          <w:rFonts w:ascii="Arial" w:hAnsi="Arial" w:cs="Arial"/>
          <w:sz w:val="22"/>
          <w:szCs w:val="22"/>
        </w:rPr>
        <w:t>ent</w:t>
      </w:r>
      <w:r w:rsidRPr="006C6A54">
        <w:rPr>
          <w:rFonts w:ascii="Arial" w:hAnsi="Arial" w:cs="Arial"/>
          <w:sz w:val="22"/>
          <w:szCs w:val="22"/>
        </w:rPr>
        <w:t xml:space="preserve"> les deux </w:t>
      </w:r>
      <w:r w:rsidR="000A6E7D" w:rsidRPr="006C6A54">
        <w:rPr>
          <w:rFonts w:ascii="Arial" w:hAnsi="Arial" w:cs="Arial"/>
          <w:sz w:val="22"/>
          <w:szCs w:val="22"/>
        </w:rPr>
        <w:t xml:space="preserve">(2) </w:t>
      </w:r>
      <w:r w:rsidRPr="006C6A54">
        <w:rPr>
          <w:rFonts w:ascii="Arial" w:hAnsi="Arial" w:cs="Arial"/>
          <w:sz w:val="22"/>
          <w:szCs w:val="22"/>
        </w:rPr>
        <w:t>caractéristiques suivantes :</w:t>
      </w:r>
    </w:p>
    <w:p w14:paraId="1F7878BF" w14:textId="770619C8" w:rsidR="001F5C61" w:rsidRPr="006C6A54" w:rsidRDefault="001F5C61" w:rsidP="00923263">
      <w:pPr>
        <w:pStyle w:val="Paragraphedeliste"/>
        <w:numPr>
          <w:ilvl w:val="0"/>
          <w:numId w:val="11"/>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Relative à une offre spécifique de valeurs mobilières </w:t>
      </w:r>
      <w:r w:rsidR="000A6E7D" w:rsidRPr="006C6A54">
        <w:rPr>
          <w:rFonts w:ascii="Arial" w:hAnsi="Arial" w:cs="Arial"/>
          <w:sz w:val="22"/>
          <w:szCs w:val="22"/>
        </w:rPr>
        <w:t xml:space="preserve">et tout autre instrument financier </w:t>
      </w:r>
      <w:r w:rsidRPr="006C6A54">
        <w:rPr>
          <w:rFonts w:ascii="Arial" w:hAnsi="Arial" w:cs="Arial"/>
          <w:sz w:val="22"/>
          <w:szCs w:val="22"/>
        </w:rPr>
        <w:t>au public ou à une admission à la négociation sur la bourse régionale</w:t>
      </w:r>
      <w:r w:rsidR="00B02D25" w:rsidRPr="006C6A54">
        <w:rPr>
          <w:rFonts w:ascii="Arial" w:hAnsi="Arial" w:cs="Arial"/>
          <w:sz w:val="22"/>
          <w:szCs w:val="22"/>
        </w:rPr>
        <w:t>, et</w:t>
      </w:r>
    </w:p>
    <w:p w14:paraId="1B83C4D9" w14:textId="77777777" w:rsidR="001F5C61" w:rsidRPr="006C6A54" w:rsidRDefault="001F5C61" w:rsidP="00923263">
      <w:pPr>
        <w:pStyle w:val="Paragraphedeliste"/>
        <w:spacing w:before="100" w:beforeAutospacing="1" w:after="100" w:afterAutospacing="1"/>
        <w:ind w:left="460"/>
        <w:jc w:val="both"/>
        <w:rPr>
          <w:rFonts w:ascii="Arial" w:hAnsi="Arial" w:cs="Arial"/>
          <w:sz w:val="22"/>
          <w:szCs w:val="22"/>
        </w:rPr>
      </w:pPr>
    </w:p>
    <w:p w14:paraId="22E56F99" w14:textId="0B5C6345" w:rsidR="001F5C61" w:rsidRPr="006C6A54" w:rsidRDefault="001F5C61" w:rsidP="00923263">
      <w:pPr>
        <w:pStyle w:val="Paragraphedeliste"/>
        <w:numPr>
          <w:ilvl w:val="0"/>
          <w:numId w:val="11"/>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Visant à promouvoir spécifiquement la souscription ou </w:t>
      </w:r>
      <w:r w:rsidR="00923263" w:rsidRPr="006C6A54">
        <w:rPr>
          <w:rFonts w:ascii="Arial" w:hAnsi="Arial" w:cs="Arial"/>
          <w:sz w:val="22"/>
          <w:szCs w:val="22"/>
        </w:rPr>
        <w:t>l’acquisition potentielle</w:t>
      </w:r>
      <w:r w:rsidRPr="006C6A54">
        <w:rPr>
          <w:rFonts w:ascii="Arial" w:hAnsi="Arial" w:cs="Arial"/>
          <w:sz w:val="22"/>
          <w:szCs w:val="22"/>
        </w:rPr>
        <w:t xml:space="preserve"> de valeurs mobilières</w:t>
      </w:r>
      <w:r w:rsidR="000A6E7D" w:rsidRPr="006C6A54">
        <w:rPr>
          <w:rFonts w:ascii="Arial" w:hAnsi="Arial" w:cs="Arial"/>
          <w:sz w:val="22"/>
          <w:szCs w:val="22"/>
        </w:rPr>
        <w:t xml:space="preserve"> </w:t>
      </w:r>
      <w:bookmarkStart w:id="0" w:name="_Hlk162362154"/>
      <w:r w:rsidR="000A6E7D" w:rsidRPr="006C6A54">
        <w:rPr>
          <w:rFonts w:ascii="Arial" w:hAnsi="Arial" w:cs="Arial"/>
          <w:sz w:val="22"/>
          <w:szCs w:val="22"/>
        </w:rPr>
        <w:t>et tout autre instrument financier.</w:t>
      </w:r>
    </w:p>
    <w:bookmarkEnd w:id="0"/>
    <w:p w14:paraId="3F6AE38C" w14:textId="758AD5D4" w:rsidR="001F5C61" w:rsidRPr="006C6A54" w:rsidRDefault="001F5C61" w:rsidP="00923263">
      <w:pPr>
        <w:pStyle w:val="NormalWeb"/>
        <w:jc w:val="both"/>
        <w:rPr>
          <w:rFonts w:ascii="Arial" w:hAnsi="Arial" w:cs="Arial"/>
          <w:b/>
          <w:bCs/>
          <w:sz w:val="22"/>
          <w:szCs w:val="22"/>
        </w:rPr>
      </w:pPr>
      <w:r w:rsidRPr="006C6A54">
        <w:rPr>
          <w:rFonts w:ascii="Arial" w:hAnsi="Arial" w:cs="Arial"/>
          <w:b/>
          <w:bCs/>
          <w:sz w:val="22"/>
          <w:szCs w:val="22"/>
        </w:rPr>
        <w:t>ARTICLE 3 – PRINCIPES</w:t>
      </w:r>
    </w:p>
    <w:p w14:paraId="0C961E9E" w14:textId="1C214D70" w:rsidR="00B02D25" w:rsidRPr="006C6A54" w:rsidRDefault="001F5C61" w:rsidP="00163C11">
      <w:pPr>
        <w:spacing w:before="100" w:beforeAutospacing="1" w:after="100" w:afterAutospacing="1"/>
        <w:jc w:val="both"/>
        <w:rPr>
          <w:rFonts w:ascii="Arial" w:hAnsi="Arial" w:cs="Arial"/>
          <w:sz w:val="22"/>
          <w:szCs w:val="22"/>
        </w:rPr>
      </w:pPr>
      <w:r w:rsidRPr="006C6A54">
        <w:rPr>
          <w:rFonts w:ascii="Arial" w:hAnsi="Arial" w:cs="Arial"/>
          <w:sz w:val="22"/>
          <w:szCs w:val="22"/>
        </w:rPr>
        <w:t>Toute communication à caractère promotionnel se rapportant à l’offre au public de valeurs mobilières</w:t>
      </w:r>
      <w:r w:rsidR="008741AE" w:rsidRPr="006C6A54">
        <w:rPr>
          <w:rFonts w:ascii="Arial" w:hAnsi="Arial" w:cs="Arial"/>
          <w:sz w:val="22"/>
          <w:szCs w:val="22"/>
        </w:rPr>
        <w:t xml:space="preserve">, tout autre instrument financier </w:t>
      </w:r>
      <w:r w:rsidRPr="006C6A54">
        <w:rPr>
          <w:rFonts w:ascii="Arial" w:hAnsi="Arial" w:cs="Arial"/>
          <w:sz w:val="22"/>
          <w:szCs w:val="22"/>
        </w:rPr>
        <w:t xml:space="preserve">ou à une admission à la négociation sur la bourse régionale respecte les principes énoncés aux paragraphes 2 à 5. </w:t>
      </w:r>
    </w:p>
    <w:p w14:paraId="302D6768" w14:textId="200C74FE" w:rsidR="001F5C61" w:rsidRPr="006C6A54" w:rsidRDefault="001F5C61" w:rsidP="00163C11">
      <w:p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Les </w:t>
      </w:r>
      <w:r w:rsidRPr="006C6A54">
        <w:rPr>
          <w:rFonts w:ascii="Arial" w:hAnsi="Arial" w:cs="Arial"/>
          <w:sz w:val="22"/>
          <w:szCs w:val="22"/>
          <w:highlight w:val="yellow"/>
        </w:rPr>
        <w:t>para</w:t>
      </w:r>
      <w:r w:rsidR="00163C11" w:rsidRPr="006C6A54">
        <w:rPr>
          <w:rFonts w:ascii="Arial" w:hAnsi="Arial" w:cs="Arial"/>
          <w:sz w:val="22"/>
          <w:szCs w:val="22"/>
          <w:highlight w:val="yellow"/>
        </w:rPr>
        <w:t>graphes 1 à 3 et le paragraphe 4</w:t>
      </w:r>
      <w:r w:rsidRPr="006C6A54">
        <w:rPr>
          <w:rFonts w:ascii="Arial" w:hAnsi="Arial" w:cs="Arial"/>
          <w:sz w:val="22"/>
          <w:szCs w:val="22"/>
          <w:highlight w:val="yellow"/>
        </w:rPr>
        <w:t>, point b),</w:t>
      </w:r>
      <w:r w:rsidRPr="006C6A54">
        <w:rPr>
          <w:rFonts w:ascii="Arial" w:hAnsi="Arial" w:cs="Arial"/>
          <w:sz w:val="22"/>
          <w:szCs w:val="22"/>
        </w:rPr>
        <w:t xml:space="preserve"> ne s’appliquent que dans les cas où l’émetteur, l’offreur ou la personne sollicitant l’admission à la négociation sur la bourse régionale est soumis à l’obligation d’établir un document d’information. </w:t>
      </w:r>
    </w:p>
    <w:p w14:paraId="683F1466" w14:textId="580FD960" w:rsidR="001F5C61" w:rsidRPr="006C6A54" w:rsidRDefault="001F5C61" w:rsidP="00923263">
      <w:pPr>
        <w:pStyle w:val="Paragraphedeliste"/>
        <w:numPr>
          <w:ilvl w:val="0"/>
          <w:numId w:val="9"/>
        </w:numPr>
        <w:spacing w:before="100" w:beforeAutospacing="1" w:after="100" w:afterAutospacing="1"/>
        <w:ind w:left="284"/>
        <w:jc w:val="both"/>
        <w:rPr>
          <w:rFonts w:ascii="Arial" w:hAnsi="Arial" w:cs="Arial"/>
          <w:sz w:val="22"/>
          <w:szCs w:val="22"/>
        </w:rPr>
      </w:pPr>
      <w:r w:rsidRPr="006C6A54">
        <w:rPr>
          <w:rFonts w:ascii="Arial" w:hAnsi="Arial" w:cs="Arial"/>
          <w:sz w:val="22"/>
          <w:szCs w:val="22"/>
        </w:rPr>
        <w:t>Les communications à caractère promotionnel mentionnent</w:t>
      </w:r>
      <w:r w:rsidR="00C97EF2" w:rsidRPr="006C6A54">
        <w:rPr>
          <w:rFonts w:ascii="Arial" w:hAnsi="Arial" w:cs="Arial"/>
          <w:sz w:val="22"/>
          <w:szCs w:val="22"/>
        </w:rPr>
        <w:t xml:space="preserve"> l’existence d’un</w:t>
      </w:r>
      <w:r w:rsidRPr="006C6A54">
        <w:rPr>
          <w:rFonts w:ascii="Arial" w:hAnsi="Arial" w:cs="Arial"/>
          <w:sz w:val="22"/>
          <w:szCs w:val="22"/>
        </w:rPr>
        <w:t xml:space="preserve"> document d’information </w:t>
      </w:r>
      <w:r w:rsidR="00C97EF2" w:rsidRPr="006C6A54">
        <w:rPr>
          <w:rFonts w:ascii="Arial" w:hAnsi="Arial" w:cs="Arial"/>
          <w:sz w:val="22"/>
          <w:szCs w:val="22"/>
        </w:rPr>
        <w:t>visé et indiquent les moyens de se le procurer</w:t>
      </w:r>
      <w:r w:rsidRPr="006C6A54">
        <w:rPr>
          <w:rFonts w:ascii="Arial" w:hAnsi="Arial" w:cs="Arial"/>
          <w:sz w:val="22"/>
          <w:szCs w:val="22"/>
        </w:rPr>
        <w:t xml:space="preserve">. </w:t>
      </w:r>
    </w:p>
    <w:p w14:paraId="56FE6E29" w14:textId="77777777" w:rsidR="001F5C61" w:rsidRPr="006C6A54" w:rsidRDefault="001F5C61" w:rsidP="00923263">
      <w:pPr>
        <w:pStyle w:val="Paragraphedeliste"/>
        <w:ind w:left="284"/>
        <w:jc w:val="both"/>
        <w:rPr>
          <w:rFonts w:ascii="Arial" w:hAnsi="Arial" w:cs="Arial"/>
          <w:sz w:val="22"/>
          <w:szCs w:val="22"/>
        </w:rPr>
      </w:pPr>
    </w:p>
    <w:p w14:paraId="4B5761D9" w14:textId="715E163A" w:rsidR="001F5C61" w:rsidRPr="006C6A54" w:rsidRDefault="001F5C61" w:rsidP="00923263">
      <w:pPr>
        <w:pStyle w:val="Paragraphedeliste"/>
        <w:numPr>
          <w:ilvl w:val="0"/>
          <w:numId w:val="9"/>
        </w:numPr>
        <w:spacing w:before="100" w:beforeAutospacing="1" w:after="100" w:afterAutospacing="1"/>
        <w:ind w:left="284"/>
        <w:jc w:val="both"/>
        <w:rPr>
          <w:rFonts w:ascii="Arial" w:hAnsi="Arial" w:cs="Arial"/>
          <w:sz w:val="22"/>
          <w:szCs w:val="22"/>
        </w:rPr>
      </w:pPr>
      <w:r w:rsidRPr="006C6A54">
        <w:rPr>
          <w:rFonts w:ascii="Arial" w:hAnsi="Arial" w:cs="Arial"/>
          <w:sz w:val="22"/>
          <w:szCs w:val="22"/>
        </w:rPr>
        <w:t>Les communications à caractère promotionnel sont clairement reconnaissables en tant que telles. Les informations qu’elles contiennent ne sont pas inexactes ou trompeuses et sont cohérentes avec les informations contenues dans le document d’information si cel</w:t>
      </w:r>
      <w:r w:rsidR="00B02D25" w:rsidRPr="006C6A54">
        <w:rPr>
          <w:rFonts w:ascii="Arial" w:hAnsi="Arial" w:cs="Arial"/>
          <w:sz w:val="22"/>
          <w:szCs w:val="22"/>
        </w:rPr>
        <w:t>ui</w:t>
      </w:r>
      <w:r w:rsidRPr="006C6A54">
        <w:rPr>
          <w:rFonts w:ascii="Arial" w:hAnsi="Arial" w:cs="Arial"/>
          <w:sz w:val="22"/>
          <w:szCs w:val="22"/>
        </w:rPr>
        <w:t xml:space="preserve">-ci </w:t>
      </w:r>
      <w:r w:rsidR="00B02D25" w:rsidRPr="006C6A54">
        <w:rPr>
          <w:rFonts w:ascii="Arial" w:hAnsi="Arial" w:cs="Arial"/>
          <w:sz w:val="22"/>
          <w:szCs w:val="22"/>
        </w:rPr>
        <w:t>a</w:t>
      </w:r>
      <w:r w:rsidRPr="006C6A54">
        <w:rPr>
          <w:rFonts w:ascii="Arial" w:hAnsi="Arial" w:cs="Arial"/>
          <w:sz w:val="22"/>
          <w:szCs w:val="22"/>
        </w:rPr>
        <w:t xml:space="preserve"> déjà été publié, ou avec les informations devant y figurer, si celui-ci n’a pas encore été publié.</w:t>
      </w:r>
    </w:p>
    <w:p w14:paraId="7251AAF4" w14:textId="77777777" w:rsidR="001F5C61" w:rsidRPr="006C6A54" w:rsidRDefault="001F5C61" w:rsidP="00923263">
      <w:pPr>
        <w:pStyle w:val="Paragraphedeliste"/>
        <w:ind w:left="284"/>
        <w:jc w:val="both"/>
        <w:rPr>
          <w:rFonts w:ascii="Arial" w:hAnsi="Arial" w:cs="Arial"/>
          <w:sz w:val="22"/>
          <w:szCs w:val="22"/>
        </w:rPr>
      </w:pPr>
    </w:p>
    <w:p w14:paraId="6FE5842D" w14:textId="10FAAC34" w:rsidR="001F5C61" w:rsidRPr="006C6A54" w:rsidRDefault="001F5C61" w:rsidP="00923263">
      <w:pPr>
        <w:pStyle w:val="Paragraphedeliste"/>
        <w:numPr>
          <w:ilvl w:val="0"/>
          <w:numId w:val="9"/>
        </w:numPr>
        <w:spacing w:before="100" w:beforeAutospacing="1" w:after="100" w:afterAutospacing="1"/>
        <w:ind w:left="284"/>
        <w:jc w:val="both"/>
        <w:rPr>
          <w:rFonts w:ascii="Arial" w:hAnsi="Arial" w:cs="Arial"/>
          <w:sz w:val="22"/>
          <w:szCs w:val="22"/>
        </w:rPr>
      </w:pPr>
      <w:r w:rsidRPr="006C6A54">
        <w:rPr>
          <w:rFonts w:ascii="Arial" w:hAnsi="Arial" w:cs="Arial"/>
          <w:sz w:val="22"/>
          <w:szCs w:val="22"/>
        </w:rPr>
        <w:t xml:space="preserve">Toute information divulguée oralement ou par écrit en ce qui concerne l’offre au public de valeurs mobilières ou l’admission à la négociation </w:t>
      </w:r>
      <w:r w:rsidR="00DD35B1" w:rsidRPr="006C6A54">
        <w:rPr>
          <w:rFonts w:ascii="Arial" w:hAnsi="Arial" w:cs="Arial"/>
          <w:sz w:val="22"/>
          <w:szCs w:val="22"/>
        </w:rPr>
        <w:t xml:space="preserve">à </w:t>
      </w:r>
      <w:r w:rsidRPr="006C6A54">
        <w:rPr>
          <w:rFonts w:ascii="Arial" w:hAnsi="Arial" w:cs="Arial"/>
          <w:sz w:val="22"/>
          <w:szCs w:val="22"/>
        </w:rPr>
        <w:t xml:space="preserve">la bourse régionale, même si elle n’a pas de visée promotionnelle, est cohérente avec les informations figurant dans le document d’information. </w:t>
      </w:r>
    </w:p>
    <w:p w14:paraId="530CB4F2" w14:textId="77777777" w:rsidR="001F5C61" w:rsidRPr="006C6A54" w:rsidRDefault="001F5C61" w:rsidP="00923263">
      <w:pPr>
        <w:pStyle w:val="Paragraphedeliste"/>
        <w:ind w:left="284"/>
        <w:jc w:val="both"/>
        <w:rPr>
          <w:rFonts w:ascii="Arial" w:hAnsi="Arial" w:cs="Arial"/>
          <w:sz w:val="22"/>
          <w:szCs w:val="22"/>
        </w:rPr>
      </w:pPr>
    </w:p>
    <w:p w14:paraId="01181F7E" w14:textId="77777777" w:rsidR="00AB3FC9" w:rsidRPr="006C6A54" w:rsidRDefault="001F5C61" w:rsidP="00923263">
      <w:pPr>
        <w:pStyle w:val="Paragraphedeliste"/>
        <w:numPr>
          <w:ilvl w:val="0"/>
          <w:numId w:val="9"/>
        </w:numPr>
        <w:spacing w:before="100" w:beforeAutospacing="1" w:after="100" w:afterAutospacing="1"/>
        <w:ind w:left="284"/>
        <w:jc w:val="both"/>
        <w:rPr>
          <w:rFonts w:ascii="Arial" w:hAnsi="Arial" w:cs="Arial"/>
          <w:sz w:val="22"/>
          <w:szCs w:val="22"/>
        </w:rPr>
      </w:pPr>
      <w:r w:rsidRPr="006C6A54">
        <w:rPr>
          <w:rFonts w:ascii="Arial" w:hAnsi="Arial" w:cs="Arial"/>
          <w:sz w:val="22"/>
          <w:szCs w:val="22"/>
        </w:rPr>
        <w:t xml:space="preserve">Dans le cas où des informations importantes sont communiquées par un émetteur ou un offreur et adressées oralement ou par écrit à un ou plusieurs investisseurs sélectionnés, ces informations sont, selon le cas: </w:t>
      </w:r>
    </w:p>
    <w:p w14:paraId="157CCDD6" w14:textId="77777777" w:rsidR="00AB3FC9" w:rsidRPr="006C6A54" w:rsidRDefault="00AB3FC9" w:rsidP="00923263">
      <w:pPr>
        <w:pStyle w:val="Paragraphedeliste"/>
        <w:jc w:val="both"/>
        <w:rPr>
          <w:rFonts w:ascii="Arial" w:hAnsi="Arial" w:cs="Arial"/>
          <w:sz w:val="22"/>
          <w:szCs w:val="22"/>
        </w:rPr>
      </w:pPr>
    </w:p>
    <w:p w14:paraId="49C630D9" w14:textId="18F0F012" w:rsidR="00AB3FC9" w:rsidRPr="006C6A54" w:rsidRDefault="001F5C61" w:rsidP="00923263">
      <w:pPr>
        <w:pStyle w:val="Paragraphedeliste"/>
        <w:numPr>
          <w:ilvl w:val="1"/>
          <w:numId w:val="10"/>
        </w:numPr>
        <w:spacing w:before="100" w:beforeAutospacing="1" w:after="100" w:afterAutospacing="1"/>
        <w:ind w:left="567"/>
        <w:jc w:val="both"/>
        <w:rPr>
          <w:rFonts w:ascii="Arial" w:hAnsi="Arial" w:cs="Arial"/>
          <w:sz w:val="22"/>
          <w:szCs w:val="22"/>
          <w:highlight w:val="yellow"/>
        </w:rPr>
      </w:pPr>
      <w:r w:rsidRPr="006C6A54">
        <w:rPr>
          <w:rFonts w:ascii="Arial" w:hAnsi="Arial" w:cs="Arial"/>
          <w:sz w:val="22"/>
          <w:szCs w:val="22"/>
        </w:rPr>
        <w:t>soi</w:t>
      </w:r>
      <w:r w:rsidR="00DD35B1" w:rsidRPr="006C6A54">
        <w:rPr>
          <w:rFonts w:ascii="Arial" w:hAnsi="Arial" w:cs="Arial"/>
          <w:sz w:val="22"/>
          <w:szCs w:val="22"/>
        </w:rPr>
        <w:t>en</w:t>
      </w:r>
      <w:r w:rsidRPr="006C6A54">
        <w:rPr>
          <w:rFonts w:ascii="Arial" w:hAnsi="Arial" w:cs="Arial"/>
          <w:sz w:val="22"/>
          <w:szCs w:val="22"/>
        </w:rPr>
        <w:t xml:space="preserve">t communiquées à tous les autres investisseurs auxquels cette offre s’adresse dans le cas où la publication d’un </w:t>
      </w:r>
      <w:r w:rsidR="00AB3FC9" w:rsidRPr="006C6A54">
        <w:rPr>
          <w:rFonts w:ascii="Arial" w:hAnsi="Arial" w:cs="Arial"/>
          <w:sz w:val="22"/>
          <w:szCs w:val="22"/>
        </w:rPr>
        <w:t>document d’information</w:t>
      </w:r>
      <w:r w:rsidRPr="006C6A54">
        <w:rPr>
          <w:rFonts w:ascii="Arial" w:hAnsi="Arial" w:cs="Arial"/>
          <w:sz w:val="22"/>
          <w:szCs w:val="22"/>
        </w:rPr>
        <w:t xml:space="preserve"> n’est pas requise conformément à l’article </w:t>
      </w:r>
      <w:r w:rsidR="00AB3FC9" w:rsidRPr="006C6A54">
        <w:rPr>
          <w:rFonts w:ascii="Arial" w:hAnsi="Arial" w:cs="Arial"/>
          <w:sz w:val="22"/>
          <w:szCs w:val="22"/>
        </w:rPr>
        <w:t xml:space="preserve">77 du </w:t>
      </w:r>
      <w:r w:rsidR="00B86D29" w:rsidRPr="006C6A54">
        <w:rPr>
          <w:rFonts w:ascii="Arial" w:hAnsi="Arial" w:cs="Arial"/>
          <w:sz w:val="22"/>
          <w:szCs w:val="22"/>
        </w:rPr>
        <w:t>Règlement N°01/22/CEMAC/UMAC/CM/COSUMAF du 21 juillet 2022</w:t>
      </w:r>
      <w:r w:rsidR="00163C11" w:rsidRPr="006C6A54">
        <w:rPr>
          <w:rFonts w:ascii="Arial" w:hAnsi="Arial" w:cs="Arial"/>
          <w:sz w:val="22"/>
          <w:szCs w:val="22"/>
        </w:rPr>
        <w:t>.</w:t>
      </w:r>
      <w:r w:rsidR="00B86D29" w:rsidRPr="006C6A54">
        <w:rPr>
          <w:rFonts w:ascii="Arial" w:hAnsi="Arial" w:cs="Arial"/>
          <w:sz w:val="22"/>
          <w:szCs w:val="22"/>
        </w:rPr>
        <w:t xml:space="preserve"> </w:t>
      </w:r>
    </w:p>
    <w:p w14:paraId="43B2D8E4" w14:textId="77777777" w:rsidR="00AB3FC9" w:rsidRPr="006C6A54" w:rsidRDefault="00AB3FC9" w:rsidP="00923263">
      <w:pPr>
        <w:pStyle w:val="Paragraphedeliste"/>
        <w:spacing w:before="100" w:beforeAutospacing="1" w:after="100" w:afterAutospacing="1"/>
        <w:ind w:left="567"/>
        <w:jc w:val="both"/>
        <w:rPr>
          <w:rFonts w:ascii="Arial" w:hAnsi="Arial" w:cs="Arial"/>
          <w:sz w:val="22"/>
          <w:szCs w:val="22"/>
        </w:rPr>
      </w:pPr>
    </w:p>
    <w:p w14:paraId="6C35ACF6" w14:textId="16A396D8" w:rsidR="001F5C61" w:rsidRPr="006C6A54" w:rsidRDefault="001F5C61" w:rsidP="00923263">
      <w:pPr>
        <w:pStyle w:val="Paragraphedeliste"/>
        <w:numPr>
          <w:ilvl w:val="1"/>
          <w:numId w:val="10"/>
        </w:numPr>
        <w:spacing w:before="100" w:beforeAutospacing="1" w:after="100" w:afterAutospacing="1"/>
        <w:ind w:left="567"/>
        <w:jc w:val="both"/>
        <w:rPr>
          <w:rFonts w:ascii="Arial" w:hAnsi="Arial" w:cs="Arial"/>
          <w:sz w:val="22"/>
          <w:szCs w:val="22"/>
        </w:rPr>
      </w:pPr>
      <w:r w:rsidRPr="006C6A54">
        <w:rPr>
          <w:rFonts w:ascii="Arial" w:hAnsi="Arial" w:cs="Arial"/>
          <w:sz w:val="22"/>
          <w:szCs w:val="22"/>
        </w:rPr>
        <w:t>soi</w:t>
      </w:r>
      <w:r w:rsidR="00DD35B1" w:rsidRPr="006C6A54">
        <w:rPr>
          <w:rFonts w:ascii="Arial" w:hAnsi="Arial" w:cs="Arial"/>
          <w:sz w:val="22"/>
          <w:szCs w:val="22"/>
        </w:rPr>
        <w:t>en</w:t>
      </w:r>
      <w:r w:rsidRPr="006C6A54">
        <w:rPr>
          <w:rFonts w:ascii="Arial" w:hAnsi="Arial" w:cs="Arial"/>
          <w:sz w:val="22"/>
          <w:szCs w:val="22"/>
        </w:rPr>
        <w:t xml:space="preserve">t incluses dans le </w:t>
      </w:r>
      <w:r w:rsidR="00AB3FC9" w:rsidRPr="006C6A54">
        <w:rPr>
          <w:rFonts w:ascii="Arial" w:hAnsi="Arial" w:cs="Arial"/>
          <w:sz w:val="22"/>
          <w:szCs w:val="22"/>
        </w:rPr>
        <w:t>document d’information</w:t>
      </w:r>
      <w:r w:rsidRPr="006C6A54">
        <w:rPr>
          <w:rFonts w:ascii="Arial" w:hAnsi="Arial" w:cs="Arial"/>
          <w:sz w:val="22"/>
          <w:szCs w:val="22"/>
        </w:rPr>
        <w:t xml:space="preserve"> dans le cas où la publication d’un </w:t>
      </w:r>
      <w:r w:rsidR="00B02D25" w:rsidRPr="006C6A54">
        <w:rPr>
          <w:rFonts w:ascii="Arial" w:hAnsi="Arial" w:cs="Arial"/>
          <w:sz w:val="22"/>
          <w:szCs w:val="22"/>
        </w:rPr>
        <w:t>document d’information</w:t>
      </w:r>
      <w:r w:rsidRPr="006C6A54">
        <w:rPr>
          <w:rFonts w:ascii="Arial" w:hAnsi="Arial" w:cs="Arial"/>
          <w:sz w:val="22"/>
          <w:szCs w:val="22"/>
        </w:rPr>
        <w:t xml:space="preserve"> est requise. </w:t>
      </w:r>
    </w:p>
    <w:p w14:paraId="62394FFA" w14:textId="77777777" w:rsidR="001F5C61" w:rsidRPr="006C6A54" w:rsidRDefault="001F5C61" w:rsidP="00923263">
      <w:pPr>
        <w:pStyle w:val="Paragraphedeliste"/>
        <w:jc w:val="both"/>
        <w:rPr>
          <w:rFonts w:ascii="Arial" w:hAnsi="Arial" w:cs="Arial"/>
          <w:sz w:val="22"/>
          <w:szCs w:val="22"/>
        </w:rPr>
      </w:pPr>
    </w:p>
    <w:p w14:paraId="7F45FC43" w14:textId="0FF2F7E3" w:rsidR="00AB3FC9" w:rsidRPr="006C6A54" w:rsidRDefault="00AB3FC9" w:rsidP="00923263">
      <w:pPr>
        <w:spacing w:before="100" w:beforeAutospacing="1" w:after="100" w:afterAutospacing="1"/>
        <w:jc w:val="both"/>
        <w:rPr>
          <w:rFonts w:ascii="Arial" w:hAnsi="Arial" w:cs="Arial"/>
          <w:b/>
          <w:bCs/>
          <w:sz w:val="22"/>
          <w:szCs w:val="22"/>
        </w:rPr>
      </w:pPr>
      <w:r w:rsidRPr="006C6A54">
        <w:rPr>
          <w:rFonts w:ascii="Arial" w:hAnsi="Arial" w:cs="Arial"/>
          <w:b/>
          <w:bCs/>
          <w:sz w:val="22"/>
          <w:szCs w:val="22"/>
        </w:rPr>
        <w:t>ARTICLE 4 – TRANSMISSION A LA COSUMAF</w:t>
      </w:r>
    </w:p>
    <w:p w14:paraId="6784C7D3" w14:textId="79732C4C" w:rsidR="00B8245E" w:rsidRPr="006C6A54" w:rsidRDefault="00AB3FC9" w:rsidP="00923263">
      <w:pPr>
        <w:pStyle w:val="Paragraphedeliste"/>
        <w:numPr>
          <w:ilvl w:val="0"/>
          <w:numId w:val="12"/>
        </w:numPr>
        <w:spacing w:before="100" w:beforeAutospacing="1" w:after="100" w:afterAutospacing="1"/>
        <w:jc w:val="both"/>
        <w:rPr>
          <w:rFonts w:ascii="Arial" w:hAnsi="Arial" w:cs="Arial"/>
          <w:sz w:val="22"/>
          <w:szCs w:val="22"/>
        </w:rPr>
      </w:pPr>
      <w:r w:rsidRPr="006C6A54">
        <w:rPr>
          <w:rFonts w:ascii="Arial" w:hAnsi="Arial" w:cs="Arial"/>
          <w:sz w:val="22"/>
          <w:szCs w:val="22"/>
        </w:rPr>
        <w:lastRenderedPageBreak/>
        <w:t xml:space="preserve">Les communications </w:t>
      </w:r>
      <w:r w:rsidR="004B7746" w:rsidRPr="006C6A54">
        <w:rPr>
          <w:rFonts w:ascii="Arial" w:hAnsi="Arial" w:cs="Arial"/>
          <w:sz w:val="22"/>
          <w:szCs w:val="22"/>
        </w:rPr>
        <w:t xml:space="preserve">à caractère promotionnel se rapportant à une offre au public autre que l’une de celles mentionnées à l’article 77 du </w:t>
      </w:r>
      <w:r w:rsidR="00B86D29" w:rsidRPr="006C6A54">
        <w:rPr>
          <w:rFonts w:ascii="Arial" w:hAnsi="Arial" w:cs="Arial"/>
          <w:sz w:val="22"/>
          <w:szCs w:val="22"/>
        </w:rPr>
        <w:t xml:space="preserve">Règlement N°01/22/CEMAC/UMAC/CM/COSUMAF du 21 juillet 2022 </w:t>
      </w:r>
      <w:r w:rsidR="004B7746" w:rsidRPr="006C6A54">
        <w:rPr>
          <w:rFonts w:ascii="Arial" w:hAnsi="Arial" w:cs="Arial"/>
          <w:sz w:val="22"/>
          <w:szCs w:val="22"/>
        </w:rPr>
        <w:t xml:space="preserve">ou à une admission aux négociations sur la bourse </w:t>
      </w:r>
      <w:r w:rsidR="00600835" w:rsidRPr="006C6A54">
        <w:rPr>
          <w:rFonts w:ascii="Arial" w:hAnsi="Arial" w:cs="Arial"/>
          <w:sz w:val="22"/>
          <w:szCs w:val="22"/>
        </w:rPr>
        <w:t>régionale, quel</w:t>
      </w:r>
      <w:r w:rsidR="00E41ABD" w:rsidRPr="006C6A54">
        <w:rPr>
          <w:rFonts w:ascii="Arial" w:hAnsi="Arial" w:cs="Arial"/>
          <w:sz w:val="22"/>
          <w:szCs w:val="22"/>
        </w:rPr>
        <w:t xml:space="preserve">le </w:t>
      </w:r>
      <w:r w:rsidR="00600835" w:rsidRPr="006C6A54">
        <w:rPr>
          <w:rFonts w:ascii="Arial" w:hAnsi="Arial" w:cs="Arial"/>
          <w:sz w:val="22"/>
          <w:szCs w:val="22"/>
        </w:rPr>
        <w:t>que soi</w:t>
      </w:r>
      <w:r w:rsidR="004B7746" w:rsidRPr="006C6A54">
        <w:rPr>
          <w:rFonts w:ascii="Arial" w:hAnsi="Arial" w:cs="Arial"/>
          <w:sz w:val="22"/>
          <w:szCs w:val="22"/>
        </w:rPr>
        <w:t>t leur forme et leur mode de diffusion, sont transmises à la COSUMAF préalablement à leur diffusion</w:t>
      </w:r>
      <w:r w:rsidRPr="006C6A54">
        <w:rPr>
          <w:rFonts w:ascii="Arial" w:hAnsi="Arial" w:cs="Arial"/>
          <w:sz w:val="22"/>
          <w:szCs w:val="22"/>
        </w:rPr>
        <w:t>.</w:t>
      </w:r>
    </w:p>
    <w:p w14:paraId="7B60730D" w14:textId="77777777" w:rsidR="001B2FA2" w:rsidRPr="006C6A54" w:rsidRDefault="001B2FA2" w:rsidP="00923263">
      <w:pPr>
        <w:pStyle w:val="Paragraphedeliste"/>
        <w:spacing w:before="100" w:beforeAutospacing="1" w:after="100" w:afterAutospacing="1"/>
        <w:jc w:val="both"/>
        <w:rPr>
          <w:rFonts w:ascii="Arial" w:hAnsi="Arial" w:cs="Arial"/>
          <w:sz w:val="22"/>
          <w:szCs w:val="22"/>
        </w:rPr>
      </w:pPr>
    </w:p>
    <w:p w14:paraId="6D088809" w14:textId="47DEC645" w:rsidR="001F5C61" w:rsidRPr="006C6A54" w:rsidRDefault="00B8245E" w:rsidP="00923263">
      <w:pPr>
        <w:pStyle w:val="Paragraphedeliste"/>
        <w:numPr>
          <w:ilvl w:val="0"/>
          <w:numId w:val="12"/>
        </w:numPr>
        <w:spacing w:before="100" w:beforeAutospacing="1" w:after="100" w:afterAutospacing="1"/>
        <w:jc w:val="both"/>
        <w:rPr>
          <w:rFonts w:ascii="Arial" w:hAnsi="Arial" w:cs="Arial"/>
          <w:sz w:val="22"/>
          <w:szCs w:val="22"/>
          <w:highlight w:val="yellow"/>
        </w:rPr>
      </w:pPr>
      <w:r w:rsidRPr="006C6A54">
        <w:rPr>
          <w:rFonts w:ascii="Arial" w:hAnsi="Arial" w:cs="Arial"/>
          <w:sz w:val="22"/>
          <w:szCs w:val="22"/>
        </w:rPr>
        <w:t>Les communications à caractère promotionnel lié</w:t>
      </w:r>
      <w:r w:rsidR="00542CDE" w:rsidRPr="006C6A54">
        <w:rPr>
          <w:rFonts w:ascii="Arial" w:hAnsi="Arial" w:cs="Arial"/>
          <w:sz w:val="22"/>
          <w:szCs w:val="22"/>
        </w:rPr>
        <w:t>es</w:t>
      </w:r>
      <w:r w:rsidRPr="006C6A54">
        <w:rPr>
          <w:rFonts w:ascii="Arial" w:hAnsi="Arial" w:cs="Arial"/>
          <w:sz w:val="22"/>
          <w:szCs w:val="22"/>
        </w:rPr>
        <w:t xml:space="preserve"> à un document d’information approuvé par la COSUMAF </w:t>
      </w:r>
      <w:r w:rsidR="00B02D25" w:rsidRPr="006C6A54">
        <w:rPr>
          <w:rFonts w:ascii="Arial" w:hAnsi="Arial" w:cs="Arial"/>
          <w:sz w:val="22"/>
          <w:szCs w:val="22"/>
        </w:rPr>
        <w:t>sont</w:t>
      </w:r>
      <w:r w:rsidRPr="006C6A54">
        <w:rPr>
          <w:rFonts w:ascii="Arial" w:hAnsi="Arial" w:cs="Arial"/>
          <w:sz w:val="22"/>
          <w:szCs w:val="22"/>
        </w:rPr>
        <w:t xml:space="preserve"> </w:t>
      </w:r>
      <w:r w:rsidR="00542CDE" w:rsidRPr="006C6A54">
        <w:rPr>
          <w:rFonts w:ascii="Arial" w:hAnsi="Arial" w:cs="Arial"/>
          <w:sz w:val="22"/>
          <w:szCs w:val="22"/>
        </w:rPr>
        <w:t>transmises par courrier électronique et physique, préalablement</w:t>
      </w:r>
      <w:r w:rsidRPr="006C6A54">
        <w:rPr>
          <w:rFonts w:ascii="Arial" w:hAnsi="Arial" w:cs="Arial"/>
          <w:sz w:val="22"/>
          <w:szCs w:val="22"/>
        </w:rPr>
        <w:t xml:space="preserve"> à </w:t>
      </w:r>
      <w:r w:rsidR="00B02D25" w:rsidRPr="006C6A54">
        <w:rPr>
          <w:rFonts w:ascii="Arial" w:hAnsi="Arial" w:cs="Arial"/>
          <w:sz w:val="22"/>
          <w:szCs w:val="22"/>
        </w:rPr>
        <w:t xml:space="preserve">leurs </w:t>
      </w:r>
      <w:r w:rsidRPr="006C6A54">
        <w:rPr>
          <w:rFonts w:ascii="Arial" w:hAnsi="Arial" w:cs="Arial"/>
          <w:sz w:val="22"/>
          <w:szCs w:val="22"/>
        </w:rPr>
        <w:t>diffusion</w:t>
      </w:r>
      <w:r w:rsidR="00B02D25" w:rsidRPr="006C6A54">
        <w:rPr>
          <w:rFonts w:ascii="Arial" w:hAnsi="Arial" w:cs="Arial"/>
          <w:sz w:val="22"/>
          <w:szCs w:val="22"/>
        </w:rPr>
        <w:t>s</w:t>
      </w:r>
      <w:r w:rsidR="00542CDE" w:rsidRPr="006C6A54">
        <w:rPr>
          <w:rFonts w:ascii="Arial" w:hAnsi="Arial" w:cs="Arial"/>
          <w:sz w:val="22"/>
          <w:szCs w:val="22"/>
        </w:rPr>
        <w:t>.</w:t>
      </w:r>
      <w:r w:rsidRPr="006C6A54">
        <w:rPr>
          <w:rFonts w:ascii="Arial" w:hAnsi="Arial" w:cs="Arial"/>
          <w:sz w:val="22"/>
          <w:szCs w:val="22"/>
        </w:rPr>
        <w:t xml:space="preserve"> </w:t>
      </w:r>
    </w:p>
    <w:p w14:paraId="45694F85" w14:textId="77777777" w:rsidR="0018355E" w:rsidRPr="006C6A54" w:rsidRDefault="0018355E" w:rsidP="00923263">
      <w:pPr>
        <w:pStyle w:val="Paragraphedeliste"/>
        <w:jc w:val="both"/>
        <w:rPr>
          <w:rFonts w:ascii="Arial" w:hAnsi="Arial" w:cs="Arial"/>
          <w:sz w:val="22"/>
          <w:szCs w:val="22"/>
        </w:rPr>
      </w:pPr>
    </w:p>
    <w:p w14:paraId="73CB729D" w14:textId="48691949" w:rsidR="0018355E" w:rsidRPr="006C6A54" w:rsidRDefault="00542CDE" w:rsidP="00923263">
      <w:pPr>
        <w:pStyle w:val="Paragraphedeliste"/>
        <w:numPr>
          <w:ilvl w:val="0"/>
          <w:numId w:val="12"/>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 courrier </w:t>
      </w:r>
      <w:r w:rsidR="0018355E" w:rsidRPr="006C6A54">
        <w:rPr>
          <w:rFonts w:ascii="Arial" w:hAnsi="Arial" w:cs="Arial"/>
          <w:sz w:val="22"/>
          <w:szCs w:val="22"/>
        </w:rPr>
        <w:t xml:space="preserve"> de dépôt mentionné au paragraphe </w:t>
      </w:r>
      <w:r w:rsidR="00B02D25" w:rsidRPr="006C6A54">
        <w:rPr>
          <w:rFonts w:ascii="Arial" w:hAnsi="Arial" w:cs="Arial"/>
          <w:sz w:val="22"/>
          <w:szCs w:val="22"/>
        </w:rPr>
        <w:t xml:space="preserve">2 </w:t>
      </w:r>
      <w:r w:rsidR="0018355E" w:rsidRPr="006C6A54">
        <w:rPr>
          <w:rFonts w:ascii="Arial" w:hAnsi="Arial" w:cs="Arial"/>
          <w:sz w:val="22"/>
          <w:szCs w:val="22"/>
        </w:rPr>
        <w:t>comporte les éléments suivants :</w:t>
      </w:r>
    </w:p>
    <w:p w14:paraId="13A58093" w14:textId="77777777" w:rsidR="0018355E" w:rsidRPr="006C6A54" w:rsidRDefault="0018355E" w:rsidP="00923263">
      <w:pPr>
        <w:pStyle w:val="Paragraphedeliste"/>
        <w:jc w:val="both"/>
        <w:rPr>
          <w:rFonts w:ascii="Arial" w:hAnsi="Arial" w:cs="Arial"/>
          <w:sz w:val="22"/>
          <w:szCs w:val="22"/>
        </w:rPr>
      </w:pPr>
    </w:p>
    <w:p w14:paraId="1B3677FA" w14:textId="10F195D8" w:rsidR="0018355E" w:rsidRPr="006C6A54" w:rsidRDefault="0018355E" w:rsidP="00923263">
      <w:pPr>
        <w:pStyle w:val="Paragraphedeliste"/>
        <w:numPr>
          <w:ilvl w:val="0"/>
          <w:numId w:val="13"/>
        </w:numPr>
        <w:spacing w:before="100" w:beforeAutospacing="1" w:after="100" w:afterAutospacing="1"/>
        <w:jc w:val="both"/>
        <w:rPr>
          <w:rFonts w:ascii="Arial" w:hAnsi="Arial" w:cs="Arial"/>
          <w:sz w:val="22"/>
          <w:szCs w:val="22"/>
        </w:rPr>
      </w:pPr>
      <w:r w:rsidRPr="006C6A54">
        <w:rPr>
          <w:rFonts w:ascii="Arial" w:hAnsi="Arial" w:cs="Arial"/>
          <w:sz w:val="22"/>
          <w:szCs w:val="22"/>
        </w:rPr>
        <w:t>La version finale de la documentation à caractère promotionnel ;</w:t>
      </w:r>
    </w:p>
    <w:p w14:paraId="02153970" w14:textId="6A17A1FB" w:rsidR="0018355E" w:rsidRPr="006C6A54" w:rsidRDefault="0018355E" w:rsidP="00923263">
      <w:pPr>
        <w:pStyle w:val="Paragraphedeliste"/>
        <w:numPr>
          <w:ilvl w:val="0"/>
          <w:numId w:val="13"/>
        </w:numPr>
        <w:spacing w:before="100" w:beforeAutospacing="1" w:after="100" w:afterAutospacing="1"/>
        <w:jc w:val="both"/>
        <w:rPr>
          <w:rFonts w:ascii="Arial" w:hAnsi="Arial" w:cs="Arial"/>
          <w:sz w:val="22"/>
          <w:szCs w:val="22"/>
        </w:rPr>
      </w:pPr>
      <w:r w:rsidRPr="006C6A54">
        <w:rPr>
          <w:rFonts w:ascii="Arial" w:hAnsi="Arial" w:cs="Arial"/>
          <w:sz w:val="22"/>
          <w:szCs w:val="22"/>
        </w:rPr>
        <w:t>Le nom et les coordonnées (téléphone, email, adresse postale) de la personne à contacter au sein de l’établissement en cas de besoin ;</w:t>
      </w:r>
    </w:p>
    <w:p w14:paraId="0D3AD539" w14:textId="7FD9EEC3" w:rsidR="0018355E" w:rsidRPr="006C6A54" w:rsidRDefault="0018355E" w:rsidP="00923263">
      <w:pPr>
        <w:pStyle w:val="Paragraphedeliste"/>
        <w:numPr>
          <w:ilvl w:val="0"/>
          <w:numId w:val="13"/>
        </w:numPr>
        <w:spacing w:before="100" w:beforeAutospacing="1" w:after="100" w:afterAutospacing="1"/>
        <w:jc w:val="both"/>
        <w:rPr>
          <w:rFonts w:ascii="Arial" w:hAnsi="Arial" w:cs="Arial"/>
          <w:sz w:val="22"/>
          <w:szCs w:val="22"/>
        </w:rPr>
      </w:pPr>
      <w:r w:rsidRPr="006C6A54">
        <w:rPr>
          <w:rFonts w:ascii="Arial" w:hAnsi="Arial" w:cs="Arial"/>
          <w:sz w:val="22"/>
          <w:szCs w:val="22"/>
        </w:rPr>
        <w:t>Le montant total de l’émission correspondante, ou a minima, une estimation de l’enveloppe ouverte à la commercialisation ;</w:t>
      </w:r>
    </w:p>
    <w:p w14:paraId="076533D9" w14:textId="2193EE51" w:rsidR="001B2FA2" w:rsidRPr="006C6A54" w:rsidRDefault="0018355E" w:rsidP="00923263">
      <w:pPr>
        <w:pStyle w:val="Paragraphedeliste"/>
        <w:numPr>
          <w:ilvl w:val="0"/>
          <w:numId w:val="13"/>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 cas échéant, </w:t>
      </w:r>
      <w:r w:rsidR="001B2FA2" w:rsidRPr="006C6A54">
        <w:rPr>
          <w:rFonts w:ascii="Arial" w:hAnsi="Arial" w:cs="Arial"/>
          <w:sz w:val="22"/>
          <w:szCs w:val="22"/>
        </w:rPr>
        <w:t>si le titre de créance présente un risque de perte en capital supérieur à 10%, la référence à la structuration utilisée ou une copie de la confirmation du décompte de mécanisme faite préalablement par les services de la COSUMAF</w:t>
      </w:r>
      <w:r w:rsidR="00B02D25" w:rsidRPr="006C6A54">
        <w:rPr>
          <w:rFonts w:ascii="Arial" w:hAnsi="Arial" w:cs="Arial"/>
          <w:sz w:val="22"/>
          <w:szCs w:val="22"/>
        </w:rPr>
        <w:t> ;</w:t>
      </w:r>
    </w:p>
    <w:p w14:paraId="495F0562" w14:textId="1AEE6D31" w:rsidR="00B02D25" w:rsidRPr="006C6A54" w:rsidRDefault="00B02D25" w:rsidP="00923263">
      <w:pPr>
        <w:pStyle w:val="Paragraphedeliste"/>
        <w:numPr>
          <w:ilvl w:val="0"/>
          <w:numId w:val="13"/>
        </w:numPr>
        <w:spacing w:before="100" w:beforeAutospacing="1" w:after="100" w:afterAutospacing="1"/>
        <w:jc w:val="both"/>
        <w:rPr>
          <w:rFonts w:ascii="Arial" w:hAnsi="Arial" w:cs="Arial"/>
          <w:sz w:val="22"/>
          <w:szCs w:val="22"/>
        </w:rPr>
      </w:pPr>
      <w:r w:rsidRPr="006C6A54">
        <w:rPr>
          <w:rFonts w:ascii="Arial" w:hAnsi="Arial" w:cs="Arial"/>
          <w:sz w:val="22"/>
          <w:szCs w:val="22"/>
        </w:rPr>
        <w:t>La date escomptée de publication.</w:t>
      </w:r>
    </w:p>
    <w:p w14:paraId="21CA8431" w14:textId="289FDDDA" w:rsidR="001B2FA2" w:rsidRPr="006C6A54" w:rsidRDefault="001B2FA2" w:rsidP="00923263">
      <w:pPr>
        <w:spacing w:before="100" w:beforeAutospacing="1" w:after="100" w:afterAutospacing="1"/>
        <w:jc w:val="both"/>
        <w:rPr>
          <w:rFonts w:ascii="Arial" w:hAnsi="Arial" w:cs="Arial"/>
          <w:b/>
          <w:bCs/>
          <w:sz w:val="22"/>
          <w:szCs w:val="22"/>
        </w:rPr>
      </w:pPr>
      <w:r w:rsidRPr="006C6A54">
        <w:rPr>
          <w:rFonts w:ascii="Arial" w:hAnsi="Arial" w:cs="Arial"/>
          <w:b/>
          <w:bCs/>
          <w:sz w:val="22"/>
          <w:szCs w:val="22"/>
        </w:rPr>
        <w:t>ARTICLE 5 – REVUE PAR LA COSUMAF</w:t>
      </w:r>
    </w:p>
    <w:p w14:paraId="3B808153" w14:textId="47DFAA92" w:rsidR="001B2FA2" w:rsidRPr="006C6A54" w:rsidRDefault="001B2FA2" w:rsidP="00923263">
      <w:pPr>
        <w:pStyle w:val="Paragraphedeliste"/>
        <w:numPr>
          <w:ilvl w:val="0"/>
          <w:numId w:val="15"/>
        </w:numPr>
        <w:spacing w:before="100" w:beforeAutospacing="1" w:after="100" w:afterAutospacing="1"/>
        <w:jc w:val="both"/>
        <w:rPr>
          <w:rFonts w:ascii="Arial" w:hAnsi="Arial" w:cs="Arial"/>
          <w:sz w:val="22"/>
          <w:szCs w:val="22"/>
        </w:rPr>
      </w:pPr>
      <w:r w:rsidRPr="006C6A54">
        <w:rPr>
          <w:rFonts w:ascii="Arial" w:hAnsi="Arial" w:cs="Arial"/>
          <w:sz w:val="22"/>
          <w:szCs w:val="22"/>
        </w:rPr>
        <w:t>La COSUMAF peut exiger que les communications à caractère promotionnel mentionnées à l’alinéa 1 de l’article 4 comportent un avertissement sur certaines caractéristiques présentées par l’émetteur, les garants éventuels ou les titres financiers qui font l’objet de l’offre au public ou de l’admission aux négociations sur la bourse régionale.</w:t>
      </w:r>
    </w:p>
    <w:p w14:paraId="4BEE292A" w14:textId="77777777" w:rsidR="001B2FA2" w:rsidRPr="006C6A54" w:rsidRDefault="001B2FA2" w:rsidP="00923263">
      <w:pPr>
        <w:pStyle w:val="Paragraphedeliste"/>
        <w:spacing w:before="100" w:beforeAutospacing="1" w:after="100" w:afterAutospacing="1"/>
        <w:jc w:val="both"/>
        <w:rPr>
          <w:rFonts w:ascii="Arial" w:hAnsi="Arial" w:cs="Arial"/>
          <w:sz w:val="22"/>
          <w:szCs w:val="22"/>
        </w:rPr>
      </w:pPr>
    </w:p>
    <w:p w14:paraId="0AAE0C33" w14:textId="14A6133C" w:rsidR="001B2FA2" w:rsidRPr="006C6A54" w:rsidRDefault="001B2FA2" w:rsidP="00923263">
      <w:pPr>
        <w:pStyle w:val="Paragraphedeliste"/>
        <w:numPr>
          <w:ilvl w:val="0"/>
          <w:numId w:val="15"/>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En complément du paragraphe </w:t>
      </w:r>
      <w:r w:rsidR="00CE0846" w:rsidRPr="006C6A54">
        <w:rPr>
          <w:rFonts w:ascii="Arial" w:hAnsi="Arial" w:cs="Arial"/>
          <w:sz w:val="22"/>
          <w:szCs w:val="22"/>
        </w:rPr>
        <w:t>1</w:t>
      </w:r>
      <w:r w:rsidRPr="006C6A54">
        <w:rPr>
          <w:rFonts w:ascii="Arial" w:hAnsi="Arial" w:cs="Arial"/>
          <w:sz w:val="22"/>
          <w:szCs w:val="22"/>
        </w:rPr>
        <w:t>, la COSUMAF peut exiger que des modifications soient apportées aux communications à caractère promotionnel mentionnées à l’alinéa 1 de l’article 4.</w:t>
      </w:r>
    </w:p>
    <w:p w14:paraId="33FEE999" w14:textId="508CD019" w:rsidR="001B2FA2" w:rsidRPr="006C6A54" w:rsidRDefault="001B2FA2" w:rsidP="00923263">
      <w:pPr>
        <w:spacing w:before="100" w:beforeAutospacing="1" w:after="100" w:afterAutospacing="1"/>
        <w:jc w:val="both"/>
        <w:rPr>
          <w:rFonts w:ascii="Arial" w:hAnsi="Arial" w:cs="Arial"/>
          <w:b/>
          <w:bCs/>
          <w:sz w:val="22"/>
          <w:szCs w:val="22"/>
        </w:rPr>
      </w:pPr>
      <w:r w:rsidRPr="006C6A54">
        <w:rPr>
          <w:rFonts w:ascii="Arial" w:hAnsi="Arial" w:cs="Arial"/>
          <w:b/>
          <w:bCs/>
          <w:sz w:val="22"/>
          <w:szCs w:val="22"/>
        </w:rPr>
        <w:t xml:space="preserve">ARTICLE 6 – </w:t>
      </w:r>
      <w:r w:rsidR="0071605B" w:rsidRPr="006C6A54">
        <w:rPr>
          <w:rFonts w:ascii="Arial" w:hAnsi="Arial" w:cs="Arial"/>
          <w:b/>
          <w:bCs/>
          <w:sz w:val="22"/>
          <w:szCs w:val="22"/>
        </w:rPr>
        <w:t xml:space="preserve">CONTENU </w:t>
      </w:r>
      <w:r w:rsidRPr="006C6A54">
        <w:rPr>
          <w:rFonts w:ascii="Arial" w:hAnsi="Arial" w:cs="Arial"/>
          <w:b/>
          <w:bCs/>
          <w:sz w:val="22"/>
          <w:szCs w:val="22"/>
        </w:rPr>
        <w:t>DES COMMUNICATIONS A CARACTERE PROMOTIONNEL</w:t>
      </w:r>
    </w:p>
    <w:p w14:paraId="211625AF" w14:textId="32586101" w:rsidR="001B2FA2" w:rsidRPr="006C6A54" w:rsidRDefault="001B2FA2" w:rsidP="00923263">
      <w:pPr>
        <w:pStyle w:val="Paragraphedeliste"/>
        <w:numPr>
          <w:ilvl w:val="0"/>
          <w:numId w:val="17"/>
        </w:numPr>
        <w:spacing w:before="100" w:beforeAutospacing="1" w:after="100" w:afterAutospacing="1"/>
        <w:jc w:val="both"/>
        <w:rPr>
          <w:rFonts w:ascii="Arial" w:hAnsi="Arial" w:cs="Arial"/>
          <w:sz w:val="22"/>
          <w:szCs w:val="22"/>
        </w:rPr>
      </w:pPr>
      <w:r w:rsidRPr="006C6A54">
        <w:rPr>
          <w:rFonts w:ascii="Arial" w:hAnsi="Arial" w:cs="Arial"/>
          <w:sz w:val="22"/>
          <w:szCs w:val="22"/>
        </w:rPr>
        <w:t>Les communications à caractère promotionnel contiennent les éléments suivants :</w:t>
      </w:r>
    </w:p>
    <w:p w14:paraId="3D2E2B67" w14:textId="77777777" w:rsidR="0071605B" w:rsidRPr="006C6A54" w:rsidRDefault="0071605B" w:rsidP="00923263">
      <w:pPr>
        <w:pStyle w:val="Paragraphedeliste"/>
        <w:spacing w:before="100" w:beforeAutospacing="1" w:after="100" w:afterAutospacing="1"/>
        <w:jc w:val="both"/>
        <w:rPr>
          <w:rFonts w:ascii="Arial" w:hAnsi="Arial" w:cs="Arial"/>
          <w:sz w:val="22"/>
          <w:szCs w:val="22"/>
        </w:rPr>
      </w:pPr>
    </w:p>
    <w:p w14:paraId="0D85F424" w14:textId="45183DC0" w:rsidR="001B2FA2" w:rsidRPr="006C6A54" w:rsidRDefault="001B2FA2" w:rsidP="00923263">
      <w:pPr>
        <w:pStyle w:val="Paragraphedeliste"/>
        <w:numPr>
          <w:ilvl w:val="0"/>
          <w:numId w:val="16"/>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La mention « communication à caractère promotionnel », de manière bien visible. Lorsqu’une communication </w:t>
      </w:r>
      <w:r w:rsidR="00B4424F" w:rsidRPr="006C6A54">
        <w:rPr>
          <w:rFonts w:ascii="Arial" w:hAnsi="Arial" w:cs="Arial"/>
          <w:sz w:val="22"/>
          <w:szCs w:val="22"/>
        </w:rPr>
        <w:t>à</w:t>
      </w:r>
      <w:r w:rsidRPr="006C6A54">
        <w:rPr>
          <w:rFonts w:ascii="Arial" w:hAnsi="Arial" w:cs="Arial"/>
          <w:sz w:val="22"/>
          <w:szCs w:val="22"/>
        </w:rPr>
        <w:t xml:space="preserve"> caractère promotionnel est diffusée oralement, sa finalité est clairement indiquée au début du message ;</w:t>
      </w:r>
    </w:p>
    <w:p w14:paraId="5A5D9B82" w14:textId="77777777" w:rsidR="001B2FA2" w:rsidRPr="006C6A54" w:rsidRDefault="001B2FA2" w:rsidP="00923263">
      <w:pPr>
        <w:pStyle w:val="Paragraphedeliste"/>
        <w:spacing w:before="100" w:beforeAutospacing="1" w:after="100" w:afterAutospacing="1"/>
        <w:jc w:val="both"/>
        <w:rPr>
          <w:rFonts w:ascii="Arial" w:hAnsi="Arial" w:cs="Arial"/>
          <w:sz w:val="22"/>
          <w:szCs w:val="22"/>
        </w:rPr>
      </w:pPr>
    </w:p>
    <w:p w14:paraId="3A71FE1A" w14:textId="487014F8" w:rsidR="001B2FA2" w:rsidRPr="006C6A54" w:rsidRDefault="001B2FA2" w:rsidP="00923263">
      <w:pPr>
        <w:pStyle w:val="Paragraphedeliste"/>
        <w:numPr>
          <w:ilvl w:val="0"/>
          <w:numId w:val="16"/>
        </w:numPr>
        <w:spacing w:before="100" w:beforeAutospacing="1" w:after="100" w:afterAutospacing="1"/>
        <w:jc w:val="both"/>
        <w:rPr>
          <w:rFonts w:ascii="Arial" w:hAnsi="Arial" w:cs="Arial"/>
          <w:sz w:val="22"/>
          <w:szCs w:val="22"/>
        </w:rPr>
      </w:pPr>
      <w:r w:rsidRPr="006C6A54">
        <w:rPr>
          <w:rFonts w:ascii="Arial" w:hAnsi="Arial" w:cs="Arial"/>
          <w:sz w:val="22"/>
          <w:szCs w:val="22"/>
        </w:rPr>
        <w:t>Une déclaration selon laquelle l’approbation</w:t>
      </w:r>
      <w:r w:rsidR="00B140EA" w:rsidRPr="006C6A54">
        <w:rPr>
          <w:rFonts w:ascii="Arial" w:hAnsi="Arial" w:cs="Arial"/>
          <w:sz w:val="22"/>
          <w:szCs w:val="22"/>
        </w:rPr>
        <w:t xml:space="preserve"> par la COSUMAF</w:t>
      </w:r>
      <w:r w:rsidRPr="006C6A54">
        <w:rPr>
          <w:rFonts w:ascii="Arial" w:hAnsi="Arial" w:cs="Arial"/>
          <w:sz w:val="22"/>
          <w:szCs w:val="22"/>
        </w:rPr>
        <w:t xml:space="preserve"> du document d’information ne doit pas être considérée comme un avis favorable sur les valeurs mobilières </w:t>
      </w:r>
      <w:r w:rsidR="00B4424F" w:rsidRPr="006C6A54">
        <w:rPr>
          <w:rFonts w:ascii="Arial" w:hAnsi="Arial" w:cs="Arial"/>
          <w:sz w:val="22"/>
          <w:szCs w:val="22"/>
        </w:rPr>
        <w:t xml:space="preserve">et autres instruments financiers </w:t>
      </w:r>
      <w:r w:rsidRPr="006C6A54">
        <w:rPr>
          <w:rFonts w:ascii="Arial" w:hAnsi="Arial" w:cs="Arial"/>
          <w:sz w:val="22"/>
          <w:szCs w:val="22"/>
        </w:rPr>
        <w:t>offerts</w:t>
      </w:r>
      <w:r w:rsidR="00CE0846" w:rsidRPr="006C6A54">
        <w:rPr>
          <w:rFonts w:ascii="Arial" w:hAnsi="Arial" w:cs="Arial"/>
          <w:sz w:val="22"/>
          <w:szCs w:val="22"/>
        </w:rPr>
        <w:t>,</w:t>
      </w:r>
      <w:r w:rsidR="00923263" w:rsidRPr="006C6A54">
        <w:rPr>
          <w:rFonts w:ascii="Arial" w:hAnsi="Arial" w:cs="Arial"/>
          <w:sz w:val="22"/>
          <w:szCs w:val="22"/>
        </w:rPr>
        <w:t xml:space="preserve"> </w:t>
      </w:r>
      <w:r w:rsidRPr="006C6A54">
        <w:rPr>
          <w:rFonts w:ascii="Arial" w:hAnsi="Arial" w:cs="Arial"/>
          <w:sz w:val="22"/>
          <w:szCs w:val="22"/>
        </w:rPr>
        <w:t>ou admis à la négociation sur la bourse régionale</w:t>
      </w:r>
      <w:r w:rsidR="003E303D" w:rsidRPr="006C6A54">
        <w:rPr>
          <w:rFonts w:ascii="Arial" w:hAnsi="Arial" w:cs="Arial"/>
          <w:sz w:val="22"/>
          <w:szCs w:val="22"/>
        </w:rPr>
        <w:t>;</w:t>
      </w:r>
      <w:r w:rsidRPr="006C6A54">
        <w:rPr>
          <w:rFonts w:ascii="Arial" w:hAnsi="Arial" w:cs="Arial"/>
          <w:sz w:val="22"/>
          <w:szCs w:val="22"/>
        </w:rPr>
        <w:t xml:space="preserve"> </w:t>
      </w:r>
    </w:p>
    <w:p w14:paraId="422DEBE2" w14:textId="77777777" w:rsidR="001B2FA2" w:rsidRPr="006C6A54" w:rsidRDefault="001B2FA2" w:rsidP="00923263">
      <w:pPr>
        <w:pStyle w:val="Paragraphedeliste"/>
        <w:jc w:val="both"/>
        <w:rPr>
          <w:rFonts w:ascii="Arial" w:hAnsi="Arial" w:cs="Arial"/>
          <w:sz w:val="22"/>
          <w:szCs w:val="22"/>
        </w:rPr>
      </w:pPr>
    </w:p>
    <w:p w14:paraId="30295709" w14:textId="6E3BCF8D" w:rsidR="001B2FA2" w:rsidRPr="006C6A54" w:rsidRDefault="001B2FA2" w:rsidP="00923263">
      <w:pPr>
        <w:pStyle w:val="Paragraphedeliste"/>
        <w:numPr>
          <w:ilvl w:val="0"/>
          <w:numId w:val="16"/>
        </w:numPr>
        <w:spacing w:before="100" w:beforeAutospacing="1" w:after="100" w:afterAutospacing="1"/>
        <w:jc w:val="both"/>
        <w:rPr>
          <w:rFonts w:ascii="Arial" w:hAnsi="Arial" w:cs="Arial"/>
          <w:sz w:val="22"/>
          <w:szCs w:val="22"/>
        </w:rPr>
      </w:pPr>
      <w:r w:rsidRPr="006C6A54">
        <w:rPr>
          <w:rFonts w:ascii="Arial" w:hAnsi="Arial" w:cs="Arial"/>
          <w:sz w:val="22"/>
          <w:szCs w:val="22"/>
        </w:rPr>
        <w:t>Une recommandation invitant les investisseurs potentiels à lire le document d’information avant de prendre une décision d’investissement afin de pleinement comprendre les risques et avantages potentiels associés à la décision d’investir dans les valeurs mobilières</w:t>
      </w:r>
      <w:r w:rsidR="00CE0846" w:rsidRPr="006C6A54">
        <w:rPr>
          <w:rFonts w:ascii="Arial" w:hAnsi="Arial" w:cs="Arial"/>
          <w:sz w:val="22"/>
          <w:szCs w:val="22"/>
        </w:rPr>
        <w:t xml:space="preserve"> ou tout autre instrument financier</w:t>
      </w:r>
      <w:r w:rsidRPr="006C6A54">
        <w:rPr>
          <w:rFonts w:ascii="Arial" w:hAnsi="Arial" w:cs="Arial"/>
          <w:sz w:val="22"/>
          <w:szCs w:val="22"/>
        </w:rPr>
        <w:t>,»</w:t>
      </w:r>
      <w:r w:rsidR="0071605B" w:rsidRPr="006C6A54">
        <w:rPr>
          <w:rFonts w:ascii="Arial" w:hAnsi="Arial" w:cs="Arial"/>
          <w:sz w:val="22"/>
          <w:szCs w:val="22"/>
        </w:rPr>
        <w:t> ;</w:t>
      </w:r>
    </w:p>
    <w:p w14:paraId="79EBEE76" w14:textId="77777777" w:rsidR="0071605B" w:rsidRPr="006C6A54" w:rsidRDefault="0071605B" w:rsidP="00923263">
      <w:pPr>
        <w:pStyle w:val="Paragraphedeliste"/>
        <w:jc w:val="both"/>
        <w:rPr>
          <w:rFonts w:ascii="Arial" w:hAnsi="Arial" w:cs="Arial"/>
          <w:sz w:val="22"/>
          <w:szCs w:val="22"/>
        </w:rPr>
      </w:pPr>
    </w:p>
    <w:p w14:paraId="0E089294" w14:textId="3323B88E" w:rsidR="0071605B" w:rsidRPr="006C6A54" w:rsidRDefault="0071605B" w:rsidP="00923263">
      <w:pPr>
        <w:pStyle w:val="Paragraphedeliste"/>
        <w:numPr>
          <w:ilvl w:val="0"/>
          <w:numId w:val="17"/>
        </w:numPr>
        <w:spacing w:before="100" w:beforeAutospacing="1" w:after="100" w:afterAutospacing="1"/>
        <w:jc w:val="both"/>
        <w:rPr>
          <w:rFonts w:ascii="Arial" w:hAnsi="Arial" w:cs="Arial"/>
          <w:sz w:val="22"/>
          <w:szCs w:val="22"/>
        </w:rPr>
      </w:pPr>
      <w:r w:rsidRPr="006C6A54">
        <w:rPr>
          <w:rFonts w:ascii="Arial" w:hAnsi="Arial" w:cs="Arial"/>
          <w:sz w:val="22"/>
          <w:szCs w:val="22"/>
        </w:rPr>
        <w:lastRenderedPageBreak/>
        <w:t>Les communications à caractère promotionnel identifient clairement le document d’information :</w:t>
      </w:r>
    </w:p>
    <w:p w14:paraId="133855A1" w14:textId="77777777" w:rsidR="00393A0E" w:rsidRPr="006C6A54" w:rsidRDefault="00393A0E" w:rsidP="00923263">
      <w:pPr>
        <w:pStyle w:val="Paragraphedeliste"/>
        <w:spacing w:before="100" w:beforeAutospacing="1" w:after="100" w:afterAutospacing="1"/>
        <w:jc w:val="both"/>
        <w:rPr>
          <w:rFonts w:ascii="Arial" w:hAnsi="Arial" w:cs="Arial"/>
          <w:sz w:val="22"/>
          <w:szCs w:val="22"/>
        </w:rPr>
      </w:pPr>
    </w:p>
    <w:p w14:paraId="55217E35" w14:textId="7F32D4A1" w:rsidR="0071605B" w:rsidRPr="006C6A54" w:rsidRDefault="0071605B" w:rsidP="00923263">
      <w:pPr>
        <w:pStyle w:val="Paragraphedeliste"/>
        <w:numPr>
          <w:ilvl w:val="0"/>
          <w:numId w:val="18"/>
        </w:numPr>
        <w:spacing w:before="100" w:beforeAutospacing="1" w:after="100" w:afterAutospacing="1"/>
        <w:jc w:val="both"/>
        <w:rPr>
          <w:rFonts w:ascii="Arial" w:hAnsi="Arial" w:cs="Arial"/>
          <w:sz w:val="22"/>
          <w:szCs w:val="22"/>
        </w:rPr>
      </w:pPr>
      <w:r w:rsidRPr="006C6A54">
        <w:rPr>
          <w:rFonts w:ascii="Arial" w:hAnsi="Arial" w:cs="Arial"/>
          <w:sz w:val="22"/>
          <w:szCs w:val="22"/>
        </w:rPr>
        <w:t>En indiquant clairement le site internet où le document d’information est publié ou sera publié, lorsque la communication à caractère promotionnel est diffusé</w:t>
      </w:r>
      <w:r w:rsidR="00B140EA" w:rsidRPr="006C6A54">
        <w:rPr>
          <w:rFonts w:ascii="Arial" w:hAnsi="Arial" w:cs="Arial"/>
          <w:sz w:val="22"/>
          <w:szCs w:val="22"/>
        </w:rPr>
        <w:t>e</w:t>
      </w:r>
      <w:r w:rsidRPr="006C6A54">
        <w:rPr>
          <w:rFonts w:ascii="Arial" w:hAnsi="Arial" w:cs="Arial"/>
          <w:sz w:val="22"/>
          <w:szCs w:val="22"/>
        </w:rPr>
        <w:t xml:space="preserve"> sous forme écrite et par des moyens autres que voie électronique ;</w:t>
      </w:r>
    </w:p>
    <w:p w14:paraId="03C8B271" w14:textId="77777777" w:rsidR="00B02D25" w:rsidRPr="006C6A54" w:rsidRDefault="00B02D25" w:rsidP="00923263">
      <w:pPr>
        <w:pStyle w:val="Paragraphedeliste"/>
        <w:spacing w:before="100" w:beforeAutospacing="1" w:after="100" w:afterAutospacing="1"/>
        <w:ind w:left="1080"/>
        <w:jc w:val="both"/>
        <w:rPr>
          <w:rFonts w:ascii="Arial" w:hAnsi="Arial" w:cs="Arial"/>
          <w:sz w:val="22"/>
          <w:szCs w:val="22"/>
        </w:rPr>
      </w:pPr>
    </w:p>
    <w:p w14:paraId="67D64FFB" w14:textId="77777777" w:rsidR="00B02D25" w:rsidRPr="006C6A54" w:rsidRDefault="0071605B" w:rsidP="00923263">
      <w:pPr>
        <w:pStyle w:val="Paragraphedeliste"/>
        <w:numPr>
          <w:ilvl w:val="0"/>
          <w:numId w:val="18"/>
        </w:numPr>
        <w:spacing w:before="100" w:beforeAutospacing="1" w:after="100" w:afterAutospacing="1"/>
        <w:jc w:val="both"/>
        <w:rPr>
          <w:rFonts w:ascii="Arial" w:hAnsi="Arial" w:cs="Arial"/>
          <w:sz w:val="22"/>
          <w:szCs w:val="22"/>
        </w:rPr>
      </w:pPr>
      <w:r w:rsidRPr="006C6A54">
        <w:rPr>
          <w:rFonts w:ascii="Arial" w:hAnsi="Arial" w:cs="Arial"/>
          <w:sz w:val="22"/>
          <w:szCs w:val="22"/>
        </w:rPr>
        <w:t>En incluant un lien hypertexte vers le document d’information lorsque la communication à caractère promotionnel est diffusée sous forme écrite par voie électronique, ou en incluant un lien hypertexte vers la page du site internet où le document d’information sera publié si ce dernier n’a pas encore été publié ;</w:t>
      </w:r>
    </w:p>
    <w:p w14:paraId="23C7363D" w14:textId="77777777" w:rsidR="00B02D25" w:rsidRPr="006C6A54" w:rsidRDefault="00B02D25" w:rsidP="00923263">
      <w:pPr>
        <w:pStyle w:val="Paragraphedeliste"/>
        <w:jc w:val="both"/>
        <w:rPr>
          <w:rFonts w:ascii="Arial" w:hAnsi="Arial" w:cs="Arial"/>
          <w:sz w:val="22"/>
          <w:szCs w:val="22"/>
        </w:rPr>
      </w:pPr>
    </w:p>
    <w:p w14:paraId="2121EC39" w14:textId="45FF225E" w:rsidR="00393A0E" w:rsidRPr="006C6A54" w:rsidRDefault="0071605B" w:rsidP="00923263">
      <w:pPr>
        <w:pStyle w:val="Paragraphedeliste"/>
        <w:numPr>
          <w:ilvl w:val="0"/>
          <w:numId w:val="18"/>
        </w:numPr>
        <w:spacing w:before="100" w:beforeAutospacing="1" w:after="100" w:afterAutospacing="1"/>
        <w:jc w:val="both"/>
        <w:rPr>
          <w:rFonts w:ascii="Arial" w:hAnsi="Arial" w:cs="Arial"/>
          <w:sz w:val="22"/>
          <w:szCs w:val="22"/>
        </w:rPr>
      </w:pPr>
      <w:r w:rsidRPr="006C6A54">
        <w:rPr>
          <w:rFonts w:ascii="Arial" w:hAnsi="Arial" w:cs="Arial"/>
          <w:sz w:val="22"/>
          <w:szCs w:val="22"/>
        </w:rPr>
        <w:t>En incluant des informations précises sur l’endroit où le document d’information peut être obtenu, ainsi que des informations précises sur l’offre de valeurs mobilières ou sur l’admission à la négociation sur la bourse régionale à laquelle il se rapporte, lorsque la communication à caractère promotionnel est diffusée sous une forme ou par des moyens ne relevant pas du champ d’application des points a) ou b).</w:t>
      </w:r>
    </w:p>
    <w:p w14:paraId="79A12B22" w14:textId="4E21A57B" w:rsidR="00393A0E" w:rsidRPr="006C6A54" w:rsidRDefault="00393A0E" w:rsidP="00923263">
      <w:pPr>
        <w:spacing w:before="100" w:beforeAutospacing="1" w:after="100" w:afterAutospacing="1"/>
        <w:jc w:val="both"/>
        <w:rPr>
          <w:rFonts w:ascii="Arial" w:hAnsi="Arial" w:cs="Arial"/>
          <w:b/>
          <w:bCs/>
          <w:sz w:val="22"/>
          <w:szCs w:val="22"/>
        </w:rPr>
      </w:pPr>
      <w:r w:rsidRPr="006C6A54">
        <w:rPr>
          <w:rFonts w:ascii="Arial" w:hAnsi="Arial" w:cs="Arial"/>
          <w:b/>
          <w:bCs/>
          <w:sz w:val="22"/>
          <w:szCs w:val="22"/>
        </w:rPr>
        <w:t>ARTICLE 7 – DIFFUSION DES COMMUNICATIONS A CARACTERE PROMOTIONNEL</w:t>
      </w:r>
    </w:p>
    <w:p w14:paraId="7BB805B5" w14:textId="5FACFD69" w:rsidR="00393A0E" w:rsidRPr="006C6A54" w:rsidRDefault="00393A0E" w:rsidP="00923263">
      <w:pPr>
        <w:pStyle w:val="Paragraphedeliste"/>
        <w:numPr>
          <w:ilvl w:val="0"/>
          <w:numId w:val="20"/>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Les communications à caractère promotionnel diffusées auprès des investisseurs potentiels sont modifiées lorsque : </w:t>
      </w:r>
    </w:p>
    <w:p w14:paraId="0A5B8137" w14:textId="1192BACD" w:rsidR="00393A0E" w:rsidRPr="006C6A54" w:rsidRDefault="00393A0E" w:rsidP="00923263">
      <w:pPr>
        <w:pStyle w:val="Paragraphedeliste"/>
        <w:numPr>
          <w:ilvl w:val="0"/>
          <w:numId w:val="21"/>
        </w:numPr>
        <w:spacing w:before="100" w:beforeAutospacing="1" w:after="100" w:afterAutospacing="1"/>
        <w:jc w:val="both"/>
        <w:rPr>
          <w:rFonts w:ascii="Arial" w:hAnsi="Arial" w:cs="Arial"/>
          <w:sz w:val="22"/>
          <w:szCs w:val="22"/>
        </w:rPr>
      </w:pPr>
      <w:r w:rsidRPr="006C6A54">
        <w:rPr>
          <w:rFonts w:ascii="Arial" w:hAnsi="Arial" w:cs="Arial"/>
          <w:sz w:val="22"/>
          <w:szCs w:val="22"/>
        </w:rPr>
        <w:t>Le document d’information est ultérieurement modifié ;</w:t>
      </w:r>
    </w:p>
    <w:p w14:paraId="554A57D0" w14:textId="77777777" w:rsidR="00393A0E" w:rsidRPr="006C6A54" w:rsidRDefault="00393A0E" w:rsidP="00923263">
      <w:pPr>
        <w:pStyle w:val="Paragraphedeliste"/>
        <w:numPr>
          <w:ilvl w:val="0"/>
          <w:numId w:val="21"/>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 fait nouveau significatif ou l’erreur ou inexactitude substantielle mentionnés dans le supplément rendent la communication à caractère promotionnel diffusée précédemment substantiellement inexacte ou trompeuse. </w:t>
      </w:r>
    </w:p>
    <w:p w14:paraId="686402E0" w14:textId="77777777" w:rsidR="00775108" w:rsidRPr="006C6A54" w:rsidRDefault="00393A0E" w:rsidP="00923263">
      <w:p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 premier alinéa ne s’applique pas après la clôture définitive de la période de l’offre au public, ou après le début de la négociation sur </w:t>
      </w:r>
      <w:r w:rsidR="00775108" w:rsidRPr="006C6A54">
        <w:rPr>
          <w:rFonts w:ascii="Arial" w:hAnsi="Arial" w:cs="Arial"/>
          <w:sz w:val="22"/>
          <w:szCs w:val="22"/>
        </w:rPr>
        <w:t>la bourse régionale</w:t>
      </w:r>
      <w:r w:rsidRPr="006C6A54">
        <w:rPr>
          <w:rFonts w:ascii="Arial" w:hAnsi="Arial" w:cs="Arial"/>
          <w:sz w:val="22"/>
          <w:szCs w:val="22"/>
        </w:rPr>
        <w:t xml:space="preserve"> si cet évènement intervient plus tard. </w:t>
      </w:r>
    </w:p>
    <w:p w14:paraId="0C55FF8E" w14:textId="0C3A15B9" w:rsidR="00775108" w:rsidRPr="006C6A54" w:rsidRDefault="00393A0E" w:rsidP="00923263">
      <w:pPr>
        <w:pStyle w:val="Paragraphedeliste"/>
        <w:numPr>
          <w:ilvl w:val="0"/>
          <w:numId w:val="20"/>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Les communications à caractère promotionnel modifiées conformément au paragraphe 1 sont diffusées auprès des investisseurs potentiels dans les meilleurs délais après la publication </w:t>
      </w:r>
      <w:r w:rsidR="00775108" w:rsidRPr="006C6A54">
        <w:rPr>
          <w:rFonts w:ascii="Arial" w:hAnsi="Arial" w:cs="Arial"/>
          <w:sz w:val="22"/>
          <w:szCs w:val="22"/>
        </w:rPr>
        <w:t>du document d’information modifié</w:t>
      </w:r>
      <w:r w:rsidRPr="006C6A54">
        <w:rPr>
          <w:rFonts w:ascii="Arial" w:hAnsi="Arial" w:cs="Arial"/>
          <w:sz w:val="22"/>
          <w:szCs w:val="22"/>
        </w:rPr>
        <w:t xml:space="preserve"> et contiennent l’ensemble des éléments suivants</w:t>
      </w:r>
      <w:r w:rsidR="00775108" w:rsidRPr="006C6A54">
        <w:rPr>
          <w:rFonts w:ascii="Arial" w:hAnsi="Arial" w:cs="Arial"/>
          <w:sz w:val="22"/>
          <w:szCs w:val="22"/>
        </w:rPr>
        <w:t xml:space="preserve"> </w:t>
      </w:r>
      <w:r w:rsidRPr="006C6A54">
        <w:rPr>
          <w:rFonts w:ascii="Arial" w:hAnsi="Arial" w:cs="Arial"/>
          <w:sz w:val="22"/>
          <w:szCs w:val="22"/>
        </w:rPr>
        <w:t xml:space="preserve">: </w:t>
      </w:r>
    </w:p>
    <w:p w14:paraId="1C5C2214" w14:textId="77777777" w:rsidR="00775108" w:rsidRPr="006C6A54" w:rsidRDefault="00775108" w:rsidP="00923263">
      <w:pPr>
        <w:pStyle w:val="Paragraphedeliste"/>
        <w:spacing w:before="100" w:beforeAutospacing="1" w:after="100" w:afterAutospacing="1"/>
        <w:jc w:val="both"/>
        <w:rPr>
          <w:rFonts w:ascii="Arial" w:hAnsi="Arial" w:cs="Arial"/>
          <w:sz w:val="22"/>
          <w:szCs w:val="22"/>
        </w:rPr>
      </w:pPr>
    </w:p>
    <w:p w14:paraId="2B41BAF1" w14:textId="77777777" w:rsidR="00775108" w:rsidRPr="006C6A54" w:rsidRDefault="00393A0E" w:rsidP="00923263">
      <w:pPr>
        <w:pStyle w:val="Paragraphedeliste"/>
        <w:numPr>
          <w:ilvl w:val="0"/>
          <w:numId w:val="22"/>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une référence claire à la version inexacte ou trompeuse de la communication à caractère promotionnel; </w:t>
      </w:r>
    </w:p>
    <w:p w14:paraId="58C89778" w14:textId="77777777" w:rsidR="00775108" w:rsidRPr="006C6A54" w:rsidRDefault="00393A0E" w:rsidP="00923263">
      <w:pPr>
        <w:pStyle w:val="Paragraphedeliste"/>
        <w:numPr>
          <w:ilvl w:val="0"/>
          <w:numId w:val="22"/>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une explication indiquant que la communication à caractère promotionnel a été modifiée parce qu’elle contenait des informations substantiellement inexactes ou trompeuses; </w:t>
      </w:r>
    </w:p>
    <w:p w14:paraId="025DBC2B" w14:textId="77777777" w:rsidR="00775108" w:rsidRPr="006C6A54" w:rsidRDefault="00393A0E" w:rsidP="00923263">
      <w:pPr>
        <w:pStyle w:val="Paragraphedeliste"/>
        <w:numPr>
          <w:ilvl w:val="0"/>
          <w:numId w:val="22"/>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une description claire des différences entre les deux versions de la communication à caractère promotionnel. </w:t>
      </w:r>
    </w:p>
    <w:p w14:paraId="5E06F300" w14:textId="77777777" w:rsidR="00775108" w:rsidRPr="006C6A54" w:rsidRDefault="00775108" w:rsidP="00923263">
      <w:pPr>
        <w:pStyle w:val="Paragraphedeliste"/>
        <w:spacing w:before="100" w:beforeAutospacing="1" w:after="100" w:afterAutospacing="1"/>
        <w:ind w:left="1080"/>
        <w:jc w:val="both"/>
        <w:rPr>
          <w:rFonts w:ascii="Arial" w:hAnsi="Arial" w:cs="Arial"/>
          <w:sz w:val="22"/>
          <w:szCs w:val="22"/>
        </w:rPr>
      </w:pPr>
    </w:p>
    <w:p w14:paraId="5DD3CB0F" w14:textId="1B81165D" w:rsidR="00393A0E" w:rsidRPr="006C6A54" w:rsidRDefault="00393A0E" w:rsidP="00923263">
      <w:pPr>
        <w:pStyle w:val="Paragraphedeliste"/>
        <w:numPr>
          <w:ilvl w:val="0"/>
          <w:numId w:val="20"/>
        </w:numPr>
        <w:spacing w:before="100" w:beforeAutospacing="1" w:after="100" w:afterAutospacing="1"/>
        <w:jc w:val="both"/>
        <w:rPr>
          <w:rFonts w:ascii="Arial" w:hAnsi="Arial" w:cs="Arial"/>
          <w:sz w:val="22"/>
          <w:szCs w:val="22"/>
        </w:rPr>
      </w:pPr>
      <w:r w:rsidRPr="006C6A54">
        <w:rPr>
          <w:rFonts w:ascii="Arial" w:hAnsi="Arial" w:cs="Arial"/>
          <w:sz w:val="22"/>
          <w:szCs w:val="22"/>
        </w:rPr>
        <w:t>Sauf dans le cas d’une communication à caractère promotionnel diffusée oralement, une communication à caractère promotionnel modifiée en vertu du paragraphe 1 est diffusée au moins par les mêmes voies que sa précédente version.</w:t>
      </w:r>
    </w:p>
    <w:p w14:paraId="464AE57C" w14:textId="5C32D183" w:rsidR="00775108" w:rsidRPr="006C6A54" w:rsidRDefault="00775108" w:rsidP="00923263">
      <w:pPr>
        <w:spacing w:before="100" w:beforeAutospacing="1" w:after="100" w:afterAutospacing="1"/>
        <w:jc w:val="both"/>
        <w:rPr>
          <w:rFonts w:ascii="Arial" w:hAnsi="Arial" w:cs="Arial"/>
          <w:b/>
          <w:bCs/>
          <w:sz w:val="22"/>
          <w:szCs w:val="22"/>
        </w:rPr>
      </w:pPr>
      <w:r w:rsidRPr="006C6A54">
        <w:rPr>
          <w:rFonts w:ascii="Arial" w:hAnsi="Arial" w:cs="Arial"/>
          <w:b/>
          <w:bCs/>
          <w:sz w:val="22"/>
          <w:szCs w:val="22"/>
        </w:rPr>
        <w:t>ARTICLE 8 – INFORMATIONS CONCERNANT LES OFFRES DE VALEURS MOBILIERES</w:t>
      </w:r>
    </w:p>
    <w:p w14:paraId="3B5C85D4" w14:textId="118680A5" w:rsidR="00775108" w:rsidRPr="006C6A54" w:rsidRDefault="00775108" w:rsidP="00923263">
      <w:pPr>
        <w:pStyle w:val="Paragraphedeliste"/>
        <w:numPr>
          <w:ilvl w:val="2"/>
          <w:numId w:val="10"/>
        </w:numPr>
        <w:spacing w:before="100" w:beforeAutospacing="1" w:after="100" w:afterAutospacing="1"/>
        <w:ind w:left="709"/>
        <w:jc w:val="both"/>
        <w:rPr>
          <w:rFonts w:ascii="Arial" w:hAnsi="Arial" w:cs="Arial"/>
          <w:sz w:val="22"/>
          <w:szCs w:val="22"/>
        </w:rPr>
      </w:pPr>
      <w:r w:rsidRPr="006C6A54">
        <w:rPr>
          <w:rFonts w:ascii="Arial" w:hAnsi="Arial" w:cs="Arial"/>
          <w:sz w:val="22"/>
          <w:szCs w:val="22"/>
        </w:rPr>
        <w:t xml:space="preserve">Les informations communiquées oralement ou par écrit concernant une offre au public de valeurs mobilières </w:t>
      </w:r>
      <w:r w:rsidR="00583D10" w:rsidRPr="006C6A54">
        <w:rPr>
          <w:rFonts w:ascii="Arial" w:hAnsi="Arial" w:cs="Arial"/>
          <w:sz w:val="22"/>
          <w:szCs w:val="22"/>
        </w:rPr>
        <w:t xml:space="preserve">ou tout autre instrument financier, </w:t>
      </w:r>
      <w:r w:rsidRPr="006C6A54">
        <w:rPr>
          <w:rFonts w:ascii="Arial" w:hAnsi="Arial" w:cs="Arial"/>
          <w:sz w:val="22"/>
          <w:szCs w:val="22"/>
        </w:rPr>
        <w:t xml:space="preserve">ou une admission à la </w:t>
      </w:r>
      <w:r w:rsidRPr="006C6A54">
        <w:rPr>
          <w:rFonts w:ascii="Arial" w:hAnsi="Arial" w:cs="Arial"/>
          <w:sz w:val="22"/>
          <w:szCs w:val="22"/>
        </w:rPr>
        <w:lastRenderedPageBreak/>
        <w:t xml:space="preserve">négociation sur la bourse régionale, que ce soit en tant que communication à caractère promotionnel ou à d’autres fins : </w:t>
      </w:r>
    </w:p>
    <w:p w14:paraId="4DA76023" w14:textId="72BABDF6" w:rsidR="00775108" w:rsidRPr="006C6A54" w:rsidRDefault="00775108" w:rsidP="00923263">
      <w:pPr>
        <w:pStyle w:val="Paragraphedeliste"/>
        <w:numPr>
          <w:ilvl w:val="0"/>
          <w:numId w:val="24"/>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ne contredisent pas les informations </w:t>
      </w:r>
      <w:r w:rsidR="00B02D25" w:rsidRPr="006C6A54">
        <w:rPr>
          <w:rFonts w:ascii="Arial" w:hAnsi="Arial" w:cs="Arial"/>
          <w:sz w:val="22"/>
          <w:szCs w:val="22"/>
        </w:rPr>
        <w:t xml:space="preserve">contenues </w:t>
      </w:r>
      <w:r w:rsidRPr="006C6A54">
        <w:rPr>
          <w:rFonts w:ascii="Arial" w:hAnsi="Arial" w:cs="Arial"/>
          <w:sz w:val="22"/>
          <w:szCs w:val="22"/>
        </w:rPr>
        <w:t>dans le document d’information;</w:t>
      </w:r>
    </w:p>
    <w:p w14:paraId="3E97B563" w14:textId="282C855D" w:rsidR="00775108" w:rsidRPr="006C6A54" w:rsidRDefault="00775108" w:rsidP="00923263">
      <w:pPr>
        <w:pStyle w:val="Paragraphedeliste"/>
        <w:numPr>
          <w:ilvl w:val="0"/>
          <w:numId w:val="24"/>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ne font pas référence à des informations qui contredisent les informations </w:t>
      </w:r>
      <w:r w:rsidR="00B02D25" w:rsidRPr="006C6A54">
        <w:rPr>
          <w:rFonts w:ascii="Arial" w:hAnsi="Arial" w:cs="Arial"/>
          <w:sz w:val="22"/>
          <w:szCs w:val="22"/>
        </w:rPr>
        <w:t xml:space="preserve">contenues </w:t>
      </w:r>
      <w:r w:rsidRPr="006C6A54">
        <w:rPr>
          <w:rFonts w:ascii="Arial" w:hAnsi="Arial" w:cs="Arial"/>
          <w:sz w:val="22"/>
          <w:szCs w:val="22"/>
        </w:rPr>
        <w:t>dans le document d’information;</w:t>
      </w:r>
    </w:p>
    <w:p w14:paraId="3F797290" w14:textId="77777777" w:rsidR="00775108" w:rsidRPr="006C6A54" w:rsidRDefault="00775108" w:rsidP="00923263">
      <w:pPr>
        <w:pStyle w:val="Paragraphedeliste"/>
        <w:numPr>
          <w:ilvl w:val="0"/>
          <w:numId w:val="24"/>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ne présentent pas les informations dans le document d’information de façon substantiellement biaisée, notamment à travers une présentation des aspects négatifs de ces informations de façon moins visible que les aspects positifs, une omission de certaines informations ou une présentation sélective de certaines informations; </w:t>
      </w:r>
    </w:p>
    <w:p w14:paraId="70F6F2AE" w14:textId="77777777" w:rsidR="00775108" w:rsidRPr="006C6A54" w:rsidRDefault="00775108" w:rsidP="00923263">
      <w:pPr>
        <w:pStyle w:val="Paragraphedeliste"/>
        <w:numPr>
          <w:ilvl w:val="0"/>
          <w:numId w:val="24"/>
        </w:numPr>
        <w:spacing w:before="100" w:beforeAutospacing="1" w:after="100" w:afterAutospacing="1"/>
        <w:jc w:val="both"/>
        <w:rPr>
          <w:rFonts w:ascii="Arial" w:hAnsi="Arial" w:cs="Arial"/>
          <w:sz w:val="22"/>
          <w:szCs w:val="22"/>
        </w:rPr>
      </w:pPr>
      <w:r w:rsidRPr="006C6A54">
        <w:rPr>
          <w:rFonts w:ascii="Arial" w:hAnsi="Arial" w:cs="Arial"/>
          <w:sz w:val="22"/>
          <w:szCs w:val="22"/>
        </w:rPr>
        <w:t xml:space="preserve">ne contiennent pas d’indicateurs alternatifs de performance sauf s’ils figurent dans le document d’information. </w:t>
      </w:r>
    </w:p>
    <w:p w14:paraId="415FE254" w14:textId="77777777" w:rsidR="00775108" w:rsidRPr="006C6A54" w:rsidRDefault="00775108" w:rsidP="00923263">
      <w:pPr>
        <w:pStyle w:val="Paragraphedeliste"/>
        <w:spacing w:before="100" w:beforeAutospacing="1" w:after="100" w:afterAutospacing="1"/>
        <w:ind w:left="1069"/>
        <w:jc w:val="both"/>
        <w:rPr>
          <w:rFonts w:ascii="Arial" w:hAnsi="Arial" w:cs="Arial"/>
          <w:sz w:val="22"/>
          <w:szCs w:val="22"/>
        </w:rPr>
      </w:pPr>
    </w:p>
    <w:p w14:paraId="513296C9" w14:textId="3140D987" w:rsidR="00C768FE" w:rsidRPr="006C6A54" w:rsidRDefault="00775108" w:rsidP="00923263">
      <w:pPr>
        <w:pStyle w:val="Paragraphedeliste"/>
        <w:numPr>
          <w:ilvl w:val="2"/>
          <w:numId w:val="10"/>
        </w:numPr>
        <w:spacing w:before="100" w:beforeAutospacing="1" w:after="100" w:afterAutospacing="1"/>
        <w:ind w:left="709"/>
        <w:jc w:val="both"/>
        <w:rPr>
          <w:rFonts w:ascii="Arial" w:hAnsi="Arial" w:cs="Arial"/>
          <w:sz w:val="22"/>
          <w:szCs w:val="22"/>
        </w:rPr>
      </w:pPr>
      <w:r w:rsidRPr="006C6A54">
        <w:rPr>
          <w:rFonts w:ascii="Arial" w:hAnsi="Arial" w:cs="Arial"/>
          <w:sz w:val="22"/>
          <w:szCs w:val="22"/>
        </w:rPr>
        <w:t>Aux fins du paragraphe 1, les informations dans le doc</w:t>
      </w:r>
      <w:r w:rsidR="00C768FE" w:rsidRPr="006C6A54">
        <w:rPr>
          <w:rFonts w:ascii="Arial" w:hAnsi="Arial" w:cs="Arial"/>
          <w:sz w:val="22"/>
          <w:szCs w:val="22"/>
        </w:rPr>
        <w:t>ument à caractère promotionnel</w:t>
      </w:r>
      <w:r w:rsidRPr="006C6A54">
        <w:rPr>
          <w:rFonts w:ascii="Arial" w:hAnsi="Arial" w:cs="Arial"/>
          <w:sz w:val="22"/>
          <w:szCs w:val="22"/>
        </w:rPr>
        <w:t xml:space="preserve"> sont constituées soit des informations qui figurent dans le </w:t>
      </w:r>
      <w:r w:rsidR="00C768FE" w:rsidRPr="006C6A54">
        <w:rPr>
          <w:rFonts w:ascii="Arial" w:hAnsi="Arial" w:cs="Arial"/>
          <w:sz w:val="22"/>
          <w:szCs w:val="22"/>
        </w:rPr>
        <w:t>document d’information</w:t>
      </w:r>
      <w:r w:rsidRPr="006C6A54">
        <w:rPr>
          <w:rFonts w:ascii="Arial" w:hAnsi="Arial" w:cs="Arial"/>
          <w:sz w:val="22"/>
          <w:szCs w:val="22"/>
        </w:rPr>
        <w:t>,</w:t>
      </w:r>
      <w:r w:rsidR="007168BE" w:rsidRPr="006C6A54">
        <w:rPr>
          <w:rFonts w:ascii="Arial" w:hAnsi="Arial" w:cs="Arial"/>
          <w:sz w:val="22"/>
          <w:szCs w:val="22"/>
        </w:rPr>
        <w:t xml:space="preserve"> si celui-ci a déjà été publié ;</w:t>
      </w:r>
    </w:p>
    <w:p w14:paraId="222235D2" w14:textId="2F058CBD" w:rsidR="00775108" w:rsidRPr="006C6A54" w:rsidRDefault="00775108" w:rsidP="00923263">
      <w:pPr>
        <w:pStyle w:val="Paragraphedeliste"/>
        <w:numPr>
          <w:ilvl w:val="2"/>
          <w:numId w:val="10"/>
        </w:numPr>
        <w:spacing w:before="100" w:beforeAutospacing="1" w:after="100" w:afterAutospacing="1"/>
        <w:ind w:left="709"/>
        <w:jc w:val="both"/>
        <w:rPr>
          <w:rFonts w:ascii="Arial" w:hAnsi="Arial" w:cs="Arial"/>
          <w:sz w:val="22"/>
          <w:szCs w:val="22"/>
        </w:rPr>
      </w:pPr>
      <w:r w:rsidRPr="006C6A54">
        <w:rPr>
          <w:rFonts w:ascii="Arial" w:hAnsi="Arial" w:cs="Arial"/>
          <w:sz w:val="22"/>
          <w:szCs w:val="22"/>
        </w:rPr>
        <w:t>Aux fins du paragraphe 1, point d), les indicateurs alternatifs de performance sont constitués des indicateurs financiers, historiques ou prospectifs, de la performance financière, de la situation financière ou des flux de trésorerie, qui sont autres que les indicateurs financiers définis dans le cadre de présentation des informations financières applicable.</w:t>
      </w:r>
    </w:p>
    <w:p w14:paraId="130EBE9A" w14:textId="14F4BD92" w:rsidR="00B26313" w:rsidRPr="00B26313" w:rsidRDefault="00B26313" w:rsidP="00B26313">
      <w:pPr>
        <w:spacing w:before="100" w:beforeAutospacing="1" w:after="100" w:afterAutospacing="1"/>
        <w:jc w:val="both"/>
        <w:rPr>
          <w:rFonts w:ascii="Arial" w:hAnsi="Arial" w:cs="Arial"/>
          <w:b/>
          <w:sz w:val="22"/>
          <w:szCs w:val="22"/>
        </w:rPr>
      </w:pPr>
      <w:r w:rsidRPr="00B26313">
        <w:rPr>
          <w:rFonts w:ascii="Arial" w:hAnsi="Arial" w:cs="Arial"/>
          <w:b/>
          <w:sz w:val="22"/>
          <w:szCs w:val="22"/>
        </w:rPr>
        <w:t xml:space="preserve">ARTICLE </w:t>
      </w:r>
      <w:r>
        <w:rPr>
          <w:rFonts w:ascii="Arial" w:hAnsi="Arial" w:cs="Arial"/>
          <w:b/>
          <w:sz w:val="22"/>
          <w:szCs w:val="22"/>
        </w:rPr>
        <w:t>9</w:t>
      </w:r>
      <w:r w:rsidRPr="00B26313">
        <w:rPr>
          <w:rFonts w:ascii="Arial" w:hAnsi="Arial" w:cs="Arial"/>
          <w:b/>
          <w:sz w:val="22"/>
          <w:szCs w:val="22"/>
        </w:rPr>
        <w:t>- ENTREE EN VIGUEUR</w:t>
      </w:r>
    </w:p>
    <w:p w14:paraId="37B2CAA6" w14:textId="77777777" w:rsidR="00B26313" w:rsidRPr="00B26313" w:rsidRDefault="00B26313" w:rsidP="00B26313">
      <w:pPr>
        <w:spacing w:before="100" w:beforeAutospacing="1" w:after="100" w:afterAutospacing="1"/>
        <w:jc w:val="both"/>
        <w:rPr>
          <w:rFonts w:ascii="Arial" w:hAnsi="Arial" w:cs="Arial"/>
          <w:sz w:val="22"/>
          <w:szCs w:val="22"/>
        </w:rPr>
      </w:pPr>
      <w:r w:rsidRPr="00B26313">
        <w:rPr>
          <w:rFonts w:ascii="Arial" w:hAnsi="Arial" w:cs="Arial"/>
          <w:sz w:val="22"/>
          <w:szCs w:val="22"/>
        </w:rPr>
        <w:t>La présente instruction, qui entre en vigueur à la date de sa signature, sera publiée sur le site internet de la COSUMAF ou sur tout autre support précisé par la COSUMAF.</w:t>
      </w:r>
    </w:p>
    <w:p w14:paraId="2A628009" w14:textId="77777777" w:rsidR="00775108" w:rsidRPr="006C6A54" w:rsidRDefault="00775108" w:rsidP="00923263">
      <w:pPr>
        <w:spacing w:before="100" w:beforeAutospacing="1" w:after="100" w:afterAutospacing="1"/>
        <w:jc w:val="both"/>
        <w:rPr>
          <w:rFonts w:ascii="Arial" w:hAnsi="Arial" w:cs="Arial"/>
          <w:sz w:val="22"/>
          <w:szCs w:val="22"/>
        </w:rPr>
      </w:pPr>
    </w:p>
    <w:p w14:paraId="41AA5006" w14:textId="35B358F2" w:rsidR="00715CC1" w:rsidRDefault="00715CC1" w:rsidP="00715CC1">
      <w:pPr>
        <w:spacing w:before="100" w:beforeAutospacing="1" w:after="100" w:afterAutospacing="1"/>
        <w:ind w:left="3544"/>
        <w:jc w:val="center"/>
        <w:rPr>
          <w:rFonts w:ascii="Arial" w:hAnsi="Arial" w:cs="Arial"/>
          <w:b/>
          <w:sz w:val="22"/>
          <w:szCs w:val="22"/>
        </w:rPr>
      </w:pPr>
      <w:r w:rsidRPr="006C6A54">
        <w:rPr>
          <w:rFonts w:ascii="Arial" w:hAnsi="Arial" w:cs="Arial"/>
          <w:b/>
          <w:sz w:val="22"/>
          <w:szCs w:val="22"/>
        </w:rPr>
        <w:t xml:space="preserve">Fait </w:t>
      </w:r>
      <w:proofErr w:type="spellStart"/>
      <w:r w:rsidRPr="006C6A54">
        <w:rPr>
          <w:rFonts w:ascii="Arial" w:hAnsi="Arial" w:cs="Arial"/>
          <w:b/>
          <w:sz w:val="22"/>
          <w:szCs w:val="22"/>
        </w:rPr>
        <w:t>a</w:t>
      </w:r>
      <w:proofErr w:type="spellEnd"/>
      <w:r w:rsidRPr="006C6A54">
        <w:rPr>
          <w:rFonts w:ascii="Arial" w:hAnsi="Arial" w:cs="Arial"/>
          <w:b/>
          <w:sz w:val="22"/>
          <w:szCs w:val="22"/>
        </w:rPr>
        <w:t xml:space="preserve">̀ Libreville, le </w:t>
      </w:r>
      <w:r w:rsidRPr="006C6A54">
        <w:rPr>
          <w:rFonts w:ascii="Arial" w:hAnsi="Arial" w:cs="Arial"/>
          <w:b/>
          <w:sz w:val="22"/>
          <w:szCs w:val="22"/>
          <w:highlight w:val="yellow"/>
        </w:rPr>
        <w:t>XX</w:t>
      </w:r>
      <w:r w:rsidR="0079701F">
        <w:rPr>
          <w:rFonts w:ascii="Arial" w:hAnsi="Arial" w:cs="Arial"/>
          <w:b/>
          <w:sz w:val="22"/>
          <w:szCs w:val="22"/>
          <w:highlight w:val="yellow"/>
        </w:rPr>
        <w:t>/</w:t>
      </w:r>
      <w:r w:rsidRPr="006C6A54">
        <w:rPr>
          <w:rFonts w:ascii="Arial" w:hAnsi="Arial" w:cs="Arial"/>
          <w:b/>
          <w:sz w:val="22"/>
          <w:szCs w:val="22"/>
          <w:highlight w:val="yellow"/>
        </w:rPr>
        <w:t xml:space="preserve"> XX</w:t>
      </w:r>
      <w:r w:rsidR="0079701F">
        <w:rPr>
          <w:rFonts w:ascii="Arial" w:hAnsi="Arial" w:cs="Arial"/>
          <w:b/>
          <w:sz w:val="22"/>
          <w:szCs w:val="22"/>
          <w:highlight w:val="yellow"/>
        </w:rPr>
        <w:t>/</w:t>
      </w:r>
      <w:r w:rsidRPr="006C6A54">
        <w:rPr>
          <w:rFonts w:ascii="Arial" w:hAnsi="Arial" w:cs="Arial"/>
          <w:b/>
          <w:sz w:val="22"/>
          <w:szCs w:val="22"/>
          <w:highlight w:val="yellow"/>
        </w:rPr>
        <w:t xml:space="preserve"> 2024</w:t>
      </w:r>
    </w:p>
    <w:p w14:paraId="48F5EDB1" w14:textId="77777777" w:rsidR="006C6A54" w:rsidRPr="006C6A54" w:rsidRDefault="006C6A54" w:rsidP="00715CC1">
      <w:pPr>
        <w:spacing w:before="100" w:beforeAutospacing="1" w:after="100" w:afterAutospacing="1"/>
        <w:ind w:left="3544"/>
        <w:jc w:val="center"/>
        <w:rPr>
          <w:rFonts w:ascii="Arial" w:hAnsi="Arial" w:cs="Arial"/>
          <w:b/>
          <w:sz w:val="22"/>
          <w:szCs w:val="22"/>
        </w:rPr>
      </w:pPr>
    </w:p>
    <w:p w14:paraId="3DCCD6EA" w14:textId="77777777" w:rsidR="00715CC1" w:rsidRPr="006C6A54" w:rsidRDefault="00715CC1" w:rsidP="00715CC1">
      <w:pPr>
        <w:spacing w:before="100" w:beforeAutospacing="1" w:after="100" w:afterAutospacing="1"/>
        <w:ind w:left="3544"/>
        <w:jc w:val="center"/>
        <w:rPr>
          <w:rFonts w:ascii="Arial" w:hAnsi="Arial" w:cs="Arial"/>
          <w:b/>
          <w:sz w:val="22"/>
          <w:szCs w:val="22"/>
        </w:rPr>
      </w:pPr>
      <w:r w:rsidRPr="006C6A54">
        <w:rPr>
          <w:rFonts w:ascii="Arial" w:hAnsi="Arial" w:cs="Arial"/>
          <w:b/>
          <w:sz w:val="22"/>
          <w:szCs w:val="22"/>
        </w:rPr>
        <w:t xml:space="preserve">Pour la COSUMAF, </w:t>
      </w:r>
    </w:p>
    <w:p w14:paraId="34546E35" w14:textId="77777777" w:rsidR="00715CC1" w:rsidRPr="006C6A54" w:rsidRDefault="00715CC1" w:rsidP="00923263">
      <w:pPr>
        <w:spacing w:before="100" w:beforeAutospacing="1" w:after="100" w:afterAutospacing="1"/>
        <w:jc w:val="both"/>
        <w:rPr>
          <w:rFonts w:ascii="Arial" w:hAnsi="Arial" w:cs="Arial"/>
          <w:sz w:val="22"/>
          <w:szCs w:val="22"/>
        </w:rPr>
      </w:pPr>
    </w:p>
    <w:sectPr w:rsidR="00715CC1" w:rsidRPr="006C6A54" w:rsidSect="00AE5B67">
      <w:footerReference w:type="default" r:id="rId8"/>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0100" w14:textId="77777777" w:rsidR="00AE5B67" w:rsidRDefault="00AE5B67" w:rsidP="00843715">
      <w:r>
        <w:separator/>
      </w:r>
    </w:p>
  </w:endnote>
  <w:endnote w:type="continuationSeparator" w:id="0">
    <w:p w14:paraId="6AC89F63" w14:textId="77777777" w:rsidR="00AE5B67" w:rsidRDefault="00AE5B67"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951979"/>
      <w:docPartObj>
        <w:docPartGallery w:val="Page Numbers (Bottom of Page)"/>
        <w:docPartUnique/>
      </w:docPartObj>
    </w:sdtPr>
    <w:sdtContent>
      <w:p w14:paraId="76F4DC56" w14:textId="1C3A5649" w:rsidR="00762BE3" w:rsidRDefault="00762BE3">
        <w:pPr>
          <w:pStyle w:val="Pieddepage"/>
          <w:jc w:val="center"/>
        </w:pPr>
        <w:r>
          <w:fldChar w:fldCharType="begin"/>
        </w:r>
        <w:r>
          <w:instrText>PAGE   \* MERGEFORMAT</w:instrText>
        </w:r>
        <w:r>
          <w:fldChar w:fldCharType="separate"/>
        </w:r>
        <w:r w:rsidR="003913FE">
          <w:rPr>
            <w:noProof/>
          </w:rPr>
          <w:t>5</w:t>
        </w:r>
        <w:r>
          <w:fldChar w:fldCharType="end"/>
        </w:r>
      </w:p>
    </w:sdtContent>
  </w:sdt>
  <w:p w14:paraId="1C151403" w14:textId="77777777" w:rsidR="00762BE3" w:rsidRDefault="00762B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6763" w14:textId="77777777" w:rsidR="00AE5B67" w:rsidRDefault="00AE5B67" w:rsidP="00843715">
      <w:r>
        <w:separator/>
      </w:r>
    </w:p>
  </w:footnote>
  <w:footnote w:type="continuationSeparator" w:id="0">
    <w:p w14:paraId="16E76D1E" w14:textId="77777777" w:rsidR="00AE5B67" w:rsidRDefault="00AE5B67"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59.1pt;height:59.1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69388F"/>
    <w:multiLevelType w:val="hybridMultilevel"/>
    <w:tmpl w:val="558688D6"/>
    <w:lvl w:ilvl="0" w:tplc="040C0019">
      <w:start w:val="1"/>
      <w:numFmt w:val="lowerLetter"/>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7796E"/>
    <w:multiLevelType w:val="hybridMultilevel"/>
    <w:tmpl w:val="EE4673DE"/>
    <w:lvl w:ilvl="0" w:tplc="9E28F9FC">
      <w:start w:val="1"/>
      <w:numFmt w:val="lowerLetter"/>
      <w:lvlText w:val="%1."/>
      <w:lvlJc w:val="left"/>
      <w:pPr>
        <w:ind w:left="1069" w:hanging="360"/>
      </w:pPr>
      <w:rPr>
        <w:rFonts w:asciiTheme="minorHAnsi" w:hAnsiTheme="minorHAnsi" w:cstheme="minorHAnsi" w:hint="default"/>
        <w:sz w:val="2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4221631"/>
    <w:multiLevelType w:val="hybridMultilevel"/>
    <w:tmpl w:val="C99619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9452C"/>
    <w:multiLevelType w:val="hybridMultilevel"/>
    <w:tmpl w:val="9EE41982"/>
    <w:lvl w:ilvl="0" w:tplc="0B9E04A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F1A6A97"/>
    <w:multiLevelType w:val="hybridMultilevel"/>
    <w:tmpl w:val="6316AD2E"/>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5CD8205A">
      <w:start w:val="1"/>
      <w:numFmt w:val="decimal"/>
      <w:lvlText w:val="%3."/>
      <w:lvlJc w:val="left"/>
      <w:pPr>
        <w:ind w:left="3060" w:hanging="360"/>
      </w:pPr>
      <w:rPr>
        <w:rFonts w:asciiTheme="minorHAnsi" w:hAnsiTheme="minorHAnsi" w:cstheme="minorHAnsi" w:hint="default"/>
        <w:sz w:val="20"/>
        <w:szCs w:val="20"/>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B7154"/>
    <w:multiLevelType w:val="hybridMultilevel"/>
    <w:tmpl w:val="4C5E429A"/>
    <w:lvl w:ilvl="0" w:tplc="F86ABA50">
      <w:start w:val="1"/>
      <w:numFmt w:val="decimal"/>
      <w:lvlText w:val="%1."/>
      <w:lvlJc w:val="left"/>
      <w:pPr>
        <w:ind w:left="720" w:hanging="360"/>
      </w:pPr>
      <w:rPr>
        <w:rFonts w:hint="default"/>
      </w:rPr>
    </w:lvl>
    <w:lvl w:ilvl="1" w:tplc="73CCDE0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34126563"/>
    <w:multiLevelType w:val="hybridMultilevel"/>
    <w:tmpl w:val="58680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D01A2F"/>
    <w:multiLevelType w:val="hybridMultilevel"/>
    <w:tmpl w:val="AA1A13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7C77A89"/>
    <w:multiLevelType w:val="hybridMultilevel"/>
    <w:tmpl w:val="5868009E"/>
    <w:lvl w:ilvl="0" w:tplc="C4F231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152E0F"/>
    <w:multiLevelType w:val="hybridMultilevel"/>
    <w:tmpl w:val="0980F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5A463A"/>
    <w:multiLevelType w:val="hybridMultilevel"/>
    <w:tmpl w:val="19EE2F1A"/>
    <w:lvl w:ilvl="0" w:tplc="B71E90C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8A362DD"/>
    <w:multiLevelType w:val="hybridMultilevel"/>
    <w:tmpl w:val="036CBD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857442A"/>
    <w:multiLevelType w:val="hybridMultilevel"/>
    <w:tmpl w:val="E018B986"/>
    <w:lvl w:ilvl="0" w:tplc="BE704C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C07329"/>
    <w:multiLevelType w:val="hybridMultilevel"/>
    <w:tmpl w:val="148CBF34"/>
    <w:lvl w:ilvl="0" w:tplc="929A84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7D020EE7"/>
    <w:multiLevelType w:val="hybridMultilevel"/>
    <w:tmpl w:val="C12E89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993222453">
    <w:abstractNumId w:val="2"/>
  </w:num>
  <w:num w:numId="2" w16cid:durableId="959728792">
    <w:abstractNumId w:val="16"/>
  </w:num>
  <w:num w:numId="3" w16cid:durableId="1794396932">
    <w:abstractNumId w:val="22"/>
  </w:num>
  <w:num w:numId="4" w16cid:durableId="784735015">
    <w:abstractNumId w:val="18"/>
  </w:num>
  <w:num w:numId="5" w16cid:durableId="392891236">
    <w:abstractNumId w:val="7"/>
  </w:num>
  <w:num w:numId="6" w16cid:durableId="1851329577">
    <w:abstractNumId w:val="9"/>
  </w:num>
  <w:num w:numId="7" w16cid:durableId="1765691143">
    <w:abstractNumId w:val="0"/>
    <w:lvlOverride w:ilvl="0">
      <w:startOverride w:val="1"/>
    </w:lvlOverride>
  </w:num>
  <w:num w:numId="8" w16cid:durableId="1355765570">
    <w:abstractNumId w:val="20"/>
  </w:num>
  <w:num w:numId="9" w16cid:durableId="1590887744">
    <w:abstractNumId w:val="8"/>
  </w:num>
  <w:num w:numId="10" w16cid:durableId="1502085685">
    <w:abstractNumId w:val="6"/>
  </w:num>
  <w:num w:numId="11" w16cid:durableId="1749837668">
    <w:abstractNumId w:val="1"/>
  </w:num>
  <w:num w:numId="12" w16cid:durableId="1907910258">
    <w:abstractNumId w:val="12"/>
  </w:num>
  <w:num w:numId="13" w16cid:durableId="864446512">
    <w:abstractNumId w:val="17"/>
  </w:num>
  <w:num w:numId="14" w16cid:durableId="1674529664">
    <w:abstractNumId w:val="0"/>
  </w:num>
  <w:num w:numId="15" w16cid:durableId="2012101506">
    <w:abstractNumId w:val="10"/>
  </w:num>
  <w:num w:numId="16" w16cid:durableId="175774704">
    <w:abstractNumId w:val="21"/>
  </w:num>
  <w:num w:numId="17" w16cid:durableId="884759151">
    <w:abstractNumId w:val="4"/>
  </w:num>
  <w:num w:numId="18" w16cid:durableId="791292044">
    <w:abstractNumId w:val="19"/>
  </w:num>
  <w:num w:numId="19" w16cid:durableId="1078865488">
    <w:abstractNumId w:val="13"/>
  </w:num>
  <w:num w:numId="20" w16cid:durableId="1644188786">
    <w:abstractNumId w:val="11"/>
  </w:num>
  <w:num w:numId="21" w16cid:durableId="1029183962">
    <w:abstractNumId w:val="14"/>
  </w:num>
  <w:num w:numId="22" w16cid:durableId="1818524322">
    <w:abstractNumId w:val="5"/>
  </w:num>
  <w:num w:numId="23" w16cid:durableId="366880001">
    <w:abstractNumId w:val="15"/>
  </w:num>
  <w:num w:numId="24" w16cid:durableId="130666353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324A"/>
    <w:rsid w:val="00026E3A"/>
    <w:rsid w:val="00035116"/>
    <w:rsid w:val="00042B30"/>
    <w:rsid w:val="00044EAE"/>
    <w:rsid w:val="00046807"/>
    <w:rsid w:val="000619A5"/>
    <w:rsid w:val="00090D2A"/>
    <w:rsid w:val="00093EA8"/>
    <w:rsid w:val="000A6AE4"/>
    <w:rsid w:val="000A6E7D"/>
    <w:rsid w:val="000B5751"/>
    <w:rsid w:val="000B6737"/>
    <w:rsid w:val="000C51D0"/>
    <w:rsid w:val="000C5C37"/>
    <w:rsid w:val="000E623D"/>
    <w:rsid w:val="000F4257"/>
    <w:rsid w:val="000F4995"/>
    <w:rsid w:val="000F6063"/>
    <w:rsid w:val="0011107B"/>
    <w:rsid w:val="001574D5"/>
    <w:rsid w:val="00163C11"/>
    <w:rsid w:val="00183128"/>
    <w:rsid w:val="0018355E"/>
    <w:rsid w:val="001A2B2C"/>
    <w:rsid w:val="001A37F5"/>
    <w:rsid w:val="001A5708"/>
    <w:rsid w:val="001A7A00"/>
    <w:rsid w:val="001B2FA2"/>
    <w:rsid w:val="001D6C0C"/>
    <w:rsid w:val="001F5C61"/>
    <w:rsid w:val="00201FF3"/>
    <w:rsid w:val="00211991"/>
    <w:rsid w:val="00230441"/>
    <w:rsid w:val="00235A94"/>
    <w:rsid w:val="002542BD"/>
    <w:rsid w:val="00256400"/>
    <w:rsid w:val="002602EA"/>
    <w:rsid w:val="00262416"/>
    <w:rsid w:val="0026484F"/>
    <w:rsid w:val="00271283"/>
    <w:rsid w:val="002823B6"/>
    <w:rsid w:val="00297F3F"/>
    <w:rsid w:val="002B7D09"/>
    <w:rsid w:val="002C102B"/>
    <w:rsid w:val="002E2DAC"/>
    <w:rsid w:val="002F49F7"/>
    <w:rsid w:val="00303001"/>
    <w:rsid w:val="0031620A"/>
    <w:rsid w:val="00325C3B"/>
    <w:rsid w:val="00351999"/>
    <w:rsid w:val="003678E5"/>
    <w:rsid w:val="00372E06"/>
    <w:rsid w:val="003913FE"/>
    <w:rsid w:val="00393A0E"/>
    <w:rsid w:val="003A5F34"/>
    <w:rsid w:val="003B072E"/>
    <w:rsid w:val="003B5BAD"/>
    <w:rsid w:val="003C7091"/>
    <w:rsid w:val="003E303D"/>
    <w:rsid w:val="003E7C3F"/>
    <w:rsid w:val="003F154B"/>
    <w:rsid w:val="0042410D"/>
    <w:rsid w:val="004258B8"/>
    <w:rsid w:val="00431047"/>
    <w:rsid w:val="00432B44"/>
    <w:rsid w:val="004561B5"/>
    <w:rsid w:val="00472955"/>
    <w:rsid w:val="004765F7"/>
    <w:rsid w:val="00477F3F"/>
    <w:rsid w:val="004A7504"/>
    <w:rsid w:val="004B037D"/>
    <w:rsid w:val="004B7746"/>
    <w:rsid w:val="004C0145"/>
    <w:rsid w:val="004D68E1"/>
    <w:rsid w:val="004D6E9A"/>
    <w:rsid w:val="004E430C"/>
    <w:rsid w:val="00500318"/>
    <w:rsid w:val="005061CE"/>
    <w:rsid w:val="005165FD"/>
    <w:rsid w:val="00542CDE"/>
    <w:rsid w:val="0054593C"/>
    <w:rsid w:val="00564435"/>
    <w:rsid w:val="005712DE"/>
    <w:rsid w:val="0057761D"/>
    <w:rsid w:val="00583D10"/>
    <w:rsid w:val="005A144F"/>
    <w:rsid w:val="005B0B1E"/>
    <w:rsid w:val="005D2021"/>
    <w:rsid w:val="005F0E31"/>
    <w:rsid w:val="00600835"/>
    <w:rsid w:val="006118FD"/>
    <w:rsid w:val="00613A62"/>
    <w:rsid w:val="006538C1"/>
    <w:rsid w:val="00654629"/>
    <w:rsid w:val="006546C2"/>
    <w:rsid w:val="00671BE2"/>
    <w:rsid w:val="0067305B"/>
    <w:rsid w:val="0068299E"/>
    <w:rsid w:val="006863D5"/>
    <w:rsid w:val="006C6A54"/>
    <w:rsid w:val="006D0896"/>
    <w:rsid w:val="00710A40"/>
    <w:rsid w:val="00715CC1"/>
    <w:rsid w:val="0071605B"/>
    <w:rsid w:val="007168BE"/>
    <w:rsid w:val="00726614"/>
    <w:rsid w:val="00746503"/>
    <w:rsid w:val="00751ABC"/>
    <w:rsid w:val="007625DB"/>
    <w:rsid w:val="00762BE3"/>
    <w:rsid w:val="00775108"/>
    <w:rsid w:val="0079701F"/>
    <w:rsid w:val="007A275C"/>
    <w:rsid w:val="007B430F"/>
    <w:rsid w:val="007D4CD3"/>
    <w:rsid w:val="007F612F"/>
    <w:rsid w:val="00810E3C"/>
    <w:rsid w:val="00840304"/>
    <w:rsid w:val="00843715"/>
    <w:rsid w:val="00846810"/>
    <w:rsid w:val="00853E2F"/>
    <w:rsid w:val="00860708"/>
    <w:rsid w:val="00862E6D"/>
    <w:rsid w:val="008636D7"/>
    <w:rsid w:val="00871C93"/>
    <w:rsid w:val="008741AE"/>
    <w:rsid w:val="00876A91"/>
    <w:rsid w:val="0088414A"/>
    <w:rsid w:val="008B4F23"/>
    <w:rsid w:val="008B5BDD"/>
    <w:rsid w:val="008C0737"/>
    <w:rsid w:val="008C51BC"/>
    <w:rsid w:val="008C71DD"/>
    <w:rsid w:val="008E774F"/>
    <w:rsid w:val="008F37E8"/>
    <w:rsid w:val="00912238"/>
    <w:rsid w:val="00913491"/>
    <w:rsid w:val="0091471E"/>
    <w:rsid w:val="00923263"/>
    <w:rsid w:val="009503DA"/>
    <w:rsid w:val="009523A9"/>
    <w:rsid w:val="00955EC7"/>
    <w:rsid w:val="00970B7B"/>
    <w:rsid w:val="009B11B3"/>
    <w:rsid w:val="009B1E52"/>
    <w:rsid w:val="009B2655"/>
    <w:rsid w:val="009C0C14"/>
    <w:rsid w:val="009C0FA2"/>
    <w:rsid w:val="009E26C7"/>
    <w:rsid w:val="00A03FDC"/>
    <w:rsid w:val="00A17341"/>
    <w:rsid w:val="00A347B7"/>
    <w:rsid w:val="00A52BE6"/>
    <w:rsid w:val="00A70D9D"/>
    <w:rsid w:val="00A84DFB"/>
    <w:rsid w:val="00A850BC"/>
    <w:rsid w:val="00A87357"/>
    <w:rsid w:val="00AB3FC9"/>
    <w:rsid w:val="00AB739C"/>
    <w:rsid w:val="00AC4D54"/>
    <w:rsid w:val="00AE5B67"/>
    <w:rsid w:val="00AF5385"/>
    <w:rsid w:val="00B02D25"/>
    <w:rsid w:val="00B140EA"/>
    <w:rsid w:val="00B26313"/>
    <w:rsid w:val="00B2646B"/>
    <w:rsid w:val="00B26CCE"/>
    <w:rsid w:val="00B37E3D"/>
    <w:rsid w:val="00B4424F"/>
    <w:rsid w:val="00B45C7D"/>
    <w:rsid w:val="00B52B26"/>
    <w:rsid w:val="00B8245E"/>
    <w:rsid w:val="00B86D29"/>
    <w:rsid w:val="00B96D5A"/>
    <w:rsid w:val="00BB4E7D"/>
    <w:rsid w:val="00BC78D7"/>
    <w:rsid w:val="00BD6E0A"/>
    <w:rsid w:val="00BE0BDA"/>
    <w:rsid w:val="00BF27DA"/>
    <w:rsid w:val="00C27A23"/>
    <w:rsid w:val="00C370A4"/>
    <w:rsid w:val="00C41524"/>
    <w:rsid w:val="00C463A9"/>
    <w:rsid w:val="00C662B6"/>
    <w:rsid w:val="00C6635B"/>
    <w:rsid w:val="00C7068E"/>
    <w:rsid w:val="00C768FE"/>
    <w:rsid w:val="00C8167E"/>
    <w:rsid w:val="00C9723A"/>
    <w:rsid w:val="00C97EF2"/>
    <w:rsid w:val="00CB16F3"/>
    <w:rsid w:val="00CC251F"/>
    <w:rsid w:val="00CD49E1"/>
    <w:rsid w:val="00CD53DF"/>
    <w:rsid w:val="00CD5AEC"/>
    <w:rsid w:val="00CE0846"/>
    <w:rsid w:val="00CF50D3"/>
    <w:rsid w:val="00D02FAF"/>
    <w:rsid w:val="00D07651"/>
    <w:rsid w:val="00D52DD0"/>
    <w:rsid w:val="00D7737B"/>
    <w:rsid w:val="00D845E5"/>
    <w:rsid w:val="00DA002B"/>
    <w:rsid w:val="00DA1EF7"/>
    <w:rsid w:val="00DB4BB3"/>
    <w:rsid w:val="00DC1AAD"/>
    <w:rsid w:val="00DC3D75"/>
    <w:rsid w:val="00DD35B1"/>
    <w:rsid w:val="00DF3185"/>
    <w:rsid w:val="00E108C3"/>
    <w:rsid w:val="00E176F5"/>
    <w:rsid w:val="00E31FED"/>
    <w:rsid w:val="00E37B84"/>
    <w:rsid w:val="00E41ABD"/>
    <w:rsid w:val="00E442B6"/>
    <w:rsid w:val="00E6293F"/>
    <w:rsid w:val="00E7745C"/>
    <w:rsid w:val="00E868A8"/>
    <w:rsid w:val="00E91487"/>
    <w:rsid w:val="00E971A8"/>
    <w:rsid w:val="00EA6590"/>
    <w:rsid w:val="00EB499A"/>
    <w:rsid w:val="00ED6269"/>
    <w:rsid w:val="00EE0C7A"/>
    <w:rsid w:val="00EE40A0"/>
    <w:rsid w:val="00EE51AB"/>
    <w:rsid w:val="00EF212E"/>
    <w:rsid w:val="00EF5E4D"/>
    <w:rsid w:val="00F02AD9"/>
    <w:rsid w:val="00F03B47"/>
    <w:rsid w:val="00F07328"/>
    <w:rsid w:val="00F254EA"/>
    <w:rsid w:val="00F37E09"/>
    <w:rsid w:val="00F447F4"/>
    <w:rsid w:val="00F57BB3"/>
    <w:rsid w:val="00F60C42"/>
    <w:rsid w:val="00F803A8"/>
    <w:rsid w:val="00F96CDA"/>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character" w:customStyle="1" w:styleId="Mentionnonrsolue1">
    <w:name w:val="Mention non résolue1"/>
    <w:basedOn w:val="Policepardfaut"/>
    <w:uiPriority w:val="99"/>
    <w:semiHidden/>
    <w:unhideWhenUsed/>
    <w:rsid w:val="00183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048233">
      <w:bodyDiv w:val="1"/>
      <w:marLeft w:val="0"/>
      <w:marRight w:val="0"/>
      <w:marTop w:val="0"/>
      <w:marBottom w:val="0"/>
      <w:divBdr>
        <w:top w:val="none" w:sz="0" w:space="0" w:color="auto"/>
        <w:left w:val="none" w:sz="0" w:space="0" w:color="auto"/>
        <w:bottom w:val="none" w:sz="0" w:space="0" w:color="auto"/>
        <w:right w:val="none" w:sz="0" w:space="0" w:color="auto"/>
      </w:divBdr>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6859">
      <w:bodyDiv w:val="1"/>
      <w:marLeft w:val="0"/>
      <w:marRight w:val="0"/>
      <w:marTop w:val="0"/>
      <w:marBottom w:val="0"/>
      <w:divBdr>
        <w:top w:val="none" w:sz="0" w:space="0" w:color="auto"/>
        <w:left w:val="none" w:sz="0" w:space="0" w:color="auto"/>
        <w:bottom w:val="none" w:sz="0" w:space="0" w:color="auto"/>
        <w:right w:val="none" w:sz="0" w:space="0" w:color="auto"/>
      </w:divBdr>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977D7-EF01-433F-BBB5-7265FCDD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1582</Words>
  <Characters>9024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2</cp:revision>
  <dcterms:created xsi:type="dcterms:W3CDTF">2024-04-07T10:28:00Z</dcterms:created>
  <dcterms:modified xsi:type="dcterms:W3CDTF">2024-04-07T10:28:00Z</dcterms:modified>
</cp:coreProperties>
</file>