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08E25" w14:textId="77777777" w:rsidR="00CE7F95" w:rsidRPr="00955D86" w:rsidRDefault="00CE7F95" w:rsidP="00955D86"/>
    <w:p w14:paraId="1A4D727C" w14:textId="77777777" w:rsidR="00DC0FCB" w:rsidRPr="009F1066" w:rsidRDefault="00DC0FCB" w:rsidP="00955D86">
      <w:r w:rsidRPr="009F1066">
        <w:t xml:space="preserve">Union Monétaire de l'Afrique Centrale </w:t>
      </w:r>
    </w:p>
    <w:p w14:paraId="282DB872" w14:textId="77777777" w:rsidR="00DC0FCB" w:rsidRPr="009F1066" w:rsidRDefault="00DC0FCB" w:rsidP="00955D86">
      <w:r w:rsidRPr="009F1066">
        <w:t xml:space="preserve">Commission de Surveillance du Marché </w:t>
      </w:r>
    </w:p>
    <w:p w14:paraId="7D09A622" w14:textId="77777777" w:rsidR="00DC0FCB" w:rsidRPr="009F1066" w:rsidRDefault="00DC0FCB" w:rsidP="00955D86">
      <w:r w:rsidRPr="009F1066">
        <w:t xml:space="preserve">Financier de l'Afrique centrale </w:t>
      </w:r>
    </w:p>
    <w:p w14:paraId="76375372" w14:textId="77777777" w:rsidR="00DC0FCB" w:rsidRPr="009F1066" w:rsidRDefault="00DC0FCB" w:rsidP="00955D86">
      <w:r w:rsidRPr="009F1066">
        <w:t xml:space="preserve">COSUMAF </w:t>
      </w:r>
    </w:p>
    <w:p w14:paraId="1610A938" w14:textId="77777777" w:rsidR="00AF1F7D" w:rsidRDefault="00AF1F7D" w:rsidP="007A2E9F">
      <w:pPr>
        <w:pStyle w:val="NormalWeb"/>
        <w:rPr>
          <w:color w:val="0070C0"/>
        </w:rPr>
      </w:pPr>
    </w:p>
    <w:p w14:paraId="4B21CA10" w14:textId="77777777" w:rsidR="00AF1F7D" w:rsidRPr="00AF1F7D" w:rsidRDefault="00AF1F7D" w:rsidP="00AF1F7D">
      <w:pPr>
        <w:pStyle w:val="NormalWeb"/>
        <w:jc w:val="center"/>
        <w:rPr>
          <w:color w:val="0070C0"/>
        </w:rPr>
      </w:pPr>
    </w:p>
    <w:p w14:paraId="7FD96E51" w14:textId="3A09846B" w:rsidR="00DC0FCB" w:rsidRPr="009F1066" w:rsidRDefault="00DC0FCB" w:rsidP="00592BA9">
      <w:pPr>
        <w:pStyle w:val="NormalWeb"/>
        <w:jc w:val="center"/>
        <w:rPr>
          <w:b/>
          <w:bCs/>
        </w:rPr>
      </w:pPr>
      <w:r w:rsidRPr="009F1066">
        <w:rPr>
          <w:b/>
          <w:bCs/>
        </w:rPr>
        <w:t>INSTRUCTION COSUMAF n° du XX/XX 202</w:t>
      </w:r>
      <w:r w:rsidR="00F40126" w:rsidRPr="009F1066">
        <w:rPr>
          <w:b/>
          <w:bCs/>
        </w:rPr>
        <w:t>4</w:t>
      </w:r>
    </w:p>
    <w:p w14:paraId="536A288A" w14:textId="31A10832" w:rsidR="00DC0FCB" w:rsidRPr="009F1066" w:rsidRDefault="00DC0FCB" w:rsidP="00592BA9">
      <w:pPr>
        <w:pStyle w:val="NormalWeb"/>
        <w:jc w:val="center"/>
        <w:rPr>
          <w:b/>
          <w:bCs/>
        </w:rPr>
      </w:pPr>
      <w:r w:rsidRPr="009F1066">
        <w:rPr>
          <w:b/>
          <w:bCs/>
        </w:rPr>
        <w:t xml:space="preserve">RELATIVE A L'AGREMENT DES </w:t>
      </w:r>
      <w:r w:rsidR="001464CD" w:rsidRPr="009F1066">
        <w:rPr>
          <w:b/>
          <w:bCs/>
        </w:rPr>
        <w:t>ORGANISMES DE TITRISATION</w:t>
      </w:r>
    </w:p>
    <w:p w14:paraId="2AA20D93" w14:textId="77777777" w:rsidR="00DC0FCB" w:rsidRPr="009F1066" w:rsidRDefault="00DC0FCB" w:rsidP="00592BA9">
      <w:pPr>
        <w:pStyle w:val="NormalWeb"/>
        <w:jc w:val="center"/>
        <w:rPr>
          <w:b/>
          <w:bCs/>
        </w:rPr>
      </w:pPr>
      <w:r w:rsidRPr="009F1066">
        <w:rPr>
          <w:b/>
          <w:bCs/>
        </w:rPr>
        <w:t>***</w:t>
      </w:r>
    </w:p>
    <w:p w14:paraId="25EF9945" w14:textId="77777777" w:rsidR="00DC0FCB" w:rsidRPr="009F1066" w:rsidRDefault="00DC0FCB" w:rsidP="00955D86">
      <w:pPr>
        <w:pStyle w:val="NormalWeb"/>
      </w:pPr>
      <w:r w:rsidRPr="009F1066">
        <w:t xml:space="preserve">LE COLLEGE DE LA COMMISSION DE SURVEILLANCE DU MARCHE FINANCIER DE L'AFRIQUE CENTRALE </w:t>
      </w:r>
    </w:p>
    <w:p w14:paraId="73D7AFE0" w14:textId="6C78445A" w:rsidR="00DC0FCB" w:rsidRPr="009F1066" w:rsidRDefault="00DC0FCB" w:rsidP="00955D86">
      <w:pPr>
        <w:pStyle w:val="NormalWeb"/>
      </w:pPr>
      <w:r w:rsidRPr="009F1066">
        <w:t>Vu l'Acte Additionnel n" 03/01-CEMAC-CE 03 en date du 8 décembre 2001 portant création de la Commission de Surveillance du Marché Financier de l'Afrique Centrale (COSUMAF)</w:t>
      </w:r>
      <w:r w:rsidR="00D83929" w:rsidRPr="009F1066">
        <w:t xml:space="preserve"> ;</w:t>
      </w:r>
      <w:r w:rsidRPr="009F1066">
        <w:rPr>
          <w:position w:val="-4"/>
        </w:rPr>
        <w:t xml:space="preserve"> </w:t>
      </w:r>
    </w:p>
    <w:p w14:paraId="34830CFA" w14:textId="0DF271B1" w:rsidR="00DC0FCB" w:rsidRPr="009F1066" w:rsidRDefault="00DC0FCB" w:rsidP="00955D86">
      <w:pPr>
        <w:pStyle w:val="NormalWeb"/>
      </w:pPr>
      <w:r w:rsidRPr="009F1066">
        <w:t>Vu le Règlement N°01/22/CEMAC/UMAC/CM/COSUMAF du 21 juillet 2022 portant organisation et fonctionnement du marché financier de l’Afrique Centrale</w:t>
      </w:r>
      <w:r w:rsidR="00D83929" w:rsidRPr="009F1066">
        <w:t xml:space="preserve"> ;</w:t>
      </w:r>
      <w:r w:rsidRPr="009F1066">
        <w:t> </w:t>
      </w:r>
    </w:p>
    <w:p w14:paraId="22959C2D" w14:textId="3E9F7797" w:rsidR="00DC0FCB" w:rsidRPr="009F1066" w:rsidRDefault="00DC0FCB" w:rsidP="00955D86">
      <w:pPr>
        <w:pStyle w:val="NormalWeb"/>
      </w:pPr>
      <w:r w:rsidRPr="009F1066">
        <w:t>Vu le Règlement Général de la Commission de Surveillance du Marché Financier de l'Afrique Centrale</w:t>
      </w:r>
      <w:r w:rsidR="00C651F9" w:rsidRPr="009F1066">
        <w:t xml:space="preserve"> du </w:t>
      </w:r>
      <w:r w:rsidR="00B93B1B" w:rsidRPr="009F1066">
        <w:t>23 mai 2023</w:t>
      </w:r>
      <w:r w:rsidR="00C651F9" w:rsidRPr="009F1066">
        <w:t xml:space="preserve"> </w:t>
      </w:r>
      <w:r w:rsidR="00D83929" w:rsidRPr="009F1066">
        <w:t>;</w:t>
      </w:r>
    </w:p>
    <w:p w14:paraId="60953D84" w14:textId="0E640619" w:rsidR="00DC0FCB" w:rsidRPr="009F1066" w:rsidRDefault="00DC0FCB" w:rsidP="00955D86">
      <w:pPr>
        <w:pStyle w:val="NormalWeb"/>
      </w:pPr>
      <w:r w:rsidRPr="009F1066">
        <w:t>En sa séance du X</w:t>
      </w:r>
      <w:r w:rsidR="00D83929" w:rsidRPr="009F1066">
        <w:t xml:space="preserve"> ;</w:t>
      </w:r>
    </w:p>
    <w:p w14:paraId="5865E29E" w14:textId="77777777" w:rsidR="00DC0FCB" w:rsidRPr="009F1066" w:rsidRDefault="00DC0FCB" w:rsidP="00955D86">
      <w:pPr>
        <w:pStyle w:val="NormalWeb"/>
      </w:pPr>
    </w:p>
    <w:p w14:paraId="57B3B64B" w14:textId="77777777" w:rsidR="00DC0FCB" w:rsidRPr="009F1066" w:rsidRDefault="00DC0FCB" w:rsidP="00955D86">
      <w:pPr>
        <w:pStyle w:val="NormalWeb"/>
      </w:pPr>
    </w:p>
    <w:p w14:paraId="24652E7E" w14:textId="77777777" w:rsidR="00DC0FCB" w:rsidRPr="009F1066" w:rsidRDefault="00DC0FCB" w:rsidP="00955D86">
      <w:pPr>
        <w:pStyle w:val="NormalWeb"/>
      </w:pPr>
    </w:p>
    <w:p w14:paraId="58B56A0B" w14:textId="77777777" w:rsidR="00DC0FCB" w:rsidRPr="009F1066" w:rsidRDefault="00DC0FCB" w:rsidP="00955D86">
      <w:pPr>
        <w:pStyle w:val="NormalWeb"/>
      </w:pPr>
    </w:p>
    <w:p w14:paraId="42B212C5" w14:textId="4743DD32" w:rsidR="00DC0FCB" w:rsidRPr="009F1066" w:rsidRDefault="00DC0FCB" w:rsidP="007911F9">
      <w:pPr>
        <w:pStyle w:val="NormalWeb"/>
        <w:jc w:val="center"/>
      </w:pPr>
      <w:r w:rsidRPr="009F1066">
        <w:t>ADOPTE L'INSTRUCTION DONT LA TENEUR SUIT</w:t>
      </w:r>
      <w:r w:rsidR="00D83929" w:rsidRPr="009F1066">
        <w:t xml:space="preserve"> :</w:t>
      </w:r>
    </w:p>
    <w:p w14:paraId="286691DD" w14:textId="215F114D" w:rsidR="000558F4" w:rsidRPr="009F1066" w:rsidRDefault="00DC0FCB">
      <w:pPr>
        <w:jc w:val="left"/>
      </w:pPr>
      <w:r w:rsidRPr="009F1066">
        <w:br w:type="page"/>
      </w:r>
    </w:p>
    <w:sdt>
      <w:sdtPr>
        <w:rPr>
          <w:rFonts w:asciiTheme="minorHAnsi" w:eastAsiaTheme="minorHAnsi" w:hAnsiTheme="minorHAnsi" w:cstheme="minorHAnsi"/>
          <w:b w:val="0"/>
          <w:bCs w:val="0"/>
          <w:color w:val="auto"/>
          <w:sz w:val="24"/>
          <w:szCs w:val="24"/>
          <w:lang w:eastAsia="en-US"/>
        </w:rPr>
        <w:id w:val="-1140028627"/>
        <w:docPartObj>
          <w:docPartGallery w:val="Table of Contents"/>
          <w:docPartUnique/>
        </w:docPartObj>
      </w:sdtPr>
      <w:sdtEndPr>
        <w:rPr>
          <w:noProof/>
        </w:rPr>
      </w:sdtEndPr>
      <w:sdtContent>
        <w:p w14:paraId="4761A2BC" w14:textId="120E119A" w:rsidR="000558F4" w:rsidRPr="009F1066" w:rsidRDefault="000558F4" w:rsidP="00200418">
          <w:pPr>
            <w:pStyle w:val="En-ttedetabledesmatires"/>
          </w:pPr>
          <w:r w:rsidRPr="009F1066">
            <w:t>Table des matières</w:t>
          </w:r>
        </w:p>
        <w:p w14:paraId="2629F2E3" w14:textId="0D61E96D" w:rsidR="000A0F57" w:rsidRDefault="000558F4">
          <w:pPr>
            <w:pStyle w:val="TM1"/>
            <w:tabs>
              <w:tab w:val="right" w:leader="dot" w:pos="9060"/>
            </w:tabs>
            <w:rPr>
              <w:rFonts w:eastAsiaTheme="minorEastAsia" w:cstheme="minorBidi"/>
              <w:b w:val="0"/>
              <w:bCs w:val="0"/>
              <w:i w:val="0"/>
              <w:iCs w:val="0"/>
              <w:noProof/>
              <w:kern w:val="2"/>
              <w:lang w:eastAsia="fr-FR"/>
              <w14:ligatures w14:val="standardContextual"/>
            </w:rPr>
          </w:pPr>
          <w:r w:rsidRPr="009F1066">
            <w:rPr>
              <w:b w:val="0"/>
              <w:bCs w:val="0"/>
            </w:rPr>
            <w:fldChar w:fldCharType="begin"/>
          </w:r>
          <w:r w:rsidRPr="009F1066">
            <w:instrText>TOC \o "1-3" \h \z \u</w:instrText>
          </w:r>
          <w:r w:rsidRPr="009F1066">
            <w:rPr>
              <w:b w:val="0"/>
              <w:bCs w:val="0"/>
            </w:rPr>
            <w:fldChar w:fldCharType="separate"/>
          </w:r>
          <w:hyperlink w:anchor="_Toc160086262" w:history="1">
            <w:r w:rsidR="000A0F57" w:rsidRPr="00354FD9">
              <w:rPr>
                <w:rStyle w:val="Lienhypertexte"/>
                <w:noProof/>
              </w:rPr>
              <w:t>Article 1 : Définitions</w:t>
            </w:r>
            <w:r w:rsidR="000A0F57">
              <w:rPr>
                <w:noProof/>
                <w:webHidden/>
              </w:rPr>
              <w:tab/>
            </w:r>
            <w:r w:rsidR="000A0F57">
              <w:rPr>
                <w:noProof/>
                <w:webHidden/>
              </w:rPr>
              <w:fldChar w:fldCharType="begin"/>
            </w:r>
            <w:r w:rsidR="000A0F57">
              <w:rPr>
                <w:noProof/>
                <w:webHidden/>
              </w:rPr>
              <w:instrText xml:space="preserve"> PAGEREF _Toc160086262 \h </w:instrText>
            </w:r>
            <w:r w:rsidR="000A0F57">
              <w:rPr>
                <w:noProof/>
                <w:webHidden/>
              </w:rPr>
            </w:r>
            <w:r w:rsidR="000A0F57">
              <w:rPr>
                <w:noProof/>
                <w:webHidden/>
              </w:rPr>
              <w:fldChar w:fldCharType="separate"/>
            </w:r>
            <w:r w:rsidR="000A0F57">
              <w:rPr>
                <w:noProof/>
                <w:webHidden/>
              </w:rPr>
              <w:t>3</w:t>
            </w:r>
            <w:r w:rsidR="000A0F57">
              <w:rPr>
                <w:noProof/>
                <w:webHidden/>
              </w:rPr>
              <w:fldChar w:fldCharType="end"/>
            </w:r>
          </w:hyperlink>
        </w:p>
        <w:p w14:paraId="3257BB6B" w14:textId="3A53AF50"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63" w:history="1">
            <w:r w:rsidR="000A0F57" w:rsidRPr="00354FD9">
              <w:rPr>
                <w:rStyle w:val="Lienhypertexte"/>
                <w:noProof/>
              </w:rPr>
              <w:t>Article 2 : Domaine d’application</w:t>
            </w:r>
            <w:r w:rsidR="000A0F57">
              <w:rPr>
                <w:noProof/>
                <w:webHidden/>
              </w:rPr>
              <w:tab/>
            </w:r>
            <w:r w:rsidR="000A0F57">
              <w:rPr>
                <w:noProof/>
                <w:webHidden/>
              </w:rPr>
              <w:fldChar w:fldCharType="begin"/>
            </w:r>
            <w:r w:rsidR="000A0F57">
              <w:rPr>
                <w:noProof/>
                <w:webHidden/>
              </w:rPr>
              <w:instrText xml:space="preserve"> PAGEREF _Toc160086263 \h </w:instrText>
            </w:r>
            <w:r w:rsidR="000A0F57">
              <w:rPr>
                <w:noProof/>
                <w:webHidden/>
              </w:rPr>
            </w:r>
            <w:r w:rsidR="000A0F57">
              <w:rPr>
                <w:noProof/>
                <w:webHidden/>
              </w:rPr>
              <w:fldChar w:fldCharType="separate"/>
            </w:r>
            <w:r w:rsidR="000A0F57">
              <w:rPr>
                <w:noProof/>
                <w:webHidden/>
              </w:rPr>
              <w:t>3</w:t>
            </w:r>
            <w:r w:rsidR="000A0F57">
              <w:rPr>
                <w:noProof/>
                <w:webHidden/>
              </w:rPr>
              <w:fldChar w:fldCharType="end"/>
            </w:r>
          </w:hyperlink>
        </w:p>
        <w:p w14:paraId="6ABDD741" w14:textId="1771ECC8"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64" w:history="1">
            <w:r w:rsidR="000A0F57" w:rsidRPr="00354FD9">
              <w:rPr>
                <w:rStyle w:val="Lienhypertexte"/>
                <w:noProof/>
              </w:rPr>
              <w:t>Article 3 : Forme et gestion</w:t>
            </w:r>
            <w:r w:rsidR="000A0F57">
              <w:rPr>
                <w:noProof/>
                <w:webHidden/>
              </w:rPr>
              <w:tab/>
            </w:r>
            <w:r w:rsidR="000A0F57">
              <w:rPr>
                <w:noProof/>
                <w:webHidden/>
              </w:rPr>
              <w:fldChar w:fldCharType="begin"/>
            </w:r>
            <w:r w:rsidR="000A0F57">
              <w:rPr>
                <w:noProof/>
                <w:webHidden/>
              </w:rPr>
              <w:instrText xml:space="preserve"> PAGEREF _Toc160086264 \h </w:instrText>
            </w:r>
            <w:r w:rsidR="000A0F57">
              <w:rPr>
                <w:noProof/>
                <w:webHidden/>
              </w:rPr>
            </w:r>
            <w:r w:rsidR="000A0F57">
              <w:rPr>
                <w:noProof/>
                <w:webHidden/>
              </w:rPr>
              <w:fldChar w:fldCharType="separate"/>
            </w:r>
            <w:r w:rsidR="000A0F57">
              <w:rPr>
                <w:noProof/>
                <w:webHidden/>
              </w:rPr>
              <w:t>4</w:t>
            </w:r>
            <w:r w:rsidR="000A0F57">
              <w:rPr>
                <w:noProof/>
                <w:webHidden/>
              </w:rPr>
              <w:fldChar w:fldCharType="end"/>
            </w:r>
          </w:hyperlink>
        </w:p>
        <w:p w14:paraId="0FF7BB39" w14:textId="2883B52F"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65" w:history="1">
            <w:r w:rsidR="000A0F57" w:rsidRPr="00354FD9">
              <w:rPr>
                <w:rStyle w:val="Lienhypertexte"/>
                <w:noProof/>
              </w:rPr>
              <w:t>Article 4 : Agrément   d’un Organisme de Titrisation</w:t>
            </w:r>
            <w:r w:rsidR="000A0F57">
              <w:rPr>
                <w:noProof/>
                <w:webHidden/>
              </w:rPr>
              <w:tab/>
            </w:r>
            <w:r w:rsidR="000A0F57">
              <w:rPr>
                <w:noProof/>
                <w:webHidden/>
              </w:rPr>
              <w:fldChar w:fldCharType="begin"/>
            </w:r>
            <w:r w:rsidR="000A0F57">
              <w:rPr>
                <w:noProof/>
                <w:webHidden/>
              </w:rPr>
              <w:instrText xml:space="preserve"> PAGEREF _Toc160086265 \h </w:instrText>
            </w:r>
            <w:r w:rsidR="000A0F57">
              <w:rPr>
                <w:noProof/>
                <w:webHidden/>
              </w:rPr>
            </w:r>
            <w:r w:rsidR="000A0F57">
              <w:rPr>
                <w:noProof/>
                <w:webHidden/>
              </w:rPr>
              <w:fldChar w:fldCharType="separate"/>
            </w:r>
            <w:r w:rsidR="000A0F57">
              <w:rPr>
                <w:noProof/>
                <w:webHidden/>
              </w:rPr>
              <w:t>4</w:t>
            </w:r>
            <w:r w:rsidR="000A0F57">
              <w:rPr>
                <w:noProof/>
                <w:webHidden/>
              </w:rPr>
              <w:fldChar w:fldCharType="end"/>
            </w:r>
          </w:hyperlink>
        </w:p>
        <w:p w14:paraId="2DD62EAF" w14:textId="4F352898"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66" w:history="1">
            <w:r w:rsidR="000A0F57" w:rsidRPr="00354FD9">
              <w:rPr>
                <w:rStyle w:val="Lienhypertexte"/>
                <w:noProof/>
              </w:rPr>
              <w:t>Article 5 : Soumission de la demande d’agrément</w:t>
            </w:r>
            <w:r w:rsidR="000A0F57">
              <w:rPr>
                <w:noProof/>
                <w:webHidden/>
              </w:rPr>
              <w:tab/>
            </w:r>
            <w:r w:rsidR="000A0F57">
              <w:rPr>
                <w:noProof/>
                <w:webHidden/>
              </w:rPr>
              <w:fldChar w:fldCharType="begin"/>
            </w:r>
            <w:r w:rsidR="000A0F57">
              <w:rPr>
                <w:noProof/>
                <w:webHidden/>
              </w:rPr>
              <w:instrText xml:space="preserve"> PAGEREF _Toc160086266 \h </w:instrText>
            </w:r>
            <w:r w:rsidR="000A0F57">
              <w:rPr>
                <w:noProof/>
                <w:webHidden/>
              </w:rPr>
            </w:r>
            <w:r w:rsidR="000A0F57">
              <w:rPr>
                <w:noProof/>
                <w:webHidden/>
              </w:rPr>
              <w:fldChar w:fldCharType="separate"/>
            </w:r>
            <w:r w:rsidR="000A0F57">
              <w:rPr>
                <w:noProof/>
                <w:webHidden/>
              </w:rPr>
              <w:t>4</w:t>
            </w:r>
            <w:r w:rsidR="000A0F57">
              <w:rPr>
                <w:noProof/>
                <w:webHidden/>
              </w:rPr>
              <w:fldChar w:fldCharType="end"/>
            </w:r>
          </w:hyperlink>
        </w:p>
        <w:p w14:paraId="0CC9B32A" w14:textId="2E6FA27E"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67" w:history="1">
            <w:r w:rsidR="000A0F57" w:rsidRPr="00354FD9">
              <w:rPr>
                <w:rStyle w:val="Lienhypertexte"/>
                <w:noProof/>
              </w:rPr>
              <w:t>Article 6 : Vérification de la conformité du dossier</w:t>
            </w:r>
            <w:r w:rsidR="000A0F57">
              <w:rPr>
                <w:noProof/>
                <w:webHidden/>
              </w:rPr>
              <w:tab/>
            </w:r>
            <w:r w:rsidR="000A0F57">
              <w:rPr>
                <w:noProof/>
                <w:webHidden/>
              </w:rPr>
              <w:fldChar w:fldCharType="begin"/>
            </w:r>
            <w:r w:rsidR="000A0F57">
              <w:rPr>
                <w:noProof/>
                <w:webHidden/>
              </w:rPr>
              <w:instrText xml:space="preserve"> PAGEREF _Toc160086267 \h </w:instrText>
            </w:r>
            <w:r w:rsidR="000A0F57">
              <w:rPr>
                <w:noProof/>
                <w:webHidden/>
              </w:rPr>
            </w:r>
            <w:r w:rsidR="000A0F57">
              <w:rPr>
                <w:noProof/>
                <w:webHidden/>
              </w:rPr>
              <w:fldChar w:fldCharType="separate"/>
            </w:r>
            <w:r w:rsidR="000A0F57">
              <w:rPr>
                <w:noProof/>
                <w:webHidden/>
              </w:rPr>
              <w:t>5</w:t>
            </w:r>
            <w:r w:rsidR="000A0F57">
              <w:rPr>
                <w:noProof/>
                <w:webHidden/>
              </w:rPr>
              <w:fldChar w:fldCharType="end"/>
            </w:r>
          </w:hyperlink>
        </w:p>
        <w:p w14:paraId="30EAFF97" w14:textId="2F8E7650"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68" w:history="1">
            <w:r w:rsidR="000A0F57" w:rsidRPr="00354FD9">
              <w:rPr>
                <w:rStyle w:val="Lienhypertexte"/>
                <w:noProof/>
              </w:rPr>
              <w:t>Article 7 : Analyse du dossier d’agrément</w:t>
            </w:r>
            <w:r w:rsidR="000A0F57">
              <w:rPr>
                <w:noProof/>
                <w:webHidden/>
              </w:rPr>
              <w:tab/>
            </w:r>
            <w:r w:rsidR="000A0F57">
              <w:rPr>
                <w:noProof/>
                <w:webHidden/>
              </w:rPr>
              <w:fldChar w:fldCharType="begin"/>
            </w:r>
            <w:r w:rsidR="000A0F57">
              <w:rPr>
                <w:noProof/>
                <w:webHidden/>
              </w:rPr>
              <w:instrText xml:space="preserve"> PAGEREF _Toc160086268 \h </w:instrText>
            </w:r>
            <w:r w:rsidR="000A0F57">
              <w:rPr>
                <w:noProof/>
                <w:webHidden/>
              </w:rPr>
            </w:r>
            <w:r w:rsidR="000A0F57">
              <w:rPr>
                <w:noProof/>
                <w:webHidden/>
              </w:rPr>
              <w:fldChar w:fldCharType="separate"/>
            </w:r>
            <w:r w:rsidR="000A0F57">
              <w:rPr>
                <w:noProof/>
                <w:webHidden/>
              </w:rPr>
              <w:t>5</w:t>
            </w:r>
            <w:r w:rsidR="000A0F57">
              <w:rPr>
                <w:noProof/>
                <w:webHidden/>
              </w:rPr>
              <w:fldChar w:fldCharType="end"/>
            </w:r>
          </w:hyperlink>
        </w:p>
        <w:p w14:paraId="425C1993" w14:textId="429A750E"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69" w:history="1">
            <w:r w:rsidR="000A0F57" w:rsidRPr="00354FD9">
              <w:rPr>
                <w:rStyle w:val="Lienhypertexte"/>
                <w:noProof/>
              </w:rPr>
              <w:t>Article 8 : Décision d’agrément</w:t>
            </w:r>
            <w:r w:rsidR="000A0F57">
              <w:rPr>
                <w:noProof/>
                <w:webHidden/>
              </w:rPr>
              <w:tab/>
            </w:r>
            <w:r w:rsidR="000A0F57">
              <w:rPr>
                <w:noProof/>
                <w:webHidden/>
              </w:rPr>
              <w:fldChar w:fldCharType="begin"/>
            </w:r>
            <w:r w:rsidR="000A0F57">
              <w:rPr>
                <w:noProof/>
                <w:webHidden/>
              </w:rPr>
              <w:instrText xml:space="preserve"> PAGEREF _Toc160086269 \h </w:instrText>
            </w:r>
            <w:r w:rsidR="000A0F57">
              <w:rPr>
                <w:noProof/>
                <w:webHidden/>
              </w:rPr>
            </w:r>
            <w:r w:rsidR="000A0F57">
              <w:rPr>
                <w:noProof/>
                <w:webHidden/>
              </w:rPr>
              <w:fldChar w:fldCharType="separate"/>
            </w:r>
            <w:r w:rsidR="000A0F57">
              <w:rPr>
                <w:noProof/>
                <w:webHidden/>
              </w:rPr>
              <w:t>6</w:t>
            </w:r>
            <w:r w:rsidR="000A0F57">
              <w:rPr>
                <w:noProof/>
                <w:webHidden/>
              </w:rPr>
              <w:fldChar w:fldCharType="end"/>
            </w:r>
          </w:hyperlink>
        </w:p>
        <w:p w14:paraId="624DEE72" w14:textId="10D3D8F8"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0" w:history="1">
            <w:r w:rsidR="000A0F57" w:rsidRPr="00354FD9">
              <w:rPr>
                <w:rStyle w:val="Lienhypertexte"/>
                <w:noProof/>
              </w:rPr>
              <w:t>Article 9 : Éléments constitutifs  du dossier d’agrément</w:t>
            </w:r>
            <w:r w:rsidR="000A0F57">
              <w:rPr>
                <w:noProof/>
                <w:webHidden/>
              </w:rPr>
              <w:tab/>
            </w:r>
            <w:r w:rsidR="000A0F57">
              <w:rPr>
                <w:noProof/>
                <w:webHidden/>
              </w:rPr>
              <w:fldChar w:fldCharType="begin"/>
            </w:r>
            <w:r w:rsidR="000A0F57">
              <w:rPr>
                <w:noProof/>
                <w:webHidden/>
              </w:rPr>
              <w:instrText xml:space="preserve"> PAGEREF _Toc160086270 \h </w:instrText>
            </w:r>
            <w:r w:rsidR="000A0F57">
              <w:rPr>
                <w:noProof/>
                <w:webHidden/>
              </w:rPr>
            </w:r>
            <w:r w:rsidR="000A0F57">
              <w:rPr>
                <w:noProof/>
                <w:webHidden/>
              </w:rPr>
              <w:fldChar w:fldCharType="separate"/>
            </w:r>
            <w:r w:rsidR="000A0F57">
              <w:rPr>
                <w:noProof/>
                <w:webHidden/>
              </w:rPr>
              <w:t>6</w:t>
            </w:r>
            <w:r w:rsidR="000A0F57">
              <w:rPr>
                <w:noProof/>
                <w:webHidden/>
              </w:rPr>
              <w:fldChar w:fldCharType="end"/>
            </w:r>
          </w:hyperlink>
        </w:p>
        <w:p w14:paraId="62C187A5" w14:textId="36BA7F89"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1" w:history="1">
            <w:r w:rsidR="000A0F57" w:rsidRPr="00354FD9">
              <w:rPr>
                <w:rStyle w:val="Lienhypertexte"/>
                <w:noProof/>
              </w:rPr>
              <w:t>Article 10 : Mises à jour de l’agrément</w:t>
            </w:r>
            <w:r w:rsidR="000A0F57">
              <w:rPr>
                <w:noProof/>
                <w:webHidden/>
              </w:rPr>
              <w:tab/>
            </w:r>
            <w:r w:rsidR="000A0F57">
              <w:rPr>
                <w:noProof/>
                <w:webHidden/>
              </w:rPr>
              <w:fldChar w:fldCharType="begin"/>
            </w:r>
            <w:r w:rsidR="000A0F57">
              <w:rPr>
                <w:noProof/>
                <w:webHidden/>
              </w:rPr>
              <w:instrText xml:space="preserve"> PAGEREF _Toc160086271 \h </w:instrText>
            </w:r>
            <w:r w:rsidR="000A0F57">
              <w:rPr>
                <w:noProof/>
                <w:webHidden/>
              </w:rPr>
            </w:r>
            <w:r w:rsidR="000A0F57">
              <w:rPr>
                <w:noProof/>
                <w:webHidden/>
              </w:rPr>
              <w:fldChar w:fldCharType="separate"/>
            </w:r>
            <w:r w:rsidR="000A0F57">
              <w:rPr>
                <w:noProof/>
                <w:webHidden/>
              </w:rPr>
              <w:t>7</w:t>
            </w:r>
            <w:r w:rsidR="000A0F57">
              <w:rPr>
                <w:noProof/>
                <w:webHidden/>
              </w:rPr>
              <w:fldChar w:fldCharType="end"/>
            </w:r>
          </w:hyperlink>
        </w:p>
        <w:p w14:paraId="357DA4ED" w14:textId="4E495F79"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2" w:history="1">
            <w:r w:rsidR="000A0F57" w:rsidRPr="00354FD9">
              <w:rPr>
                <w:rStyle w:val="Lienhypertexte"/>
                <w:noProof/>
              </w:rPr>
              <w:t>Article 11 : Diffusion du Document d’Information</w:t>
            </w:r>
            <w:r w:rsidR="000A0F57">
              <w:rPr>
                <w:noProof/>
                <w:webHidden/>
              </w:rPr>
              <w:tab/>
            </w:r>
            <w:r w:rsidR="000A0F57">
              <w:rPr>
                <w:noProof/>
                <w:webHidden/>
              </w:rPr>
              <w:fldChar w:fldCharType="begin"/>
            </w:r>
            <w:r w:rsidR="000A0F57">
              <w:rPr>
                <w:noProof/>
                <w:webHidden/>
              </w:rPr>
              <w:instrText xml:space="preserve"> PAGEREF _Toc160086272 \h </w:instrText>
            </w:r>
            <w:r w:rsidR="000A0F57">
              <w:rPr>
                <w:noProof/>
                <w:webHidden/>
              </w:rPr>
            </w:r>
            <w:r w:rsidR="000A0F57">
              <w:rPr>
                <w:noProof/>
                <w:webHidden/>
              </w:rPr>
              <w:fldChar w:fldCharType="separate"/>
            </w:r>
            <w:r w:rsidR="000A0F57">
              <w:rPr>
                <w:noProof/>
                <w:webHidden/>
              </w:rPr>
              <w:t>7</w:t>
            </w:r>
            <w:r w:rsidR="000A0F57">
              <w:rPr>
                <w:noProof/>
                <w:webHidden/>
              </w:rPr>
              <w:fldChar w:fldCharType="end"/>
            </w:r>
          </w:hyperlink>
        </w:p>
        <w:p w14:paraId="302CE5BA" w14:textId="381B7AB2"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3" w:history="1">
            <w:r w:rsidR="000A0F57" w:rsidRPr="00354FD9">
              <w:rPr>
                <w:rStyle w:val="Lienhypertexte"/>
                <w:noProof/>
              </w:rPr>
              <w:t>Article 12 : Publicité et démarchage</w:t>
            </w:r>
            <w:r w:rsidR="000A0F57">
              <w:rPr>
                <w:noProof/>
                <w:webHidden/>
              </w:rPr>
              <w:tab/>
            </w:r>
            <w:r w:rsidR="000A0F57">
              <w:rPr>
                <w:noProof/>
                <w:webHidden/>
              </w:rPr>
              <w:fldChar w:fldCharType="begin"/>
            </w:r>
            <w:r w:rsidR="000A0F57">
              <w:rPr>
                <w:noProof/>
                <w:webHidden/>
              </w:rPr>
              <w:instrText xml:space="preserve"> PAGEREF _Toc160086273 \h </w:instrText>
            </w:r>
            <w:r w:rsidR="000A0F57">
              <w:rPr>
                <w:noProof/>
                <w:webHidden/>
              </w:rPr>
            </w:r>
            <w:r w:rsidR="000A0F57">
              <w:rPr>
                <w:noProof/>
                <w:webHidden/>
              </w:rPr>
              <w:fldChar w:fldCharType="separate"/>
            </w:r>
            <w:r w:rsidR="000A0F57">
              <w:rPr>
                <w:noProof/>
                <w:webHidden/>
              </w:rPr>
              <w:t>7</w:t>
            </w:r>
            <w:r w:rsidR="000A0F57">
              <w:rPr>
                <w:noProof/>
                <w:webHidden/>
              </w:rPr>
              <w:fldChar w:fldCharType="end"/>
            </w:r>
          </w:hyperlink>
        </w:p>
        <w:p w14:paraId="4575CAF0" w14:textId="41C76B43"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4" w:history="1">
            <w:r w:rsidR="000A0F57" w:rsidRPr="00354FD9">
              <w:rPr>
                <w:rStyle w:val="Lienhypertexte"/>
                <w:noProof/>
              </w:rPr>
              <w:t>Article 13 : Rapports  d’activité</w:t>
            </w:r>
            <w:r w:rsidR="000A0F57">
              <w:rPr>
                <w:noProof/>
                <w:webHidden/>
              </w:rPr>
              <w:tab/>
            </w:r>
            <w:r w:rsidR="000A0F57">
              <w:rPr>
                <w:noProof/>
                <w:webHidden/>
              </w:rPr>
              <w:fldChar w:fldCharType="begin"/>
            </w:r>
            <w:r w:rsidR="000A0F57">
              <w:rPr>
                <w:noProof/>
                <w:webHidden/>
              </w:rPr>
              <w:instrText xml:space="preserve"> PAGEREF _Toc160086274 \h </w:instrText>
            </w:r>
            <w:r w:rsidR="000A0F57">
              <w:rPr>
                <w:noProof/>
                <w:webHidden/>
              </w:rPr>
            </w:r>
            <w:r w:rsidR="000A0F57">
              <w:rPr>
                <w:noProof/>
                <w:webHidden/>
              </w:rPr>
              <w:fldChar w:fldCharType="separate"/>
            </w:r>
            <w:r w:rsidR="000A0F57">
              <w:rPr>
                <w:noProof/>
                <w:webHidden/>
              </w:rPr>
              <w:t>8</w:t>
            </w:r>
            <w:r w:rsidR="000A0F57">
              <w:rPr>
                <w:noProof/>
                <w:webHidden/>
              </w:rPr>
              <w:fldChar w:fldCharType="end"/>
            </w:r>
          </w:hyperlink>
        </w:p>
        <w:p w14:paraId="52F74622" w14:textId="68AF697F"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5" w:history="1">
            <w:r w:rsidR="000A0F57" w:rsidRPr="00354FD9">
              <w:rPr>
                <w:rStyle w:val="Lienhypertexte"/>
                <w:noProof/>
              </w:rPr>
              <w:t>Article 14 – Mise à disposition des rapports</w:t>
            </w:r>
            <w:r w:rsidR="000A0F57">
              <w:rPr>
                <w:noProof/>
                <w:webHidden/>
              </w:rPr>
              <w:tab/>
            </w:r>
            <w:r w:rsidR="000A0F57">
              <w:rPr>
                <w:noProof/>
                <w:webHidden/>
              </w:rPr>
              <w:fldChar w:fldCharType="begin"/>
            </w:r>
            <w:r w:rsidR="000A0F57">
              <w:rPr>
                <w:noProof/>
                <w:webHidden/>
              </w:rPr>
              <w:instrText xml:space="preserve"> PAGEREF _Toc160086275 \h </w:instrText>
            </w:r>
            <w:r w:rsidR="000A0F57">
              <w:rPr>
                <w:noProof/>
                <w:webHidden/>
              </w:rPr>
            </w:r>
            <w:r w:rsidR="000A0F57">
              <w:rPr>
                <w:noProof/>
                <w:webHidden/>
              </w:rPr>
              <w:fldChar w:fldCharType="separate"/>
            </w:r>
            <w:r w:rsidR="000A0F57">
              <w:rPr>
                <w:noProof/>
                <w:webHidden/>
              </w:rPr>
              <w:t>8</w:t>
            </w:r>
            <w:r w:rsidR="000A0F57">
              <w:rPr>
                <w:noProof/>
                <w:webHidden/>
              </w:rPr>
              <w:fldChar w:fldCharType="end"/>
            </w:r>
          </w:hyperlink>
        </w:p>
        <w:p w14:paraId="734A643C" w14:textId="6A46F9A2"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6" w:history="1">
            <w:r w:rsidR="000A0F57" w:rsidRPr="00354FD9">
              <w:rPr>
                <w:rStyle w:val="Lienhypertexte"/>
                <w:noProof/>
              </w:rPr>
              <w:t>Article 15 – Autres informations périodiques</w:t>
            </w:r>
            <w:r w:rsidR="000A0F57">
              <w:rPr>
                <w:noProof/>
                <w:webHidden/>
              </w:rPr>
              <w:tab/>
            </w:r>
            <w:r w:rsidR="000A0F57">
              <w:rPr>
                <w:noProof/>
                <w:webHidden/>
              </w:rPr>
              <w:fldChar w:fldCharType="begin"/>
            </w:r>
            <w:r w:rsidR="000A0F57">
              <w:rPr>
                <w:noProof/>
                <w:webHidden/>
              </w:rPr>
              <w:instrText xml:space="preserve"> PAGEREF _Toc160086276 \h </w:instrText>
            </w:r>
            <w:r w:rsidR="000A0F57">
              <w:rPr>
                <w:noProof/>
                <w:webHidden/>
              </w:rPr>
            </w:r>
            <w:r w:rsidR="000A0F57">
              <w:rPr>
                <w:noProof/>
                <w:webHidden/>
              </w:rPr>
              <w:fldChar w:fldCharType="separate"/>
            </w:r>
            <w:r w:rsidR="000A0F57">
              <w:rPr>
                <w:noProof/>
                <w:webHidden/>
              </w:rPr>
              <w:t>9</w:t>
            </w:r>
            <w:r w:rsidR="000A0F57">
              <w:rPr>
                <w:noProof/>
                <w:webHidden/>
              </w:rPr>
              <w:fldChar w:fldCharType="end"/>
            </w:r>
          </w:hyperlink>
        </w:p>
        <w:p w14:paraId="07F4427E" w14:textId="5E256711"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7" w:history="1">
            <w:r w:rsidR="000A0F57" w:rsidRPr="00354FD9">
              <w:rPr>
                <w:rStyle w:val="Lienhypertexte"/>
                <w:noProof/>
              </w:rPr>
              <w:t>Article 16 – Commissariat Aux Comptes</w:t>
            </w:r>
            <w:r w:rsidR="000A0F57">
              <w:rPr>
                <w:noProof/>
                <w:webHidden/>
              </w:rPr>
              <w:tab/>
            </w:r>
            <w:r w:rsidR="000A0F57">
              <w:rPr>
                <w:noProof/>
                <w:webHidden/>
              </w:rPr>
              <w:fldChar w:fldCharType="begin"/>
            </w:r>
            <w:r w:rsidR="000A0F57">
              <w:rPr>
                <w:noProof/>
                <w:webHidden/>
              </w:rPr>
              <w:instrText xml:space="preserve"> PAGEREF _Toc160086277 \h </w:instrText>
            </w:r>
            <w:r w:rsidR="000A0F57">
              <w:rPr>
                <w:noProof/>
                <w:webHidden/>
              </w:rPr>
            </w:r>
            <w:r w:rsidR="000A0F57">
              <w:rPr>
                <w:noProof/>
                <w:webHidden/>
              </w:rPr>
              <w:fldChar w:fldCharType="separate"/>
            </w:r>
            <w:r w:rsidR="000A0F57">
              <w:rPr>
                <w:noProof/>
                <w:webHidden/>
              </w:rPr>
              <w:t>9</w:t>
            </w:r>
            <w:r w:rsidR="000A0F57">
              <w:rPr>
                <w:noProof/>
                <w:webHidden/>
              </w:rPr>
              <w:fldChar w:fldCharType="end"/>
            </w:r>
          </w:hyperlink>
        </w:p>
        <w:p w14:paraId="40A79671" w14:textId="5D0DBA11"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8" w:history="1">
            <w:r w:rsidR="000A0F57" w:rsidRPr="00354FD9">
              <w:rPr>
                <w:rStyle w:val="Lienhypertexte"/>
                <w:noProof/>
              </w:rPr>
              <w:t>Article 17 – Dépositaire d’OT</w:t>
            </w:r>
            <w:r w:rsidR="000A0F57">
              <w:rPr>
                <w:noProof/>
                <w:webHidden/>
              </w:rPr>
              <w:tab/>
            </w:r>
            <w:r w:rsidR="000A0F57">
              <w:rPr>
                <w:noProof/>
                <w:webHidden/>
              </w:rPr>
              <w:fldChar w:fldCharType="begin"/>
            </w:r>
            <w:r w:rsidR="000A0F57">
              <w:rPr>
                <w:noProof/>
                <w:webHidden/>
              </w:rPr>
              <w:instrText xml:space="preserve"> PAGEREF _Toc160086278 \h </w:instrText>
            </w:r>
            <w:r w:rsidR="000A0F57">
              <w:rPr>
                <w:noProof/>
                <w:webHidden/>
              </w:rPr>
            </w:r>
            <w:r w:rsidR="000A0F57">
              <w:rPr>
                <w:noProof/>
                <w:webHidden/>
              </w:rPr>
              <w:fldChar w:fldCharType="separate"/>
            </w:r>
            <w:r w:rsidR="000A0F57">
              <w:rPr>
                <w:noProof/>
                <w:webHidden/>
              </w:rPr>
              <w:t>9</w:t>
            </w:r>
            <w:r w:rsidR="000A0F57">
              <w:rPr>
                <w:noProof/>
                <w:webHidden/>
              </w:rPr>
              <w:fldChar w:fldCharType="end"/>
            </w:r>
          </w:hyperlink>
        </w:p>
        <w:p w14:paraId="78434F81" w14:textId="0281E85C"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79" w:history="1">
            <w:r w:rsidR="000A0F57" w:rsidRPr="00354FD9">
              <w:rPr>
                <w:rStyle w:val="Lienhypertexte"/>
                <w:noProof/>
              </w:rPr>
              <w:t>Article 18 – Liquidation de l’organisme de titrisation</w:t>
            </w:r>
            <w:r w:rsidR="000A0F57">
              <w:rPr>
                <w:noProof/>
                <w:webHidden/>
              </w:rPr>
              <w:tab/>
            </w:r>
            <w:r w:rsidR="000A0F57">
              <w:rPr>
                <w:noProof/>
                <w:webHidden/>
              </w:rPr>
              <w:fldChar w:fldCharType="begin"/>
            </w:r>
            <w:r w:rsidR="000A0F57">
              <w:rPr>
                <w:noProof/>
                <w:webHidden/>
              </w:rPr>
              <w:instrText xml:space="preserve"> PAGEREF _Toc160086279 \h </w:instrText>
            </w:r>
            <w:r w:rsidR="000A0F57">
              <w:rPr>
                <w:noProof/>
                <w:webHidden/>
              </w:rPr>
            </w:r>
            <w:r w:rsidR="000A0F57">
              <w:rPr>
                <w:noProof/>
                <w:webHidden/>
              </w:rPr>
              <w:fldChar w:fldCharType="separate"/>
            </w:r>
            <w:r w:rsidR="000A0F57">
              <w:rPr>
                <w:noProof/>
                <w:webHidden/>
              </w:rPr>
              <w:t>9</w:t>
            </w:r>
            <w:r w:rsidR="000A0F57">
              <w:rPr>
                <w:noProof/>
                <w:webHidden/>
              </w:rPr>
              <w:fldChar w:fldCharType="end"/>
            </w:r>
          </w:hyperlink>
        </w:p>
        <w:p w14:paraId="494DFBA1" w14:textId="05747204" w:rsidR="000A0F57" w:rsidRDefault="00336F68">
          <w:pPr>
            <w:pStyle w:val="TM1"/>
            <w:tabs>
              <w:tab w:val="right" w:leader="dot" w:pos="9060"/>
            </w:tabs>
            <w:rPr>
              <w:rFonts w:eastAsiaTheme="minorEastAsia" w:cstheme="minorBidi"/>
              <w:b w:val="0"/>
              <w:bCs w:val="0"/>
              <w:i w:val="0"/>
              <w:iCs w:val="0"/>
              <w:noProof/>
              <w:kern w:val="2"/>
              <w:lang w:eastAsia="fr-FR"/>
              <w14:ligatures w14:val="standardContextual"/>
            </w:rPr>
          </w:pPr>
          <w:hyperlink w:anchor="_Toc160086280" w:history="1">
            <w:r w:rsidR="000A0F57" w:rsidRPr="00354FD9">
              <w:rPr>
                <w:rStyle w:val="Lienhypertexte"/>
                <w:noProof/>
              </w:rPr>
              <w:t>Article 19 : Tarification</w:t>
            </w:r>
            <w:r w:rsidR="000A0F57">
              <w:rPr>
                <w:noProof/>
                <w:webHidden/>
              </w:rPr>
              <w:tab/>
            </w:r>
            <w:r w:rsidR="000A0F57">
              <w:rPr>
                <w:noProof/>
                <w:webHidden/>
              </w:rPr>
              <w:fldChar w:fldCharType="begin"/>
            </w:r>
            <w:r w:rsidR="000A0F57">
              <w:rPr>
                <w:noProof/>
                <w:webHidden/>
              </w:rPr>
              <w:instrText xml:space="preserve"> PAGEREF _Toc160086280 \h </w:instrText>
            </w:r>
            <w:r w:rsidR="000A0F57">
              <w:rPr>
                <w:noProof/>
                <w:webHidden/>
              </w:rPr>
            </w:r>
            <w:r w:rsidR="000A0F57">
              <w:rPr>
                <w:noProof/>
                <w:webHidden/>
              </w:rPr>
              <w:fldChar w:fldCharType="separate"/>
            </w:r>
            <w:r w:rsidR="000A0F57">
              <w:rPr>
                <w:noProof/>
                <w:webHidden/>
              </w:rPr>
              <w:t>9</w:t>
            </w:r>
            <w:r w:rsidR="000A0F57">
              <w:rPr>
                <w:noProof/>
                <w:webHidden/>
              </w:rPr>
              <w:fldChar w:fldCharType="end"/>
            </w:r>
          </w:hyperlink>
        </w:p>
        <w:p w14:paraId="07ACF1F9" w14:textId="4FBB1B64" w:rsidR="000558F4" w:rsidRPr="009F1066" w:rsidRDefault="000558F4">
          <w:r w:rsidRPr="009F1066">
            <w:rPr>
              <w:b/>
              <w:bCs/>
              <w:noProof/>
            </w:rPr>
            <w:fldChar w:fldCharType="end"/>
          </w:r>
        </w:p>
      </w:sdtContent>
    </w:sdt>
    <w:p w14:paraId="6AE2D8FD" w14:textId="77777777" w:rsidR="006737FF" w:rsidRPr="009F1066" w:rsidRDefault="006737FF">
      <w:pPr>
        <w:jc w:val="left"/>
        <w:rPr>
          <w:rFonts w:eastAsiaTheme="majorEastAsia"/>
          <w:b/>
          <w:bCs/>
          <w:sz w:val="28"/>
          <w:szCs w:val="28"/>
          <w:u w:val="single"/>
        </w:rPr>
      </w:pPr>
      <w:r w:rsidRPr="009F1066">
        <w:br w:type="page"/>
      </w:r>
    </w:p>
    <w:p w14:paraId="05A9EB9A" w14:textId="77777777" w:rsidR="00837816" w:rsidRPr="009F1066" w:rsidRDefault="00837816" w:rsidP="00837816">
      <w:pPr>
        <w:pStyle w:val="Titre1"/>
      </w:pPr>
      <w:bookmarkStart w:id="0" w:name="_Toc152439854"/>
      <w:bookmarkStart w:id="1" w:name="_Toc160086262"/>
      <w:r w:rsidRPr="009F1066">
        <w:lastRenderedPageBreak/>
        <w:t>Article 1 : Définitions</w:t>
      </w:r>
      <w:bookmarkEnd w:id="0"/>
      <w:bookmarkEnd w:id="1"/>
      <w:r w:rsidRPr="009F1066">
        <w:t xml:space="preserve"> </w:t>
      </w:r>
    </w:p>
    <w:p w14:paraId="62C03601" w14:textId="77777777" w:rsidR="00837816" w:rsidRPr="009F1066" w:rsidRDefault="00837816" w:rsidP="00837816"/>
    <w:p w14:paraId="02E4B403" w14:textId="77777777" w:rsidR="00837816" w:rsidRPr="009F1066" w:rsidRDefault="00837816" w:rsidP="00837816">
      <w:r w:rsidRPr="009F1066">
        <w:t xml:space="preserve">Au titre de la présente instruction, on entend par : </w:t>
      </w:r>
    </w:p>
    <w:p w14:paraId="64A44DDB" w14:textId="77777777" w:rsidR="002C754F" w:rsidRPr="009F1066" w:rsidRDefault="002C754F" w:rsidP="00837816"/>
    <w:p w14:paraId="675CB6C1" w14:textId="470EF3CD" w:rsidR="002C754F" w:rsidRPr="009F1066" w:rsidRDefault="00855675" w:rsidP="002C754F">
      <w:pPr>
        <w:pStyle w:val="Paragraphedeliste"/>
        <w:numPr>
          <w:ilvl w:val="0"/>
          <w:numId w:val="27"/>
        </w:numPr>
      </w:pPr>
      <w:r w:rsidRPr="009F1066">
        <w:t>D</w:t>
      </w:r>
      <w:r w:rsidR="002C754F" w:rsidRPr="009F1066">
        <w:t xml:space="preserve">ocument d’information : </w:t>
      </w:r>
      <w:r w:rsidRPr="009F1066">
        <w:t>un d</w:t>
      </w:r>
      <w:r w:rsidR="002C754F" w:rsidRPr="009F1066">
        <w:t xml:space="preserve">ocument qui fournit </w:t>
      </w:r>
      <w:r w:rsidRPr="009F1066">
        <w:t xml:space="preserve">des informations </w:t>
      </w:r>
      <w:r w:rsidR="00C32574" w:rsidRPr="009F1066">
        <w:t xml:space="preserve">essentielles </w:t>
      </w:r>
      <w:r w:rsidR="00FB6251" w:rsidRPr="009F1066">
        <w:t xml:space="preserve">pour permettre aux investisseurs d’évaluer l’offre au public.  </w:t>
      </w:r>
    </w:p>
    <w:p w14:paraId="6ADBE6F2" w14:textId="77777777" w:rsidR="002C754F" w:rsidRPr="009F1066" w:rsidRDefault="002C754F" w:rsidP="002C754F">
      <w:pPr>
        <w:pStyle w:val="Paragraphedeliste"/>
      </w:pPr>
    </w:p>
    <w:p w14:paraId="07758C0D" w14:textId="046EE7AD" w:rsidR="00837816" w:rsidRPr="009F1066" w:rsidRDefault="00837816" w:rsidP="00837816">
      <w:pPr>
        <w:pStyle w:val="Paragraphedeliste"/>
        <w:numPr>
          <w:ilvl w:val="0"/>
          <w:numId w:val="27"/>
        </w:numPr>
      </w:pPr>
      <w:r w:rsidRPr="009F1066">
        <w:t xml:space="preserve">Fonds d’Investissement Alternatif : un Organisme de Placement Collectif </w:t>
      </w:r>
      <w:r w:rsidR="007A11F3" w:rsidRPr="009F1066">
        <w:t xml:space="preserve">qui </w:t>
      </w:r>
      <w:r w:rsidRPr="009F1066">
        <w:t xml:space="preserve">lève des capitaux auprès d'investisseurs en vue de les investir, conformément à une politique d'investissement définie, dans l'intérêt de ces investisseurs.  </w:t>
      </w:r>
      <w:r w:rsidRPr="009F1066">
        <w:rPr>
          <w:rStyle w:val="apple-converted-space"/>
          <w:rFonts w:ascii="Arial" w:hAnsi="Arial" w:cs="Arial"/>
          <w:color w:val="000000"/>
          <w:sz w:val="21"/>
          <w:szCs w:val="21"/>
          <w:shd w:val="clear" w:color="auto" w:fill="FFFFFF"/>
        </w:rPr>
        <w:t> </w:t>
      </w:r>
      <w:r w:rsidRPr="009F1066">
        <w:t>Les FIA ne sont pas des Organismes de Placement Collectif en Valeurs Mobilières (OPCVM).</w:t>
      </w:r>
    </w:p>
    <w:p w14:paraId="072C83BF" w14:textId="77777777" w:rsidR="001F6A95" w:rsidRPr="009F1066" w:rsidRDefault="001F6A95" w:rsidP="00381A92">
      <w:pPr>
        <w:pStyle w:val="Paragraphedeliste"/>
      </w:pPr>
    </w:p>
    <w:p w14:paraId="19A26C96" w14:textId="5EB83E8D" w:rsidR="001F6A95" w:rsidRPr="009F1066" w:rsidRDefault="001F6A95" w:rsidP="001F6A95">
      <w:pPr>
        <w:pStyle w:val="Paragraphedeliste"/>
        <w:numPr>
          <w:ilvl w:val="0"/>
          <w:numId w:val="27"/>
        </w:numPr>
      </w:pPr>
      <w:r w:rsidRPr="009F1066">
        <w:t>Investisseur qualifié :</w:t>
      </w:r>
      <w:r w:rsidR="00381A92" w:rsidRPr="009F1066">
        <w:t xml:space="preserve"> une personne ou une entité disposant des compétences et des moyens nécessaires pour appréhender les risques </w:t>
      </w:r>
      <w:r w:rsidR="00CF084E" w:rsidRPr="009F1066">
        <w:t xml:space="preserve">inhérents aux opérations sur les instruments financiers conformément aux spécifications de l’article 89 du Règlement N° 01/22/CEMAC/UMAC/CM/COSUMAF </w:t>
      </w:r>
      <w:r w:rsidR="007A11F3" w:rsidRPr="009F1066">
        <w:t xml:space="preserve">du 21 juillet 2022 </w:t>
      </w:r>
      <w:r w:rsidR="00CF084E" w:rsidRPr="009F1066">
        <w:t xml:space="preserve">régissant l'organisation et le fonctionnement du marché financier de l’Afrique Centrale.  </w:t>
      </w:r>
    </w:p>
    <w:p w14:paraId="616EF882" w14:textId="77777777" w:rsidR="00837816" w:rsidRPr="009F1066" w:rsidRDefault="00837816" w:rsidP="00837816">
      <w:pPr>
        <w:pStyle w:val="Paragraphedeliste"/>
      </w:pPr>
    </w:p>
    <w:p w14:paraId="51834201" w14:textId="447B0A55" w:rsidR="002C754F" w:rsidRPr="009F1066" w:rsidRDefault="002C754F" w:rsidP="002C754F">
      <w:pPr>
        <w:pStyle w:val="Paragraphedeliste"/>
        <w:numPr>
          <w:ilvl w:val="0"/>
          <w:numId w:val="27"/>
        </w:numPr>
      </w:pPr>
      <w:r w:rsidRPr="009F1066">
        <w:t>Liens étroits :  une situation dans laquelle au moins deux personnes physiques ou morales sont liées par :</w:t>
      </w:r>
    </w:p>
    <w:p w14:paraId="338812EE" w14:textId="77777777" w:rsidR="002C754F" w:rsidRPr="009F1066" w:rsidRDefault="002C754F" w:rsidP="002C754F">
      <w:pPr>
        <w:pStyle w:val="Paragraphedeliste"/>
      </w:pPr>
    </w:p>
    <w:p w14:paraId="064B03E4" w14:textId="77777777" w:rsidR="002C754F" w:rsidRPr="009F1066" w:rsidRDefault="002C754F" w:rsidP="002C754F">
      <w:pPr>
        <w:pStyle w:val="Paragraphedeliste"/>
        <w:numPr>
          <w:ilvl w:val="1"/>
          <w:numId w:val="27"/>
        </w:numPr>
      </w:pPr>
      <w:r w:rsidRPr="009F1066">
        <w:t>Une participation, à savoir la détention, directement ou par voie de contrôle, d’au moins 20 % du capital ou des droits de vote de l’autre entité ;</w:t>
      </w:r>
    </w:p>
    <w:p w14:paraId="151E0852" w14:textId="77777777" w:rsidR="00C32574" w:rsidRPr="009F1066" w:rsidRDefault="00C32574" w:rsidP="00C32574">
      <w:pPr>
        <w:pStyle w:val="Paragraphedeliste"/>
        <w:ind w:left="1440"/>
      </w:pPr>
    </w:p>
    <w:p w14:paraId="06E0E3A0" w14:textId="77777777" w:rsidR="002C754F" w:rsidRPr="009F1066" w:rsidRDefault="002C754F" w:rsidP="002C754F">
      <w:pPr>
        <w:pStyle w:val="Paragraphedeliste"/>
        <w:numPr>
          <w:ilvl w:val="1"/>
          <w:numId w:val="27"/>
        </w:numPr>
      </w:pPr>
      <w:r w:rsidRPr="009F1066">
        <w:t xml:space="preserve">Une situation dans laquelle deux personnes physiques ou morales sont liées en permanence à une même personne par une relation de contrôle.  </w:t>
      </w:r>
    </w:p>
    <w:p w14:paraId="45830999" w14:textId="7C892186" w:rsidR="002C754F" w:rsidRPr="009F1066" w:rsidRDefault="002C754F" w:rsidP="00837816">
      <w:pPr>
        <w:pStyle w:val="Paragraphedeliste"/>
      </w:pPr>
    </w:p>
    <w:p w14:paraId="4AF785E3" w14:textId="0C26AFC5" w:rsidR="00837816" w:rsidRPr="009F1066" w:rsidRDefault="00837816" w:rsidP="00837816">
      <w:pPr>
        <w:pStyle w:val="Paragraphedeliste"/>
        <w:numPr>
          <w:ilvl w:val="0"/>
          <w:numId w:val="27"/>
        </w:numPr>
      </w:pPr>
      <w:r w:rsidRPr="009F1066">
        <w:t>Organisme de Titrisation (OT) :  un Fonds d’Investissement Alternatif (FIA) qui acqui</w:t>
      </w:r>
      <w:r w:rsidR="007C02AB" w:rsidRPr="009F1066">
        <w:t>ert</w:t>
      </w:r>
      <w:r w:rsidRPr="009F1066">
        <w:t xml:space="preserve"> des créances en finançant cette acquisition par l’émission de titres négociables représentatifs desdites créances</w:t>
      </w:r>
      <w:r w:rsidR="00D96FA3" w:rsidRPr="009F1066">
        <w:t>.</w:t>
      </w:r>
    </w:p>
    <w:p w14:paraId="5B7A0CAC" w14:textId="77777777" w:rsidR="00E368F7" w:rsidRPr="009F1066" w:rsidRDefault="00E368F7" w:rsidP="00E368F7">
      <w:pPr>
        <w:pStyle w:val="Paragraphedeliste"/>
      </w:pPr>
    </w:p>
    <w:p w14:paraId="0754CE46" w14:textId="731286B0" w:rsidR="00E368F7" w:rsidRPr="009F1066" w:rsidRDefault="00F223AF" w:rsidP="00837816">
      <w:pPr>
        <w:pStyle w:val="Paragraphedeliste"/>
        <w:numPr>
          <w:ilvl w:val="0"/>
          <w:numId w:val="27"/>
        </w:numPr>
      </w:pPr>
      <w:r w:rsidRPr="009F1066">
        <w:t>Participation</w:t>
      </w:r>
      <w:r w:rsidR="00E368F7" w:rsidRPr="009F1066">
        <w:t xml:space="preserve"> qualifiée</w:t>
      </w:r>
      <w:r w:rsidR="00CF084E" w:rsidRPr="009F1066">
        <w:t> : le fait de détenir dans un entité une participation, directe ou indirecte, qui représente au moins 10 % du capital ou des droits de vote ou qui permet d'exercer une influence notable sur la gestion de l’entité dans lequel est détenue cette participation</w:t>
      </w:r>
      <w:r w:rsidR="00855675" w:rsidRPr="009F1066">
        <w:t xml:space="preserve">. </w:t>
      </w:r>
    </w:p>
    <w:p w14:paraId="6F94A476" w14:textId="77777777" w:rsidR="00DB5A62" w:rsidRPr="009F1066" w:rsidRDefault="00DB5A62" w:rsidP="00DB5A62">
      <w:pPr>
        <w:pStyle w:val="Paragraphedeliste"/>
      </w:pPr>
    </w:p>
    <w:p w14:paraId="4EF49AE2" w14:textId="615AB312" w:rsidR="00855675" w:rsidRPr="009F1066" w:rsidRDefault="00855675" w:rsidP="00855675">
      <w:pPr>
        <w:pStyle w:val="Paragraphedeliste"/>
        <w:numPr>
          <w:ilvl w:val="0"/>
          <w:numId w:val="27"/>
        </w:numPr>
      </w:pPr>
      <w:r w:rsidRPr="009F1066">
        <w:t>Résumé du document d’information : document</w:t>
      </w:r>
      <w:r w:rsidR="00C15F34" w:rsidRPr="009F1066">
        <w:t xml:space="preserve"> qui constitue une partie du document d’information</w:t>
      </w:r>
      <w:r w:rsidR="00473CCD" w:rsidRPr="009F1066">
        <w:t>,</w:t>
      </w:r>
      <w:r w:rsidRPr="009F1066">
        <w:t xml:space="preserve">  qui fournit</w:t>
      </w:r>
      <w:r w:rsidR="000216B1" w:rsidRPr="009F1066">
        <w:t xml:space="preserve"> </w:t>
      </w:r>
      <w:r w:rsidRPr="009F1066">
        <w:t>les informations clés dont les investisseurs ont besoin pour comprendre la nature et les risques de l’émetteur, du garant et des valeurs mobilières offertes ou admises à la négociation sur un marché réglementé et qui doit être lu en combinaison avec les autres parties du document d’information afin d’aider les investisseurs lorsqu’ils envisagent d’investir dans ces valeurs mobilières.</w:t>
      </w:r>
    </w:p>
    <w:p w14:paraId="353BB752" w14:textId="77777777" w:rsidR="00855675" w:rsidRPr="009F1066" w:rsidRDefault="00855675" w:rsidP="002C754F">
      <w:pPr>
        <w:pStyle w:val="Paragraphedeliste"/>
      </w:pPr>
    </w:p>
    <w:p w14:paraId="66688E98" w14:textId="4415265C" w:rsidR="00FC47BE" w:rsidRPr="009F1066" w:rsidRDefault="00FC47BE" w:rsidP="00837816">
      <w:pPr>
        <w:pStyle w:val="Paragraphedeliste"/>
        <w:numPr>
          <w:ilvl w:val="0"/>
          <w:numId w:val="27"/>
        </w:numPr>
      </w:pPr>
      <w:r w:rsidRPr="009F1066">
        <w:t>Société de Gestion :  Personne morale dont l’activité habituelle consiste en la gestion d’un ou plusieurs</w:t>
      </w:r>
      <w:r w:rsidR="000216B1" w:rsidRPr="009F1066">
        <w:t xml:space="preserve"> </w:t>
      </w:r>
      <w:r w:rsidR="008D714D" w:rsidRPr="009F1066">
        <w:t>Organismes de titrisation</w:t>
      </w:r>
      <w:r w:rsidR="00F223AF" w:rsidRPr="009F1066">
        <w:t xml:space="preserve">. </w:t>
      </w:r>
    </w:p>
    <w:p w14:paraId="385594C8" w14:textId="7EF6B2E4" w:rsidR="00DC0FCB" w:rsidRPr="00A73742" w:rsidRDefault="00B9503A" w:rsidP="00A73742">
      <w:pPr>
        <w:pStyle w:val="Titre1"/>
      </w:pPr>
      <w:bookmarkStart w:id="2" w:name="_Toc160086263"/>
      <w:r w:rsidRPr="00A73742">
        <w:t xml:space="preserve">Article </w:t>
      </w:r>
      <w:r w:rsidR="00837816" w:rsidRPr="00A73742">
        <w:t>2</w:t>
      </w:r>
      <w:r w:rsidR="00D83929" w:rsidRPr="00A73742">
        <w:t xml:space="preserve"> :</w:t>
      </w:r>
      <w:r w:rsidRPr="00A73742">
        <w:t xml:space="preserve"> </w:t>
      </w:r>
      <w:r w:rsidR="00173791" w:rsidRPr="00A73742">
        <w:t>Domaine d’application</w:t>
      </w:r>
      <w:bookmarkEnd w:id="2"/>
      <w:r w:rsidR="00173791" w:rsidRPr="00A73742">
        <w:t xml:space="preserve"> </w:t>
      </w:r>
    </w:p>
    <w:p w14:paraId="35008ADE" w14:textId="77777777" w:rsidR="00DC0FCB" w:rsidRPr="009F1066" w:rsidRDefault="00DC0FCB" w:rsidP="00955D86"/>
    <w:p w14:paraId="7C660D1B" w14:textId="35DB5707" w:rsidR="00633DA9" w:rsidRPr="009F1066" w:rsidRDefault="00633DA9" w:rsidP="00813DA3">
      <w:r w:rsidRPr="009F1066">
        <w:t>La présente instruction</w:t>
      </w:r>
      <w:r w:rsidR="000A0ADF">
        <w:t xml:space="preserve"> </w:t>
      </w:r>
      <w:proofErr w:type="spellStart"/>
      <w:r w:rsidR="000A0ADF">
        <w:t>est</w:t>
      </w:r>
      <w:proofErr w:type="spellEnd"/>
      <w:r w:rsidR="000A0ADF">
        <w:t xml:space="preserve"> </w:t>
      </w:r>
      <w:r w:rsidR="002B17D5">
        <w:t xml:space="preserve">prise en application des dispositions des articles </w:t>
      </w:r>
      <w:r w:rsidR="00C12975">
        <w:t xml:space="preserve">420 et </w:t>
      </w:r>
      <w:r w:rsidR="007B3CDE">
        <w:t>426 du Règlement Général de la COSUMAF. Elle</w:t>
      </w:r>
      <w:r w:rsidRPr="009F1066">
        <w:t xml:space="preserve"> s’applique aux </w:t>
      </w:r>
      <w:r w:rsidR="0087231E" w:rsidRPr="009F1066">
        <w:t>Organisme</w:t>
      </w:r>
      <w:r w:rsidR="008D714D" w:rsidRPr="009F1066">
        <w:t>s</w:t>
      </w:r>
      <w:r w:rsidR="0087231E" w:rsidRPr="009F1066">
        <w:t xml:space="preserve"> de Titrisation</w:t>
      </w:r>
      <w:r w:rsidR="001464CD" w:rsidRPr="009F1066">
        <w:t xml:space="preserve"> (OT)</w:t>
      </w:r>
      <w:r w:rsidR="00813DA3" w:rsidRPr="009F1066">
        <w:t xml:space="preserve"> </w:t>
      </w:r>
      <w:r w:rsidR="004B60F6">
        <w:t xml:space="preserve">visés </w:t>
      </w:r>
      <w:r w:rsidR="004B60F6">
        <w:lastRenderedPageBreak/>
        <w:t>au</w:t>
      </w:r>
      <w:r w:rsidR="00813DA3" w:rsidRPr="009F1066">
        <w:t xml:space="preserve"> Chapitre I : Organismes de Titrisation  du sous-titre III : Fonds d’Investissement Alternatifs   du TITRE VI – ORGANISMES DE PLACEMENT COLLECTIF</w:t>
      </w:r>
      <w:r w:rsidR="008D714D" w:rsidRPr="009F1066">
        <w:t xml:space="preserve"> du Règlement Général de la COSUMAF</w:t>
      </w:r>
      <w:r w:rsidR="00813DA3" w:rsidRPr="009F1066">
        <w:t xml:space="preserve">.  </w:t>
      </w:r>
    </w:p>
    <w:p w14:paraId="76EA380D" w14:textId="685CF3FA" w:rsidR="00813DA3" w:rsidRPr="00A73742" w:rsidRDefault="00813DA3" w:rsidP="00A73742">
      <w:pPr>
        <w:pStyle w:val="Titre1"/>
      </w:pPr>
      <w:bookmarkStart w:id="3" w:name="_Toc160086264"/>
      <w:r w:rsidRPr="00A73742">
        <w:t xml:space="preserve">Article </w:t>
      </w:r>
      <w:r w:rsidR="00625FC0" w:rsidRPr="00A73742">
        <w:t>3</w:t>
      </w:r>
      <w:r w:rsidRPr="00A73742">
        <w:t xml:space="preserve"> : Forme </w:t>
      </w:r>
      <w:r w:rsidR="006F0DF2" w:rsidRPr="00A73742">
        <w:t>et gestion</w:t>
      </w:r>
      <w:bookmarkEnd w:id="3"/>
      <w:r w:rsidR="006F0DF2" w:rsidRPr="00A73742">
        <w:t xml:space="preserve"> </w:t>
      </w:r>
    </w:p>
    <w:p w14:paraId="73B1BCDE" w14:textId="77777777" w:rsidR="00813DA3" w:rsidRPr="009F1066" w:rsidRDefault="00813DA3" w:rsidP="00633DA9"/>
    <w:p w14:paraId="62E45D3B" w14:textId="687F1598" w:rsidR="00813DA3" w:rsidRPr="009F1066" w:rsidRDefault="008B5EBC" w:rsidP="006F0DF2">
      <w:pPr>
        <w:pStyle w:val="Paragraphedeliste"/>
        <w:numPr>
          <w:ilvl w:val="0"/>
          <w:numId w:val="30"/>
        </w:numPr>
        <w:rPr>
          <w:color w:val="000000"/>
          <w:shd w:val="clear" w:color="auto" w:fill="FFFFFF"/>
        </w:rPr>
      </w:pPr>
      <w:r w:rsidRPr="009F1066">
        <w:rPr>
          <w:color w:val="000000"/>
          <w:shd w:val="clear" w:color="auto" w:fill="FFFFFF"/>
        </w:rPr>
        <w:t xml:space="preserve">Les </w:t>
      </w:r>
      <w:r w:rsidRPr="009F1066">
        <w:t xml:space="preserve">Organismes de Titrisation </w:t>
      </w:r>
      <w:r w:rsidR="00AF0BB3" w:rsidRPr="009F1066">
        <w:rPr>
          <w:color w:val="000000"/>
          <w:shd w:val="clear" w:color="auto" w:fill="FFFFFF"/>
        </w:rPr>
        <w:t xml:space="preserve">peuvent revêtir deux formes : </w:t>
      </w:r>
      <w:r w:rsidRPr="009F1066">
        <w:rPr>
          <w:color w:val="000000"/>
          <w:shd w:val="clear" w:color="auto" w:fill="FFFFFF"/>
        </w:rPr>
        <w:t xml:space="preserve">soit </w:t>
      </w:r>
      <w:r w:rsidR="00AF0BB3" w:rsidRPr="009F1066">
        <w:rPr>
          <w:color w:val="000000"/>
          <w:shd w:val="clear" w:color="auto" w:fill="FFFFFF"/>
        </w:rPr>
        <w:t xml:space="preserve">la forme </w:t>
      </w:r>
      <w:r w:rsidRPr="009F1066">
        <w:rPr>
          <w:color w:val="000000"/>
          <w:shd w:val="clear" w:color="auto" w:fill="FFFFFF"/>
        </w:rPr>
        <w:t xml:space="preserve">de </w:t>
      </w:r>
      <w:r w:rsidR="00553D71" w:rsidRPr="009F1066">
        <w:rPr>
          <w:color w:val="000000"/>
          <w:shd w:val="clear" w:color="auto" w:fill="FFFFFF"/>
        </w:rPr>
        <w:t>Fonds Commun de Titrisation</w:t>
      </w:r>
      <w:r w:rsidRPr="009F1066">
        <w:rPr>
          <w:color w:val="000000"/>
          <w:shd w:val="clear" w:color="auto" w:fill="FFFFFF"/>
        </w:rPr>
        <w:t xml:space="preserve"> (FCT)</w:t>
      </w:r>
      <w:r w:rsidR="0013642F" w:rsidRPr="009F1066">
        <w:rPr>
          <w:color w:val="000000"/>
          <w:shd w:val="clear" w:color="auto" w:fill="FFFFFF"/>
        </w:rPr>
        <w:t xml:space="preserve"> gérés par une </w:t>
      </w:r>
      <w:r w:rsidR="00D96FA3" w:rsidRPr="009F1066">
        <w:rPr>
          <w:color w:val="000000"/>
          <w:shd w:val="clear" w:color="auto" w:fill="FFFFFF"/>
        </w:rPr>
        <w:t>S</w:t>
      </w:r>
      <w:r w:rsidR="0013642F" w:rsidRPr="009F1066">
        <w:rPr>
          <w:color w:val="000000"/>
          <w:shd w:val="clear" w:color="auto" w:fill="FFFFFF"/>
        </w:rPr>
        <w:t xml:space="preserve">ociété de </w:t>
      </w:r>
      <w:r w:rsidR="00D96FA3" w:rsidRPr="009F1066">
        <w:rPr>
          <w:color w:val="000000"/>
          <w:shd w:val="clear" w:color="auto" w:fill="FFFFFF"/>
        </w:rPr>
        <w:t>G</w:t>
      </w:r>
      <w:r w:rsidR="0013642F" w:rsidRPr="009F1066">
        <w:rPr>
          <w:color w:val="000000"/>
          <w:shd w:val="clear" w:color="auto" w:fill="FFFFFF"/>
        </w:rPr>
        <w:t>estion</w:t>
      </w:r>
      <w:r w:rsidRPr="009F1066">
        <w:rPr>
          <w:color w:val="000000"/>
          <w:shd w:val="clear" w:color="auto" w:fill="FFFFFF"/>
        </w:rPr>
        <w:t xml:space="preserve">, soit </w:t>
      </w:r>
      <w:r w:rsidR="00AF0BB3" w:rsidRPr="009F1066">
        <w:rPr>
          <w:color w:val="000000"/>
          <w:shd w:val="clear" w:color="auto" w:fill="FFFFFF"/>
        </w:rPr>
        <w:t xml:space="preserve">la forme de </w:t>
      </w:r>
      <w:r w:rsidRPr="009F1066">
        <w:rPr>
          <w:color w:val="000000"/>
          <w:shd w:val="clear" w:color="auto" w:fill="FFFFFF"/>
        </w:rPr>
        <w:t>Société de Titrisation (ST).</w:t>
      </w:r>
    </w:p>
    <w:p w14:paraId="1C4E77E3" w14:textId="77777777" w:rsidR="006F0DF2" w:rsidRPr="009F1066" w:rsidRDefault="006F0DF2" w:rsidP="006F0DF2">
      <w:pPr>
        <w:rPr>
          <w:color w:val="000000"/>
          <w:shd w:val="clear" w:color="auto" w:fill="FFFFFF"/>
        </w:rPr>
      </w:pPr>
    </w:p>
    <w:p w14:paraId="32AB45B4" w14:textId="1B97900E" w:rsidR="006F0DF2" w:rsidRPr="009F1066" w:rsidRDefault="006F0DF2" w:rsidP="006F0DF2">
      <w:pPr>
        <w:pStyle w:val="Paragraphedeliste"/>
        <w:numPr>
          <w:ilvl w:val="0"/>
          <w:numId w:val="30"/>
        </w:numPr>
        <w:spacing w:after="240"/>
        <w:rPr>
          <w:rFonts w:eastAsia="Times New Roman"/>
          <w:color w:val="000000"/>
          <w:lang w:eastAsia="fr-FR"/>
        </w:rPr>
      </w:pPr>
      <w:r w:rsidRPr="009F1066">
        <w:rPr>
          <w:rFonts w:eastAsia="Times New Roman"/>
          <w:color w:val="000000"/>
          <w:lang w:eastAsia="fr-FR"/>
        </w:rPr>
        <w:t xml:space="preserve">Le </w:t>
      </w:r>
      <w:r w:rsidR="00553D71" w:rsidRPr="009F1066">
        <w:rPr>
          <w:rFonts w:eastAsia="Times New Roman"/>
          <w:color w:val="000000"/>
          <w:lang w:eastAsia="fr-FR"/>
        </w:rPr>
        <w:t>Fonds Commun de Titrisation</w:t>
      </w:r>
      <w:r w:rsidRPr="009F1066">
        <w:rPr>
          <w:rFonts w:eastAsia="Times New Roman"/>
          <w:color w:val="000000"/>
          <w:lang w:eastAsia="fr-FR"/>
        </w:rPr>
        <w:t xml:space="preserve"> est un</w:t>
      </w:r>
      <w:r w:rsidR="00BD43CE" w:rsidRPr="009F1066">
        <w:rPr>
          <w:rFonts w:eastAsia="Times New Roman"/>
          <w:color w:val="000000"/>
          <w:lang w:eastAsia="fr-FR"/>
        </w:rPr>
        <w:t>e</w:t>
      </w:r>
      <w:r w:rsidRPr="009F1066">
        <w:rPr>
          <w:rFonts w:eastAsia="Times New Roman"/>
          <w:color w:val="000000"/>
          <w:lang w:eastAsia="fr-FR"/>
        </w:rPr>
        <w:t xml:space="preserve"> copropriété</w:t>
      </w:r>
      <w:r w:rsidR="00BD43CE" w:rsidRPr="009F1066">
        <w:rPr>
          <w:rFonts w:eastAsia="Times New Roman"/>
          <w:color w:val="000000"/>
          <w:lang w:eastAsia="fr-FR"/>
        </w:rPr>
        <w:t xml:space="preserve"> qui</w:t>
      </w:r>
      <w:r w:rsidRPr="009F1066">
        <w:rPr>
          <w:rFonts w:eastAsia="Times New Roman"/>
          <w:color w:val="000000"/>
          <w:lang w:eastAsia="fr-FR"/>
        </w:rPr>
        <w:t xml:space="preserve"> n'a pas la personnalité morale. Ne s'appliquent pas aux fonds communs de titrisation les  </w:t>
      </w:r>
      <w:r w:rsidR="005F1915" w:rsidRPr="009F1066">
        <w:rPr>
          <w:rFonts w:eastAsia="Times New Roman"/>
          <w:color w:val="000000"/>
          <w:lang w:eastAsia="fr-FR"/>
        </w:rPr>
        <w:t xml:space="preserve">règles </w:t>
      </w:r>
      <w:r w:rsidRPr="009F1066">
        <w:rPr>
          <w:rFonts w:eastAsia="Times New Roman"/>
          <w:color w:val="000000"/>
          <w:lang w:eastAsia="fr-FR"/>
        </w:rPr>
        <w:t xml:space="preserve">relatives à l'indivision ni celles </w:t>
      </w:r>
      <w:r w:rsidR="005F1915" w:rsidRPr="009F1066">
        <w:rPr>
          <w:rFonts w:eastAsia="Times New Roman"/>
          <w:color w:val="000000"/>
          <w:lang w:eastAsia="fr-FR"/>
        </w:rPr>
        <w:t xml:space="preserve"> régissant les </w:t>
      </w:r>
      <w:r w:rsidRPr="009F1066">
        <w:rPr>
          <w:rFonts w:eastAsia="Times New Roman"/>
          <w:color w:val="000000"/>
          <w:lang w:eastAsia="fr-FR"/>
        </w:rPr>
        <w:t>sociétés en participation. </w:t>
      </w:r>
    </w:p>
    <w:p w14:paraId="01D61F07" w14:textId="77777777" w:rsidR="000B1134" w:rsidRPr="009F1066" w:rsidRDefault="000B1134" w:rsidP="00C834D3">
      <w:pPr>
        <w:pStyle w:val="Paragraphedeliste"/>
        <w:rPr>
          <w:rFonts w:eastAsia="Times New Roman"/>
          <w:color w:val="000000"/>
          <w:lang w:eastAsia="fr-FR"/>
        </w:rPr>
      </w:pPr>
    </w:p>
    <w:p w14:paraId="2818FF68" w14:textId="77777777" w:rsidR="000B1134" w:rsidRPr="009F1066" w:rsidRDefault="000B1134" w:rsidP="000B1134">
      <w:pPr>
        <w:pStyle w:val="Paragraphedeliste"/>
        <w:numPr>
          <w:ilvl w:val="0"/>
          <w:numId w:val="30"/>
        </w:numPr>
      </w:pPr>
      <w:r w:rsidRPr="009F1066">
        <w:t xml:space="preserve">Les Sociétés de Titrisation sont constituées sous la forme d’une Société Anonyme ou d’une Société par Actions Simplifiée (SAS).  </w:t>
      </w:r>
    </w:p>
    <w:p w14:paraId="43A93085" w14:textId="77777777" w:rsidR="006F0DF2" w:rsidRPr="009F1066" w:rsidRDefault="006F0DF2" w:rsidP="006F0DF2">
      <w:pPr>
        <w:pStyle w:val="Paragraphedeliste"/>
        <w:spacing w:after="240"/>
        <w:rPr>
          <w:rFonts w:eastAsia="Times New Roman"/>
          <w:color w:val="000000"/>
          <w:lang w:eastAsia="fr-FR"/>
        </w:rPr>
      </w:pPr>
    </w:p>
    <w:p w14:paraId="6F9DE952" w14:textId="5993E045" w:rsidR="006F0DF2" w:rsidRPr="00A73742" w:rsidRDefault="006F0DF2" w:rsidP="006F0DF2">
      <w:pPr>
        <w:pStyle w:val="Paragraphedeliste"/>
        <w:numPr>
          <w:ilvl w:val="0"/>
          <w:numId w:val="30"/>
        </w:numPr>
        <w:spacing w:after="240"/>
        <w:rPr>
          <w:rFonts w:eastAsia="Times New Roman"/>
          <w:color w:val="000000"/>
          <w:lang w:eastAsia="fr-FR"/>
        </w:rPr>
      </w:pPr>
      <w:r w:rsidRPr="00A73742">
        <w:rPr>
          <w:rFonts w:eastAsia="Times New Roman"/>
          <w:color w:val="000000"/>
          <w:lang w:eastAsia="fr-FR"/>
        </w:rPr>
        <w:t>Le montant minimal d'une part</w:t>
      </w:r>
      <w:r w:rsidR="004F1ABC" w:rsidRPr="00A73742">
        <w:rPr>
          <w:rFonts w:eastAsia="Times New Roman"/>
          <w:color w:val="000000"/>
          <w:lang w:eastAsia="fr-FR"/>
        </w:rPr>
        <w:t xml:space="preserve"> ou action</w:t>
      </w:r>
      <w:r w:rsidRPr="00A73742">
        <w:rPr>
          <w:rFonts w:eastAsia="Times New Roman"/>
          <w:color w:val="000000"/>
          <w:lang w:eastAsia="fr-FR"/>
        </w:rPr>
        <w:t xml:space="preserve"> émise par un</w:t>
      </w:r>
      <w:r w:rsidR="004F1ABC" w:rsidRPr="00A73742">
        <w:rPr>
          <w:rFonts w:eastAsia="Times New Roman"/>
          <w:color w:val="000000"/>
          <w:lang w:eastAsia="fr-FR"/>
        </w:rPr>
        <w:t xml:space="preserve"> organisme </w:t>
      </w:r>
      <w:r w:rsidR="00553D71" w:rsidRPr="00A73742">
        <w:rPr>
          <w:rFonts w:eastAsia="Times New Roman"/>
          <w:color w:val="000000"/>
          <w:lang w:eastAsia="fr-FR"/>
        </w:rPr>
        <w:t xml:space="preserve"> de Titrisation</w:t>
      </w:r>
      <w:r w:rsidRPr="00A73742">
        <w:rPr>
          <w:rFonts w:eastAsia="Times New Roman"/>
          <w:color w:val="000000"/>
          <w:lang w:eastAsia="fr-FR"/>
        </w:rPr>
        <w:t xml:space="preserve"> est de </w:t>
      </w:r>
      <w:r w:rsidR="00E8561B" w:rsidRPr="00A73742">
        <w:rPr>
          <w:rFonts w:eastAsia="Times New Roman"/>
          <w:color w:val="000000"/>
          <w:lang w:eastAsia="fr-FR"/>
        </w:rPr>
        <w:t>cent mille (</w:t>
      </w:r>
      <w:r w:rsidRPr="00A73742">
        <w:rPr>
          <w:rFonts w:eastAsia="Times New Roman"/>
          <w:color w:val="000000"/>
          <w:lang w:eastAsia="fr-FR"/>
        </w:rPr>
        <w:t>100 000</w:t>
      </w:r>
      <w:r w:rsidR="00E8561B" w:rsidRPr="00A73742">
        <w:rPr>
          <w:rFonts w:eastAsia="Times New Roman"/>
          <w:color w:val="000000"/>
          <w:lang w:eastAsia="fr-FR"/>
        </w:rPr>
        <w:t>)</w:t>
      </w:r>
      <w:r w:rsidRPr="00A73742">
        <w:rPr>
          <w:rFonts w:eastAsia="Times New Roman"/>
          <w:color w:val="000000"/>
          <w:lang w:eastAsia="fr-FR"/>
        </w:rPr>
        <w:t xml:space="preserve"> FCFA. </w:t>
      </w:r>
    </w:p>
    <w:p w14:paraId="2BB8AACB" w14:textId="77777777" w:rsidR="006F0DF2" w:rsidRPr="009F1066" w:rsidRDefault="006F0DF2" w:rsidP="006F0DF2">
      <w:pPr>
        <w:pStyle w:val="Paragraphedeliste"/>
        <w:spacing w:after="240"/>
        <w:rPr>
          <w:rFonts w:eastAsia="Times New Roman"/>
          <w:color w:val="000000"/>
          <w:lang w:eastAsia="fr-FR"/>
        </w:rPr>
      </w:pPr>
    </w:p>
    <w:p w14:paraId="180CF450" w14:textId="77777777" w:rsidR="006F0DF2" w:rsidRPr="009F1066" w:rsidRDefault="006F0DF2" w:rsidP="006F0DF2">
      <w:pPr>
        <w:pStyle w:val="Paragraphedeliste"/>
        <w:numPr>
          <w:ilvl w:val="0"/>
          <w:numId w:val="30"/>
        </w:numPr>
        <w:spacing w:after="240"/>
        <w:rPr>
          <w:rFonts w:eastAsia="Times New Roman"/>
          <w:color w:val="000000"/>
          <w:lang w:eastAsia="fr-FR"/>
        </w:rPr>
      </w:pPr>
      <w:r w:rsidRPr="009F1066">
        <w:rPr>
          <w:rFonts w:eastAsia="Times New Roman"/>
          <w:color w:val="000000"/>
          <w:lang w:eastAsia="fr-FR"/>
        </w:rPr>
        <w:t>Pour toutes les opérations faites pour le compte des copropriétaires, la désignation du fonds ou, le cas échéant, d'un compartiment du fonds peut être valablement substituée à celle des copropriétaires.</w:t>
      </w:r>
    </w:p>
    <w:p w14:paraId="08CFFD61" w14:textId="77777777" w:rsidR="00E368D3" w:rsidRPr="009F1066" w:rsidRDefault="00E368D3" w:rsidP="00E368D3">
      <w:pPr>
        <w:pStyle w:val="Paragraphedeliste"/>
        <w:rPr>
          <w:rFonts w:eastAsia="Times New Roman"/>
          <w:color w:val="000000"/>
          <w:lang w:eastAsia="fr-FR"/>
        </w:rPr>
      </w:pPr>
    </w:p>
    <w:p w14:paraId="10F7ADB7" w14:textId="19BB0312" w:rsidR="00E368D3" w:rsidRPr="009F1066" w:rsidRDefault="006F7DC9" w:rsidP="006F0DF2">
      <w:pPr>
        <w:pStyle w:val="Paragraphedeliste"/>
        <w:numPr>
          <w:ilvl w:val="0"/>
          <w:numId w:val="30"/>
        </w:numPr>
        <w:spacing w:after="240"/>
        <w:rPr>
          <w:rFonts w:eastAsia="Times New Roman"/>
          <w:color w:val="000000"/>
          <w:lang w:eastAsia="fr-FR"/>
        </w:rPr>
      </w:pPr>
      <w:r>
        <w:rPr>
          <w:color w:val="000000"/>
          <w:shd w:val="clear" w:color="auto" w:fill="FFFFFF"/>
        </w:rPr>
        <w:t>Conformément aux dispositions de l’article 423 du Règlement Général de la COSUMAF, l</w:t>
      </w:r>
      <w:r w:rsidR="007B1831" w:rsidRPr="009F1066">
        <w:rPr>
          <w:color w:val="000000"/>
          <w:shd w:val="clear" w:color="auto" w:fill="FFFFFF"/>
        </w:rPr>
        <w:t>a</w:t>
      </w:r>
      <w:r w:rsidR="00097A9F">
        <w:rPr>
          <w:color w:val="000000"/>
          <w:shd w:val="clear" w:color="auto" w:fill="FFFFFF"/>
        </w:rPr>
        <w:t xml:space="preserve"> gestion des organismes de titrisation est assurée par une société de gestion spécialisée</w:t>
      </w:r>
      <w:r w:rsidR="004A3BAD">
        <w:rPr>
          <w:color w:val="000000"/>
          <w:shd w:val="clear" w:color="auto" w:fill="FFFFFF"/>
        </w:rPr>
        <w:t>. La</w:t>
      </w:r>
      <w:r w:rsidR="007B1831" w:rsidRPr="009F1066">
        <w:rPr>
          <w:color w:val="000000"/>
          <w:shd w:val="clear" w:color="auto" w:fill="FFFFFF"/>
        </w:rPr>
        <w:t xml:space="preserve"> Société de Gestion</w:t>
      </w:r>
      <w:r w:rsidR="00E368D3" w:rsidRPr="009F1066">
        <w:rPr>
          <w:color w:val="000000"/>
          <w:shd w:val="clear" w:color="auto" w:fill="FFFFFF"/>
        </w:rPr>
        <w:t xml:space="preserve"> </w:t>
      </w:r>
      <w:r w:rsidR="002171C8" w:rsidRPr="009F1066">
        <w:rPr>
          <w:color w:val="000000"/>
          <w:shd w:val="clear" w:color="auto" w:fill="FFFFFF"/>
        </w:rPr>
        <w:t xml:space="preserve">de l’Organisme </w:t>
      </w:r>
      <w:r w:rsidR="00553D71" w:rsidRPr="009F1066">
        <w:rPr>
          <w:color w:val="000000"/>
          <w:shd w:val="clear" w:color="auto" w:fill="FFFFFF"/>
        </w:rPr>
        <w:t>de Titrisation</w:t>
      </w:r>
      <w:r w:rsidR="00E368D3" w:rsidRPr="009F1066">
        <w:rPr>
          <w:color w:val="000000"/>
          <w:shd w:val="clear" w:color="auto" w:fill="FFFFFF"/>
        </w:rPr>
        <w:t xml:space="preserve"> représente le fonds à l'égard des tiers et dans toute action en justice.</w:t>
      </w:r>
    </w:p>
    <w:p w14:paraId="6808F32B" w14:textId="555AF5C7" w:rsidR="00060495" w:rsidRPr="009F1066" w:rsidRDefault="00060495" w:rsidP="00200418">
      <w:pPr>
        <w:pStyle w:val="Titre1"/>
      </w:pPr>
      <w:bookmarkStart w:id="4" w:name="_Toc152150047"/>
      <w:bookmarkStart w:id="5" w:name="_Toc160086265"/>
      <w:r w:rsidRPr="009F1066">
        <w:t xml:space="preserve">Article </w:t>
      </w:r>
      <w:r w:rsidR="00625FC0">
        <w:t>4</w:t>
      </w:r>
      <w:r w:rsidRPr="009F1066">
        <w:t xml:space="preserve"> : Agrément   </w:t>
      </w:r>
      <w:bookmarkEnd w:id="4"/>
      <w:r w:rsidR="00C07086" w:rsidRPr="009F1066">
        <w:t xml:space="preserve">d’un </w:t>
      </w:r>
      <w:r w:rsidR="0087231E" w:rsidRPr="009F1066">
        <w:t>Organisme de Titrisation</w:t>
      </w:r>
      <w:bookmarkEnd w:id="5"/>
      <w:r w:rsidR="00C07086" w:rsidRPr="009F1066">
        <w:t xml:space="preserve"> </w:t>
      </w:r>
    </w:p>
    <w:p w14:paraId="3A6597C8" w14:textId="77777777" w:rsidR="00060495" w:rsidRPr="009F1066" w:rsidRDefault="00060495" w:rsidP="00060495"/>
    <w:p w14:paraId="07ADCA98" w14:textId="022A8347" w:rsidR="00EF41D9" w:rsidRPr="009F1066" w:rsidRDefault="00EF41D9" w:rsidP="00EF41D9">
      <w:pPr>
        <w:pStyle w:val="Paragraphedeliste"/>
        <w:numPr>
          <w:ilvl w:val="0"/>
          <w:numId w:val="2"/>
        </w:numPr>
        <w:ind w:left="1068"/>
      </w:pPr>
      <w:r w:rsidRPr="009F1066">
        <w:t>L</w:t>
      </w:r>
      <w:r w:rsidR="00A9131A" w:rsidRPr="009F1066">
        <w:t>es</w:t>
      </w:r>
      <w:r w:rsidRPr="009F1066">
        <w:t xml:space="preserve"> </w:t>
      </w:r>
      <w:r w:rsidR="0087231E" w:rsidRPr="009F1066">
        <w:t>Organisme</w:t>
      </w:r>
      <w:r w:rsidR="00A9131A" w:rsidRPr="009F1066">
        <w:t>s</w:t>
      </w:r>
      <w:r w:rsidR="0087231E" w:rsidRPr="009F1066">
        <w:t xml:space="preserve"> de Titrisation</w:t>
      </w:r>
      <w:r w:rsidRPr="009F1066">
        <w:t xml:space="preserve"> </w:t>
      </w:r>
      <w:r w:rsidR="00A9131A" w:rsidRPr="009F1066">
        <w:t>sont</w:t>
      </w:r>
      <w:r w:rsidRPr="009F1066">
        <w:t xml:space="preserve"> soumis à l'agrément </w:t>
      </w:r>
      <w:r w:rsidR="00A9131A" w:rsidRPr="009F1066">
        <w:t xml:space="preserve">préalable </w:t>
      </w:r>
      <w:r w:rsidRPr="009F1066">
        <w:t xml:space="preserve">de la COSUMAF. </w:t>
      </w:r>
    </w:p>
    <w:p w14:paraId="453B3BAA" w14:textId="77777777" w:rsidR="00EF41D9" w:rsidRPr="009F1066" w:rsidRDefault="00EF41D9" w:rsidP="00EF41D9">
      <w:pPr>
        <w:pStyle w:val="Paragraphedeliste"/>
        <w:ind w:left="1068"/>
      </w:pPr>
    </w:p>
    <w:p w14:paraId="193CDC75" w14:textId="3CF12746" w:rsidR="00EF41D9" w:rsidRPr="009F1066" w:rsidRDefault="00EF41D9" w:rsidP="00F2275F">
      <w:pPr>
        <w:pStyle w:val="Paragraphedeliste"/>
        <w:numPr>
          <w:ilvl w:val="0"/>
          <w:numId w:val="2"/>
        </w:numPr>
        <w:ind w:left="1068"/>
      </w:pPr>
      <w:r w:rsidRPr="009F1066">
        <w:t xml:space="preserve">La commercialisation des parts ou actions </w:t>
      </w:r>
      <w:r w:rsidR="004E2DB4" w:rsidRPr="009F1066">
        <w:t xml:space="preserve">de </w:t>
      </w:r>
      <w:r w:rsidR="006759B5" w:rsidRPr="009F1066">
        <w:t>l’</w:t>
      </w:r>
      <w:r w:rsidR="0087231E" w:rsidRPr="009F1066">
        <w:t>Organisme de Titrisation</w:t>
      </w:r>
      <w:r w:rsidR="006759B5" w:rsidRPr="009F1066">
        <w:t xml:space="preserve"> </w:t>
      </w:r>
      <w:r w:rsidRPr="009F1066">
        <w:t xml:space="preserve">ne peut intervenir qu'après </w:t>
      </w:r>
      <w:r w:rsidR="008B70C1">
        <w:t>l’</w:t>
      </w:r>
      <w:r w:rsidRPr="009F1066">
        <w:t>obtention de cet agrément.</w:t>
      </w:r>
    </w:p>
    <w:p w14:paraId="1FF12491" w14:textId="4499AC35" w:rsidR="00DC0FCB" w:rsidRPr="00A73742" w:rsidRDefault="00FE3D93" w:rsidP="00A73742">
      <w:pPr>
        <w:pStyle w:val="Titre1"/>
      </w:pPr>
      <w:bookmarkStart w:id="6" w:name="_Toc160086266"/>
      <w:r w:rsidRPr="00A73742">
        <w:t>A</w:t>
      </w:r>
      <w:r w:rsidR="00B9503A" w:rsidRPr="00A73742">
        <w:t xml:space="preserve">rticle </w:t>
      </w:r>
      <w:r w:rsidR="00625FC0" w:rsidRPr="00A73742">
        <w:t>5</w:t>
      </w:r>
      <w:r w:rsidR="00D83929" w:rsidRPr="00A73742">
        <w:t xml:space="preserve"> :</w:t>
      </w:r>
      <w:r w:rsidR="00B9503A" w:rsidRPr="00A73742">
        <w:t xml:space="preserve"> </w:t>
      </w:r>
      <w:r w:rsidR="00C36181" w:rsidRPr="00A73742">
        <w:t>Soumission de la demande</w:t>
      </w:r>
      <w:r w:rsidR="000877D2" w:rsidRPr="00A73742">
        <w:t xml:space="preserve"> d’agrément</w:t>
      </w:r>
      <w:bookmarkEnd w:id="6"/>
      <w:r w:rsidR="000877D2" w:rsidRPr="00A73742">
        <w:t xml:space="preserve"> </w:t>
      </w:r>
    </w:p>
    <w:p w14:paraId="54FFC7FF" w14:textId="77777777" w:rsidR="00DD6336" w:rsidRPr="009F1066" w:rsidRDefault="00DD6336" w:rsidP="00463172">
      <w:pPr>
        <w:pStyle w:val="Paragraphedeliste"/>
        <w:ind w:left="1068"/>
      </w:pPr>
    </w:p>
    <w:p w14:paraId="57C6FBEA" w14:textId="49FE05E1" w:rsidR="00DC0FCB" w:rsidRPr="009F1066" w:rsidRDefault="007B1831" w:rsidP="00131831">
      <w:pPr>
        <w:pStyle w:val="Paragraphedeliste"/>
        <w:numPr>
          <w:ilvl w:val="0"/>
          <w:numId w:val="5"/>
        </w:numPr>
      </w:pPr>
      <w:r w:rsidRPr="009F1066">
        <w:t>La Société de Gestion</w:t>
      </w:r>
      <w:r w:rsidR="00463172" w:rsidRPr="009F1066">
        <w:t xml:space="preserve"> soumet</w:t>
      </w:r>
      <w:r w:rsidR="005017B9" w:rsidRPr="009F1066">
        <w:t xml:space="preserve"> </w:t>
      </w:r>
      <w:r w:rsidR="00C07086" w:rsidRPr="009F1066">
        <w:t xml:space="preserve">la </w:t>
      </w:r>
      <w:r w:rsidR="005017B9" w:rsidRPr="009F1066">
        <w:t xml:space="preserve">demande d’agrément </w:t>
      </w:r>
      <w:r w:rsidR="00C07086" w:rsidRPr="009F1066">
        <w:t>de l’</w:t>
      </w:r>
      <w:r w:rsidR="0087231E" w:rsidRPr="009F1066">
        <w:t>Organisme de Titrisation</w:t>
      </w:r>
      <w:r w:rsidR="00C07086" w:rsidRPr="009F1066">
        <w:t xml:space="preserve"> à la COSUMAF</w:t>
      </w:r>
      <w:r w:rsidR="00A83519" w:rsidRPr="009F1066">
        <w:t xml:space="preserve">.  </w:t>
      </w:r>
    </w:p>
    <w:p w14:paraId="508FEE06" w14:textId="77777777" w:rsidR="00000DED" w:rsidRPr="009F1066" w:rsidRDefault="00000DED" w:rsidP="00000DED">
      <w:pPr>
        <w:pStyle w:val="Paragraphedeliste"/>
        <w:ind w:left="1068"/>
      </w:pPr>
    </w:p>
    <w:p w14:paraId="26B9BE78" w14:textId="0B1E34CD" w:rsidR="00000DED" w:rsidRPr="009F1066" w:rsidRDefault="00000DED" w:rsidP="00F03085">
      <w:pPr>
        <w:pStyle w:val="Paragraphedeliste"/>
        <w:numPr>
          <w:ilvl w:val="0"/>
          <w:numId w:val="5"/>
        </w:numPr>
      </w:pPr>
      <w:r w:rsidRPr="009F1066">
        <w:t>Le dossier de demande d'agrément est signé par</w:t>
      </w:r>
      <w:r w:rsidR="00E9218D" w:rsidRPr="009F1066">
        <w:t xml:space="preserve"> le représentant légal</w:t>
      </w:r>
      <w:r w:rsidR="00877197" w:rsidRPr="009F1066">
        <w:t xml:space="preserve"> de la société de gestion</w:t>
      </w:r>
      <w:r w:rsidR="00F03085" w:rsidRPr="009F1066">
        <w:t xml:space="preserve"> </w:t>
      </w:r>
      <w:r w:rsidRPr="009F1066">
        <w:t>.</w:t>
      </w:r>
    </w:p>
    <w:p w14:paraId="694DC3EE" w14:textId="77777777" w:rsidR="00B9503A" w:rsidRPr="009F1066" w:rsidRDefault="00B9503A" w:rsidP="00173791">
      <w:pPr>
        <w:pStyle w:val="Paragraphedeliste"/>
        <w:ind w:left="1068"/>
      </w:pPr>
    </w:p>
    <w:p w14:paraId="4CA12101" w14:textId="6AF72E76" w:rsidR="00B9503A" w:rsidRPr="00A73742" w:rsidRDefault="00B9503A" w:rsidP="00D76570">
      <w:pPr>
        <w:pStyle w:val="Paragraphedeliste"/>
        <w:numPr>
          <w:ilvl w:val="0"/>
          <w:numId w:val="5"/>
        </w:numPr>
      </w:pPr>
      <w:r w:rsidRPr="00A73742">
        <w:t>L</w:t>
      </w:r>
      <w:r w:rsidR="00E05EDF" w:rsidRPr="00A73742">
        <w:t>e dossier de</w:t>
      </w:r>
      <w:r w:rsidRPr="00A73742">
        <w:t xml:space="preserve"> demande d’agrément </w:t>
      </w:r>
      <w:r w:rsidR="00EF6C87">
        <w:t>comprend</w:t>
      </w:r>
      <w:r w:rsidR="00034566" w:rsidRPr="00A73742">
        <w:t xml:space="preserve"> </w:t>
      </w:r>
      <w:r w:rsidR="002A0704" w:rsidRPr="00A73742">
        <w:t>tous les documents et informations</w:t>
      </w:r>
      <w:r w:rsidRPr="00A73742">
        <w:t xml:space="preserve"> tels que visés à l’article </w:t>
      </w:r>
      <w:r w:rsidR="00625FC0" w:rsidRPr="00A73742">
        <w:t>9</w:t>
      </w:r>
      <w:r w:rsidRPr="00A73742">
        <w:t xml:space="preserve"> de la présente instruction.   </w:t>
      </w:r>
    </w:p>
    <w:p w14:paraId="307F4422" w14:textId="77777777" w:rsidR="00DC0FCB" w:rsidRPr="009F1066" w:rsidRDefault="00DC0FCB" w:rsidP="00173791">
      <w:pPr>
        <w:ind w:left="708"/>
      </w:pPr>
    </w:p>
    <w:p w14:paraId="02C45B93" w14:textId="414864A3" w:rsidR="00955D86" w:rsidRPr="009F1066" w:rsidRDefault="004927A7" w:rsidP="00D76570">
      <w:pPr>
        <w:pStyle w:val="Paragraphedeliste"/>
        <w:numPr>
          <w:ilvl w:val="0"/>
          <w:numId w:val="5"/>
        </w:numPr>
      </w:pPr>
      <w:r w:rsidRPr="009F1066">
        <w:t>Dans un délai de</w:t>
      </w:r>
      <w:r w:rsidR="00633DFE" w:rsidRPr="009F1066">
        <w:t xml:space="preserve"> dix</w:t>
      </w:r>
      <w:r w:rsidRPr="009F1066">
        <w:t xml:space="preserve">  (</w:t>
      </w:r>
      <w:r w:rsidR="00885AA9" w:rsidRPr="009F1066">
        <w:t>10</w:t>
      </w:r>
      <w:r w:rsidRPr="009F1066">
        <w:t xml:space="preserve">) </w:t>
      </w:r>
      <w:r w:rsidR="005B5D8F" w:rsidRPr="009F1066">
        <w:t>jours ouvrés</w:t>
      </w:r>
      <w:r w:rsidR="002A0704" w:rsidRPr="009F1066">
        <w:t xml:space="preserve"> </w:t>
      </w:r>
      <w:r w:rsidRPr="009F1066">
        <w:t xml:space="preserve">à partir de la réception d'une demande mentionnée au </w:t>
      </w:r>
      <w:r w:rsidR="00F03085" w:rsidRPr="009F1066">
        <w:t>point</w:t>
      </w:r>
      <w:r w:rsidR="00553D71" w:rsidRPr="009F1066">
        <w:t xml:space="preserve"> </w:t>
      </w:r>
      <w:r w:rsidRPr="009F1066">
        <w:t xml:space="preserve">1, la COSUMAF envoie une confirmation écrite de la réception </w:t>
      </w:r>
      <w:r w:rsidR="005674C3" w:rsidRPr="009F1066">
        <w:t xml:space="preserve">du dossier </w:t>
      </w:r>
      <w:r w:rsidR="00C07086" w:rsidRPr="009F1066">
        <w:t xml:space="preserve">à </w:t>
      </w:r>
      <w:r w:rsidR="007B1831" w:rsidRPr="009F1066">
        <w:t>la Société de Gestion</w:t>
      </w:r>
      <w:r w:rsidR="00C07086" w:rsidRPr="009F1066">
        <w:t xml:space="preserve">.  </w:t>
      </w:r>
    </w:p>
    <w:p w14:paraId="073AA22C" w14:textId="77777777" w:rsidR="0007686F" w:rsidRDefault="0007686F">
      <w:pPr>
        <w:jc w:val="left"/>
        <w:rPr>
          <w:rFonts w:eastAsiaTheme="majorEastAsia"/>
          <w:b/>
          <w:bCs/>
          <w:color w:val="0070C0"/>
          <w:sz w:val="28"/>
          <w:szCs w:val="28"/>
          <w:u w:val="single"/>
        </w:rPr>
      </w:pPr>
      <w:r>
        <w:br w:type="page"/>
      </w:r>
    </w:p>
    <w:p w14:paraId="7372A25C" w14:textId="2A2DEEDF" w:rsidR="00240BF5" w:rsidRPr="00A73742" w:rsidRDefault="00240BF5" w:rsidP="00A73742">
      <w:pPr>
        <w:pStyle w:val="Titre1"/>
      </w:pPr>
      <w:bookmarkStart w:id="7" w:name="_Toc160086267"/>
      <w:r w:rsidRPr="00A73742">
        <w:lastRenderedPageBreak/>
        <w:t xml:space="preserve">Article </w:t>
      </w:r>
      <w:r w:rsidR="00625FC0" w:rsidRPr="00A73742">
        <w:t>6</w:t>
      </w:r>
      <w:r w:rsidRPr="00A73742">
        <w:t xml:space="preserve"> : Vérification de la conformité du </w:t>
      </w:r>
      <w:r w:rsidR="00C17C1E" w:rsidRPr="00A73742">
        <w:t>dossier</w:t>
      </w:r>
      <w:bookmarkEnd w:id="7"/>
      <w:r w:rsidRPr="00A73742">
        <w:t xml:space="preserve">  </w:t>
      </w:r>
    </w:p>
    <w:p w14:paraId="27F79CC1" w14:textId="77777777" w:rsidR="004927A7" w:rsidRPr="009F1066" w:rsidRDefault="004927A7" w:rsidP="00C07086">
      <w:pPr>
        <w:pStyle w:val="Paragraphedeliste"/>
        <w:ind w:left="1068"/>
      </w:pPr>
    </w:p>
    <w:p w14:paraId="3BE6583B" w14:textId="5A663D5B" w:rsidR="00955D86" w:rsidRPr="00A73742" w:rsidRDefault="004927A7">
      <w:pPr>
        <w:pStyle w:val="Paragraphedeliste"/>
        <w:numPr>
          <w:ilvl w:val="0"/>
          <w:numId w:val="11"/>
        </w:numPr>
      </w:pPr>
      <w:r w:rsidRPr="00A73742">
        <w:t xml:space="preserve">Dans un délai de </w:t>
      </w:r>
      <w:r w:rsidR="00C95A3A" w:rsidRPr="00A73742">
        <w:t>dix</w:t>
      </w:r>
      <w:r w:rsidRPr="00A73742">
        <w:t xml:space="preserve"> (</w:t>
      </w:r>
      <w:r w:rsidR="00C95A3A" w:rsidRPr="00A73742">
        <w:t>10</w:t>
      </w:r>
      <w:r w:rsidRPr="00A73742">
        <w:t xml:space="preserve">) </w:t>
      </w:r>
      <w:r w:rsidR="005B5D8F" w:rsidRPr="00A73742">
        <w:t>jours ouvrés</w:t>
      </w:r>
      <w:r w:rsidRPr="00A73742">
        <w:t xml:space="preserve"> à compter de la réception d'une demande mentionnée </w:t>
      </w:r>
      <w:r w:rsidR="00240BF5" w:rsidRPr="00A73742">
        <w:t xml:space="preserve">à l’article </w:t>
      </w:r>
      <w:r w:rsidR="00625FC0" w:rsidRPr="00A73742">
        <w:t>5</w:t>
      </w:r>
      <w:r w:rsidR="00240BF5" w:rsidRPr="00A73742">
        <w:t>, la</w:t>
      </w:r>
      <w:r w:rsidRPr="00A73742">
        <w:t xml:space="preserve"> COSUMAF</w:t>
      </w:r>
      <w:r w:rsidR="00135071">
        <w:t xml:space="preserve"> vérifie</w:t>
      </w:r>
      <w:r w:rsidRPr="00A73742">
        <w:t xml:space="preserve"> si la demande est complète en </w:t>
      </w:r>
      <w:r w:rsidR="00D67E37">
        <w:t>s’assur</w:t>
      </w:r>
      <w:r w:rsidRPr="00A73742">
        <w:t>ant</w:t>
      </w:r>
      <w:r w:rsidR="00D67E37">
        <w:t xml:space="preserve"> que les documents et informations visés</w:t>
      </w:r>
      <w:r w:rsidRPr="00A73742">
        <w:t xml:space="preserve"> à l'article </w:t>
      </w:r>
      <w:r w:rsidR="00625FC0" w:rsidRPr="00A73742">
        <w:t>9</w:t>
      </w:r>
      <w:r w:rsidR="00BB36D9">
        <w:t xml:space="preserve"> de la présente instruction ont bien été fournis</w:t>
      </w:r>
      <w:r w:rsidRPr="00A73742">
        <w:t>.</w:t>
      </w:r>
    </w:p>
    <w:p w14:paraId="490CAB1C" w14:textId="77777777" w:rsidR="004927A7" w:rsidRPr="009F1066" w:rsidRDefault="004927A7" w:rsidP="004927A7">
      <w:pPr>
        <w:pStyle w:val="Paragraphedeliste"/>
      </w:pPr>
    </w:p>
    <w:p w14:paraId="001D2B21" w14:textId="720B5A3F" w:rsidR="00034566" w:rsidRPr="009F1066" w:rsidRDefault="00034566" w:rsidP="00034566">
      <w:pPr>
        <w:pStyle w:val="Paragraphedeliste"/>
        <w:numPr>
          <w:ilvl w:val="0"/>
          <w:numId w:val="11"/>
        </w:numPr>
      </w:pPr>
      <w:r w:rsidRPr="009F1066">
        <w:t xml:space="preserve">Lorsqu’une demande est complète, la COSUMAF en informe rapidement </w:t>
      </w:r>
      <w:r w:rsidR="007B1831" w:rsidRPr="009F1066">
        <w:t>la Société de Gestion</w:t>
      </w:r>
      <w:r w:rsidRPr="009F1066">
        <w:t>.</w:t>
      </w:r>
    </w:p>
    <w:p w14:paraId="2B7A7B79" w14:textId="77777777" w:rsidR="00034566" w:rsidRPr="009F1066" w:rsidRDefault="00034566" w:rsidP="004927A7">
      <w:pPr>
        <w:pStyle w:val="Paragraphedeliste"/>
      </w:pPr>
    </w:p>
    <w:p w14:paraId="5D025A21" w14:textId="38920FFC" w:rsidR="00741DE1" w:rsidRPr="009F1066" w:rsidRDefault="00741DE1">
      <w:pPr>
        <w:pStyle w:val="Paragraphedeliste"/>
        <w:numPr>
          <w:ilvl w:val="0"/>
          <w:numId w:val="11"/>
        </w:numPr>
      </w:pPr>
      <w:r w:rsidRPr="009F1066">
        <w:t xml:space="preserve">Si </w:t>
      </w:r>
      <w:r w:rsidR="002E4EC6" w:rsidRPr="009F1066">
        <w:t>le dossier est incomplet</w:t>
      </w:r>
      <w:r w:rsidRPr="009F1066">
        <w:t xml:space="preserve">, </w:t>
      </w:r>
      <w:r w:rsidR="00B71B7D" w:rsidRPr="009F1066">
        <w:t>la COSUMAF</w:t>
      </w:r>
      <w:r w:rsidRPr="009F1066">
        <w:t xml:space="preserve"> fixe un délai dans lequel </w:t>
      </w:r>
      <w:r w:rsidR="007B1831" w:rsidRPr="009F1066">
        <w:t>la Société de Gestion</w:t>
      </w:r>
      <w:r w:rsidRPr="009F1066">
        <w:t xml:space="preserve"> doit fournir toute information manquante</w:t>
      </w:r>
      <w:r w:rsidR="00553D71" w:rsidRPr="009F1066">
        <w:t xml:space="preserve"> dans le dossier</w:t>
      </w:r>
      <w:r w:rsidRPr="009F1066">
        <w:t>.</w:t>
      </w:r>
    </w:p>
    <w:p w14:paraId="39F03CC6" w14:textId="77777777" w:rsidR="00955D86" w:rsidRPr="009F1066" w:rsidRDefault="00955D86" w:rsidP="00DD6732">
      <w:pPr>
        <w:pStyle w:val="Paragraphedeliste"/>
      </w:pPr>
    </w:p>
    <w:p w14:paraId="5B9B9184" w14:textId="21C9D5E2" w:rsidR="00955D86" w:rsidRPr="009F1066" w:rsidRDefault="002E4EC6">
      <w:pPr>
        <w:pStyle w:val="Paragraphedeliste"/>
        <w:numPr>
          <w:ilvl w:val="0"/>
          <w:numId w:val="11"/>
        </w:numPr>
      </w:pPr>
      <w:r w:rsidRPr="009F1066">
        <w:t xml:space="preserve">La COSUMAF se réserve le droit de refuser de réexaminer les demandes qui demeurent incomplètes après l'expiration du délai qu'elle </w:t>
      </w:r>
      <w:r w:rsidR="0093730A" w:rsidRPr="009F1066">
        <w:t>a fixé</w:t>
      </w:r>
      <w:r w:rsidRPr="009F1066">
        <w:t xml:space="preserve"> conformément au </w:t>
      </w:r>
      <w:r w:rsidR="0093730A" w:rsidRPr="009F1066">
        <w:t>point</w:t>
      </w:r>
      <w:r w:rsidR="00034566" w:rsidRPr="009F1066">
        <w:t xml:space="preserve"> 3</w:t>
      </w:r>
      <w:r w:rsidRPr="009F1066">
        <w:t>.</w:t>
      </w:r>
    </w:p>
    <w:p w14:paraId="345ADB21" w14:textId="73D34599" w:rsidR="00C36181" w:rsidRPr="00A73742" w:rsidRDefault="00C36181" w:rsidP="00A73742">
      <w:pPr>
        <w:pStyle w:val="Titre1"/>
      </w:pPr>
      <w:bookmarkStart w:id="8" w:name="_Toc160086268"/>
      <w:r w:rsidRPr="00A73742">
        <w:t xml:space="preserve">Article </w:t>
      </w:r>
      <w:r w:rsidR="00625FC0" w:rsidRPr="00A73742">
        <w:t xml:space="preserve">7 </w:t>
      </w:r>
      <w:r w:rsidR="00D83929" w:rsidRPr="00A73742">
        <w:t>:</w:t>
      </w:r>
      <w:r w:rsidRPr="00A73742">
        <w:t xml:space="preserve"> </w:t>
      </w:r>
      <w:r w:rsidR="005726C8" w:rsidRPr="00A73742">
        <w:t>Analyse du dossier d’agrément</w:t>
      </w:r>
      <w:bookmarkEnd w:id="8"/>
      <w:r w:rsidR="002430B4" w:rsidRPr="00A73742">
        <w:t xml:space="preserve"> </w:t>
      </w:r>
    </w:p>
    <w:p w14:paraId="39EC2BD8" w14:textId="77777777" w:rsidR="00C36181" w:rsidRPr="009F1066" w:rsidRDefault="00C36181" w:rsidP="00955D86"/>
    <w:p w14:paraId="3CA15BBD" w14:textId="42451FF5" w:rsidR="000A2DEA" w:rsidRPr="009F1066" w:rsidRDefault="000A2DEA" w:rsidP="00EB4A16">
      <w:pPr>
        <w:pStyle w:val="Paragraphedeliste"/>
        <w:numPr>
          <w:ilvl w:val="0"/>
          <w:numId w:val="3"/>
        </w:numPr>
      </w:pPr>
      <w:r w:rsidRPr="009F1066">
        <w:t xml:space="preserve">Dans un délai de </w:t>
      </w:r>
      <w:r w:rsidR="00516444" w:rsidRPr="009F1066">
        <w:t>soixante</w:t>
      </w:r>
      <w:r w:rsidRPr="009F1066">
        <w:t xml:space="preserve"> (</w:t>
      </w:r>
      <w:r w:rsidR="00CB5656" w:rsidRPr="009F1066">
        <w:t>6</w:t>
      </w:r>
      <w:r w:rsidRPr="009F1066">
        <w:t xml:space="preserve">0) </w:t>
      </w:r>
      <w:r w:rsidR="005B5D8F" w:rsidRPr="009F1066">
        <w:t>jours ouvrés</w:t>
      </w:r>
      <w:r w:rsidRPr="009F1066">
        <w:t xml:space="preserve"> à partir de la réception d'une demande complète, la COSUMAF examine la conformité </w:t>
      </w:r>
      <w:r w:rsidR="00C247B2" w:rsidRPr="009F1066">
        <w:t xml:space="preserve">du dossier d’agrément </w:t>
      </w:r>
      <w:r w:rsidRPr="009F1066">
        <w:t>et prend une décision accordant ou refusant l'agrément.</w:t>
      </w:r>
      <w:r w:rsidR="00034566" w:rsidRPr="009F1066">
        <w:t xml:space="preserve"> </w:t>
      </w:r>
    </w:p>
    <w:p w14:paraId="52970696" w14:textId="77777777" w:rsidR="007B1831" w:rsidRPr="009F1066" w:rsidRDefault="007B1831" w:rsidP="00D76570">
      <w:pPr>
        <w:pStyle w:val="Paragraphedeliste"/>
      </w:pPr>
    </w:p>
    <w:p w14:paraId="2980841A" w14:textId="43D86375" w:rsidR="00C247B2" w:rsidRPr="009F1066" w:rsidRDefault="00C247B2">
      <w:pPr>
        <w:pStyle w:val="Paragraphedeliste"/>
        <w:numPr>
          <w:ilvl w:val="0"/>
          <w:numId w:val="3"/>
        </w:numPr>
      </w:pPr>
      <w:r w:rsidRPr="009F1066">
        <w:t xml:space="preserve">Le délai d'examen </w:t>
      </w:r>
      <w:r w:rsidR="00E43A1C" w:rsidRPr="009F1066">
        <w:t>d’un dossier d’agrément</w:t>
      </w:r>
      <w:r w:rsidRPr="009F1066">
        <w:t xml:space="preserve"> peut être prorogé notamment dans les cas suivants :</w:t>
      </w:r>
    </w:p>
    <w:p w14:paraId="024143A9" w14:textId="77777777" w:rsidR="00CE30ED" w:rsidRPr="009F1066" w:rsidRDefault="00CE30ED" w:rsidP="00CE30ED">
      <w:pPr>
        <w:pStyle w:val="Paragraphedeliste"/>
      </w:pPr>
    </w:p>
    <w:p w14:paraId="2E6A24CB" w14:textId="55AAF3B9" w:rsidR="00C247B2" w:rsidRDefault="00C247B2">
      <w:pPr>
        <w:pStyle w:val="Paragraphedeliste"/>
        <w:numPr>
          <w:ilvl w:val="1"/>
          <w:numId w:val="3"/>
        </w:numPr>
      </w:pPr>
      <w:r w:rsidRPr="009F1066">
        <w:t xml:space="preserve">La survenance, lors de l'examen </w:t>
      </w:r>
      <w:r w:rsidR="00C95A3A" w:rsidRPr="009F1066">
        <w:t xml:space="preserve">du </w:t>
      </w:r>
      <w:r w:rsidR="00E43A1C" w:rsidRPr="009F1066">
        <w:t>dossier</w:t>
      </w:r>
      <w:r w:rsidRPr="009F1066">
        <w:t>, de faits nouveaux significatifs susceptibles d'avoir un impact sur l'évaluation des titres offerts ou sur celle des titres précédemment émis par l’</w:t>
      </w:r>
      <w:r w:rsidR="0087231E" w:rsidRPr="009F1066">
        <w:t>Organisme de Titrisation</w:t>
      </w:r>
      <w:r w:rsidRPr="009F1066">
        <w:t xml:space="preserve"> ;</w:t>
      </w:r>
    </w:p>
    <w:p w14:paraId="059B8F11" w14:textId="77777777" w:rsidR="00E8561B" w:rsidRPr="009F1066" w:rsidRDefault="00E8561B" w:rsidP="00E8561B">
      <w:pPr>
        <w:pStyle w:val="Paragraphedeliste"/>
        <w:ind w:left="1788"/>
      </w:pPr>
    </w:p>
    <w:p w14:paraId="39124667" w14:textId="6AAE0F22" w:rsidR="00C247B2" w:rsidRPr="009F1066" w:rsidRDefault="00C247B2">
      <w:pPr>
        <w:pStyle w:val="Paragraphedeliste"/>
        <w:numPr>
          <w:ilvl w:val="1"/>
          <w:numId w:val="3"/>
        </w:numPr>
      </w:pPr>
      <w:r w:rsidRPr="009F1066">
        <w:t>L'existence d'éléments susceptibles de remettre en cause le déroulement de l'opération projetée</w:t>
      </w:r>
      <w:r w:rsidR="0028217E" w:rsidRPr="009F1066">
        <w:t>.</w:t>
      </w:r>
    </w:p>
    <w:p w14:paraId="538E6C7C" w14:textId="52DC072D" w:rsidR="00C247B2" w:rsidRPr="009F1066" w:rsidRDefault="00750149" w:rsidP="000A2DEA">
      <w:r w:rsidRPr="009F1066">
        <w:t xml:space="preserve"> </w:t>
      </w:r>
    </w:p>
    <w:p w14:paraId="66A37298" w14:textId="11744114" w:rsidR="000A2DEA" w:rsidRPr="009F1066" w:rsidRDefault="000A2DEA">
      <w:pPr>
        <w:pStyle w:val="Paragraphedeliste"/>
        <w:numPr>
          <w:ilvl w:val="0"/>
          <w:numId w:val="3"/>
        </w:numPr>
      </w:pPr>
      <w:r w:rsidRPr="009F1066">
        <w:t xml:space="preserve">Pendant la période d'évaluation stipulée au </w:t>
      </w:r>
      <w:r w:rsidR="00CB5656" w:rsidRPr="009F1066">
        <w:t>point</w:t>
      </w:r>
      <w:r w:rsidRPr="009F1066">
        <w:t xml:space="preserve"> 1 et au plus tard le vingtième </w:t>
      </w:r>
      <w:r w:rsidR="00257213" w:rsidRPr="009F1066">
        <w:t>jour ouvré</w:t>
      </w:r>
      <w:r w:rsidRPr="009F1066">
        <w:t xml:space="preserve"> de cette période, la COSUMAF peut solliciter des informations complémentaires nécessaires pour mener à bien l'évaluation. </w:t>
      </w:r>
    </w:p>
    <w:p w14:paraId="13700D14" w14:textId="77777777" w:rsidR="000A2DEA" w:rsidRPr="009F1066" w:rsidRDefault="000A2DEA" w:rsidP="000A2DEA">
      <w:pPr>
        <w:pStyle w:val="Paragraphedeliste"/>
        <w:ind w:left="1068"/>
      </w:pPr>
    </w:p>
    <w:p w14:paraId="732711D7" w14:textId="5C7FA9D8" w:rsidR="000A2DEA" w:rsidRPr="009F1066" w:rsidRDefault="000A2DEA" w:rsidP="000A2DEA">
      <w:pPr>
        <w:pStyle w:val="Paragraphedeliste"/>
        <w:ind w:left="1068"/>
      </w:pPr>
      <w:r w:rsidRPr="009F1066">
        <w:t xml:space="preserve">Cette demande est formulée par écrit et adressée </w:t>
      </w:r>
      <w:r w:rsidR="00C247B2" w:rsidRPr="009F1066">
        <w:t xml:space="preserve">à </w:t>
      </w:r>
      <w:r w:rsidR="007B1831" w:rsidRPr="009F1066">
        <w:t>la Société de Gestion</w:t>
      </w:r>
      <w:r w:rsidR="00644655" w:rsidRPr="009F1066">
        <w:t>.</w:t>
      </w:r>
    </w:p>
    <w:p w14:paraId="1FA809B0" w14:textId="77777777" w:rsidR="000A2DEA" w:rsidRPr="009F1066" w:rsidRDefault="000A2DEA" w:rsidP="000A2DEA">
      <w:pPr>
        <w:pStyle w:val="Paragraphedeliste"/>
        <w:ind w:left="1068"/>
      </w:pPr>
    </w:p>
    <w:p w14:paraId="7F342CC2" w14:textId="71D53A3B" w:rsidR="000A2DEA" w:rsidRPr="009F1066" w:rsidRDefault="000A2DEA" w:rsidP="000A2DEA">
      <w:pPr>
        <w:pStyle w:val="Paragraphedeliste"/>
        <w:ind w:left="1068"/>
      </w:pPr>
      <w:r w:rsidRPr="009F1066">
        <w:t xml:space="preserve">La période d'évaluation prévue au </w:t>
      </w:r>
      <w:r w:rsidR="00F1274C" w:rsidRPr="009F1066">
        <w:t>point</w:t>
      </w:r>
      <w:r w:rsidRPr="009F1066">
        <w:t xml:space="preserve"> 1 est suspendue entre la date de la demande d'informations </w:t>
      </w:r>
      <w:r w:rsidR="001C22DE" w:rsidRPr="009F1066">
        <w:t xml:space="preserve">complémentaires </w:t>
      </w:r>
      <w:r w:rsidRPr="009F1066">
        <w:t xml:space="preserve"> par la COSUMAF et la réception d'une réponse à cette demande.</w:t>
      </w:r>
    </w:p>
    <w:p w14:paraId="1FE99AB9" w14:textId="77777777" w:rsidR="000A2DEA" w:rsidRPr="009F1066" w:rsidRDefault="000A2DEA" w:rsidP="000A2DEA">
      <w:pPr>
        <w:pStyle w:val="Paragraphedeliste"/>
        <w:ind w:left="1068"/>
      </w:pPr>
    </w:p>
    <w:p w14:paraId="359C0EAB" w14:textId="0FA72979" w:rsidR="000A2DEA" w:rsidRPr="009F1066" w:rsidRDefault="000A2DEA" w:rsidP="00380ECA">
      <w:pPr>
        <w:pStyle w:val="Paragraphedeliste"/>
        <w:ind w:left="1068"/>
      </w:pPr>
      <w:r w:rsidRPr="009F1066">
        <w:t xml:space="preserve">La durée de cette suspension ne peut dépasser </w:t>
      </w:r>
      <w:r w:rsidR="00C95A3A" w:rsidRPr="009F1066">
        <w:t>trente</w:t>
      </w:r>
      <w:r w:rsidRPr="009F1066">
        <w:t xml:space="preserve"> (</w:t>
      </w:r>
      <w:r w:rsidR="00C95A3A" w:rsidRPr="009F1066">
        <w:t>3</w:t>
      </w:r>
      <w:r w:rsidRPr="009F1066">
        <w:t xml:space="preserve">0) </w:t>
      </w:r>
      <w:r w:rsidR="005B5D8F" w:rsidRPr="009F1066">
        <w:t>jours ouvrés</w:t>
      </w:r>
      <w:r w:rsidRPr="009F1066">
        <w:t>. La COSUMAF a la faculté d’adresser d'autres demandes pour obtenir des informations complémentaires ou des éclaircissements, mais ces requêtes n</w:t>
      </w:r>
      <w:r w:rsidR="00860F24" w:rsidRPr="009F1066">
        <w:t>’</w:t>
      </w:r>
      <w:r w:rsidRPr="009F1066">
        <w:t xml:space="preserve">entraînent pas une prolongation de la période d'évaluation définie au </w:t>
      </w:r>
      <w:r w:rsidR="00CB5656" w:rsidRPr="009F1066">
        <w:t>point</w:t>
      </w:r>
      <w:r w:rsidRPr="009F1066">
        <w:t xml:space="preserve"> 1.</w:t>
      </w:r>
    </w:p>
    <w:p w14:paraId="363BB1CB" w14:textId="77777777" w:rsidR="004B288B" w:rsidRDefault="004B288B" w:rsidP="004B288B">
      <w:pPr>
        <w:pStyle w:val="Paragraphedeliste"/>
        <w:ind w:left="1068"/>
      </w:pPr>
    </w:p>
    <w:p w14:paraId="28524BD0" w14:textId="77777777" w:rsidR="00C34539" w:rsidRPr="009F1066" w:rsidRDefault="00C34539" w:rsidP="004B288B">
      <w:pPr>
        <w:pStyle w:val="Paragraphedeliste"/>
        <w:ind w:left="1068"/>
      </w:pPr>
    </w:p>
    <w:p w14:paraId="27665050" w14:textId="2F135AFB" w:rsidR="006F0384" w:rsidRPr="00A73742" w:rsidRDefault="006F0384" w:rsidP="00A73742">
      <w:pPr>
        <w:pStyle w:val="Titre1"/>
      </w:pPr>
      <w:bookmarkStart w:id="9" w:name="_Toc160086269"/>
      <w:r w:rsidRPr="00A73742">
        <w:lastRenderedPageBreak/>
        <w:t xml:space="preserve">Article </w:t>
      </w:r>
      <w:r w:rsidR="00625FC0" w:rsidRPr="00A73742">
        <w:t>8</w:t>
      </w:r>
      <w:r w:rsidRPr="00A73742">
        <w:t> : Décision d’agrément</w:t>
      </w:r>
      <w:bookmarkEnd w:id="9"/>
      <w:r w:rsidRPr="00A73742">
        <w:t xml:space="preserve">  </w:t>
      </w:r>
    </w:p>
    <w:p w14:paraId="38B23349" w14:textId="77777777" w:rsidR="006F0384" w:rsidRPr="009F1066" w:rsidRDefault="006F0384" w:rsidP="004B288B">
      <w:pPr>
        <w:pStyle w:val="Paragraphedeliste"/>
        <w:ind w:left="1068"/>
      </w:pPr>
    </w:p>
    <w:p w14:paraId="666B5E02" w14:textId="5D081A84" w:rsidR="007B1831" w:rsidRPr="009F1066" w:rsidRDefault="006F0384" w:rsidP="00D76570">
      <w:pPr>
        <w:pStyle w:val="Paragraphedeliste"/>
        <w:numPr>
          <w:ilvl w:val="0"/>
          <w:numId w:val="36"/>
        </w:numPr>
      </w:pPr>
      <w:r w:rsidRPr="009F1066">
        <w:t>En cas d’évaluation positive, l</w:t>
      </w:r>
      <w:r w:rsidR="00C36181" w:rsidRPr="009F1066">
        <w:t xml:space="preserve">a COSUMAF notifie </w:t>
      </w:r>
      <w:r w:rsidRPr="009F1066">
        <w:t xml:space="preserve">la décision d’agrément </w:t>
      </w:r>
      <w:r w:rsidR="00644655" w:rsidRPr="009F1066">
        <w:t xml:space="preserve">à </w:t>
      </w:r>
      <w:r w:rsidR="007B1831" w:rsidRPr="009F1066">
        <w:t>la Société</w:t>
      </w:r>
      <w:r w:rsidR="009523B6">
        <w:t xml:space="preserve"> </w:t>
      </w:r>
      <w:r w:rsidR="007B1831" w:rsidRPr="009F1066">
        <w:t xml:space="preserve"> de Gestion</w:t>
      </w:r>
      <w:r w:rsidR="00644655" w:rsidRPr="009F1066">
        <w:t xml:space="preserve"> </w:t>
      </w:r>
      <w:r w:rsidRPr="009F1066">
        <w:t xml:space="preserve">et au dépositaire du </w:t>
      </w:r>
      <w:r w:rsidR="00553D71" w:rsidRPr="009F1066">
        <w:t xml:space="preserve">Fonds </w:t>
      </w:r>
      <w:r w:rsidR="00C36181" w:rsidRPr="009F1066">
        <w:t xml:space="preserve">dans un délai de </w:t>
      </w:r>
      <w:r w:rsidR="00C95A3A" w:rsidRPr="009F1066">
        <w:t>dix</w:t>
      </w:r>
      <w:r w:rsidR="00C36181" w:rsidRPr="009F1066">
        <w:t xml:space="preserve"> </w:t>
      </w:r>
      <w:r w:rsidR="00380ECA" w:rsidRPr="009F1066">
        <w:t>(</w:t>
      </w:r>
      <w:r w:rsidR="00C95A3A" w:rsidRPr="009F1066">
        <w:t>10</w:t>
      </w:r>
      <w:r w:rsidR="00380ECA" w:rsidRPr="009F1066">
        <w:t xml:space="preserve">) </w:t>
      </w:r>
      <w:r w:rsidR="005B5D8F" w:rsidRPr="009F1066">
        <w:t>jours ouvrés</w:t>
      </w:r>
      <w:r w:rsidR="00C36181" w:rsidRPr="009F1066">
        <w:t xml:space="preserve"> à compter de la date de ladite décision. </w:t>
      </w:r>
      <w:r w:rsidR="007B1831" w:rsidRPr="009F1066">
        <w:t xml:space="preserve">En cas de refus, la COSUMAF motive sa décision.  </w:t>
      </w:r>
    </w:p>
    <w:p w14:paraId="42D222B8" w14:textId="77777777" w:rsidR="006F0384" w:rsidRPr="009F1066" w:rsidRDefault="006F0384" w:rsidP="006F0384">
      <w:pPr>
        <w:pStyle w:val="Paragraphedelis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jc w:val="left"/>
        <w:rPr>
          <w:rFonts w:ascii="Arial" w:hAnsi="Arial" w:cs="Arial"/>
          <w:color w:val="000000"/>
          <w:sz w:val="18"/>
          <w:szCs w:val="18"/>
          <w14:ligatures w14:val="standardContextual"/>
        </w:rPr>
      </w:pPr>
    </w:p>
    <w:p w14:paraId="1B69E13E" w14:textId="666A55CC" w:rsidR="006F0384" w:rsidRPr="009F1066" w:rsidRDefault="006F0384" w:rsidP="00D76570">
      <w:pPr>
        <w:pStyle w:val="Paragraphedeliste"/>
        <w:numPr>
          <w:ilvl w:val="0"/>
          <w:numId w:val="36"/>
        </w:numPr>
      </w:pPr>
      <w:r w:rsidRPr="009F1066">
        <w:t xml:space="preserve">La COSUMAF appose son visa sur le </w:t>
      </w:r>
      <w:r w:rsidR="00F223AF" w:rsidRPr="009F1066">
        <w:t>Document d’Information</w:t>
      </w:r>
      <w:r w:rsidRPr="009F1066">
        <w:t xml:space="preserve"> en indiquant le numéro d’agrément et la date.  </w:t>
      </w:r>
    </w:p>
    <w:p w14:paraId="7032AACF" w14:textId="77777777" w:rsidR="006F0384" w:rsidRPr="009F1066" w:rsidRDefault="006F0384" w:rsidP="006F0384">
      <w:pPr>
        <w:pStyle w:val="Paragraphedelis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jc w:val="left"/>
        <w:rPr>
          <w:rFonts w:ascii="Arial" w:hAnsi="Arial" w:cs="Arial"/>
          <w:color w:val="000000"/>
          <w:sz w:val="18"/>
          <w:szCs w:val="18"/>
          <w14:ligatures w14:val="standardContextual"/>
        </w:rPr>
      </w:pPr>
    </w:p>
    <w:p w14:paraId="7D23C2A2" w14:textId="4D318C72" w:rsidR="006F0384" w:rsidRPr="009F1066" w:rsidRDefault="0063553A" w:rsidP="0063553A">
      <w:pPr>
        <w:pStyle w:val="Paragraphedeliste"/>
        <w:numPr>
          <w:ilvl w:val="0"/>
          <w:numId w:val="36"/>
        </w:numPr>
      </w:pPr>
      <w:r w:rsidRPr="009F1066">
        <w:t xml:space="preserve">À partir de la notification de la décision d'agrément, le Document d’Information,  </w:t>
      </w:r>
      <w:r w:rsidR="0015053B" w:rsidRPr="009F1066">
        <w:t xml:space="preserve">peut </w:t>
      </w:r>
      <w:r w:rsidRPr="009F1066">
        <w:t>être diffusé</w:t>
      </w:r>
      <w:r w:rsidR="0015053B" w:rsidRPr="009F1066">
        <w:t xml:space="preserve"> dans le</w:t>
      </w:r>
      <w:r w:rsidRPr="009F1066">
        <w:t xml:space="preserve">  public.</w:t>
      </w:r>
    </w:p>
    <w:p w14:paraId="73EA788B" w14:textId="3D98F0AE" w:rsidR="00114DD9" w:rsidRPr="00A73742" w:rsidRDefault="00114DD9" w:rsidP="00A73742">
      <w:pPr>
        <w:pStyle w:val="Titre1"/>
      </w:pPr>
      <w:bookmarkStart w:id="10" w:name="_Toc160086270"/>
      <w:r w:rsidRPr="00A73742">
        <w:t xml:space="preserve">Article </w:t>
      </w:r>
      <w:r w:rsidR="00625FC0" w:rsidRPr="00A73742">
        <w:t xml:space="preserve">9 </w:t>
      </w:r>
      <w:r w:rsidRPr="00A73742">
        <w:t>: Éléments constitutifs  du dossier d’agrément</w:t>
      </w:r>
      <w:bookmarkEnd w:id="10"/>
      <w:r w:rsidRPr="00A73742">
        <w:t xml:space="preserve"> </w:t>
      </w:r>
      <w:r w:rsidR="000335A7" w:rsidRPr="00A73742">
        <w:t xml:space="preserve"> </w:t>
      </w:r>
    </w:p>
    <w:p w14:paraId="051F54E0" w14:textId="77777777" w:rsidR="00114DD9" w:rsidRPr="009F1066" w:rsidRDefault="00114DD9" w:rsidP="00114DD9"/>
    <w:p w14:paraId="1E07C9E7" w14:textId="0B8BE5AC" w:rsidR="00114DD9" w:rsidRPr="009F1066" w:rsidRDefault="00114DD9">
      <w:pPr>
        <w:pStyle w:val="Paragraphedeliste"/>
        <w:numPr>
          <w:ilvl w:val="0"/>
          <w:numId w:val="6"/>
        </w:numPr>
      </w:pPr>
      <w:r w:rsidRPr="009F1066">
        <w:t>Le dossier</w:t>
      </w:r>
      <w:r w:rsidR="00FD7F4E">
        <w:t xml:space="preserve"> de demande d’agrément</w:t>
      </w:r>
      <w:r w:rsidRPr="009F1066">
        <w:t xml:space="preserve"> soumis</w:t>
      </w:r>
      <w:r w:rsidR="00FD7F4E">
        <w:t xml:space="preserve"> à la COSUMAF</w:t>
      </w:r>
      <w:r w:rsidRPr="009F1066">
        <w:t xml:space="preserve"> devra inclure les </w:t>
      </w:r>
      <w:r w:rsidR="000335A7" w:rsidRPr="009F1066">
        <w:t>éléments</w:t>
      </w:r>
      <w:r w:rsidRPr="009F1066">
        <w:t xml:space="preserve"> suivants :</w:t>
      </w:r>
    </w:p>
    <w:p w14:paraId="2BD9630F" w14:textId="77777777" w:rsidR="00114DD9" w:rsidRPr="009F1066" w:rsidRDefault="00114DD9" w:rsidP="00114DD9"/>
    <w:p w14:paraId="4DB9FC82" w14:textId="5092AC69" w:rsidR="00114DD9" w:rsidRPr="009F1066" w:rsidRDefault="00114DD9">
      <w:pPr>
        <w:pStyle w:val="Paragraphedeliste"/>
        <w:numPr>
          <w:ilvl w:val="1"/>
          <w:numId w:val="7"/>
        </w:numPr>
      </w:pPr>
      <w:r w:rsidRPr="009F1066">
        <w:t xml:space="preserve">Une demande formelle </w:t>
      </w:r>
      <w:r w:rsidR="00BC0D1A" w:rsidRPr="009F1066">
        <w:t xml:space="preserve">d’agrément </w:t>
      </w:r>
      <w:r w:rsidRPr="009F1066">
        <w:t>;</w:t>
      </w:r>
    </w:p>
    <w:p w14:paraId="169AE511" w14:textId="77777777" w:rsidR="0033308A" w:rsidRPr="009F1066" w:rsidRDefault="0033308A" w:rsidP="0033308A">
      <w:pPr>
        <w:pStyle w:val="Paragraphedeliste"/>
        <w:ind w:left="1440"/>
      </w:pPr>
    </w:p>
    <w:p w14:paraId="7E3FB49D" w14:textId="0ACC7C8C" w:rsidR="00D53C86" w:rsidRPr="009F1066" w:rsidRDefault="00542A14">
      <w:pPr>
        <w:pStyle w:val="Paragraphedeliste"/>
        <w:numPr>
          <w:ilvl w:val="1"/>
          <w:numId w:val="7"/>
        </w:numPr>
      </w:pPr>
      <w:r w:rsidRPr="009F1066">
        <w:t xml:space="preserve">Le document d’information visé à l’article </w:t>
      </w:r>
      <w:r w:rsidR="00EC521E" w:rsidRPr="009F1066">
        <w:t xml:space="preserve">195 du </w:t>
      </w:r>
      <w:r w:rsidR="0033308A" w:rsidRPr="009F1066">
        <w:t xml:space="preserve">Règlement N° 01/22/CEMAC/UMAC/CM/COSUMAF du 21 juillet 2022 régissant l'organisation et le fonctionnement du marché financier de l’Afrique Centrale  </w:t>
      </w:r>
      <w:r w:rsidR="00213E39" w:rsidRPr="009F1066">
        <w:t>;</w:t>
      </w:r>
    </w:p>
    <w:p w14:paraId="7318DAB2" w14:textId="77777777" w:rsidR="00114DD9" w:rsidRPr="009F1066" w:rsidRDefault="00114DD9" w:rsidP="00114DD9"/>
    <w:p w14:paraId="6758B382" w14:textId="344B51E4" w:rsidR="009158B2" w:rsidRPr="009F1066" w:rsidRDefault="0010662A" w:rsidP="008E33FC">
      <w:pPr>
        <w:pStyle w:val="Paragraphedeliste"/>
        <w:numPr>
          <w:ilvl w:val="1"/>
          <w:numId w:val="7"/>
        </w:numPr>
      </w:pPr>
      <w:r w:rsidRPr="009F1066">
        <w:t xml:space="preserve"> </w:t>
      </w:r>
      <w:r w:rsidR="009158B2" w:rsidRPr="009F1066">
        <w:t xml:space="preserve">Une description des modalités du contrôle de la régularité des décisions de </w:t>
      </w:r>
      <w:r w:rsidR="007B1831" w:rsidRPr="009F1066">
        <w:t>la</w:t>
      </w:r>
      <w:r w:rsidR="00AF564D" w:rsidRPr="009F1066">
        <w:t xml:space="preserve"> </w:t>
      </w:r>
      <w:r w:rsidR="007B1831" w:rsidRPr="009F1066">
        <w:t>Société de Gestion</w:t>
      </w:r>
      <w:r w:rsidR="00AF564D" w:rsidRPr="009F1066">
        <w:t>,</w:t>
      </w:r>
      <w:r w:rsidR="009158B2" w:rsidRPr="009F1066">
        <w:t xml:space="preserve"> par le dépositaire</w:t>
      </w:r>
      <w:r w:rsidR="00B60CB1" w:rsidRPr="009F1066">
        <w:t> ;</w:t>
      </w:r>
    </w:p>
    <w:p w14:paraId="3A4E1141" w14:textId="77777777" w:rsidR="009158B2" w:rsidRPr="009F1066" w:rsidRDefault="009158B2" w:rsidP="00114DD9">
      <w:pPr>
        <w:ind w:left="1752"/>
      </w:pPr>
    </w:p>
    <w:p w14:paraId="52736C22" w14:textId="744C7BCB" w:rsidR="005908AA" w:rsidRPr="009F1066" w:rsidRDefault="009158B2">
      <w:pPr>
        <w:pStyle w:val="Paragraphedeliste"/>
        <w:numPr>
          <w:ilvl w:val="1"/>
          <w:numId w:val="7"/>
        </w:numPr>
      </w:pPr>
      <w:r w:rsidRPr="009F1066">
        <w:t>Le modèle de rapport de gestion indiquant précisément les informations périodiques qui y seront publiées</w:t>
      </w:r>
      <w:r w:rsidR="00B60CB1" w:rsidRPr="009F1066">
        <w:t> ;</w:t>
      </w:r>
    </w:p>
    <w:p w14:paraId="4BA64632" w14:textId="77777777" w:rsidR="009158B2" w:rsidRPr="009F1066" w:rsidRDefault="009158B2" w:rsidP="009158B2">
      <w:pPr>
        <w:pStyle w:val="Paragraphedeliste"/>
      </w:pPr>
    </w:p>
    <w:p w14:paraId="4CA33D53" w14:textId="353610E9" w:rsidR="009158B2" w:rsidRPr="009F1066" w:rsidRDefault="009158B2">
      <w:pPr>
        <w:pStyle w:val="Paragraphedeliste"/>
        <w:numPr>
          <w:ilvl w:val="1"/>
          <w:numId w:val="7"/>
        </w:numPr>
      </w:pPr>
      <w:r w:rsidRPr="009F1066">
        <w:t>Une note décrivant les actifs que l’</w:t>
      </w:r>
      <w:r w:rsidR="0087231E" w:rsidRPr="009F1066">
        <w:t>Organisme de Titrisation</w:t>
      </w:r>
      <w:r w:rsidRPr="009F1066">
        <w:t xml:space="preserve"> est susceptible d’acquérir</w:t>
      </w:r>
      <w:r w:rsidR="00B60CB1" w:rsidRPr="009F1066">
        <w:t> ;</w:t>
      </w:r>
    </w:p>
    <w:p w14:paraId="6B36BCCD" w14:textId="77777777" w:rsidR="009158B2" w:rsidRPr="009F1066" w:rsidRDefault="009158B2" w:rsidP="009158B2">
      <w:pPr>
        <w:pStyle w:val="Paragraphedeliste"/>
      </w:pPr>
    </w:p>
    <w:p w14:paraId="697D3426" w14:textId="30A98F31" w:rsidR="009158B2" w:rsidRPr="009F1066" w:rsidRDefault="009158B2">
      <w:pPr>
        <w:pStyle w:val="Paragraphedeliste"/>
        <w:numPr>
          <w:ilvl w:val="1"/>
          <w:numId w:val="7"/>
        </w:numPr>
      </w:pPr>
      <w:r w:rsidRPr="009F1066">
        <w:t xml:space="preserve"> Le cas échéant, le compte</w:t>
      </w:r>
      <w:r w:rsidR="00B60CB1" w:rsidRPr="009F1066">
        <w:t>-</w:t>
      </w:r>
      <w:r w:rsidRPr="009F1066">
        <w:t>rendu d'activité du dernier exercice et, s'il est plus récent, le compte rendu d'activité semestriel</w:t>
      </w:r>
      <w:r w:rsidR="00B60CB1" w:rsidRPr="009F1066">
        <w:t> ;</w:t>
      </w:r>
    </w:p>
    <w:p w14:paraId="20EE7E3A" w14:textId="77777777" w:rsidR="009158B2" w:rsidRPr="009F1066" w:rsidRDefault="009158B2" w:rsidP="009158B2">
      <w:pPr>
        <w:pStyle w:val="Paragraphedeliste"/>
      </w:pPr>
    </w:p>
    <w:p w14:paraId="417D8FDF" w14:textId="73E70910" w:rsidR="009158B2" w:rsidRPr="009F1066" w:rsidRDefault="009158B2">
      <w:pPr>
        <w:pStyle w:val="Paragraphedeliste"/>
        <w:numPr>
          <w:ilvl w:val="1"/>
          <w:numId w:val="7"/>
        </w:numPr>
      </w:pPr>
      <w:r w:rsidRPr="009F1066">
        <w:t>Une description des relations contractuelles entre les diverses parties à l'opération. Les projets de contrats sont communiqués à la COSUMAF</w:t>
      </w:r>
      <w:r w:rsidR="00B60CB1" w:rsidRPr="009F1066">
        <w:t> ;</w:t>
      </w:r>
    </w:p>
    <w:p w14:paraId="5B52A8AE" w14:textId="77777777" w:rsidR="009E6158" w:rsidRPr="009F1066" w:rsidRDefault="009E6158" w:rsidP="008E33FC">
      <w:pPr>
        <w:pStyle w:val="Paragraphedeliste"/>
      </w:pPr>
    </w:p>
    <w:p w14:paraId="26C11FF1" w14:textId="188BF0C9" w:rsidR="009158B2" w:rsidRPr="009F1066" w:rsidRDefault="009158B2">
      <w:pPr>
        <w:pStyle w:val="Paragraphedeliste"/>
        <w:numPr>
          <w:ilvl w:val="1"/>
          <w:numId w:val="7"/>
        </w:numPr>
      </w:pPr>
      <w:r w:rsidRPr="009F1066">
        <w:t>Les modalités de commercialisation des titres financiers émis par l’OT (</w:t>
      </w:r>
      <w:r w:rsidR="003E3ECE">
        <w:t>commercialisateurs</w:t>
      </w:r>
      <w:r w:rsidRPr="009F1066">
        <w:t>, réseau placeur, etc.)</w:t>
      </w:r>
      <w:r w:rsidR="00B60CB1" w:rsidRPr="009F1066">
        <w:t> ;</w:t>
      </w:r>
    </w:p>
    <w:p w14:paraId="341E2709" w14:textId="77777777" w:rsidR="009158B2" w:rsidRPr="009F1066" w:rsidRDefault="009158B2" w:rsidP="009158B2">
      <w:pPr>
        <w:pStyle w:val="Paragraphedeliste"/>
      </w:pPr>
    </w:p>
    <w:p w14:paraId="78E4BF37" w14:textId="773B76D3" w:rsidR="009158B2" w:rsidRPr="009F1066" w:rsidRDefault="009158B2">
      <w:pPr>
        <w:pStyle w:val="Paragraphedeliste"/>
        <w:numPr>
          <w:ilvl w:val="1"/>
          <w:numId w:val="7"/>
        </w:numPr>
      </w:pPr>
      <w:r w:rsidRPr="009F1066">
        <w:t>Le ou les documents de notation relatifs à l'opération envisagée ;</w:t>
      </w:r>
    </w:p>
    <w:p w14:paraId="31280AD6" w14:textId="77777777" w:rsidR="009158B2" w:rsidRPr="009F1066" w:rsidRDefault="009158B2" w:rsidP="009158B2">
      <w:pPr>
        <w:pStyle w:val="Paragraphedeliste"/>
      </w:pPr>
    </w:p>
    <w:p w14:paraId="4711D291" w14:textId="46684931" w:rsidR="001712B7" w:rsidRPr="009F1066" w:rsidRDefault="009158B2">
      <w:pPr>
        <w:pStyle w:val="Paragraphedeliste"/>
        <w:numPr>
          <w:ilvl w:val="1"/>
          <w:numId w:val="7"/>
        </w:numPr>
      </w:pPr>
      <w:r w:rsidRPr="009F1066">
        <w:t>Une note décrivant les risques auxquels sont exposés les détenteurs des titres financiers et les mécanismes de couverture mis en place.</w:t>
      </w:r>
    </w:p>
    <w:p w14:paraId="29CCADE0" w14:textId="77777777" w:rsidR="001712B7" w:rsidRPr="009F1066" w:rsidRDefault="001712B7">
      <w:pPr>
        <w:jc w:val="left"/>
      </w:pPr>
      <w:r w:rsidRPr="009F1066">
        <w:br w:type="page"/>
      </w:r>
    </w:p>
    <w:p w14:paraId="7CFEDFED" w14:textId="091E2F50" w:rsidR="00114DD9" w:rsidRPr="00A73742" w:rsidRDefault="00114DD9" w:rsidP="00A73742">
      <w:pPr>
        <w:pStyle w:val="Titre1"/>
      </w:pPr>
      <w:bookmarkStart w:id="11" w:name="_Toc160086271"/>
      <w:r w:rsidRPr="00A73742">
        <w:lastRenderedPageBreak/>
        <w:t xml:space="preserve">Article </w:t>
      </w:r>
      <w:r w:rsidR="00200418" w:rsidRPr="00A73742">
        <w:t>1</w:t>
      </w:r>
      <w:r w:rsidR="00625FC0" w:rsidRPr="00A73742">
        <w:t>0</w:t>
      </w:r>
      <w:r w:rsidRPr="00A73742">
        <w:t xml:space="preserve"> : </w:t>
      </w:r>
      <w:r w:rsidR="00200418" w:rsidRPr="00A73742">
        <w:t>Mises à jour</w:t>
      </w:r>
      <w:r w:rsidR="003238DB" w:rsidRPr="00A73742">
        <w:t xml:space="preserve"> de l’agrément</w:t>
      </w:r>
      <w:bookmarkEnd w:id="11"/>
      <w:r w:rsidR="003238DB" w:rsidRPr="00A73742">
        <w:t xml:space="preserve"> </w:t>
      </w:r>
      <w:r w:rsidR="00200418" w:rsidRPr="00A73742">
        <w:t xml:space="preserve"> </w:t>
      </w:r>
      <w:r w:rsidRPr="00A73742">
        <w:t xml:space="preserve"> </w:t>
      </w:r>
    </w:p>
    <w:p w14:paraId="58E1899F" w14:textId="77777777" w:rsidR="00114DD9" w:rsidRPr="009F1066" w:rsidRDefault="00114DD9" w:rsidP="00114DD9"/>
    <w:p w14:paraId="42954D72" w14:textId="51286949" w:rsidR="00200418" w:rsidRPr="009F1066" w:rsidRDefault="007B1831">
      <w:pPr>
        <w:pStyle w:val="Paragraphedeliste"/>
        <w:numPr>
          <w:ilvl w:val="0"/>
          <w:numId w:val="4"/>
        </w:numPr>
      </w:pPr>
      <w:r w:rsidRPr="009F1066">
        <w:t>La Société de Gestion</w:t>
      </w:r>
      <w:r w:rsidR="00200418" w:rsidRPr="009F1066">
        <w:t xml:space="preserve"> et le dépositaire décident de toute modification des éléments contenus dans le </w:t>
      </w:r>
      <w:r w:rsidR="00F223AF" w:rsidRPr="009F1066">
        <w:t xml:space="preserve">Document </w:t>
      </w:r>
      <w:r w:rsidR="00AF564D" w:rsidRPr="009F1066">
        <w:t>d’Information.</w:t>
      </w:r>
      <w:r w:rsidR="00E44E8C" w:rsidRPr="009F1066">
        <w:t xml:space="preserve"> Lesdites modifications sont communiquées à </w:t>
      </w:r>
      <w:r w:rsidR="0097144F" w:rsidRPr="009F1066">
        <w:t xml:space="preserve">la </w:t>
      </w:r>
      <w:r w:rsidR="00E44E8C" w:rsidRPr="009F1066">
        <w:t xml:space="preserve">COSUMAF.  </w:t>
      </w:r>
    </w:p>
    <w:p w14:paraId="2F4E515E" w14:textId="77777777" w:rsidR="00200418" w:rsidRPr="009F1066" w:rsidRDefault="00200418" w:rsidP="00200418">
      <w:pPr>
        <w:pStyle w:val="Paragraphedeliste"/>
        <w:ind w:left="928"/>
      </w:pPr>
    </w:p>
    <w:p w14:paraId="55DF69BC" w14:textId="7CBBDD98" w:rsidR="00200418" w:rsidRPr="009F1066" w:rsidRDefault="00200418">
      <w:pPr>
        <w:pStyle w:val="Paragraphedeliste"/>
        <w:numPr>
          <w:ilvl w:val="0"/>
          <w:numId w:val="4"/>
        </w:numPr>
      </w:pPr>
      <w:r w:rsidRPr="009F1066">
        <w:t xml:space="preserve">Toute modification des éléments caractéristiques contenus dans </w:t>
      </w:r>
      <w:r w:rsidR="00FA5967" w:rsidRPr="009F1066">
        <w:t xml:space="preserve">le document d’information </w:t>
      </w:r>
      <w:r w:rsidRPr="009F1066">
        <w:t xml:space="preserve">ou tout événement susceptible d'avoir une incidence sur les titres émis par un </w:t>
      </w:r>
      <w:r w:rsidR="0087231E" w:rsidRPr="009F1066">
        <w:t>Organisme de Titrisation</w:t>
      </w:r>
      <w:r w:rsidRPr="009F1066">
        <w:t xml:space="preserve"> doit être porté(e) à la connaissance du public.</w:t>
      </w:r>
    </w:p>
    <w:p w14:paraId="4A4D1640" w14:textId="77777777" w:rsidR="00200418" w:rsidRPr="009F1066" w:rsidRDefault="00200418" w:rsidP="00200418">
      <w:pPr>
        <w:pStyle w:val="Paragraphedeliste"/>
        <w:ind w:left="928"/>
      </w:pPr>
    </w:p>
    <w:p w14:paraId="6DCB33AE" w14:textId="333CA5DB" w:rsidR="00114DD9" w:rsidRPr="009F1066" w:rsidRDefault="00200418">
      <w:pPr>
        <w:pStyle w:val="Paragraphedeliste"/>
        <w:numPr>
          <w:ilvl w:val="0"/>
          <w:numId w:val="4"/>
        </w:numPr>
      </w:pPr>
      <w:r w:rsidRPr="009F1066">
        <w:t xml:space="preserve">Tout fait nouveau significatif ou toute erreur ou inexactitude concernant les informations contenues dans le </w:t>
      </w:r>
      <w:r w:rsidR="00F223AF" w:rsidRPr="009F1066">
        <w:t>Document d’Information</w:t>
      </w:r>
      <w:r w:rsidRPr="009F1066">
        <w:t xml:space="preserve">, est mentionné dans une note complémentaire au </w:t>
      </w:r>
      <w:r w:rsidR="00F223AF" w:rsidRPr="009F1066">
        <w:t>Document d’Information</w:t>
      </w:r>
      <w:r w:rsidR="003802BC" w:rsidRPr="009F1066">
        <w:t xml:space="preserve">. Cette note </w:t>
      </w:r>
      <w:r w:rsidRPr="009F1066">
        <w:t xml:space="preserve"> est, préalablement à sa diffusion, soumise </w:t>
      </w:r>
      <w:r w:rsidR="005861AC" w:rsidRPr="009F1066">
        <w:t>à l’</w:t>
      </w:r>
      <w:r w:rsidR="00D03257">
        <w:t>approbation</w:t>
      </w:r>
      <w:r w:rsidRPr="009F1066">
        <w:t xml:space="preserve"> de la COSUMAF.</w:t>
      </w:r>
    </w:p>
    <w:p w14:paraId="2DD6B95C" w14:textId="6000E70F" w:rsidR="00227F80" w:rsidRPr="00A73742" w:rsidRDefault="00227F80" w:rsidP="00A73742">
      <w:pPr>
        <w:pStyle w:val="Titre1"/>
      </w:pPr>
      <w:bookmarkStart w:id="12" w:name="_Toc160086272"/>
      <w:r w:rsidRPr="00A73742">
        <w:t xml:space="preserve">Article </w:t>
      </w:r>
      <w:r w:rsidR="00625FC0" w:rsidRPr="00A73742">
        <w:t>11</w:t>
      </w:r>
      <w:r w:rsidRPr="00A73742">
        <w:t xml:space="preserve"> : Diffusion du </w:t>
      </w:r>
      <w:r w:rsidR="00F223AF" w:rsidRPr="00A73742">
        <w:t>Document d’Information</w:t>
      </w:r>
      <w:bookmarkEnd w:id="12"/>
    </w:p>
    <w:p w14:paraId="7CD80CFA" w14:textId="77777777" w:rsidR="00227F80" w:rsidRPr="009F1066" w:rsidRDefault="00227F80" w:rsidP="00227F80"/>
    <w:p w14:paraId="73954ED6" w14:textId="761DDF9A" w:rsidR="00227F80" w:rsidRPr="009F1066" w:rsidRDefault="00227F80">
      <w:pPr>
        <w:pStyle w:val="Paragraphedeliste"/>
        <w:numPr>
          <w:ilvl w:val="0"/>
          <w:numId w:val="14"/>
        </w:numPr>
      </w:pPr>
      <w:r w:rsidRPr="009F1066">
        <w:t xml:space="preserve">Le </w:t>
      </w:r>
      <w:r w:rsidR="00F223AF" w:rsidRPr="009F1066">
        <w:t xml:space="preserve">Document d’information </w:t>
      </w:r>
      <w:r w:rsidRPr="009F1066">
        <w:t xml:space="preserve">est mis à la disposition de tout investisseur dans les conditions définies </w:t>
      </w:r>
      <w:r w:rsidR="003238DB" w:rsidRPr="009F1066">
        <w:t>dans le</w:t>
      </w:r>
      <w:r w:rsidRPr="009F1066">
        <w:t xml:space="preserve"> </w:t>
      </w:r>
      <w:r w:rsidR="00A44227" w:rsidRPr="009F1066">
        <w:t>Règlement Général de la COSUMAF</w:t>
      </w:r>
      <w:r w:rsidRPr="009F1066">
        <w:t>.</w:t>
      </w:r>
    </w:p>
    <w:p w14:paraId="3630DC22" w14:textId="77777777" w:rsidR="003238DB" w:rsidRPr="009F1066" w:rsidRDefault="003238DB" w:rsidP="003238DB">
      <w:pPr>
        <w:pStyle w:val="Paragraphedeliste"/>
        <w:ind w:left="928"/>
      </w:pPr>
    </w:p>
    <w:p w14:paraId="7020ED2B" w14:textId="4DF17900" w:rsidR="00227F80" w:rsidRPr="009F1066" w:rsidRDefault="007B1831">
      <w:pPr>
        <w:pStyle w:val="Paragraphedeliste"/>
        <w:numPr>
          <w:ilvl w:val="0"/>
          <w:numId w:val="14"/>
        </w:numPr>
      </w:pPr>
      <w:r w:rsidRPr="009F1066">
        <w:t>La Société de Gestion</w:t>
      </w:r>
      <w:r w:rsidR="00227F80" w:rsidRPr="009F1066">
        <w:t xml:space="preserve"> </w:t>
      </w:r>
      <w:r w:rsidR="00D63282">
        <w:t>adresse</w:t>
      </w:r>
      <w:r w:rsidR="00227F80" w:rsidRPr="009F1066">
        <w:t xml:space="preserve"> à </w:t>
      </w:r>
      <w:r w:rsidR="00A44227" w:rsidRPr="009F1066">
        <w:t>la COSUMAF</w:t>
      </w:r>
      <w:r w:rsidR="00227F80" w:rsidRPr="009F1066">
        <w:t xml:space="preserve"> deux</w:t>
      </w:r>
      <w:r w:rsidR="009B7914" w:rsidRPr="009F1066">
        <w:t xml:space="preserve"> (2)</w:t>
      </w:r>
      <w:r w:rsidR="00227F80" w:rsidRPr="009F1066">
        <w:t xml:space="preserve"> exemplaires du </w:t>
      </w:r>
      <w:r w:rsidR="00F223AF" w:rsidRPr="009F1066">
        <w:t>Document d’Information</w:t>
      </w:r>
      <w:r w:rsidR="00227F80" w:rsidRPr="009F1066">
        <w:t xml:space="preserve"> et deux </w:t>
      </w:r>
      <w:r w:rsidR="009B7914" w:rsidRPr="009F1066">
        <w:t xml:space="preserve">(2) </w:t>
      </w:r>
      <w:r w:rsidR="00227F80" w:rsidRPr="009F1066">
        <w:t>exemplaires du règlement du fonds ou des statuts.</w:t>
      </w:r>
    </w:p>
    <w:p w14:paraId="3A377432" w14:textId="1C1318F9" w:rsidR="00227F80" w:rsidRPr="00A73742" w:rsidRDefault="00227F80" w:rsidP="00A73742">
      <w:pPr>
        <w:pStyle w:val="Titre1"/>
      </w:pPr>
      <w:bookmarkStart w:id="13" w:name="_Toc160086273"/>
      <w:r w:rsidRPr="00A73742">
        <w:t xml:space="preserve">Article </w:t>
      </w:r>
      <w:r w:rsidR="00625FC0" w:rsidRPr="00A73742">
        <w:t xml:space="preserve">12 </w:t>
      </w:r>
      <w:r w:rsidRPr="00A73742">
        <w:t>: Publicité et démarchage</w:t>
      </w:r>
      <w:bookmarkEnd w:id="13"/>
    </w:p>
    <w:p w14:paraId="4BEB7B2C" w14:textId="77777777" w:rsidR="00227F80" w:rsidRPr="009F1066" w:rsidRDefault="00227F80" w:rsidP="00227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
          <w:bCs/>
          <w:color w:val="000000"/>
          <w:sz w:val="18"/>
          <w:szCs w:val="18"/>
          <w14:ligatures w14:val="standardContextual"/>
        </w:rPr>
      </w:pPr>
    </w:p>
    <w:p w14:paraId="757AD966" w14:textId="54ECC894" w:rsidR="00DF1894" w:rsidRPr="009F1066" w:rsidRDefault="007B1831">
      <w:pPr>
        <w:pStyle w:val="Paragraphedeliste"/>
        <w:numPr>
          <w:ilvl w:val="0"/>
          <w:numId w:val="15"/>
        </w:numPr>
      </w:pPr>
      <w:r w:rsidRPr="009F1066">
        <w:t>La Société de Gestion</w:t>
      </w:r>
      <w:r w:rsidR="00DF1894" w:rsidRPr="009F1066">
        <w:t xml:space="preserve"> </w:t>
      </w:r>
      <w:r w:rsidR="00227F80" w:rsidRPr="009F1066">
        <w:t xml:space="preserve">communique à </w:t>
      </w:r>
      <w:r w:rsidR="00A44227" w:rsidRPr="009F1066">
        <w:t>la COSUMAF</w:t>
      </w:r>
      <w:r w:rsidR="00227F80" w:rsidRPr="009F1066">
        <w:t>, avant leur diffusion, les supports des communications à</w:t>
      </w:r>
      <w:r w:rsidR="00DF1894" w:rsidRPr="009F1066">
        <w:t xml:space="preserve"> </w:t>
      </w:r>
      <w:r w:rsidR="00227F80" w:rsidRPr="009F1066">
        <w:t xml:space="preserve">caractère promotionnel relatives à l'opération, conformément aux dispositions du </w:t>
      </w:r>
      <w:r w:rsidR="00A44227" w:rsidRPr="009F1066">
        <w:t>Règlement Général de la COSUMAF</w:t>
      </w:r>
      <w:r w:rsidR="00227F80" w:rsidRPr="009F1066">
        <w:t xml:space="preserve">. </w:t>
      </w:r>
    </w:p>
    <w:p w14:paraId="7ADA3E61" w14:textId="6158D696" w:rsidR="00DF1894" w:rsidRPr="009F1066" w:rsidRDefault="00DF1894" w:rsidP="00DF1894">
      <w:pPr>
        <w:pStyle w:val="Paragraphedeliste"/>
        <w:ind w:left="928"/>
      </w:pPr>
    </w:p>
    <w:p w14:paraId="55959B1C" w14:textId="3AE14AA2" w:rsidR="00227F80" w:rsidRPr="009F1066" w:rsidRDefault="00A44227">
      <w:pPr>
        <w:pStyle w:val="Paragraphedeliste"/>
        <w:numPr>
          <w:ilvl w:val="0"/>
          <w:numId w:val="15"/>
        </w:numPr>
      </w:pPr>
      <w:r w:rsidRPr="009F1066">
        <w:t>La COSUMAF</w:t>
      </w:r>
      <w:r w:rsidR="00DF1894" w:rsidRPr="009F1066">
        <w:t xml:space="preserve"> </w:t>
      </w:r>
      <w:r w:rsidR="00227F80" w:rsidRPr="009F1066">
        <w:t>peut demander toutes rectifications qu'elle juge nécessaires afin d'assurer une bonne information du</w:t>
      </w:r>
      <w:r w:rsidR="00DF1894" w:rsidRPr="009F1066">
        <w:t xml:space="preserve">  </w:t>
      </w:r>
      <w:r w:rsidR="00227F80" w:rsidRPr="009F1066">
        <w:t>public.</w:t>
      </w:r>
    </w:p>
    <w:p w14:paraId="28591143" w14:textId="77777777" w:rsidR="00DF1894" w:rsidRPr="009F1066" w:rsidRDefault="00DF1894" w:rsidP="00DF1894">
      <w:pPr>
        <w:pStyle w:val="Paragraphedeliste"/>
        <w:ind w:left="928"/>
      </w:pPr>
    </w:p>
    <w:p w14:paraId="1801B65D" w14:textId="2C373262" w:rsidR="001712B7" w:rsidRPr="009F1066" w:rsidRDefault="001712B7">
      <w:pPr>
        <w:jc w:val="left"/>
      </w:pPr>
      <w:r w:rsidRPr="009F1066">
        <w:br w:type="page"/>
      </w:r>
    </w:p>
    <w:p w14:paraId="22ADCB84" w14:textId="133725B3" w:rsidR="00E3293C" w:rsidRPr="00A73742" w:rsidRDefault="00E3293C" w:rsidP="00A73742">
      <w:pPr>
        <w:pStyle w:val="Titre1"/>
      </w:pPr>
      <w:bookmarkStart w:id="14" w:name="_Toc160086274"/>
      <w:r w:rsidRPr="00A73742">
        <w:lastRenderedPageBreak/>
        <w:t xml:space="preserve">Article </w:t>
      </w:r>
      <w:r w:rsidR="00625FC0" w:rsidRPr="00A73742">
        <w:t>13</w:t>
      </w:r>
      <w:r w:rsidRPr="00A73742">
        <w:t xml:space="preserve"> : </w:t>
      </w:r>
      <w:r w:rsidR="00714ED1" w:rsidRPr="00A73742">
        <w:t xml:space="preserve">Rapports </w:t>
      </w:r>
      <w:r w:rsidRPr="00A73742">
        <w:t xml:space="preserve"> d’activité</w:t>
      </w:r>
      <w:bookmarkEnd w:id="14"/>
    </w:p>
    <w:p w14:paraId="7A246966" w14:textId="77777777" w:rsidR="00146969" w:rsidRPr="009F1066" w:rsidRDefault="00146969" w:rsidP="003F7A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70C0"/>
          <w:sz w:val="28"/>
          <w:szCs w:val="28"/>
        </w:rPr>
      </w:pPr>
    </w:p>
    <w:p w14:paraId="7F3236F5" w14:textId="6381CF41" w:rsidR="00146969" w:rsidRPr="009F1066" w:rsidRDefault="007B1831" w:rsidP="00164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14:ligatures w14:val="standardContextual"/>
        </w:rPr>
      </w:pPr>
      <w:r w:rsidRPr="009F1066">
        <w:rPr>
          <w:color w:val="000000"/>
          <w14:ligatures w14:val="standardContextual"/>
        </w:rPr>
        <w:t>La Société de Gestion</w:t>
      </w:r>
      <w:r w:rsidR="00146969" w:rsidRPr="009F1066">
        <w:rPr>
          <w:color w:val="000000"/>
          <w14:ligatures w14:val="standardContextual"/>
        </w:rPr>
        <w:t xml:space="preserve">, doit fournir de manière périodique les documents suivants à la COSUMAF :  </w:t>
      </w:r>
    </w:p>
    <w:p w14:paraId="4C4EEF25" w14:textId="77777777" w:rsidR="00146969" w:rsidRPr="009F1066" w:rsidRDefault="00146969" w:rsidP="00146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70C0"/>
          <w:sz w:val="28"/>
          <w:szCs w:val="28"/>
        </w:rPr>
      </w:pPr>
    </w:p>
    <w:p w14:paraId="3ED171B9" w14:textId="52FD722A" w:rsidR="00130486" w:rsidRPr="009F1066" w:rsidRDefault="00130486" w:rsidP="0013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14:ligatures w14:val="standardContextual"/>
        </w:rPr>
      </w:pPr>
      <w:r w:rsidRPr="009F1066">
        <w:rPr>
          <w:color w:val="000000"/>
          <w:u w:val="single"/>
          <w14:ligatures w14:val="standardContextual"/>
        </w:rPr>
        <w:t>A –</w:t>
      </w:r>
      <w:r w:rsidR="00BC44F8" w:rsidRPr="009F1066">
        <w:rPr>
          <w:color w:val="000000"/>
          <w:u w:val="single"/>
          <w14:ligatures w14:val="standardContextual"/>
        </w:rPr>
        <w:t xml:space="preserve">Rapport </w:t>
      </w:r>
      <w:r w:rsidRPr="009F1066">
        <w:rPr>
          <w:color w:val="000000"/>
          <w:u w:val="single"/>
          <w14:ligatures w14:val="standardContextual"/>
        </w:rPr>
        <w:t xml:space="preserve">d’activité trimestriel </w:t>
      </w:r>
    </w:p>
    <w:p w14:paraId="04049556" w14:textId="77777777" w:rsidR="00130486" w:rsidRPr="009F1066" w:rsidRDefault="00130486" w:rsidP="0013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14:ligatures w14:val="standardContextual"/>
        </w:rPr>
      </w:pPr>
    </w:p>
    <w:p w14:paraId="3EE1B086" w14:textId="78EAF6C7" w:rsidR="00130486" w:rsidRPr="009F1066" w:rsidRDefault="00130486" w:rsidP="0013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F1066">
        <w:rPr>
          <w14:ligatures w14:val="standardContextual"/>
        </w:rPr>
        <w:t>Au plus tard quinze (15)  jours après la fin du premier et du troisième</w:t>
      </w:r>
      <w:r w:rsidR="00E07EC8" w:rsidRPr="009F1066">
        <w:rPr>
          <w14:ligatures w14:val="standardContextual"/>
        </w:rPr>
        <w:t xml:space="preserve"> trimestre</w:t>
      </w:r>
      <w:r w:rsidRPr="009F1066">
        <w:rPr>
          <w14:ligatures w14:val="standardContextual"/>
        </w:rPr>
        <w:t xml:space="preserve">, la Société de Gestion, transmet à  la  COSUMAF, </w:t>
      </w:r>
      <w:r w:rsidRPr="009F1066">
        <w:t>en vertu de l'article 35</w:t>
      </w:r>
      <w:r w:rsidR="000232C2">
        <w:t>6</w:t>
      </w:r>
      <w:r w:rsidRPr="009F1066">
        <w:t xml:space="preserve"> du Règlement Général de la COSUMAF,</w:t>
      </w:r>
      <w:r w:rsidRPr="009F1066">
        <w:rPr>
          <w14:ligatures w14:val="standardContextual"/>
        </w:rPr>
        <w:t xml:space="preserve"> sous le contrôle du dépositaire du fonds, un </w:t>
      </w:r>
      <w:r w:rsidRPr="009F1066">
        <w:t>rapport  d’activité de la période sous revue dont le contenu est fixé par une instruction de la COSUMAF</w:t>
      </w:r>
      <w:r w:rsidRPr="009F1066">
        <w:rPr>
          <w14:ligatures w14:val="standardContextual"/>
        </w:rPr>
        <w:t xml:space="preserve">.  </w:t>
      </w:r>
    </w:p>
    <w:p w14:paraId="0A53758E" w14:textId="77777777" w:rsidR="00130486" w:rsidRPr="009F1066" w:rsidRDefault="00130486" w:rsidP="00146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70C0"/>
          <w:sz w:val="28"/>
          <w:szCs w:val="28"/>
        </w:rPr>
      </w:pPr>
    </w:p>
    <w:p w14:paraId="19D9F916" w14:textId="07EA69AE" w:rsidR="00E3293C" w:rsidRPr="009F1066" w:rsidRDefault="00E3293C" w:rsidP="00C06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14:ligatures w14:val="standardContextual"/>
        </w:rPr>
      </w:pPr>
      <w:r w:rsidRPr="009F1066">
        <w:rPr>
          <w:color w:val="000000"/>
          <w:u w:val="single"/>
          <w14:ligatures w14:val="standardContextual"/>
        </w:rPr>
        <w:t xml:space="preserve">B – </w:t>
      </w:r>
      <w:r w:rsidR="00BC44F8" w:rsidRPr="009F1066">
        <w:rPr>
          <w:color w:val="000000"/>
          <w:u w:val="single"/>
          <w14:ligatures w14:val="standardContextual"/>
        </w:rPr>
        <w:t xml:space="preserve">Rapport </w:t>
      </w:r>
      <w:r w:rsidRPr="009F1066">
        <w:rPr>
          <w:color w:val="000000"/>
          <w:u w:val="single"/>
          <w14:ligatures w14:val="standardContextual"/>
        </w:rPr>
        <w:t xml:space="preserve"> d’activité semestriel </w:t>
      </w:r>
    </w:p>
    <w:p w14:paraId="50F5836D" w14:textId="77777777" w:rsidR="00E3293C" w:rsidRPr="009F1066" w:rsidRDefault="00E3293C" w:rsidP="00C06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14:ligatures w14:val="standardContextual"/>
        </w:rPr>
      </w:pPr>
    </w:p>
    <w:p w14:paraId="2317E271" w14:textId="6BFB7955" w:rsidR="00E3293C" w:rsidRPr="009F1066" w:rsidRDefault="00E3293C" w:rsidP="00C06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F1066">
        <w:rPr>
          <w14:ligatures w14:val="standardContextual"/>
        </w:rPr>
        <w:t xml:space="preserve">Au plus tard </w:t>
      </w:r>
      <w:r w:rsidR="00D36490" w:rsidRPr="009F1066">
        <w:rPr>
          <w14:ligatures w14:val="standardContextual"/>
        </w:rPr>
        <w:t xml:space="preserve">trente (30)  jours calendaires après la fin </w:t>
      </w:r>
      <w:r w:rsidR="009E1486" w:rsidRPr="009F1066">
        <w:rPr>
          <w14:ligatures w14:val="standardContextual"/>
        </w:rPr>
        <w:t>du premier</w:t>
      </w:r>
      <w:r w:rsidR="00D36490" w:rsidRPr="009F1066">
        <w:rPr>
          <w14:ligatures w14:val="standardContextual"/>
        </w:rPr>
        <w:t xml:space="preserve"> semestre</w:t>
      </w:r>
      <w:r w:rsidRPr="009F1066">
        <w:rPr>
          <w14:ligatures w14:val="standardContextual"/>
        </w:rPr>
        <w:t xml:space="preserve">, </w:t>
      </w:r>
      <w:r w:rsidR="007B1831" w:rsidRPr="009F1066">
        <w:rPr>
          <w14:ligatures w14:val="standardContextual"/>
        </w:rPr>
        <w:t xml:space="preserve">la Société de Titrisation </w:t>
      </w:r>
      <w:r w:rsidR="00C06FDE" w:rsidRPr="009F1066">
        <w:rPr>
          <w14:ligatures w14:val="standardContextual"/>
        </w:rPr>
        <w:t xml:space="preserve"> </w:t>
      </w:r>
      <w:r w:rsidRPr="009F1066">
        <w:rPr>
          <w14:ligatures w14:val="standardContextual"/>
        </w:rPr>
        <w:t xml:space="preserve">ou  </w:t>
      </w:r>
      <w:r w:rsidR="007B1831" w:rsidRPr="009F1066">
        <w:rPr>
          <w14:ligatures w14:val="standardContextual"/>
        </w:rPr>
        <w:t>la Société de Gestion</w:t>
      </w:r>
      <w:r w:rsidRPr="009F1066">
        <w:rPr>
          <w14:ligatures w14:val="standardContextual"/>
        </w:rPr>
        <w:t xml:space="preserve">, </w:t>
      </w:r>
      <w:r w:rsidR="00D36490" w:rsidRPr="009F1066">
        <w:rPr>
          <w14:ligatures w14:val="standardContextual"/>
        </w:rPr>
        <w:t>transmet à  la  COSUMAF</w:t>
      </w:r>
      <w:r w:rsidRPr="009F1066">
        <w:rPr>
          <w14:ligatures w14:val="standardContextual"/>
        </w:rPr>
        <w:t xml:space="preserve">, </w:t>
      </w:r>
      <w:r w:rsidR="00F8719E" w:rsidRPr="009F1066">
        <w:t>en vertu de l'article 35</w:t>
      </w:r>
      <w:r w:rsidR="00DC50B2">
        <w:t>8</w:t>
      </w:r>
      <w:r w:rsidR="00F8719E" w:rsidRPr="009F1066">
        <w:t xml:space="preserve"> du Règlement Général de la COSUMAF,</w:t>
      </w:r>
      <w:r w:rsidR="00F8719E" w:rsidRPr="009F1066">
        <w:rPr>
          <w14:ligatures w14:val="standardContextual"/>
        </w:rPr>
        <w:t xml:space="preserve"> </w:t>
      </w:r>
      <w:r w:rsidRPr="009F1066">
        <w:rPr>
          <w14:ligatures w14:val="standardContextual"/>
        </w:rPr>
        <w:t>sous le contrôle du dépositaire</w:t>
      </w:r>
      <w:r w:rsidR="00C06FDE" w:rsidRPr="009F1066">
        <w:rPr>
          <w14:ligatures w14:val="standardContextual"/>
        </w:rPr>
        <w:t xml:space="preserve"> </w:t>
      </w:r>
      <w:r w:rsidRPr="009F1066">
        <w:rPr>
          <w14:ligatures w14:val="standardContextual"/>
        </w:rPr>
        <w:t xml:space="preserve">du fonds, un </w:t>
      </w:r>
      <w:r w:rsidR="00D36490" w:rsidRPr="009F1066">
        <w:t xml:space="preserve">rapport d’activité </w:t>
      </w:r>
      <w:r w:rsidR="004B206A" w:rsidRPr="009F1066">
        <w:t xml:space="preserve">de la période sous revue </w:t>
      </w:r>
      <w:r w:rsidR="00D36490" w:rsidRPr="009F1066">
        <w:t>dont le contenu est fixé par une instruction de la COSUMAF</w:t>
      </w:r>
      <w:r w:rsidR="00D36490" w:rsidRPr="009F1066">
        <w:rPr>
          <w14:ligatures w14:val="standardContextual"/>
        </w:rPr>
        <w:t xml:space="preserve">.  </w:t>
      </w:r>
    </w:p>
    <w:p w14:paraId="5C03C7A3" w14:textId="77777777" w:rsidR="00E3293C" w:rsidRPr="009F1066" w:rsidRDefault="00E3293C" w:rsidP="00C06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14:ligatures w14:val="standardContextual"/>
        </w:rPr>
      </w:pPr>
    </w:p>
    <w:p w14:paraId="22232D45" w14:textId="3A5B1802" w:rsidR="00130486" w:rsidRPr="009F1066" w:rsidRDefault="00130486" w:rsidP="0013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u w:val="single"/>
          <w14:ligatures w14:val="standardContextual"/>
        </w:rPr>
      </w:pPr>
      <w:r w:rsidRPr="009F1066">
        <w:rPr>
          <w:color w:val="000000"/>
          <w:u w:val="single"/>
          <w14:ligatures w14:val="standardContextual"/>
        </w:rPr>
        <w:t xml:space="preserve">C – </w:t>
      </w:r>
      <w:r w:rsidR="00595822" w:rsidRPr="009F1066">
        <w:rPr>
          <w:color w:val="000000"/>
          <w:u w:val="single"/>
          <w14:ligatures w14:val="standardContextual"/>
        </w:rPr>
        <w:t xml:space="preserve">Rapport </w:t>
      </w:r>
      <w:r w:rsidRPr="009F1066">
        <w:rPr>
          <w:color w:val="000000"/>
          <w:u w:val="single"/>
          <w14:ligatures w14:val="standardContextual"/>
        </w:rPr>
        <w:t xml:space="preserve"> d’activité de l’exercice</w:t>
      </w:r>
    </w:p>
    <w:p w14:paraId="3A8C6DF5" w14:textId="77777777" w:rsidR="00130486" w:rsidRPr="009F1066" w:rsidRDefault="00130486" w:rsidP="0013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18"/>
          <w:szCs w:val="18"/>
          <w14:ligatures w14:val="standardContextual"/>
        </w:rPr>
      </w:pPr>
    </w:p>
    <w:p w14:paraId="38632B31" w14:textId="11A03F72" w:rsidR="00130486" w:rsidRPr="009F1066" w:rsidRDefault="00130486" w:rsidP="00130486">
      <w:r w:rsidRPr="009F1066">
        <w:t xml:space="preserve">Au plus tard  trente (30) jours calendaires après la fin de chaque exercice, la Société de Titrisation  ou la Société de Gestion, transmet à la COSUMAF, en vertu de l'article 357 du Règlement Général de la COSUMAF, sous le contrôle du dépositaire de l’Organisme de Titrisation, un rapport d’activité de la période sous revue dont le contenu est fixé par une instruction de la COSUMAF.  </w:t>
      </w:r>
    </w:p>
    <w:p w14:paraId="48D157D4" w14:textId="77777777" w:rsidR="00130486" w:rsidRPr="009F1066" w:rsidRDefault="00130486" w:rsidP="00C06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14:ligatures w14:val="standardContextual"/>
        </w:rPr>
      </w:pPr>
    </w:p>
    <w:p w14:paraId="07DE5F24" w14:textId="4A93A21E" w:rsidR="00E3293C" w:rsidRPr="00A73742" w:rsidRDefault="00E3293C" w:rsidP="00A73742">
      <w:pPr>
        <w:pStyle w:val="Titre1"/>
      </w:pPr>
      <w:bookmarkStart w:id="15" w:name="_Toc160086275"/>
      <w:r w:rsidRPr="00A73742">
        <w:t xml:space="preserve">Article </w:t>
      </w:r>
      <w:r w:rsidR="00625FC0" w:rsidRPr="00A73742">
        <w:t xml:space="preserve">14 </w:t>
      </w:r>
      <w:r w:rsidRPr="00A73742">
        <w:t xml:space="preserve">– Mise à disposition des </w:t>
      </w:r>
      <w:r w:rsidR="00714ED1" w:rsidRPr="00A73742">
        <w:t>rapports</w:t>
      </w:r>
      <w:bookmarkEnd w:id="15"/>
      <w:r w:rsidR="00714ED1" w:rsidRPr="00A73742">
        <w:t xml:space="preserve"> </w:t>
      </w:r>
    </w:p>
    <w:p w14:paraId="621CEA41" w14:textId="77777777" w:rsidR="00E3293C" w:rsidRPr="009F1066" w:rsidRDefault="00E3293C" w:rsidP="00E32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
          <w:bCs/>
          <w:color w:val="000000"/>
          <w:sz w:val="18"/>
          <w:szCs w:val="18"/>
          <w14:ligatures w14:val="standardContextual"/>
        </w:rPr>
      </w:pPr>
    </w:p>
    <w:p w14:paraId="5DDD6747" w14:textId="33946CEB" w:rsidR="00E3293C" w:rsidRPr="009F1066" w:rsidRDefault="00E3293C">
      <w:pPr>
        <w:pStyle w:val="Paragraphedeliste"/>
        <w:numPr>
          <w:ilvl w:val="0"/>
          <w:numId w:val="16"/>
        </w:numPr>
      </w:pPr>
      <w:r w:rsidRPr="009F1066">
        <w:t xml:space="preserve">Tout investisseur peut obtenir, sans frais dès leur publication, auprès de </w:t>
      </w:r>
      <w:r w:rsidR="007B1831" w:rsidRPr="009F1066">
        <w:t>la Société de Gestion</w:t>
      </w:r>
      <w:r w:rsidRPr="009F1066">
        <w:t>, les comptes</w:t>
      </w:r>
      <w:r w:rsidR="004B206A" w:rsidRPr="009F1066">
        <w:t>-</w:t>
      </w:r>
      <w:r w:rsidRPr="009F1066">
        <w:t>rendus d'activité.</w:t>
      </w:r>
    </w:p>
    <w:p w14:paraId="13B264D7" w14:textId="77777777" w:rsidR="00593C70" w:rsidRPr="009F1066" w:rsidRDefault="00593C70" w:rsidP="00593C70">
      <w:pPr>
        <w:pStyle w:val="Paragraphedeliste"/>
        <w:ind w:left="928"/>
      </w:pPr>
    </w:p>
    <w:p w14:paraId="63B934E2" w14:textId="2915278F" w:rsidR="00E3293C" w:rsidRPr="009F1066" w:rsidRDefault="00E3293C">
      <w:pPr>
        <w:pStyle w:val="Paragraphedeliste"/>
        <w:numPr>
          <w:ilvl w:val="0"/>
          <w:numId w:val="16"/>
        </w:numPr>
      </w:pPr>
      <w:r w:rsidRPr="009F1066">
        <w:t xml:space="preserve">Ces documents sont diffusés dans les conditions prévues par </w:t>
      </w:r>
      <w:r w:rsidR="00E80519" w:rsidRPr="009F1066">
        <w:t>une instruction de la COSUMAF</w:t>
      </w:r>
      <w:r w:rsidRPr="009F1066">
        <w:t xml:space="preserve"> et, le cas échéant, par tout autre moyen prévu dans le </w:t>
      </w:r>
      <w:r w:rsidR="00F223AF" w:rsidRPr="009F1066">
        <w:t>Document d’Information</w:t>
      </w:r>
      <w:r w:rsidRPr="009F1066">
        <w:t xml:space="preserve"> de l’</w:t>
      </w:r>
      <w:r w:rsidR="0087231E" w:rsidRPr="009F1066">
        <w:t>Organisme de Titrisation</w:t>
      </w:r>
      <w:r w:rsidRPr="009F1066">
        <w:t>. Parmi les possibilités offertes, l’investisseur choisit le moyen de réception de ces documents.</w:t>
      </w:r>
    </w:p>
    <w:p w14:paraId="443A0A7D" w14:textId="77777777" w:rsidR="007C4AFD" w:rsidRPr="009F1066" w:rsidRDefault="007C4AFD" w:rsidP="007C4AFD">
      <w:pPr>
        <w:pStyle w:val="Paragraphedeliste"/>
      </w:pPr>
    </w:p>
    <w:p w14:paraId="263DEB9F" w14:textId="41722F21" w:rsidR="007C4AFD" w:rsidRPr="009F1066" w:rsidRDefault="007C4AFD" w:rsidP="007C4AFD">
      <w:pPr>
        <w:pStyle w:val="Paragraphedeliste"/>
        <w:numPr>
          <w:ilvl w:val="0"/>
          <w:numId w:val="16"/>
        </w:numPr>
      </w:pPr>
      <w:r w:rsidRPr="009F1066">
        <w:t>Les dispositions du présent article relatif aux comptes</w:t>
      </w:r>
      <w:r w:rsidR="004B206A" w:rsidRPr="009F1066">
        <w:t>-</w:t>
      </w:r>
      <w:r w:rsidRPr="009F1066">
        <w:t xml:space="preserve">rendus d'activité </w:t>
      </w:r>
      <w:r w:rsidR="00853652" w:rsidRPr="009F1066">
        <w:t xml:space="preserve">mis à la disposition des investisseurs </w:t>
      </w:r>
      <w:r w:rsidRPr="009F1066">
        <w:t xml:space="preserve">par </w:t>
      </w:r>
      <w:r w:rsidR="007B1831" w:rsidRPr="009F1066">
        <w:t>la Société de Gestion</w:t>
      </w:r>
      <w:r w:rsidRPr="009F1066">
        <w:t xml:space="preserve">, ne sont applicables qu'aux opérations réalisées à compter de la publication de </w:t>
      </w:r>
      <w:r w:rsidR="00A569C0">
        <w:t>la présente</w:t>
      </w:r>
      <w:r w:rsidRPr="009F1066">
        <w:t xml:space="preserve"> instruction.</w:t>
      </w:r>
    </w:p>
    <w:p w14:paraId="04798042" w14:textId="67EE4C30" w:rsidR="001712B7" w:rsidRPr="009F1066" w:rsidRDefault="001712B7">
      <w:pPr>
        <w:jc w:val="left"/>
      </w:pPr>
      <w:r w:rsidRPr="009F1066">
        <w:br w:type="page"/>
      </w:r>
    </w:p>
    <w:p w14:paraId="532EB7BD" w14:textId="38217661" w:rsidR="00E3293C" w:rsidRPr="00A73742" w:rsidRDefault="00E3293C" w:rsidP="00A73742">
      <w:pPr>
        <w:pStyle w:val="Titre1"/>
      </w:pPr>
      <w:bookmarkStart w:id="16" w:name="_Toc160086276"/>
      <w:r w:rsidRPr="00A73742">
        <w:lastRenderedPageBreak/>
        <w:t xml:space="preserve">Article </w:t>
      </w:r>
      <w:r w:rsidR="00625FC0" w:rsidRPr="00A73742">
        <w:t xml:space="preserve">15 </w:t>
      </w:r>
      <w:r w:rsidRPr="00A73742">
        <w:t>– Autres informations périodiques</w:t>
      </w:r>
      <w:bookmarkEnd w:id="16"/>
    </w:p>
    <w:p w14:paraId="4AA3C49C" w14:textId="77777777" w:rsidR="00E3293C" w:rsidRPr="009F1066" w:rsidRDefault="00E3293C" w:rsidP="00E32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
          <w:bCs/>
          <w:color w:val="000000"/>
          <w:sz w:val="18"/>
          <w:szCs w:val="18"/>
          <w14:ligatures w14:val="standardContextual"/>
        </w:rPr>
      </w:pPr>
    </w:p>
    <w:p w14:paraId="27FC401A" w14:textId="0EDD0220" w:rsidR="00E3293C" w:rsidRPr="009F1066" w:rsidRDefault="00E3293C">
      <w:pPr>
        <w:pStyle w:val="Paragraphedeliste"/>
        <w:numPr>
          <w:ilvl w:val="0"/>
          <w:numId w:val="24"/>
        </w:numPr>
      </w:pPr>
      <w:r w:rsidRPr="009F1066">
        <w:t xml:space="preserve">Le contenu, la périodicité et le (les) support(s) de diffusion des autres informations relatives à l'actif et au passif du fonds et, le cas échéant, du compartiment, que </w:t>
      </w:r>
      <w:r w:rsidR="007B1831" w:rsidRPr="009F1066">
        <w:t>la  Société de Gestion</w:t>
      </w:r>
      <w:r w:rsidRPr="009F1066">
        <w:t xml:space="preserve"> diffuse sont indiqués dans </w:t>
      </w:r>
      <w:r w:rsidR="00B7437C" w:rsidRPr="009F1066">
        <w:t xml:space="preserve">le </w:t>
      </w:r>
      <w:r w:rsidR="00297DB7" w:rsidRPr="009F1066">
        <w:t>D</w:t>
      </w:r>
      <w:r w:rsidR="00B7437C" w:rsidRPr="009F1066">
        <w:t>ocument d’information</w:t>
      </w:r>
      <w:r w:rsidRPr="009F1066">
        <w:t xml:space="preserve">. </w:t>
      </w:r>
    </w:p>
    <w:p w14:paraId="4B74EE0B" w14:textId="77777777" w:rsidR="00E3293C" w:rsidRPr="009F1066" w:rsidRDefault="00E3293C" w:rsidP="00E3293C">
      <w:pPr>
        <w:pStyle w:val="Paragraphedeliste"/>
        <w:ind w:left="928"/>
      </w:pPr>
    </w:p>
    <w:p w14:paraId="07A4D5ED" w14:textId="7B06F660" w:rsidR="00E3293C" w:rsidRPr="009F1066" w:rsidRDefault="007B1831">
      <w:pPr>
        <w:pStyle w:val="Paragraphedeliste"/>
        <w:numPr>
          <w:ilvl w:val="0"/>
          <w:numId w:val="24"/>
        </w:numPr>
      </w:pPr>
      <w:r w:rsidRPr="009F1066">
        <w:t>La Société de Gestion</w:t>
      </w:r>
      <w:r w:rsidR="00E3293C" w:rsidRPr="009F1066">
        <w:t>, s'assure de leur homogénéité avec celles qui sont contenues dans les comptes</w:t>
      </w:r>
      <w:r w:rsidR="004B206A" w:rsidRPr="009F1066">
        <w:t>-</w:t>
      </w:r>
      <w:r w:rsidR="00E3293C" w:rsidRPr="009F1066">
        <w:t>rendus d'activité.</w:t>
      </w:r>
    </w:p>
    <w:p w14:paraId="7BF9BE74" w14:textId="77777777" w:rsidR="00E3293C" w:rsidRPr="009F1066" w:rsidRDefault="00E3293C" w:rsidP="00E3293C">
      <w:pPr>
        <w:pStyle w:val="Paragraphedeliste"/>
      </w:pPr>
    </w:p>
    <w:p w14:paraId="284178E0" w14:textId="7D1E0EC3" w:rsidR="00E3293C" w:rsidRPr="009F1066" w:rsidRDefault="00E3293C">
      <w:pPr>
        <w:pStyle w:val="Paragraphedeliste"/>
        <w:numPr>
          <w:ilvl w:val="0"/>
          <w:numId w:val="24"/>
        </w:numPr>
        <w:rPr>
          <w:color w:val="000000" w:themeColor="text1"/>
        </w:rPr>
      </w:pPr>
      <w:r w:rsidRPr="009F1066">
        <w:rPr>
          <w:color w:val="000000" w:themeColor="text1"/>
        </w:rPr>
        <w:t xml:space="preserve">Dans le cas où elle décide, postérieurement à </w:t>
      </w:r>
      <w:r w:rsidR="001643D2" w:rsidRPr="009F1066">
        <w:rPr>
          <w:color w:val="000000" w:themeColor="text1"/>
        </w:rPr>
        <w:t>l’agrément de l’Organisme de Titrisation</w:t>
      </w:r>
      <w:r w:rsidR="006D477E">
        <w:rPr>
          <w:color w:val="000000" w:themeColor="text1"/>
        </w:rPr>
        <w:t>,</w:t>
      </w:r>
      <w:r w:rsidRPr="009F1066">
        <w:rPr>
          <w:color w:val="000000" w:themeColor="text1"/>
        </w:rPr>
        <w:t xml:space="preserve"> de </w:t>
      </w:r>
      <w:r w:rsidR="001643D2" w:rsidRPr="009F1066">
        <w:rPr>
          <w:color w:val="000000" w:themeColor="text1"/>
        </w:rPr>
        <w:t>publier</w:t>
      </w:r>
      <w:r w:rsidRPr="009F1066">
        <w:rPr>
          <w:color w:val="000000" w:themeColor="text1"/>
        </w:rPr>
        <w:t xml:space="preserve"> de telles informations, </w:t>
      </w:r>
      <w:r w:rsidR="007B1831" w:rsidRPr="009F1066">
        <w:rPr>
          <w:color w:val="000000" w:themeColor="text1"/>
        </w:rPr>
        <w:t>la Société de Gestion</w:t>
      </w:r>
      <w:r w:rsidRPr="009F1066">
        <w:rPr>
          <w:color w:val="000000" w:themeColor="text1"/>
        </w:rPr>
        <w:t xml:space="preserve"> en informe </w:t>
      </w:r>
      <w:r w:rsidR="00A44227" w:rsidRPr="009F1066">
        <w:rPr>
          <w:color w:val="000000" w:themeColor="text1"/>
        </w:rPr>
        <w:t>la COSUMAF</w:t>
      </w:r>
      <w:r w:rsidRPr="009F1066">
        <w:rPr>
          <w:color w:val="000000" w:themeColor="text1"/>
        </w:rPr>
        <w:t xml:space="preserve"> et le mentionne dans le prochain compte</w:t>
      </w:r>
      <w:r w:rsidR="004B206A" w:rsidRPr="009F1066">
        <w:rPr>
          <w:color w:val="000000" w:themeColor="text1"/>
        </w:rPr>
        <w:t>-</w:t>
      </w:r>
      <w:r w:rsidRPr="009F1066">
        <w:rPr>
          <w:color w:val="000000" w:themeColor="text1"/>
        </w:rPr>
        <w:t>rendu d'activité, en précisant le contenu, la périodicité et le (les) support(s) de diffusion.</w:t>
      </w:r>
    </w:p>
    <w:p w14:paraId="39CF7E55" w14:textId="77777777" w:rsidR="00E3293C" w:rsidRPr="009F1066" w:rsidRDefault="00E3293C" w:rsidP="00E32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18"/>
          <w:szCs w:val="18"/>
          <w14:ligatures w14:val="standardContextual"/>
        </w:rPr>
      </w:pPr>
    </w:p>
    <w:p w14:paraId="4C2D81DC" w14:textId="3F0F75BF" w:rsidR="006F0DF2" w:rsidRPr="00A73742" w:rsidRDefault="006F0DF2" w:rsidP="00A73742">
      <w:pPr>
        <w:pStyle w:val="Titre1"/>
      </w:pPr>
      <w:bookmarkStart w:id="17" w:name="_Toc160086277"/>
      <w:r w:rsidRPr="00A73742">
        <w:t>Article 1</w:t>
      </w:r>
      <w:r w:rsidR="00625FC0" w:rsidRPr="00A73742">
        <w:t>6</w:t>
      </w:r>
      <w:r w:rsidRPr="00A73742">
        <w:t xml:space="preserve"> – Commissariat </w:t>
      </w:r>
      <w:r w:rsidR="00E368D3" w:rsidRPr="00A73742">
        <w:t>A</w:t>
      </w:r>
      <w:r w:rsidRPr="00A73742">
        <w:t xml:space="preserve">ux </w:t>
      </w:r>
      <w:r w:rsidR="0028217E" w:rsidRPr="00A73742">
        <w:t>Comptes</w:t>
      </w:r>
      <w:bookmarkEnd w:id="17"/>
    </w:p>
    <w:p w14:paraId="3CCE29FC" w14:textId="77777777" w:rsidR="006F0DF2" w:rsidRPr="009F1066" w:rsidRDefault="006F0DF2" w:rsidP="006F0DF2">
      <w:pPr>
        <w:spacing w:after="240"/>
        <w:jc w:val="left"/>
        <w:rPr>
          <w:rFonts w:ascii="Arial" w:eastAsia="Times New Roman" w:hAnsi="Arial" w:cs="Arial"/>
          <w:color w:val="000000"/>
          <w:sz w:val="21"/>
          <w:szCs w:val="21"/>
          <w:lang w:eastAsia="fr-FR"/>
        </w:rPr>
      </w:pPr>
    </w:p>
    <w:p w14:paraId="07763A2A" w14:textId="3F67918B" w:rsidR="006F0DF2" w:rsidRPr="009F1066" w:rsidRDefault="006F0DF2" w:rsidP="006F0DF2">
      <w:pPr>
        <w:pStyle w:val="Paragraphedeliste"/>
        <w:numPr>
          <w:ilvl w:val="0"/>
          <w:numId w:val="29"/>
        </w:numPr>
      </w:pPr>
      <w:r w:rsidRPr="009F1066">
        <w:t xml:space="preserve">Le Conseil d'administration de </w:t>
      </w:r>
      <w:r w:rsidR="007B1831" w:rsidRPr="009F1066">
        <w:t>la Société de Gestion</w:t>
      </w:r>
      <w:r w:rsidR="00F93D73" w:rsidRPr="009F1066">
        <w:t xml:space="preserve"> </w:t>
      </w:r>
      <w:r w:rsidRPr="009F1066">
        <w:t>désigne le Commissaire Aux Comptes d</w:t>
      </w:r>
      <w:r w:rsidR="001643D2" w:rsidRPr="009F1066">
        <w:t>e l’Organisme de Titrisation</w:t>
      </w:r>
      <w:r w:rsidRPr="009F1066">
        <w:t>. </w:t>
      </w:r>
    </w:p>
    <w:p w14:paraId="65462737" w14:textId="77777777" w:rsidR="006F0DF2" w:rsidRPr="009F1066" w:rsidRDefault="006F0DF2" w:rsidP="006F0DF2">
      <w:pPr>
        <w:pStyle w:val="Paragraphedeliste"/>
        <w:ind w:left="928"/>
      </w:pPr>
    </w:p>
    <w:p w14:paraId="5DA202B8" w14:textId="44343A82" w:rsidR="006F0DF2" w:rsidRPr="009F1066" w:rsidRDefault="006F0DF2" w:rsidP="006F0DF2">
      <w:pPr>
        <w:pStyle w:val="Paragraphedeliste"/>
        <w:numPr>
          <w:ilvl w:val="0"/>
          <w:numId w:val="29"/>
        </w:numPr>
      </w:pPr>
      <w:r w:rsidRPr="009F1066">
        <w:t xml:space="preserve">Le Commissaire Aux Comptes </w:t>
      </w:r>
      <w:r w:rsidR="00C569F9">
        <w:t>est tenu d’informer les</w:t>
      </w:r>
      <w:r w:rsidRPr="009F1066">
        <w:t xml:space="preserve"> dirigeants de </w:t>
      </w:r>
      <w:r w:rsidR="007B1831" w:rsidRPr="009F1066">
        <w:t xml:space="preserve">la </w:t>
      </w:r>
      <w:r w:rsidR="00503F18" w:rsidRPr="009F1066">
        <w:t xml:space="preserve">Société de Gestion </w:t>
      </w:r>
      <w:r w:rsidR="00BA148C">
        <w:t>et</w:t>
      </w:r>
      <w:r w:rsidRPr="009F1066">
        <w:t xml:space="preserve"> </w:t>
      </w:r>
      <w:r w:rsidR="00DE617F" w:rsidRPr="009F1066">
        <w:t>la COSUMAF</w:t>
      </w:r>
      <w:r w:rsidRPr="009F1066">
        <w:t xml:space="preserve"> </w:t>
      </w:r>
      <w:r w:rsidR="00BA148C">
        <w:t>d</w:t>
      </w:r>
      <w:r w:rsidRPr="009F1066">
        <w:t>es irrégularités et inexactitudes qu'il relève dans</w:t>
      </w:r>
      <w:r w:rsidR="00BA148C">
        <w:t xml:space="preserve"> le cadre de l’exercice</w:t>
      </w:r>
      <w:r w:rsidRPr="009F1066">
        <w:t xml:space="preserve"> </w:t>
      </w:r>
      <w:r w:rsidR="00D91636">
        <w:t>d</w:t>
      </w:r>
      <w:r w:rsidRPr="009F1066">
        <w:t>e s</w:t>
      </w:r>
      <w:r w:rsidR="00D91636">
        <w:t>es fonctions</w:t>
      </w:r>
      <w:r w:rsidRPr="009F1066">
        <w:t>. </w:t>
      </w:r>
    </w:p>
    <w:p w14:paraId="75494C96" w14:textId="77777777" w:rsidR="006F0DF2" w:rsidRPr="009F1066" w:rsidRDefault="006F0DF2" w:rsidP="00E32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18"/>
          <w:szCs w:val="18"/>
          <w14:ligatures w14:val="standardContextual"/>
        </w:rPr>
      </w:pPr>
    </w:p>
    <w:p w14:paraId="3FF8F317" w14:textId="217B66AC" w:rsidR="00275170" w:rsidRPr="00A73742" w:rsidRDefault="00275170" w:rsidP="00A73742">
      <w:pPr>
        <w:pStyle w:val="Titre1"/>
      </w:pPr>
      <w:bookmarkStart w:id="18" w:name="_Toc160086278"/>
      <w:r w:rsidRPr="00A73742">
        <w:t xml:space="preserve">Article </w:t>
      </w:r>
      <w:r w:rsidR="00625FC0" w:rsidRPr="00A73742">
        <w:t>17</w:t>
      </w:r>
      <w:r w:rsidRPr="00A73742">
        <w:t xml:space="preserve"> – Dépositaire d’OT</w:t>
      </w:r>
      <w:bookmarkEnd w:id="18"/>
    </w:p>
    <w:p w14:paraId="4C927D8A" w14:textId="77777777" w:rsidR="00275170" w:rsidRPr="009F1066" w:rsidRDefault="00275170" w:rsidP="00275170">
      <w:pPr>
        <w:spacing w:after="240"/>
        <w:jc w:val="left"/>
        <w:rPr>
          <w:rFonts w:ascii="Arial" w:eastAsia="Times New Roman" w:hAnsi="Arial" w:cs="Arial"/>
          <w:color w:val="000000"/>
          <w:sz w:val="21"/>
          <w:szCs w:val="21"/>
          <w:lang w:eastAsia="fr-FR"/>
        </w:rPr>
      </w:pPr>
    </w:p>
    <w:p w14:paraId="0EEAAA73" w14:textId="006CBEAB" w:rsidR="00275170" w:rsidRPr="009F1066" w:rsidRDefault="00275170" w:rsidP="003C06BE">
      <w:pPr>
        <w:pStyle w:val="Paragraphedeliste"/>
        <w:numPr>
          <w:ilvl w:val="0"/>
          <w:numId w:val="32"/>
        </w:numPr>
      </w:pPr>
      <w:r w:rsidRPr="009F1066">
        <w:t>Le Dépositaire de l’Organisme de Titrisation respecte les dispositions prévues par le</w:t>
      </w:r>
      <w:r w:rsidR="0089167F" w:rsidRPr="009F1066">
        <w:t>s articles 212 et suivants du Règlement N° 01/22/CEMAC/UMAC/CM/COSUMAF du 21 juillet 2022 régissant l'organisation et le fonctionnement du marché financier de l’Afrique Centrale.</w:t>
      </w:r>
    </w:p>
    <w:p w14:paraId="5F830237" w14:textId="77777777" w:rsidR="00275170" w:rsidRPr="009F1066" w:rsidRDefault="00275170" w:rsidP="00E32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000000"/>
          <w:sz w:val="18"/>
          <w:szCs w:val="18"/>
          <w14:ligatures w14:val="standardContextual"/>
        </w:rPr>
      </w:pPr>
    </w:p>
    <w:p w14:paraId="04A27E19" w14:textId="514BD73A" w:rsidR="00DC3CFA" w:rsidRPr="00A73742" w:rsidRDefault="00DC3CFA" w:rsidP="00A73742">
      <w:pPr>
        <w:pStyle w:val="Titre1"/>
      </w:pPr>
      <w:bookmarkStart w:id="19" w:name="_Toc160086279"/>
      <w:r w:rsidRPr="00A73742">
        <w:t xml:space="preserve">Article </w:t>
      </w:r>
      <w:r w:rsidR="00625FC0" w:rsidRPr="00A73742">
        <w:t>18</w:t>
      </w:r>
      <w:r w:rsidRPr="00A73742">
        <w:t xml:space="preserve"> – Liquidation de l’organisme de titrisation</w:t>
      </w:r>
      <w:bookmarkEnd w:id="19"/>
      <w:r w:rsidRPr="00A73742">
        <w:t xml:space="preserve"> </w:t>
      </w:r>
    </w:p>
    <w:p w14:paraId="4FE98434" w14:textId="77777777" w:rsidR="00853652" w:rsidRPr="009F1066" w:rsidRDefault="00853652" w:rsidP="00E32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
          <w:bCs/>
          <w:color w:val="000000"/>
          <w:sz w:val="18"/>
          <w:szCs w:val="18"/>
          <w14:ligatures w14:val="standardContextual"/>
        </w:rPr>
      </w:pPr>
    </w:p>
    <w:p w14:paraId="4FC54C04" w14:textId="77777777" w:rsidR="00837816" w:rsidRPr="009F1066" w:rsidRDefault="00837816" w:rsidP="00E368D3">
      <w:pPr>
        <w:pStyle w:val="Paragraphedeliste"/>
        <w:ind w:left="928"/>
      </w:pPr>
    </w:p>
    <w:p w14:paraId="6C1A826D" w14:textId="0929403F" w:rsidR="00E368D3" w:rsidRPr="009F1066" w:rsidRDefault="007B1831" w:rsidP="00E368D3">
      <w:pPr>
        <w:pStyle w:val="Paragraphedeliste"/>
        <w:numPr>
          <w:ilvl w:val="0"/>
          <w:numId w:val="31"/>
        </w:numPr>
      </w:pPr>
      <w:r w:rsidRPr="009F1066">
        <w:t>La Société de Gestion</w:t>
      </w:r>
      <w:r w:rsidR="00E368D3" w:rsidRPr="009F1066">
        <w:t xml:space="preserve"> procède à la liquidation du fonds ou d'un de ses compartiments dans les conditions prévues par le règlement </w:t>
      </w:r>
      <w:r w:rsidR="00237DC6">
        <w:t xml:space="preserve">ou les statuts </w:t>
      </w:r>
      <w:r w:rsidR="00E368D3" w:rsidRPr="009F1066">
        <w:t>du fonds.</w:t>
      </w:r>
    </w:p>
    <w:p w14:paraId="737168CD" w14:textId="1FD855CA" w:rsidR="00954703" w:rsidRPr="00A73742" w:rsidRDefault="00954703" w:rsidP="00A73742">
      <w:pPr>
        <w:pStyle w:val="Titre1"/>
      </w:pPr>
      <w:bookmarkStart w:id="20" w:name="_Toc160086280"/>
      <w:r w:rsidRPr="00A73742">
        <w:t xml:space="preserve">Article </w:t>
      </w:r>
      <w:r w:rsidR="00625FC0" w:rsidRPr="00A73742">
        <w:t>19</w:t>
      </w:r>
      <w:r w:rsidR="00B25546" w:rsidRPr="00A73742">
        <w:t xml:space="preserve"> </w:t>
      </w:r>
      <w:r w:rsidRPr="00A73742">
        <w:t xml:space="preserve">: </w:t>
      </w:r>
      <w:r w:rsidR="00BE0C6C" w:rsidRPr="00A73742">
        <w:t>Tarification</w:t>
      </w:r>
      <w:bookmarkEnd w:id="20"/>
      <w:r w:rsidR="00BE0C6C" w:rsidRPr="00A73742">
        <w:t xml:space="preserve"> </w:t>
      </w:r>
      <w:r w:rsidRPr="00A73742">
        <w:t xml:space="preserve">  </w:t>
      </w:r>
    </w:p>
    <w:p w14:paraId="60CE70F0" w14:textId="77777777" w:rsidR="00954703" w:rsidRPr="009F1066" w:rsidRDefault="00954703" w:rsidP="00954703"/>
    <w:p w14:paraId="49CB7BF1" w14:textId="375D7CD1" w:rsidR="00954703" w:rsidRPr="009F1066" w:rsidRDefault="00BE0C6C" w:rsidP="00954703">
      <w:r w:rsidRPr="009F1066">
        <w:t>L’</w:t>
      </w:r>
      <w:r w:rsidR="00954703" w:rsidRPr="009F1066">
        <w:t>Organisme de Titrisation est soumis</w:t>
      </w:r>
      <w:r w:rsidR="008E33FC" w:rsidRPr="009F1066">
        <w:t xml:space="preserve"> </w:t>
      </w:r>
      <w:r w:rsidRPr="009F1066">
        <w:t>à la tarification applicable sur le marché financier de l’Afrique Centrale</w:t>
      </w:r>
      <w:r w:rsidR="00954703" w:rsidRPr="009F1066">
        <w:t xml:space="preserve">.  </w:t>
      </w:r>
    </w:p>
    <w:p w14:paraId="5CA4860E" w14:textId="77777777" w:rsidR="00E368D3" w:rsidRPr="009F1066" w:rsidRDefault="00E368D3" w:rsidP="00E368D3"/>
    <w:p w14:paraId="631208CD" w14:textId="77777777" w:rsidR="002E61CD" w:rsidRPr="009F1066" w:rsidRDefault="002E61CD" w:rsidP="00CF10ED">
      <w:pPr>
        <w:pStyle w:val="Paragraphedeliste"/>
      </w:pPr>
    </w:p>
    <w:p w14:paraId="03BD1453" w14:textId="5B9FC4CD" w:rsidR="002E61CD" w:rsidRPr="009F1066" w:rsidRDefault="002E61CD" w:rsidP="0055238C">
      <w:pPr>
        <w:pStyle w:val="Paragraphedeliste"/>
        <w:jc w:val="center"/>
      </w:pPr>
      <w:r w:rsidRPr="009F1066">
        <w:t xml:space="preserve">Fait à Libreville, le </w:t>
      </w:r>
      <w:proofErr w:type="spellStart"/>
      <w:r w:rsidRPr="009F1066">
        <w:t>xxxxx</w:t>
      </w:r>
      <w:proofErr w:type="spellEnd"/>
    </w:p>
    <w:p w14:paraId="6F6BDBE6" w14:textId="77777777" w:rsidR="00012C06" w:rsidRPr="009F1066" w:rsidRDefault="00012C06" w:rsidP="00CF10ED">
      <w:pPr>
        <w:pStyle w:val="Paragraphedeliste"/>
      </w:pPr>
    </w:p>
    <w:p w14:paraId="075C1EA4" w14:textId="77777777" w:rsidR="00012C06" w:rsidRPr="009F1066" w:rsidRDefault="00012C06" w:rsidP="00CF10ED">
      <w:pPr>
        <w:pStyle w:val="Paragraphedeliste"/>
      </w:pPr>
    </w:p>
    <w:p w14:paraId="1F2DB001" w14:textId="7BC68A87" w:rsidR="00C06AF7" w:rsidRPr="00BB2E66" w:rsidRDefault="00C06AF7" w:rsidP="00C06AF7">
      <w:pPr>
        <w:jc w:val="center"/>
      </w:pPr>
      <w:r w:rsidRPr="009F1066">
        <w:t xml:space="preserve">- </w:t>
      </w:r>
      <w:proofErr w:type="spellStart"/>
      <w:r w:rsidRPr="009F1066">
        <w:t>oOo</w:t>
      </w:r>
      <w:proofErr w:type="spellEnd"/>
      <w:r w:rsidRPr="009F1066">
        <w:t xml:space="preserve"> -</w:t>
      </w:r>
    </w:p>
    <w:sectPr w:rsidR="00C06AF7" w:rsidRPr="00BB2E66" w:rsidSect="001F0E89">
      <w:footerReference w:type="even" r:id="rId11"/>
      <w:footerReference w:type="default" r:id="rId12"/>
      <w:headerReference w:type="first" r:id="rId13"/>
      <w:footerReference w:type="first" r:id="rId14"/>
      <w:pgSz w:w="11906" w:h="16838"/>
      <w:pgMar w:top="964" w:right="1418" w:bottom="816" w:left="1418"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CEF5A" w14:textId="77777777" w:rsidR="001F0E89" w:rsidRDefault="001F0E89" w:rsidP="00997400">
      <w:r>
        <w:separator/>
      </w:r>
    </w:p>
  </w:endnote>
  <w:endnote w:type="continuationSeparator" w:id="0">
    <w:p w14:paraId="461B383C" w14:textId="77777777" w:rsidR="001F0E89" w:rsidRDefault="001F0E89" w:rsidP="0099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734158875"/>
      <w:docPartObj>
        <w:docPartGallery w:val="Page Numbers (Bottom of Page)"/>
        <w:docPartUnique/>
      </w:docPartObj>
    </w:sdtPr>
    <w:sdtEndPr>
      <w:rPr>
        <w:rStyle w:val="Numrodepage"/>
      </w:rPr>
    </w:sdtEndPr>
    <w:sdtContent>
      <w:p w14:paraId="530706DB" w14:textId="1FD28404" w:rsidR="003748B2" w:rsidRDefault="003748B2" w:rsidP="004B58B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0FAEA2E" w14:textId="77777777" w:rsidR="003748B2" w:rsidRDefault="003748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360792831"/>
      <w:docPartObj>
        <w:docPartGallery w:val="Page Numbers (Bottom of Page)"/>
        <w:docPartUnique/>
      </w:docPartObj>
    </w:sdtPr>
    <w:sdtEndPr>
      <w:rPr>
        <w:rStyle w:val="Numrodepage"/>
      </w:rPr>
    </w:sdtEndPr>
    <w:sdtContent>
      <w:p w14:paraId="3A982FB1" w14:textId="10CE1BF4" w:rsidR="003748B2" w:rsidRDefault="003748B2" w:rsidP="004B58B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p>
    </w:sdtContent>
  </w:sdt>
  <w:p w14:paraId="7551E06A" w14:textId="77777777" w:rsidR="003748B2" w:rsidRDefault="003748B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490177646"/>
      <w:docPartObj>
        <w:docPartGallery w:val="Page Numbers (Bottom of Page)"/>
        <w:docPartUnique/>
      </w:docPartObj>
    </w:sdtPr>
    <w:sdtEndPr>
      <w:rPr>
        <w:rStyle w:val="Numrodepage"/>
      </w:rPr>
    </w:sdtEndPr>
    <w:sdtContent>
      <w:p w14:paraId="44C703C1" w14:textId="26028EB5" w:rsidR="00997400" w:rsidRDefault="00997400" w:rsidP="004B58B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AAFE0F5" w14:textId="77777777" w:rsidR="00997400" w:rsidRDefault="009974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6996A" w14:textId="77777777" w:rsidR="001F0E89" w:rsidRDefault="001F0E89" w:rsidP="00997400">
      <w:r>
        <w:separator/>
      </w:r>
    </w:p>
  </w:footnote>
  <w:footnote w:type="continuationSeparator" w:id="0">
    <w:p w14:paraId="6644306B" w14:textId="77777777" w:rsidR="001F0E89" w:rsidRDefault="001F0E89" w:rsidP="0099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9230D" w14:textId="77777777" w:rsidR="007A2E9F" w:rsidRDefault="007A2E9F" w:rsidP="007A2E9F">
    <w:pPr>
      <w:pStyle w:val="NormalWeb"/>
      <w:jc w:val="center"/>
      <w:rPr>
        <w:color w:val="0070C0"/>
      </w:rPr>
    </w:pPr>
    <w:r w:rsidRPr="00AF1F7D">
      <w:rPr>
        <w:color w:val="0070C0"/>
      </w:rPr>
      <w:t>VERSION FINALE DU PROJET</w:t>
    </w:r>
  </w:p>
  <w:p w14:paraId="6E6F1B3D" w14:textId="77777777" w:rsidR="003748B2" w:rsidRPr="007A2E9F" w:rsidRDefault="003748B2" w:rsidP="007A2E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4D3D"/>
    <w:multiLevelType w:val="hybridMultilevel"/>
    <w:tmpl w:val="249CED6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11C4DE0"/>
    <w:multiLevelType w:val="hybridMultilevel"/>
    <w:tmpl w:val="249CED6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4F83AAB"/>
    <w:multiLevelType w:val="hybridMultilevel"/>
    <w:tmpl w:val="19CCFD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CAA0F0DE">
      <w:start w:val="1"/>
      <w:numFmt w:val="bullet"/>
      <w:lvlText w:val="-"/>
      <w:lvlJc w:val="left"/>
      <w:pPr>
        <w:ind w:left="3600" w:hanging="360"/>
      </w:pPr>
      <w:rPr>
        <w:rFonts w:ascii="Calibri" w:eastAsiaTheme="minorHAnsi" w:hAnsi="Calibri" w:cs="Calibri"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EB3AFE"/>
    <w:multiLevelType w:val="multilevel"/>
    <w:tmpl w:val="9356DF8A"/>
    <w:lvl w:ilvl="0">
      <w:start w:val="1"/>
      <w:numFmt w:val="upperRoman"/>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15:restartNumberingAfterBreak="0">
    <w:nsid w:val="073E0C98"/>
    <w:multiLevelType w:val="hybridMultilevel"/>
    <w:tmpl w:val="249CED6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7A7348B"/>
    <w:multiLevelType w:val="hybridMultilevel"/>
    <w:tmpl w:val="1CE4D8DA"/>
    <w:lvl w:ilvl="0" w:tplc="4860212A">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0C6AC9"/>
    <w:multiLevelType w:val="hybridMultilevel"/>
    <w:tmpl w:val="249CED6E"/>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EAF101C"/>
    <w:multiLevelType w:val="hybridMultilevel"/>
    <w:tmpl w:val="49C0B0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327E5C"/>
    <w:multiLevelType w:val="hybridMultilevel"/>
    <w:tmpl w:val="249CED6E"/>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8442245"/>
    <w:multiLevelType w:val="hybridMultilevel"/>
    <w:tmpl w:val="B79E9C5C"/>
    <w:lvl w:ilvl="0" w:tplc="040C0019">
      <w:start w:val="1"/>
      <w:numFmt w:val="lowerLetter"/>
      <w:lvlText w:val="%1."/>
      <w:lvlJc w:val="left"/>
      <w:pPr>
        <w:ind w:left="2136" w:hanging="360"/>
      </w:pPr>
    </w:lvl>
    <w:lvl w:ilvl="1" w:tplc="040C0019">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0" w15:restartNumberingAfterBreak="0">
    <w:nsid w:val="1924279E"/>
    <w:multiLevelType w:val="hybridMultilevel"/>
    <w:tmpl w:val="249CED6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19272AAD"/>
    <w:multiLevelType w:val="hybridMultilevel"/>
    <w:tmpl w:val="943420CA"/>
    <w:lvl w:ilvl="0" w:tplc="040C000F">
      <w:start w:val="1"/>
      <w:numFmt w:val="decimal"/>
      <w:lvlText w:val="%1."/>
      <w:lvlJc w:val="left"/>
      <w:pPr>
        <w:ind w:left="720" w:hanging="360"/>
      </w:pPr>
    </w:lvl>
    <w:lvl w:ilvl="1" w:tplc="DB2A70B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BF245A"/>
    <w:multiLevelType w:val="hybridMultilevel"/>
    <w:tmpl w:val="249CED6E"/>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1C7272B6"/>
    <w:multiLevelType w:val="hybridMultilevel"/>
    <w:tmpl w:val="D0B8BA2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0284554"/>
    <w:multiLevelType w:val="hybridMultilevel"/>
    <w:tmpl w:val="D0247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D52BAB"/>
    <w:multiLevelType w:val="hybridMultilevel"/>
    <w:tmpl w:val="F092AC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6622B59"/>
    <w:multiLevelType w:val="hybridMultilevel"/>
    <w:tmpl w:val="7A848E48"/>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271871B8"/>
    <w:multiLevelType w:val="hybridMultilevel"/>
    <w:tmpl w:val="03FE790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2761CCA"/>
    <w:multiLevelType w:val="hybridMultilevel"/>
    <w:tmpl w:val="31144BB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4224123E"/>
    <w:multiLevelType w:val="hybridMultilevel"/>
    <w:tmpl w:val="D9484BC6"/>
    <w:lvl w:ilvl="0" w:tplc="040C0005">
      <w:start w:val="1"/>
      <w:numFmt w:val="bullet"/>
      <w:lvlText w:val=""/>
      <w:lvlJc w:val="left"/>
      <w:pPr>
        <w:ind w:left="720" w:hanging="360"/>
      </w:pPr>
      <w:rPr>
        <w:rFonts w:ascii="Wingdings" w:hAnsi="Wingdings" w:hint="default"/>
      </w:rPr>
    </w:lvl>
    <w:lvl w:ilvl="1" w:tplc="4860212A">
      <w:start w:val="1"/>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9478E6"/>
    <w:multiLevelType w:val="hybridMultilevel"/>
    <w:tmpl w:val="1C08DF10"/>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4A724310"/>
    <w:multiLevelType w:val="hybridMultilevel"/>
    <w:tmpl w:val="249CED6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4E560132"/>
    <w:multiLevelType w:val="hybridMultilevel"/>
    <w:tmpl w:val="0930DD40"/>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CAA0F0DE">
      <w:start w:val="1"/>
      <w:numFmt w:val="bullet"/>
      <w:lvlText w:val="-"/>
      <w:lvlJc w:val="left"/>
      <w:pPr>
        <w:ind w:left="2136" w:hanging="360"/>
      </w:pPr>
      <w:rPr>
        <w:rFonts w:ascii="Calibri" w:eastAsiaTheme="minorHAnsi" w:hAnsi="Calibri" w:cs="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4C51B0"/>
    <w:multiLevelType w:val="hybridMultilevel"/>
    <w:tmpl w:val="2DA6A4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D923FF"/>
    <w:multiLevelType w:val="hybridMultilevel"/>
    <w:tmpl w:val="24DC62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03729F"/>
    <w:multiLevelType w:val="hybridMultilevel"/>
    <w:tmpl w:val="249CED6E"/>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5CBC5F57"/>
    <w:multiLevelType w:val="hybridMultilevel"/>
    <w:tmpl w:val="249CED6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5F2E336C"/>
    <w:multiLevelType w:val="hybridMultilevel"/>
    <w:tmpl w:val="FA3C729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852933"/>
    <w:multiLevelType w:val="hybridMultilevel"/>
    <w:tmpl w:val="C9CE963C"/>
    <w:lvl w:ilvl="0" w:tplc="040C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bullet"/>
      <w:lvlText w:val="-"/>
      <w:lvlJc w:val="left"/>
      <w:pPr>
        <w:ind w:left="3600" w:hanging="360"/>
      </w:pPr>
      <w:rPr>
        <w:rFonts w:ascii="Calibri" w:eastAsiaTheme="minorHAnsi"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6A696D"/>
    <w:multiLevelType w:val="hybridMultilevel"/>
    <w:tmpl w:val="249CED6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665F247A"/>
    <w:multiLevelType w:val="hybridMultilevel"/>
    <w:tmpl w:val="249CED6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67B60F36"/>
    <w:multiLevelType w:val="hybridMultilevel"/>
    <w:tmpl w:val="249CED6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15:restartNumberingAfterBreak="0">
    <w:nsid w:val="6AF048DD"/>
    <w:multiLevelType w:val="hybridMultilevel"/>
    <w:tmpl w:val="0FD47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215720"/>
    <w:multiLevelType w:val="hybridMultilevel"/>
    <w:tmpl w:val="CFA809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E34473"/>
    <w:multiLevelType w:val="hybridMultilevel"/>
    <w:tmpl w:val="7384271A"/>
    <w:lvl w:ilvl="0" w:tplc="CAA0F0DE">
      <w:start w:val="1"/>
      <w:numFmt w:val="bullet"/>
      <w:lvlText w:val="-"/>
      <w:lvlJc w:val="left"/>
      <w:pPr>
        <w:ind w:left="2136" w:hanging="360"/>
      </w:pPr>
      <w:rPr>
        <w:rFonts w:ascii="Calibri" w:eastAsiaTheme="minorHAnsi" w:hAnsi="Calibri" w:cs="Calibri"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5" w15:restartNumberingAfterBreak="0">
    <w:nsid w:val="7E196473"/>
    <w:multiLevelType w:val="hybridMultilevel"/>
    <w:tmpl w:val="123620DA"/>
    <w:lvl w:ilvl="0" w:tplc="040C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1699092">
    <w:abstractNumId w:val="3"/>
  </w:num>
  <w:num w:numId="2" w16cid:durableId="1156143704">
    <w:abstractNumId w:val="13"/>
  </w:num>
  <w:num w:numId="3" w16cid:durableId="1909075783">
    <w:abstractNumId w:val="8"/>
  </w:num>
  <w:num w:numId="4" w16cid:durableId="1427994228">
    <w:abstractNumId w:val="29"/>
  </w:num>
  <w:num w:numId="5" w16cid:durableId="531110873">
    <w:abstractNumId w:val="16"/>
  </w:num>
  <w:num w:numId="6" w16cid:durableId="1321233422">
    <w:abstractNumId w:val="11"/>
  </w:num>
  <w:num w:numId="7" w16cid:durableId="835682258">
    <w:abstractNumId w:val="27"/>
  </w:num>
  <w:num w:numId="8" w16cid:durableId="364715331">
    <w:abstractNumId w:val="24"/>
  </w:num>
  <w:num w:numId="9" w16cid:durableId="53090670">
    <w:abstractNumId w:val="23"/>
  </w:num>
  <w:num w:numId="10" w16cid:durableId="1847861847">
    <w:abstractNumId w:val="35"/>
  </w:num>
  <w:num w:numId="11" w16cid:durableId="974523301">
    <w:abstractNumId w:val="12"/>
  </w:num>
  <w:num w:numId="12" w16cid:durableId="1547839903">
    <w:abstractNumId w:val="6"/>
  </w:num>
  <w:num w:numId="13" w16cid:durableId="404572982">
    <w:abstractNumId w:val="25"/>
  </w:num>
  <w:num w:numId="14" w16cid:durableId="1526404516">
    <w:abstractNumId w:val="4"/>
  </w:num>
  <w:num w:numId="15" w16cid:durableId="1876382535">
    <w:abstractNumId w:val="21"/>
  </w:num>
  <w:num w:numId="16" w16cid:durableId="487595076">
    <w:abstractNumId w:val="10"/>
  </w:num>
  <w:num w:numId="17" w16cid:durableId="1295529174">
    <w:abstractNumId w:val="31"/>
  </w:num>
  <w:num w:numId="18" w16cid:durableId="1442143291">
    <w:abstractNumId w:val="2"/>
  </w:num>
  <w:num w:numId="19" w16cid:durableId="227150256">
    <w:abstractNumId w:val="19"/>
  </w:num>
  <w:num w:numId="20" w16cid:durableId="953559895">
    <w:abstractNumId w:val="28"/>
  </w:num>
  <w:num w:numId="21" w16cid:durableId="1701854187">
    <w:abstractNumId w:val="34"/>
  </w:num>
  <w:num w:numId="22" w16cid:durableId="304359987">
    <w:abstractNumId w:val="9"/>
  </w:num>
  <w:num w:numId="23" w16cid:durableId="288244516">
    <w:abstractNumId w:val="22"/>
  </w:num>
  <w:num w:numId="24" w16cid:durableId="669260065">
    <w:abstractNumId w:val="30"/>
  </w:num>
  <w:num w:numId="25" w16cid:durableId="1391686717">
    <w:abstractNumId w:val="7"/>
  </w:num>
  <w:num w:numId="26" w16cid:durableId="273248139">
    <w:abstractNumId w:val="33"/>
  </w:num>
  <w:num w:numId="27" w16cid:durableId="2110730560">
    <w:abstractNumId w:val="5"/>
  </w:num>
  <w:num w:numId="28" w16cid:durableId="940455128">
    <w:abstractNumId w:val="18"/>
  </w:num>
  <w:num w:numId="29" w16cid:durableId="1547641635">
    <w:abstractNumId w:val="0"/>
  </w:num>
  <w:num w:numId="30" w16cid:durableId="1797677748">
    <w:abstractNumId w:val="32"/>
  </w:num>
  <w:num w:numId="31" w16cid:durableId="1222250297">
    <w:abstractNumId w:val="1"/>
  </w:num>
  <w:num w:numId="32" w16cid:durableId="1640770523">
    <w:abstractNumId w:val="26"/>
  </w:num>
  <w:num w:numId="33" w16cid:durableId="694309176">
    <w:abstractNumId w:val="17"/>
  </w:num>
  <w:num w:numId="34" w16cid:durableId="1970738784">
    <w:abstractNumId w:val="14"/>
  </w:num>
  <w:num w:numId="35" w16cid:durableId="951786591">
    <w:abstractNumId w:val="15"/>
  </w:num>
  <w:num w:numId="36" w16cid:durableId="136840954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CB"/>
    <w:rsid w:val="00000271"/>
    <w:rsid w:val="00000DED"/>
    <w:rsid w:val="000108E2"/>
    <w:rsid w:val="00012C06"/>
    <w:rsid w:val="000206BB"/>
    <w:rsid w:val="000216B1"/>
    <w:rsid w:val="000232C2"/>
    <w:rsid w:val="000273CD"/>
    <w:rsid w:val="000335A7"/>
    <w:rsid w:val="00034566"/>
    <w:rsid w:val="00035882"/>
    <w:rsid w:val="000371F4"/>
    <w:rsid w:val="000450E6"/>
    <w:rsid w:val="00045F1E"/>
    <w:rsid w:val="00051389"/>
    <w:rsid w:val="000521E2"/>
    <w:rsid w:val="000554A7"/>
    <w:rsid w:val="000558F4"/>
    <w:rsid w:val="00060495"/>
    <w:rsid w:val="00061AB6"/>
    <w:rsid w:val="00063AB1"/>
    <w:rsid w:val="000643BB"/>
    <w:rsid w:val="00064C78"/>
    <w:rsid w:val="0006623D"/>
    <w:rsid w:val="00067342"/>
    <w:rsid w:val="0007179B"/>
    <w:rsid w:val="0007686F"/>
    <w:rsid w:val="000817F5"/>
    <w:rsid w:val="000832C9"/>
    <w:rsid w:val="00085782"/>
    <w:rsid w:val="00085E1A"/>
    <w:rsid w:val="000877D2"/>
    <w:rsid w:val="00092DC9"/>
    <w:rsid w:val="000969E7"/>
    <w:rsid w:val="00097A9F"/>
    <w:rsid w:val="000A0ADF"/>
    <w:rsid w:val="000A0F57"/>
    <w:rsid w:val="000A18AC"/>
    <w:rsid w:val="000A2DEA"/>
    <w:rsid w:val="000A317E"/>
    <w:rsid w:val="000A3808"/>
    <w:rsid w:val="000B1134"/>
    <w:rsid w:val="000B3D80"/>
    <w:rsid w:val="000B61CE"/>
    <w:rsid w:val="000C3CB2"/>
    <w:rsid w:val="000C4F5A"/>
    <w:rsid w:val="000C5BF1"/>
    <w:rsid w:val="000D0941"/>
    <w:rsid w:val="000D5470"/>
    <w:rsid w:val="000D623E"/>
    <w:rsid w:val="000F1DDA"/>
    <w:rsid w:val="000F24BA"/>
    <w:rsid w:val="000F5951"/>
    <w:rsid w:val="000F59FE"/>
    <w:rsid w:val="000F6C91"/>
    <w:rsid w:val="0010214E"/>
    <w:rsid w:val="001054B1"/>
    <w:rsid w:val="0010662A"/>
    <w:rsid w:val="00113897"/>
    <w:rsid w:val="00114DD9"/>
    <w:rsid w:val="00120FC6"/>
    <w:rsid w:val="0012196B"/>
    <w:rsid w:val="00126995"/>
    <w:rsid w:val="00130486"/>
    <w:rsid w:val="00135071"/>
    <w:rsid w:val="0013642F"/>
    <w:rsid w:val="00136D6F"/>
    <w:rsid w:val="00142364"/>
    <w:rsid w:val="001464CD"/>
    <w:rsid w:val="00146969"/>
    <w:rsid w:val="001504E7"/>
    <w:rsid w:val="0015053B"/>
    <w:rsid w:val="0015515F"/>
    <w:rsid w:val="001643D2"/>
    <w:rsid w:val="00164AA7"/>
    <w:rsid w:val="00165D76"/>
    <w:rsid w:val="00166538"/>
    <w:rsid w:val="001712B7"/>
    <w:rsid w:val="0017323B"/>
    <w:rsid w:val="00173791"/>
    <w:rsid w:val="001747AF"/>
    <w:rsid w:val="00174FC8"/>
    <w:rsid w:val="001776E9"/>
    <w:rsid w:val="00177B55"/>
    <w:rsid w:val="00182E87"/>
    <w:rsid w:val="00183FF2"/>
    <w:rsid w:val="0018424B"/>
    <w:rsid w:val="00194D5B"/>
    <w:rsid w:val="00196271"/>
    <w:rsid w:val="001A019D"/>
    <w:rsid w:val="001B1DD0"/>
    <w:rsid w:val="001B29D1"/>
    <w:rsid w:val="001B37FD"/>
    <w:rsid w:val="001B77E1"/>
    <w:rsid w:val="001B7EB2"/>
    <w:rsid w:val="001C0B24"/>
    <w:rsid w:val="001C22DE"/>
    <w:rsid w:val="001C2537"/>
    <w:rsid w:val="001C2830"/>
    <w:rsid w:val="001D47C4"/>
    <w:rsid w:val="001D50F2"/>
    <w:rsid w:val="001E2BAA"/>
    <w:rsid w:val="001F0E89"/>
    <w:rsid w:val="001F2DA4"/>
    <w:rsid w:val="001F6A95"/>
    <w:rsid w:val="001F7D55"/>
    <w:rsid w:val="00200418"/>
    <w:rsid w:val="00206F04"/>
    <w:rsid w:val="00213E39"/>
    <w:rsid w:val="002147A4"/>
    <w:rsid w:val="002171C8"/>
    <w:rsid w:val="002178C1"/>
    <w:rsid w:val="002203A8"/>
    <w:rsid w:val="00222D8E"/>
    <w:rsid w:val="0022744F"/>
    <w:rsid w:val="00227F80"/>
    <w:rsid w:val="00232BFF"/>
    <w:rsid w:val="00235705"/>
    <w:rsid w:val="00237DC6"/>
    <w:rsid w:val="00240AFF"/>
    <w:rsid w:val="00240BF5"/>
    <w:rsid w:val="002430B4"/>
    <w:rsid w:val="002433B0"/>
    <w:rsid w:val="002446F3"/>
    <w:rsid w:val="0024541F"/>
    <w:rsid w:val="00247C7F"/>
    <w:rsid w:val="00251704"/>
    <w:rsid w:val="00257213"/>
    <w:rsid w:val="0026437A"/>
    <w:rsid w:val="00271A6F"/>
    <w:rsid w:val="002729DB"/>
    <w:rsid w:val="00274135"/>
    <w:rsid w:val="00275170"/>
    <w:rsid w:val="0028217E"/>
    <w:rsid w:val="00286357"/>
    <w:rsid w:val="002875CA"/>
    <w:rsid w:val="00290D62"/>
    <w:rsid w:val="002950BA"/>
    <w:rsid w:val="00296346"/>
    <w:rsid w:val="00297DB7"/>
    <w:rsid w:val="002A0704"/>
    <w:rsid w:val="002A2BA4"/>
    <w:rsid w:val="002B17D5"/>
    <w:rsid w:val="002B3DDF"/>
    <w:rsid w:val="002B4A22"/>
    <w:rsid w:val="002C69E3"/>
    <w:rsid w:val="002C74F3"/>
    <w:rsid w:val="002C754F"/>
    <w:rsid w:val="002C7F6F"/>
    <w:rsid w:val="002D610B"/>
    <w:rsid w:val="002E3623"/>
    <w:rsid w:val="002E4EC6"/>
    <w:rsid w:val="002E61CD"/>
    <w:rsid w:val="002E62AE"/>
    <w:rsid w:val="002E6352"/>
    <w:rsid w:val="002E66CD"/>
    <w:rsid w:val="002F67CC"/>
    <w:rsid w:val="00307955"/>
    <w:rsid w:val="00316669"/>
    <w:rsid w:val="003173DA"/>
    <w:rsid w:val="00317BD8"/>
    <w:rsid w:val="00317C91"/>
    <w:rsid w:val="003201FA"/>
    <w:rsid w:val="0032239A"/>
    <w:rsid w:val="003238DB"/>
    <w:rsid w:val="0032417B"/>
    <w:rsid w:val="003256DC"/>
    <w:rsid w:val="0033308A"/>
    <w:rsid w:val="003376F2"/>
    <w:rsid w:val="00344EBA"/>
    <w:rsid w:val="00351372"/>
    <w:rsid w:val="00365642"/>
    <w:rsid w:val="00365B93"/>
    <w:rsid w:val="003711BD"/>
    <w:rsid w:val="003748B2"/>
    <w:rsid w:val="00377A9E"/>
    <w:rsid w:val="00377F27"/>
    <w:rsid w:val="00380298"/>
    <w:rsid w:val="003802BC"/>
    <w:rsid w:val="00380ECA"/>
    <w:rsid w:val="0038103D"/>
    <w:rsid w:val="00381A92"/>
    <w:rsid w:val="003843D5"/>
    <w:rsid w:val="00386EBA"/>
    <w:rsid w:val="003955B6"/>
    <w:rsid w:val="003970E4"/>
    <w:rsid w:val="00397911"/>
    <w:rsid w:val="00397DC5"/>
    <w:rsid w:val="003A493C"/>
    <w:rsid w:val="003A6CEA"/>
    <w:rsid w:val="003C06BE"/>
    <w:rsid w:val="003D1B2B"/>
    <w:rsid w:val="003D4F04"/>
    <w:rsid w:val="003D723F"/>
    <w:rsid w:val="003E0315"/>
    <w:rsid w:val="003E3ECE"/>
    <w:rsid w:val="003E5EA9"/>
    <w:rsid w:val="003E7056"/>
    <w:rsid w:val="003F04C4"/>
    <w:rsid w:val="003F07F1"/>
    <w:rsid w:val="003F1D7B"/>
    <w:rsid w:val="003F3B81"/>
    <w:rsid w:val="003F7AD2"/>
    <w:rsid w:val="004043E5"/>
    <w:rsid w:val="00404C5B"/>
    <w:rsid w:val="00410961"/>
    <w:rsid w:val="004312E3"/>
    <w:rsid w:val="00431CB9"/>
    <w:rsid w:val="00441262"/>
    <w:rsid w:val="0044174A"/>
    <w:rsid w:val="004419B2"/>
    <w:rsid w:val="00451620"/>
    <w:rsid w:val="0045173D"/>
    <w:rsid w:val="004570E9"/>
    <w:rsid w:val="0046246E"/>
    <w:rsid w:val="00463172"/>
    <w:rsid w:val="004726EE"/>
    <w:rsid w:val="00473CCD"/>
    <w:rsid w:val="00475A99"/>
    <w:rsid w:val="00476D4D"/>
    <w:rsid w:val="0048021F"/>
    <w:rsid w:val="0048417B"/>
    <w:rsid w:val="00484CEB"/>
    <w:rsid w:val="00485CD8"/>
    <w:rsid w:val="0048642E"/>
    <w:rsid w:val="004927A7"/>
    <w:rsid w:val="004A0056"/>
    <w:rsid w:val="004A3BAD"/>
    <w:rsid w:val="004B206A"/>
    <w:rsid w:val="004B288B"/>
    <w:rsid w:val="004B60F6"/>
    <w:rsid w:val="004B6345"/>
    <w:rsid w:val="004C5987"/>
    <w:rsid w:val="004C5CE6"/>
    <w:rsid w:val="004D03D3"/>
    <w:rsid w:val="004D23F9"/>
    <w:rsid w:val="004E0E09"/>
    <w:rsid w:val="004E2DB4"/>
    <w:rsid w:val="004E4C90"/>
    <w:rsid w:val="004E76AF"/>
    <w:rsid w:val="004F1ABC"/>
    <w:rsid w:val="004F43F6"/>
    <w:rsid w:val="005017B9"/>
    <w:rsid w:val="00503F18"/>
    <w:rsid w:val="00516444"/>
    <w:rsid w:val="005168BD"/>
    <w:rsid w:val="00521DB4"/>
    <w:rsid w:val="00527C92"/>
    <w:rsid w:val="00535485"/>
    <w:rsid w:val="005363AC"/>
    <w:rsid w:val="00540232"/>
    <w:rsid w:val="00542A14"/>
    <w:rsid w:val="00544AB3"/>
    <w:rsid w:val="005457EA"/>
    <w:rsid w:val="00550F1C"/>
    <w:rsid w:val="0055238C"/>
    <w:rsid w:val="00553D71"/>
    <w:rsid w:val="005557A1"/>
    <w:rsid w:val="00556621"/>
    <w:rsid w:val="005609CF"/>
    <w:rsid w:val="0056657E"/>
    <w:rsid w:val="005674C3"/>
    <w:rsid w:val="005712D5"/>
    <w:rsid w:val="00571525"/>
    <w:rsid w:val="005726C8"/>
    <w:rsid w:val="005825D1"/>
    <w:rsid w:val="005861AC"/>
    <w:rsid w:val="005908AA"/>
    <w:rsid w:val="00592BA9"/>
    <w:rsid w:val="00593C70"/>
    <w:rsid w:val="0059484D"/>
    <w:rsid w:val="00595822"/>
    <w:rsid w:val="005968F9"/>
    <w:rsid w:val="005A66AE"/>
    <w:rsid w:val="005B2368"/>
    <w:rsid w:val="005B5750"/>
    <w:rsid w:val="005B5D8F"/>
    <w:rsid w:val="005C7051"/>
    <w:rsid w:val="005D0D90"/>
    <w:rsid w:val="005E0A2F"/>
    <w:rsid w:val="005E50ED"/>
    <w:rsid w:val="005E5B1B"/>
    <w:rsid w:val="005E7DDD"/>
    <w:rsid w:val="005F11D4"/>
    <w:rsid w:val="005F1915"/>
    <w:rsid w:val="0060189C"/>
    <w:rsid w:val="00603D93"/>
    <w:rsid w:val="0060772E"/>
    <w:rsid w:val="0061024A"/>
    <w:rsid w:val="006232B2"/>
    <w:rsid w:val="0062591F"/>
    <w:rsid w:val="00625FC0"/>
    <w:rsid w:val="0063066B"/>
    <w:rsid w:val="00633966"/>
    <w:rsid w:val="00633DA9"/>
    <w:rsid w:val="00633DFE"/>
    <w:rsid w:val="006342A1"/>
    <w:rsid w:val="00634456"/>
    <w:rsid w:val="00634E0E"/>
    <w:rsid w:val="0063553A"/>
    <w:rsid w:val="0063649E"/>
    <w:rsid w:val="00636E76"/>
    <w:rsid w:val="00641E1B"/>
    <w:rsid w:val="00644655"/>
    <w:rsid w:val="00652BD9"/>
    <w:rsid w:val="00652D35"/>
    <w:rsid w:val="00656BBB"/>
    <w:rsid w:val="00664FCF"/>
    <w:rsid w:val="00666DBE"/>
    <w:rsid w:val="006720A1"/>
    <w:rsid w:val="006737FF"/>
    <w:rsid w:val="00673F57"/>
    <w:rsid w:val="00674462"/>
    <w:rsid w:val="0067479C"/>
    <w:rsid w:val="006759B5"/>
    <w:rsid w:val="00676235"/>
    <w:rsid w:val="00681F93"/>
    <w:rsid w:val="00682134"/>
    <w:rsid w:val="00684AFA"/>
    <w:rsid w:val="00685A2C"/>
    <w:rsid w:val="006874BA"/>
    <w:rsid w:val="00694577"/>
    <w:rsid w:val="00697741"/>
    <w:rsid w:val="006B12E1"/>
    <w:rsid w:val="006C4162"/>
    <w:rsid w:val="006C41A0"/>
    <w:rsid w:val="006C7B65"/>
    <w:rsid w:val="006D477E"/>
    <w:rsid w:val="006D6F0F"/>
    <w:rsid w:val="006D7FAF"/>
    <w:rsid w:val="006E2DBF"/>
    <w:rsid w:val="006E2E59"/>
    <w:rsid w:val="006E5951"/>
    <w:rsid w:val="006F0384"/>
    <w:rsid w:val="006F0DF2"/>
    <w:rsid w:val="006F4684"/>
    <w:rsid w:val="006F7DC9"/>
    <w:rsid w:val="007026D4"/>
    <w:rsid w:val="00712189"/>
    <w:rsid w:val="00714ED1"/>
    <w:rsid w:val="00723CA8"/>
    <w:rsid w:val="00727460"/>
    <w:rsid w:val="00740ADD"/>
    <w:rsid w:val="00741DE1"/>
    <w:rsid w:val="0074222C"/>
    <w:rsid w:val="00750149"/>
    <w:rsid w:val="00750755"/>
    <w:rsid w:val="00750EAA"/>
    <w:rsid w:val="00751275"/>
    <w:rsid w:val="00754E17"/>
    <w:rsid w:val="00770281"/>
    <w:rsid w:val="007712A9"/>
    <w:rsid w:val="007753AA"/>
    <w:rsid w:val="007778F9"/>
    <w:rsid w:val="00785D4B"/>
    <w:rsid w:val="007911F9"/>
    <w:rsid w:val="00794234"/>
    <w:rsid w:val="00797025"/>
    <w:rsid w:val="007A075A"/>
    <w:rsid w:val="007A11F3"/>
    <w:rsid w:val="007A2E9F"/>
    <w:rsid w:val="007B1831"/>
    <w:rsid w:val="007B3CDE"/>
    <w:rsid w:val="007B713E"/>
    <w:rsid w:val="007C02AB"/>
    <w:rsid w:val="007C4AFD"/>
    <w:rsid w:val="007C7177"/>
    <w:rsid w:val="007D13CB"/>
    <w:rsid w:val="007D467E"/>
    <w:rsid w:val="007D55E3"/>
    <w:rsid w:val="007D5676"/>
    <w:rsid w:val="007E0088"/>
    <w:rsid w:val="007F0B2E"/>
    <w:rsid w:val="008013A6"/>
    <w:rsid w:val="00803258"/>
    <w:rsid w:val="00813DA3"/>
    <w:rsid w:val="008178C9"/>
    <w:rsid w:val="00820EB8"/>
    <w:rsid w:val="00823366"/>
    <w:rsid w:val="00837816"/>
    <w:rsid w:val="00843D36"/>
    <w:rsid w:val="00852B02"/>
    <w:rsid w:val="00853652"/>
    <w:rsid w:val="00855675"/>
    <w:rsid w:val="00860F24"/>
    <w:rsid w:val="00862B52"/>
    <w:rsid w:val="008637CF"/>
    <w:rsid w:val="0087231E"/>
    <w:rsid w:val="00877197"/>
    <w:rsid w:val="00885752"/>
    <w:rsid w:val="00885AA9"/>
    <w:rsid w:val="00890235"/>
    <w:rsid w:val="00891125"/>
    <w:rsid w:val="0089167F"/>
    <w:rsid w:val="00891E95"/>
    <w:rsid w:val="008A507E"/>
    <w:rsid w:val="008A77E1"/>
    <w:rsid w:val="008B592B"/>
    <w:rsid w:val="008B5EBC"/>
    <w:rsid w:val="008B70C1"/>
    <w:rsid w:val="008C7B2D"/>
    <w:rsid w:val="008D714D"/>
    <w:rsid w:val="008E33FC"/>
    <w:rsid w:val="008E4A3C"/>
    <w:rsid w:val="008F0561"/>
    <w:rsid w:val="008F3628"/>
    <w:rsid w:val="008F3836"/>
    <w:rsid w:val="00907A61"/>
    <w:rsid w:val="00910A39"/>
    <w:rsid w:val="00915762"/>
    <w:rsid w:val="009158B2"/>
    <w:rsid w:val="0092422F"/>
    <w:rsid w:val="00925165"/>
    <w:rsid w:val="00930C7D"/>
    <w:rsid w:val="00930EB8"/>
    <w:rsid w:val="00933B6F"/>
    <w:rsid w:val="0093407A"/>
    <w:rsid w:val="00934872"/>
    <w:rsid w:val="00934C26"/>
    <w:rsid w:val="0093730A"/>
    <w:rsid w:val="00940562"/>
    <w:rsid w:val="00941183"/>
    <w:rsid w:val="009460AB"/>
    <w:rsid w:val="009523B6"/>
    <w:rsid w:val="00954703"/>
    <w:rsid w:val="00955D86"/>
    <w:rsid w:val="00962B9A"/>
    <w:rsid w:val="0097144F"/>
    <w:rsid w:val="00971F9C"/>
    <w:rsid w:val="00983A37"/>
    <w:rsid w:val="00996CDB"/>
    <w:rsid w:val="00997400"/>
    <w:rsid w:val="009B3766"/>
    <w:rsid w:val="009B4A2C"/>
    <w:rsid w:val="009B4F79"/>
    <w:rsid w:val="009B53F9"/>
    <w:rsid w:val="009B73BC"/>
    <w:rsid w:val="009B7914"/>
    <w:rsid w:val="009E0FF9"/>
    <w:rsid w:val="009E1486"/>
    <w:rsid w:val="009E6158"/>
    <w:rsid w:val="009F1066"/>
    <w:rsid w:val="009F39F5"/>
    <w:rsid w:val="009F534E"/>
    <w:rsid w:val="00A125E3"/>
    <w:rsid w:val="00A15815"/>
    <w:rsid w:val="00A16350"/>
    <w:rsid w:val="00A212E9"/>
    <w:rsid w:val="00A23310"/>
    <w:rsid w:val="00A23516"/>
    <w:rsid w:val="00A24F13"/>
    <w:rsid w:val="00A3779F"/>
    <w:rsid w:val="00A44227"/>
    <w:rsid w:val="00A474E3"/>
    <w:rsid w:val="00A52FE2"/>
    <w:rsid w:val="00A565C5"/>
    <w:rsid w:val="00A569C0"/>
    <w:rsid w:val="00A57183"/>
    <w:rsid w:val="00A6141C"/>
    <w:rsid w:val="00A61F17"/>
    <w:rsid w:val="00A672A0"/>
    <w:rsid w:val="00A71B6C"/>
    <w:rsid w:val="00A73742"/>
    <w:rsid w:val="00A83519"/>
    <w:rsid w:val="00A9131A"/>
    <w:rsid w:val="00A91597"/>
    <w:rsid w:val="00AA4578"/>
    <w:rsid w:val="00AA763E"/>
    <w:rsid w:val="00AB5C22"/>
    <w:rsid w:val="00AB70F3"/>
    <w:rsid w:val="00AC4AFF"/>
    <w:rsid w:val="00AC55B9"/>
    <w:rsid w:val="00AD7AD4"/>
    <w:rsid w:val="00AE17DE"/>
    <w:rsid w:val="00AE759D"/>
    <w:rsid w:val="00AF0BB3"/>
    <w:rsid w:val="00AF1F7D"/>
    <w:rsid w:val="00AF564D"/>
    <w:rsid w:val="00B015A6"/>
    <w:rsid w:val="00B02EAC"/>
    <w:rsid w:val="00B05C80"/>
    <w:rsid w:val="00B17ACE"/>
    <w:rsid w:val="00B23F18"/>
    <w:rsid w:val="00B25546"/>
    <w:rsid w:val="00B37868"/>
    <w:rsid w:val="00B56114"/>
    <w:rsid w:val="00B60CB1"/>
    <w:rsid w:val="00B616F6"/>
    <w:rsid w:val="00B61B00"/>
    <w:rsid w:val="00B71B7D"/>
    <w:rsid w:val="00B7437C"/>
    <w:rsid w:val="00B87F9C"/>
    <w:rsid w:val="00B907F8"/>
    <w:rsid w:val="00B91DBE"/>
    <w:rsid w:val="00B92F4E"/>
    <w:rsid w:val="00B93B1B"/>
    <w:rsid w:val="00B9503A"/>
    <w:rsid w:val="00BA0B16"/>
    <w:rsid w:val="00BA148C"/>
    <w:rsid w:val="00BA3085"/>
    <w:rsid w:val="00BA5304"/>
    <w:rsid w:val="00BB2E66"/>
    <w:rsid w:val="00BB36D9"/>
    <w:rsid w:val="00BC0D1A"/>
    <w:rsid w:val="00BC30E7"/>
    <w:rsid w:val="00BC44F8"/>
    <w:rsid w:val="00BC7E79"/>
    <w:rsid w:val="00BD3090"/>
    <w:rsid w:val="00BD43CE"/>
    <w:rsid w:val="00BD719D"/>
    <w:rsid w:val="00BE0C6C"/>
    <w:rsid w:val="00BF2840"/>
    <w:rsid w:val="00BF611F"/>
    <w:rsid w:val="00C0068C"/>
    <w:rsid w:val="00C03770"/>
    <w:rsid w:val="00C06AF7"/>
    <w:rsid w:val="00C06FDE"/>
    <w:rsid w:val="00C07086"/>
    <w:rsid w:val="00C1116F"/>
    <w:rsid w:val="00C12975"/>
    <w:rsid w:val="00C1578D"/>
    <w:rsid w:val="00C15F34"/>
    <w:rsid w:val="00C17C1E"/>
    <w:rsid w:val="00C247B2"/>
    <w:rsid w:val="00C26C72"/>
    <w:rsid w:val="00C26C75"/>
    <w:rsid w:val="00C27E4A"/>
    <w:rsid w:val="00C32574"/>
    <w:rsid w:val="00C32960"/>
    <w:rsid w:val="00C34539"/>
    <w:rsid w:val="00C3499E"/>
    <w:rsid w:val="00C34CDA"/>
    <w:rsid w:val="00C36181"/>
    <w:rsid w:val="00C473B9"/>
    <w:rsid w:val="00C52BE1"/>
    <w:rsid w:val="00C52F5F"/>
    <w:rsid w:val="00C569F9"/>
    <w:rsid w:val="00C57043"/>
    <w:rsid w:val="00C64D01"/>
    <w:rsid w:val="00C651F9"/>
    <w:rsid w:val="00C81D36"/>
    <w:rsid w:val="00C834D3"/>
    <w:rsid w:val="00C83A65"/>
    <w:rsid w:val="00C85527"/>
    <w:rsid w:val="00C856D4"/>
    <w:rsid w:val="00C87316"/>
    <w:rsid w:val="00C87F0A"/>
    <w:rsid w:val="00C90979"/>
    <w:rsid w:val="00C95A3A"/>
    <w:rsid w:val="00CA1AC1"/>
    <w:rsid w:val="00CA4067"/>
    <w:rsid w:val="00CB08DF"/>
    <w:rsid w:val="00CB16B7"/>
    <w:rsid w:val="00CB5656"/>
    <w:rsid w:val="00CB6102"/>
    <w:rsid w:val="00CC01E9"/>
    <w:rsid w:val="00CC4B0E"/>
    <w:rsid w:val="00CD2709"/>
    <w:rsid w:val="00CE30ED"/>
    <w:rsid w:val="00CE5811"/>
    <w:rsid w:val="00CE7F95"/>
    <w:rsid w:val="00CF084E"/>
    <w:rsid w:val="00CF0FE1"/>
    <w:rsid w:val="00CF10ED"/>
    <w:rsid w:val="00CF2519"/>
    <w:rsid w:val="00CF5617"/>
    <w:rsid w:val="00CF7105"/>
    <w:rsid w:val="00D03257"/>
    <w:rsid w:val="00D065E6"/>
    <w:rsid w:val="00D07B1B"/>
    <w:rsid w:val="00D14CF9"/>
    <w:rsid w:val="00D20669"/>
    <w:rsid w:val="00D36490"/>
    <w:rsid w:val="00D40AE1"/>
    <w:rsid w:val="00D45F2D"/>
    <w:rsid w:val="00D527AD"/>
    <w:rsid w:val="00D53C86"/>
    <w:rsid w:val="00D5732C"/>
    <w:rsid w:val="00D63282"/>
    <w:rsid w:val="00D67E37"/>
    <w:rsid w:val="00D70877"/>
    <w:rsid w:val="00D76570"/>
    <w:rsid w:val="00D83929"/>
    <w:rsid w:val="00D909DE"/>
    <w:rsid w:val="00D91636"/>
    <w:rsid w:val="00D96FA3"/>
    <w:rsid w:val="00D97D45"/>
    <w:rsid w:val="00DA2408"/>
    <w:rsid w:val="00DB0B20"/>
    <w:rsid w:val="00DB5A62"/>
    <w:rsid w:val="00DC0FCB"/>
    <w:rsid w:val="00DC3CFA"/>
    <w:rsid w:val="00DC50B2"/>
    <w:rsid w:val="00DC628A"/>
    <w:rsid w:val="00DD4811"/>
    <w:rsid w:val="00DD4FF6"/>
    <w:rsid w:val="00DD5404"/>
    <w:rsid w:val="00DD6336"/>
    <w:rsid w:val="00DD6732"/>
    <w:rsid w:val="00DD6B99"/>
    <w:rsid w:val="00DD79A0"/>
    <w:rsid w:val="00DE0D67"/>
    <w:rsid w:val="00DE0E4A"/>
    <w:rsid w:val="00DE2E07"/>
    <w:rsid w:val="00DE617F"/>
    <w:rsid w:val="00DF065D"/>
    <w:rsid w:val="00DF1894"/>
    <w:rsid w:val="00E01C4A"/>
    <w:rsid w:val="00E03A43"/>
    <w:rsid w:val="00E05EDF"/>
    <w:rsid w:val="00E06913"/>
    <w:rsid w:val="00E07119"/>
    <w:rsid w:val="00E07700"/>
    <w:rsid w:val="00E07EC8"/>
    <w:rsid w:val="00E104CD"/>
    <w:rsid w:val="00E1349A"/>
    <w:rsid w:val="00E13509"/>
    <w:rsid w:val="00E14420"/>
    <w:rsid w:val="00E21AC7"/>
    <w:rsid w:val="00E23E5D"/>
    <w:rsid w:val="00E272E9"/>
    <w:rsid w:val="00E3293C"/>
    <w:rsid w:val="00E32F30"/>
    <w:rsid w:val="00E33340"/>
    <w:rsid w:val="00E33C6C"/>
    <w:rsid w:val="00E368D3"/>
    <w:rsid w:val="00E368F7"/>
    <w:rsid w:val="00E43A1C"/>
    <w:rsid w:val="00E43F7C"/>
    <w:rsid w:val="00E44E8C"/>
    <w:rsid w:val="00E478E3"/>
    <w:rsid w:val="00E500C0"/>
    <w:rsid w:val="00E56EC2"/>
    <w:rsid w:val="00E61812"/>
    <w:rsid w:val="00E67DEE"/>
    <w:rsid w:val="00E75A99"/>
    <w:rsid w:val="00E80519"/>
    <w:rsid w:val="00E8561B"/>
    <w:rsid w:val="00E9218D"/>
    <w:rsid w:val="00E921F8"/>
    <w:rsid w:val="00EA1274"/>
    <w:rsid w:val="00EA3FE3"/>
    <w:rsid w:val="00EA40EC"/>
    <w:rsid w:val="00EA6E44"/>
    <w:rsid w:val="00EB4A16"/>
    <w:rsid w:val="00EC2FD0"/>
    <w:rsid w:val="00EC521E"/>
    <w:rsid w:val="00EC5CD1"/>
    <w:rsid w:val="00ED2DB6"/>
    <w:rsid w:val="00ED34FB"/>
    <w:rsid w:val="00EE31B7"/>
    <w:rsid w:val="00EF41D9"/>
    <w:rsid w:val="00EF54F7"/>
    <w:rsid w:val="00EF6C87"/>
    <w:rsid w:val="00F014F3"/>
    <w:rsid w:val="00F03085"/>
    <w:rsid w:val="00F04E0A"/>
    <w:rsid w:val="00F064A2"/>
    <w:rsid w:val="00F1274C"/>
    <w:rsid w:val="00F223AF"/>
    <w:rsid w:val="00F267E6"/>
    <w:rsid w:val="00F31E2A"/>
    <w:rsid w:val="00F32D11"/>
    <w:rsid w:val="00F3516F"/>
    <w:rsid w:val="00F40126"/>
    <w:rsid w:val="00F43B4E"/>
    <w:rsid w:val="00F454F3"/>
    <w:rsid w:val="00F6360D"/>
    <w:rsid w:val="00F65B6C"/>
    <w:rsid w:val="00F675F9"/>
    <w:rsid w:val="00F71957"/>
    <w:rsid w:val="00F7574C"/>
    <w:rsid w:val="00F8073D"/>
    <w:rsid w:val="00F8719E"/>
    <w:rsid w:val="00F923D9"/>
    <w:rsid w:val="00F93010"/>
    <w:rsid w:val="00F93D73"/>
    <w:rsid w:val="00FA5967"/>
    <w:rsid w:val="00FA6C44"/>
    <w:rsid w:val="00FB3D35"/>
    <w:rsid w:val="00FB6251"/>
    <w:rsid w:val="00FC296C"/>
    <w:rsid w:val="00FC47BE"/>
    <w:rsid w:val="00FC5646"/>
    <w:rsid w:val="00FC5A2C"/>
    <w:rsid w:val="00FD335F"/>
    <w:rsid w:val="00FD6CC2"/>
    <w:rsid w:val="00FD7F4E"/>
    <w:rsid w:val="00FE1A78"/>
    <w:rsid w:val="00FE2E5E"/>
    <w:rsid w:val="00FE3D93"/>
    <w:rsid w:val="00FF034D"/>
    <w:rsid w:val="00FF0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C6B0"/>
  <w15:chartTrackingRefBased/>
  <w15:docId w15:val="{6772A838-7497-F54B-ACAD-12A202DD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B2"/>
    <w:pPr>
      <w:jc w:val="both"/>
    </w:pPr>
    <w:rPr>
      <w:rFonts w:cstheme="minorHAnsi"/>
      <w:kern w:val="0"/>
      <w14:ligatures w14:val="none"/>
    </w:rPr>
  </w:style>
  <w:style w:type="paragraph" w:styleId="Titre1">
    <w:name w:val="heading 1"/>
    <w:basedOn w:val="Normal"/>
    <w:next w:val="Normal"/>
    <w:link w:val="Titre1Car"/>
    <w:uiPriority w:val="9"/>
    <w:qFormat/>
    <w:rsid w:val="00200418"/>
    <w:pPr>
      <w:keepNext/>
      <w:keepLines/>
      <w:spacing w:before="240"/>
      <w:outlineLvl w:val="0"/>
    </w:pPr>
    <w:rPr>
      <w:rFonts w:eastAsiaTheme="majorEastAsia"/>
      <w:b/>
      <w:bCs/>
      <w:color w:val="0070C0"/>
      <w:sz w:val="28"/>
      <w:szCs w:val="28"/>
      <w:u w:val="single"/>
    </w:rPr>
  </w:style>
  <w:style w:type="paragraph" w:styleId="Titre2">
    <w:name w:val="heading 2"/>
    <w:basedOn w:val="Normal"/>
    <w:next w:val="Normal"/>
    <w:link w:val="Titre2Car"/>
    <w:uiPriority w:val="9"/>
    <w:semiHidden/>
    <w:unhideWhenUsed/>
    <w:qFormat/>
    <w:rsid w:val="00955D86"/>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55D86"/>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955D8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55D8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55D8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55D8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55D8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55D8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0FCB"/>
    <w:pPr>
      <w:spacing w:before="100" w:beforeAutospacing="1" w:after="100" w:afterAutospacing="1"/>
    </w:pPr>
  </w:style>
  <w:style w:type="paragraph" w:styleId="Paragraphedeliste">
    <w:name w:val="List Paragraph"/>
    <w:basedOn w:val="Normal"/>
    <w:uiPriority w:val="34"/>
    <w:qFormat/>
    <w:rsid w:val="00DC0FCB"/>
    <w:pPr>
      <w:ind w:left="720"/>
      <w:contextualSpacing/>
    </w:pPr>
  </w:style>
  <w:style w:type="paragraph" w:styleId="Titre">
    <w:name w:val="Title"/>
    <w:basedOn w:val="Normal"/>
    <w:next w:val="Normal"/>
    <w:link w:val="TitreCar"/>
    <w:uiPriority w:val="10"/>
    <w:qFormat/>
    <w:rsid w:val="00955D8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55D86"/>
    <w:rPr>
      <w:rFonts w:asciiTheme="majorHAnsi" w:eastAsiaTheme="majorEastAsia" w:hAnsiTheme="majorHAnsi" w:cstheme="majorBidi"/>
      <w:spacing w:val="-10"/>
      <w:kern w:val="28"/>
      <w:sz w:val="56"/>
      <w:szCs w:val="56"/>
      <w14:ligatures w14:val="none"/>
    </w:rPr>
  </w:style>
  <w:style w:type="character" w:customStyle="1" w:styleId="Titre1Car">
    <w:name w:val="Titre 1 Car"/>
    <w:basedOn w:val="Policepardfaut"/>
    <w:link w:val="Titre1"/>
    <w:uiPriority w:val="9"/>
    <w:rsid w:val="00200418"/>
    <w:rPr>
      <w:rFonts w:eastAsiaTheme="majorEastAsia" w:cstheme="minorHAnsi"/>
      <w:b/>
      <w:bCs/>
      <w:color w:val="0070C0"/>
      <w:kern w:val="0"/>
      <w:sz w:val="28"/>
      <w:szCs w:val="28"/>
      <w:u w:val="single"/>
      <w14:ligatures w14:val="none"/>
    </w:rPr>
  </w:style>
  <w:style w:type="character" w:customStyle="1" w:styleId="Titre2Car">
    <w:name w:val="Titre 2 Car"/>
    <w:basedOn w:val="Policepardfaut"/>
    <w:link w:val="Titre2"/>
    <w:uiPriority w:val="9"/>
    <w:semiHidden/>
    <w:rsid w:val="00955D86"/>
    <w:rPr>
      <w:rFonts w:asciiTheme="majorHAnsi" w:eastAsiaTheme="majorEastAsia" w:hAnsiTheme="majorHAnsi" w:cstheme="majorBidi"/>
      <w:color w:val="2F5496" w:themeColor="accent1" w:themeShade="BF"/>
      <w:kern w:val="0"/>
      <w:sz w:val="26"/>
      <w:szCs w:val="26"/>
      <w14:ligatures w14:val="none"/>
    </w:rPr>
  </w:style>
  <w:style w:type="character" w:customStyle="1" w:styleId="Titre3Car">
    <w:name w:val="Titre 3 Car"/>
    <w:basedOn w:val="Policepardfaut"/>
    <w:link w:val="Titre3"/>
    <w:uiPriority w:val="9"/>
    <w:rsid w:val="00955D86"/>
    <w:rPr>
      <w:rFonts w:asciiTheme="majorHAnsi" w:eastAsiaTheme="majorEastAsia" w:hAnsiTheme="majorHAnsi" w:cstheme="majorBidi"/>
      <w:color w:val="1F3763" w:themeColor="accent1" w:themeShade="7F"/>
      <w:kern w:val="0"/>
      <w14:ligatures w14:val="none"/>
    </w:rPr>
  </w:style>
  <w:style w:type="character" w:customStyle="1" w:styleId="Titre4Car">
    <w:name w:val="Titre 4 Car"/>
    <w:basedOn w:val="Policepardfaut"/>
    <w:link w:val="Titre4"/>
    <w:uiPriority w:val="9"/>
    <w:rsid w:val="00955D86"/>
    <w:rPr>
      <w:rFonts w:asciiTheme="majorHAnsi" w:eastAsiaTheme="majorEastAsia" w:hAnsiTheme="majorHAnsi" w:cstheme="majorBidi"/>
      <w:i/>
      <w:iCs/>
      <w:color w:val="2F5496" w:themeColor="accent1" w:themeShade="BF"/>
      <w:kern w:val="0"/>
      <w14:ligatures w14:val="none"/>
    </w:rPr>
  </w:style>
  <w:style w:type="character" w:customStyle="1" w:styleId="Titre5Car">
    <w:name w:val="Titre 5 Car"/>
    <w:basedOn w:val="Policepardfaut"/>
    <w:link w:val="Titre5"/>
    <w:uiPriority w:val="9"/>
    <w:semiHidden/>
    <w:rsid w:val="00955D86"/>
    <w:rPr>
      <w:rFonts w:asciiTheme="majorHAnsi" w:eastAsiaTheme="majorEastAsia" w:hAnsiTheme="majorHAnsi" w:cstheme="majorBidi"/>
      <w:color w:val="2F5496" w:themeColor="accent1" w:themeShade="BF"/>
      <w:kern w:val="0"/>
      <w14:ligatures w14:val="none"/>
    </w:rPr>
  </w:style>
  <w:style w:type="character" w:customStyle="1" w:styleId="Titre6Car">
    <w:name w:val="Titre 6 Car"/>
    <w:basedOn w:val="Policepardfaut"/>
    <w:link w:val="Titre6"/>
    <w:uiPriority w:val="9"/>
    <w:semiHidden/>
    <w:rsid w:val="00955D86"/>
    <w:rPr>
      <w:rFonts w:asciiTheme="majorHAnsi" w:eastAsiaTheme="majorEastAsia" w:hAnsiTheme="majorHAnsi" w:cstheme="majorBidi"/>
      <w:color w:val="1F3763" w:themeColor="accent1" w:themeShade="7F"/>
      <w:kern w:val="0"/>
      <w14:ligatures w14:val="none"/>
    </w:rPr>
  </w:style>
  <w:style w:type="character" w:customStyle="1" w:styleId="Titre7Car">
    <w:name w:val="Titre 7 Car"/>
    <w:basedOn w:val="Policepardfaut"/>
    <w:link w:val="Titre7"/>
    <w:uiPriority w:val="9"/>
    <w:semiHidden/>
    <w:rsid w:val="00955D86"/>
    <w:rPr>
      <w:rFonts w:asciiTheme="majorHAnsi" w:eastAsiaTheme="majorEastAsia" w:hAnsiTheme="majorHAnsi" w:cstheme="majorBidi"/>
      <w:i/>
      <w:iCs/>
      <w:color w:val="1F3763" w:themeColor="accent1" w:themeShade="7F"/>
      <w:kern w:val="0"/>
      <w14:ligatures w14:val="none"/>
    </w:rPr>
  </w:style>
  <w:style w:type="character" w:customStyle="1" w:styleId="Titre8Car">
    <w:name w:val="Titre 8 Car"/>
    <w:basedOn w:val="Policepardfaut"/>
    <w:link w:val="Titre8"/>
    <w:uiPriority w:val="9"/>
    <w:semiHidden/>
    <w:rsid w:val="00955D86"/>
    <w:rPr>
      <w:rFonts w:asciiTheme="majorHAnsi" w:eastAsiaTheme="majorEastAsia" w:hAnsiTheme="majorHAnsi" w:cstheme="majorBidi"/>
      <w:color w:val="272727" w:themeColor="text1" w:themeTint="D8"/>
      <w:kern w:val="0"/>
      <w:sz w:val="21"/>
      <w:szCs w:val="21"/>
      <w14:ligatures w14:val="none"/>
    </w:rPr>
  </w:style>
  <w:style w:type="character" w:customStyle="1" w:styleId="Titre9Car">
    <w:name w:val="Titre 9 Car"/>
    <w:basedOn w:val="Policepardfaut"/>
    <w:link w:val="Titre9"/>
    <w:uiPriority w:val="9"/>
    <w:semiHidden/>
    <w:rsid w:val="00955D86"/>
    <w:rPr>
      <w:rFonts w:asciiTheme="majorHAnsi" w:eastAsiaTheme="majorEastAsia" w:hAnsiTheme="majorHAnsi" w:cstheme="majorBidi"/>
      <w:i/>
      <w:iCs/>
      <w:color w:val="272727" w:themeColor="text1" w:themeTint="D8"/>
      <w:kern w:val="0"/>
      <w:sz w:val="21"/>
      <w:szCs w:val="21"/>
      <w14:ligatures w14:val="none"/>
    </w:rPr>
  </w:style>
  <w:style w:type="paragraph" w:styleId="En-tte">
    <w:name w:val="header"/>
    <w:aliases w:val="ET - En-tête"/>
    <w:basedOn w:val="Normal"/>
    <w:link w:val="En-tteCar"/>
    <w:unhideWhenUsed/>
    <w:rsid w:val="00997400"/>
    <w:pPr>
      <w:tabs>
        <w:tab w:val="center" w:pos="4536"/>
        <w:tab w:val="right" w:pos="9072"/>
      </w:tabs>
    </w:pPr>
  </w:style>
  <w:style w:type="character" w:customStyle="1" w:styleId="En-tteCar">
    <w:name w:val="En-tête Car"/>
    <w:aliases w:val="ET - En-tête Car"/>
    <w:basedOn w:val="Policepardfaut"/>
    <w:link w:val="En-tte"/>
    <w:rsid w:val="00997400"/>
    <w:rPr>
      <w:rFonts w:cstheme="minorHAnsi"/>
      <w:kern w:val="0"/>
      <w14:ligatures w14:val="none"/>
    </w:rPr>
  </w:style>
  <w:style w:type="paragraph" w:styleId="Pieddepage">
    <w:name w:val="footer"/>
    <w:basedOn w:val="Normal"/>
    <w:link w:val="PieddepageCar"/>
    <w:uiPriority w:val="99"/>
    <w:unhideWhenUsed/>
    <w:rsid w:val="00997400"/>
    <w:pPr>
      <w:tabs>
        <w:tab w:val="center" w:pos="4536"/>
        <w:tab w:val="right" w:pos="9072"/>
      </w:tabs>
    </w:pPr>
  </w:style>
  <w:style w:type="character" w:customStyle="1" w:styleId="PieddepageCar">
    <w:name w:val="Pied de page Car"/>
    <w:basedOn w:val="Policepardfaut"/>
    <w:link w:val="Pieddepage"/>
    <w:uiPriority w:val="99"/>
    <w:rsid w:val="00997400"/>
    <w:rPr>
      <w:rFonts w:cstheme="minorHAnsi"/>
      <w:kern w:val="0"/>
      <w14:ligatures w14:val="none"/>
    </w:rPr>
  </w:style>
  <w:style w:type="character" w:styleId="Numrodepage">
    <w:name w:val="page number"/>
    <w:basedOn w:val="Policepardfaut"/>
    <w:uiPriority w:val="99"/>
    <w:semiHidden/>
    <w:unhideWhenUsed/>
    <w:rsid w:val="00997400"/>
  </w:style>
  <w:style w:type="paragraph" w:styleId="En-ttedetabledesmatires">
    <w:name w:val="TOC Heading"/>
    <w:basedOn w:val="Titre1"/>
    <w:next w:val="Normal"/>
    <w:uiPriority w:val="39"/>
    <w:unhideWhenUsed/>
    <w:qFormat/>
    <w:rsid w:val="000558F4"/>
    <w:pPr>
      <w:spacing w:before="480" w:line="276" w:lineRule="auto"/>
      <w:jc w:val="left"/>
      <w:outlineLvl w:val="9"/>
    </w:pPr>
    <w:rPr>
      <w:rFonts w:asciiTheme="majorHAnsi" w:hAnsiTheme="majorHAnsi" w:cstheme="majorBidi"/>
      <w:color w:val="2F5496" w:themeColor="accent1" w:themeShade="BF"/>
      <w:u w:val="none"/>
      <w:lang w:eastAsia="fr-FR"/>
    </w:rPr>
  </w:style>
  <w:style w:type="paragraph" w:styleId="TM1">
    <w:name w:val="toc 1"/>
    <w:basedOn w:val="Normal"/>
    <w:next w:val="Normal"/>
    <w:autoRedefine/>
    <w:uiPriority w:val="39"/>
    <w:unhideWhenUsed/>
    <w:rsid w:val="000558F4"/>
    <w:pPr>
      <w:spacing w:before="120"/>
      <w:jc w:val="left"/>
    </w:pPr>
    <w:rPr>
      <w:b/>
      <w:bCs/>
      <w:i/>
      <w:iCs/>
    </w:rPr>
  </w:style>
  <w:style w:type="character" w:styleId="Lienhypertexte">
    <w:name w:val="Hyperlink"/>
    <w:basedOn w:val="Policepardfaut"/>
    <w:uiPriority w:val="99"/>
    <w:unhideWhenUsed/>
    <w:rsid w:val="000558F4"/>
    <w:rPr>
      <w:color w:val="0563C1" w:themeColor="hyperlink"/>
      <w:u w:val="single"/>
    </w:rPr>
  </w:style>
  <w:style w:type="paragraph" w:styleId="TM2">
    <w:name w:val="toc 2"/>
    <w:basedOn w:val="Normal"/>
    <w:next w:val="Normal"/>
    <w:autoRedefine/>
    <w:uiPriority w:val="39"/>
    <w:semiHidden/>
    <w:unhideWhenUsed/>
    <w:rsid w:val="000558F4"/>
    <w:pPr>
      <w:spacing w:before="120"/>
      <w:ind w:left="240"/>
      <w:jc w:val="left"/>
    </w:pPr>
    <w:rPr>
      <w:b/>
      <w:bCs/>
      <w:sz w:val="22"/>
      <w:szCs w:val="22"/>
    </w:rPr>
  </w:style>
  <w:style w:type="paragraph" w:styleId="TM3">
    <w:name w:val="toc 3"/>
    <w:basedOn w:val="Normal"/>
    <w:next w:val="Normal"/>
    <w:autoRedefine/>
    <w:uiPriority w:val="39"/>
    <w:semiHidden/>
    <w:unhideWhenUsed/>
    <w:rsid w:val="000558F4"/>
    <w:pPr>
      <w:ind w:left="480"/>
      <w:jc w:val="left"/>
    </w:pPr>
    <w:rPr>
      <w:sz w:val="20"/>
      <w:szCs w:val="20"/>
    </w:rPr>
  </w:style>
  <w:style w:type="paragraph" w:styleId="TM4">
    <w:name w:val="toc 4"/>
    <w:basedOn w:val="Normal"/>
    <w:next w:val="Normal"/>
    <w:autoRedefine/>
    <w:uiPriority w:val="39"/>
    <w:semiHidden/>
    <w:unhideWhenUsed/>
    <w:rsid w:val="000558F4"/>
    <w:pPr>
      <w:ind w:left="720"/>
      <w:jc w:val="left"/>
    </w:pPr>
    <w:rPr>
      <w:sz w:val="20"/>
      <w:szCs w:val="20"/>
    </w:rPr>
  </w:style>
  <w:style w:type="paragraph" w:styleId="TM5">
    <w:name w:val="toc 5"/>
    <w:basedOn w:val="Normal"/>
    <w:next w:val="Normal"/>
    <w:autoRedefine/>
    <w:uiPriority w:val="39"/>
    <w:semiHidden/>
    <w:unhideWhenUsed/>
    <w:rsid w:val="000558F4"/>
    <w:pPr>
      <w:ind w:left="960"/>
      <w:jc w:val="left"/>
    </w:pPr>
    <w:rPr>
      <w:sz w:val="20"/>
      <w:szCs w:val="20"/>
    </w:rPr>
  </w:style>
  <w:style w:type="paragraph" w:styleId="TM6">
    <w:name w:val="toc 6"/>
    <w:basedOn w:val="Normal"/>
    <w:next w:val="Normal"/>
    <w:autoRedefine/>
    <w:uiPriority w:val="39"/>
    <w:semiHidden/>
    <w:unhideWhenUsed/>
    <w:rsid w:val="000558F4"/>
    <w:pPr>
      <w:ind w:left="1200"/>
      <w:jc w:val="left"/>
    </w:pPr>
    <w:rPr>
      <w:sz w:val="20"/>
      <w:szCs w:val="20"/>
    </w:rPr>
  </w:style>
  <w:style w:type="paragraph" w:styleId="TM7">
    <w:name w:val="toc 7"/>
    <w:basedOn w:val="Normal"/>
    <w:next w:val="Normal"/>
    <w:autoRedefine/>
    <w:uiPriority w:val="39"/>
    <w:semiHidden/>
    <w:unhideWhenUsed/>
    <w:rsid w:val="000558F4"/>
    <w:pPr>
      <w:ind w:left="1440"/>
      <w:jc w:val="left"/>
    </w:pPr>
    <w:rPr>
      <w:sz w:val="20"/>
      <w:szCs w:val="20"/>
    </w:rPr>
  </w:style>
  <w:style w:type="paragraph" w:styleId="TM8">
    <w:name w:val="toc 8"/>
    <w:basedOn w:val="Normal"/>
    <w:next w:val="Normal"/>
    <w:autoRedefine/>
    <w:uiPriority w:val="39"/>
    <w:semiHidden/>
    <w:unhideWhenUsed/>
    <w:rsid w:val="000558F4"/>
    <w:pPr>
      <w:ind w:left="1680"/>
      <w:jc w:val="left"/>
    </w:pPr>
    <w:rPr>
      <w:sz w:val="20"/>
      <w:szCs w:val="20"/>
    </w:rPr>
  </w:style>
  <w:style w:type="paragraph" w:styleId="TM9">
    <w:name w:val="toc 9"/>
    <w:basedOn w:val="Normal"/>
    <w:next w:val="Normal"/>
    <w:autoRedefine/>
    <w:uiPriority w:val="39"/>
    <w:semiHidden/>
    <w:unhideWhenUsed/>
    <w:rsid w:val="000558F4"/>
    <w:pPr>
      <w:ind w:left="1920"/>
      <w:jc w:val="left"/>
    </w:pPr>
    <w:rPr>
      <w:sz w:val="20"/>
      <w:szCs w:val="20"/>
    </w:rPr>
  </w:style>
  <w:style w:type="character" w:customStyle="1" w:styleId="apple-converted-space">
    <w:name w:val="apple-converted-space"/>
    <w:basedOn w:val="Policepardfaut"/>
    <w:rsid w:val="004570E9"/>
  </w:style>
  <w:style w:type="character" w:styleId="Marquedecommentaire">
    <w:name w:val="annotation reference"/>
    <w:basedOn w:val="Policepardfaut"/>
    <w:uiPriority w:val="99"/>
    <w:semiHidden/>
    <w:unhideWhenUsed/>
    <w:rsid w:val="0045173D"/>
    <w:rPr>
      <w:sz w:val="16"/>
      <w:szCs w:val="16"/>
    </w:rPr>
  </w:style>
  <w:style w:type="paragraph" w:styleId="Commentaire">
    <w:name w:val="annotation text"/>
    <w:basedOn w:val="Normal"/>
    <w:link w:val="CommentaireCar"/>
    <w:uiPriority w:val="99"/>
    <w:semiHidden/>
    <w:unhideWhenUsed/>
    <w:rsid w:val="0045173D"/>
    <w:rPr>
      <w:sz w:val="20"/>
      <w:szCs w:val="20"/>
    </w:rPr>
  </w:style>
  <w:style w:type="character" w:customStyle="1" w:styleId="CommentaireCar">
    <w:name w:val="Commentaire Car"/>
    <w:basedOn w:val="Policepardfaut"/>
    <w:link w:val="Commentaire"/>
    <w:uiPriority w:val="99"/>
    <w:semiHidden/>
    <w:rsid w:val="0045173D"/>
    <w:rPr>
      <w:rFonts w:cstheme="minorHAnsi"/>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45173D"/>
    <w:rPr>
      <w:b/>
      <w:bCs/>
    </w:rPr>
  </w:style>
  <w:style w:type="character" w:customStyle="1" w:styleId="ObjetducommentaireCar">
    <w:name w:val="Objet du commentaire Car"/>
    <w:basedOn w:val="CommentaireCar"/>
    <w:link w:val="Objetducommentaire"/>
    <w:uiPriority w:val="99"/>
    <w:semiHidden/>
    <w:rsid w:val="0045173D"/>
    <w:rPr>
      <w:rFonts w:cstheme="minorHAnsi"/>
      <w:b/>
      <w:bCs/>
      <w:kern w:val="0"/>
      <w:sz w:val="20"/>
      <w:szCs w:val="20"/>
      <w14:ligatures w14:val="none"/>
    </w:rPr>
  </w:style>
  <w:style w:type="paragraph" w:styleId="Rvision">
    <w:name w:val="Revision"/>
    <w:hidden/>
    <w:uiPriority w:val="99"/>
    <w:semiHidden/>
    <w:rsid w:val="001F6A95"/>
    <w:rPr>
      <w:rFonts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6359">
      <w:bodyDiv w:val="1"/>
      <w:marLeft w:val="0"/>
      <w:marRight w:val="0"/>
      <w:marTop w:val="0"/>
      <w:marBottom w:val="0"/>
      <w:divBdr>
        <w:top w:val="none" w:sz="0" w:space="0" w:color="auto"/>
        <w:left w:val="none" w:sz="0" w:space="0" w:color="auto"/>
        <w:bottom w:val="none" w:sz="0" w:space="0" w:color="auto"/>
        <w:right w:val="none" w:sz="0" w:space="0" w:color="auto"/>
      </w:divBdr>
      <w:divsChild>
        <w:div w:id="893078440">
          <w:marLeft w:val="0"/>
          <w:marRight w:val="0"/>
          <w:marTop w:val="0"/>
          <w:marBottom w:val="0"/>
          <w:divBdr>
            <w:top w:val="single" w:sz="2" w:space="0" w:color="D9D9E3"/>
            <w:left w:val="single" w:sz="2" w:space="0" w:color="D9D9E3"/>
            <w:bottom w:val="single" w:sz="2" w:space="0" w:color="D9D9E3"/>
            <w:right w:val="single" w:sz="2" w:space="0" w:color="D9D9E3"/>
          </w:divBdr>
          <w:divsChild>
            <w:div w:id="2001153108">
              <w:marLeft w:val="0"/>
              <w:marRight w:val="0"/>
              <w:marTop w:val="0"/>
              <w:marBottom w:val="0"/>
              <w:divBdr>
                <w:top w:val="single" w:sz="2" w:space="0" w:color="D9D9E3"/>
                <w:left w:val="single" w:sz="2" w:space="0" w:color="D9D9E3"/>
                <w:bottom w:val="single" w:sz="2" w:space="0" w:color="D9D9E3"/>
                <w:right w:val="single" w:sz="2" w:space="0" w:color="D9D9E3"/>
              </w:divBdr>
              <w:divsChild>
                <w:div w:id="1952666790">
                  <w:marLeft w:val="0"/>
                  <w:marRight w:val="0"/>
                  <w:marTop w:val="0"/>
                  <w:marBottom w:val="0"/>
                  <w:divBdr>
                    <w:top w:val="single" w:sz="2" w:space="0" w:color="D9D9E3"/>
                    <w:left w:val="single" w:sz="2" w:space="0" w:color="D9D9E3"/>
                    <w:bottom w:val="single" w:sz="2" w:space="0" w:color="D9D9E3"/>
                    <w:right w:val="single" w:sz="2" w:space="0" w:color="D9D9E3"/>
                  </w:divBdr>
                  <w:divsChild>
                    <w:div w:id="1666514964">
                      <w:marLeft w:val="0"/>
                      <w:marRight w:val="0"/>
                      <w:marTop w:val="0"/>
                      <w:marBottom w:val="0"/>
                      <w:divBdr>
                        <w:top w:val="single" w:sz="2" w:space="0" w:color="D9D9E3"/>
                        <w:left w:val="single" w:sz="2" w:space="0" w:color="D9D9E3"/>
                        <w:bottom w:val="single" w:sz="2" w:space="0" w:color="D9D9E3"/>
                        <w:right w:val="single" w:sz="2" w:space="0" w:color="D9D9E3"/>
                      </w:divBdr>
                      <w:divsChild>
                        <w:div w:id="857936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6971430">
          <w:marLeft w:val="0"/>
          <w:marRight w:val="0"/>
          <w:marTop w:val="0"/>
          <w:marBottom w:val="0"/>
          <w:divBdr>
            <w:top w:val="single" w:sz="2" w:space="0" w:color="D9D9E3"/>
            <w:left w:val="single" w:sz="2" w:space="0" w:color="D9D9E3"/>
            <w:bottom w:val="single" w:sz="2" w:space="0" w:color="D9D9E3"/>
            <w:right w:val="single" w:sz="2" w:space="0" w:color="D9D9E3"/>
          </w:divBdr>
          <w:divsChild>
            <w:div w:id="1765177248">
              <w:marLeft w:val="0"/>
              <w:marRight w:val="0"/>
              <w:marTop w:val="0"/>
              <w:marBottom w:val="0"/>
              <w:divBdr>
                <w:top w:val="single" w:sz="2" w:space="0" w:color="D9D9E3"/>
                <w:left w:val="single" w:sz="2" w:space="0" w:color="D9D9E3"/>
                <w:bottom w:val="single" w:sz="2" w:space="0" w:color="D9D9E3"/>
                <w:right w:val="single" w:sz="2" w:space="0" w:color="D9D9E3"/>
              </w:divBdr>
              <w:divsChild>
                <w:div w:id="1942714015">
                  <w:marLeft w:val="0"/>
                  <w:marRight w:val="0"/>
                  <w:marTop w:val="0"/>
                  <w:marBottom w:val="0"/>
                  <w:divBdr>
                    <w:top w:val="single" w:sz="2" w:space="0" w:color="D9D9E3"/>
                    <w:left w:val="single" w:sz="2" w:space="0" w:color="D9D9E3"/>
                    <w:bottom w:val="single" w:sz="2" w:space="0" w:color="D9D9E3"/>
                    <w:right w:val="single" w:sz="2" w:space="0" w:color="D9D9E3"/>
                  </w:divBdr>
                  <w:divsChild>
                    <w:div w:id="1164972149">
                      <w:marLeft w:val="0"/>
                      <w:marRight w:val="0"/>
                      <w:marTop w:val="0"/>
                      <w:marBottom w:val="0"/>
                      <w:divBdr>
                        <w:top w:val="single" w:sz="2" w:space="0" w:color="D9D9E3"/>
                        <w:left w:val="single" w:sz="2" w:space="0" w:color="D9D9E3"/>
                        <w:bottom w:val="single" w:sz="2" w:space="0" w:color="D9D9E3"/>
                        <w:right w:val="single" w:sz="2" w:space="0" w:color="D9D9E3"/>
                      </w:divBdr>
                      <w:divsChild>
                        <w:div w:id="197666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8224436">
      <w:bodyDiv w:val="1"/>
      <w:marLeft w:val="0"/>
      <w:marRight w:val="0"/>
      <w:marTop w:val="0"/>
      <w:marBottom w:val="0"/>
      <w:divBdr>
        <w:top w:val="none" w:sz="0" w:space="0" w:color="auto"/>
        <w:left w:val="none" w:sz="0" w:space="0" w:color="auto"/>
        <w:bottom w:val="none" w:sz="0" w:space="0" w:color="auto"/>
        <w:right w:val="none" w:sz="0" w:space="0" w:color="auto"/>
      </w:divBdr>
    </w:div>
    <w:div w:id="838693130">
      <w:bodyDiv w:val="1"/>
      <w:marLeft w:val="0"/>
      <w:marRight w:val="0"/>
      <w:marTop w:val="0"/>
      <w:marBottom w:val="0"/>
      <w:divBdr>
        <w:top w:val="none" w:sz="0" w:space="0" w:color="auto"/>
        <w:left w:val="none" w:sz="0" w:space="0" w:color="auto"/>
        <w:bottom w:val="none" w:sz="0" w:space="0" w:color="auto"/>
        <w:right w:val="none" w:sz="0" w:space="0" w:color="auto"/>
      </w:divBdr>
    </w:div>
    <w:div w:id="1270744088">
      <w:bodyDiv w:val="1"/>
      <w:marLeft w:val="0"/>
      <w:marRight w:val="0"/>
      <w:marTop w:val="0"/>
      <w:marBottom w:val="0"/>
      <w:divBdr>
        <w:top w:val="none" w:sz="0" w:space="0" w:color="auto"/>
        <w:left w:val="none" w:sz="0" w:space="0" w:color="auto"/>
        <w:bottom w:val="none" w:sz="0" w:space="0" w:color="auto"/>
        <w:right w:val="none" w:sz="0" w:space="0" w:color="auto"/>
      </w:divBdr>
    </w:div>
    <w:div w:id="1344165983">
      <w:bodyDiv w:val="1"/>
      <w:marLeft w:val="0"/>
      <w:marRight w:val="0"/>
      <w:marTop w:val="0"/>
      <w:marBottom w:val="0"/>
      <w:divBdr>
        <w:top w:val="none" w:sz="0" w:space="0" w:color="auto"/>
        <w:left w:val="none" w:sz="0" w:space="0" w:color="auto"/>
        <w:bottom w:val="none" w:sz="0" w:space="0" w:color="auto"/>
        <w:right w:val="none" w:sz="0" w:space="0" w:color="auto"/>
      </w:divBdr>
    </w:div>
    <w:div w:id="14423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28d3af-ec69-4ce5-aff6-de903cb24472">
      <Terms xmlns="http://schemas.microsoft.com/office/infopath/2007/PartnerControls"/>
    </lcf76f155ced4ddcb4097134ff3c332f>
    <TaxCatchAll xmlns="e188ef89-f412-4c9f-bec1-9b807e26fc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6E713F2EA58240A5DB0B71BF52C6E9" ma:contentTypeVersion="15" ma:contentTypeDescription="Crée un document." ma:contentTypeScope="" ma:versionID="f853f89919e2079264d7da41ad042950">
  <xsd:schema xmlns:xsd="http://www.w3.org/2001/XMLSchema" xmlns:xs="http://www.w3.org/2001/XMLSchema" xmlns:p="http://schemas.microsoft.com/office/2006/metadata/properties" xmlns:ns2="e188ef89-f412-4c9f-bec1-9b807e26fc0c" xmlns:ns3="5d28d3af-ec69-4ce5-aff6-de903cb24472" targetNamespace="http://schemas.microsoft.com/office/2006/metadata/properties" ma:root="true" ma:fieldsID="42593ec05f23da6f6e56987fd8dff09d" ns2:_="" ns3:_="">
    <xsd:import namespace="e188ef89-f412-4c9f-bec1-9b807e26fc0c"/>
    <xsd:import namespace="5d28d3af-ec69-4ce5-aff6-de903cb244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8ef89-f412-4c9f-bec1-9b807e26fc0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05d2e1c9-9018-4599-a3b7-68dd327b2275}" ma:internalName="TaxCatchAll" ma:showField="CatchAllData" ma:web="e188ef89-f412-4c9f-bec1-9b807e26fc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8d3af-ec69-4ce5-aff6-de903cb244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ba1fdb3a-de82-4fbc-8bfa-d950ee0f57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65274-55D5-4822-B6C9-5E4A31436D46}">
  <ds:schemaRefs>
    <ds:schemaRef ds:uri="http://schemas.microsoft.com/sharepoint/v3/contenttype/forms"/>
  </ds:schemaRefs>
</ds:datastoreItem>
</file>

<file path=customXml/itemProps2.xml><?xml version="1.0" encoding="utf-8"?>
<ds:datastoreItem xmlns:ds="http://schemas.openxmlformats.org/officeDocument/2006/customXml" ds:itemID="{BDC7105C-E3D0-B047-B51B-A23A1A9835FA}">
  <ds:schemaRefs>
    <ds:schemaRef ds:uri="http://schemas.openxmlformats.org/officeDocument/2006/bibliography"/>
  </ds:schemaRefs>
</ds:datastoreItem>
</file>

<file path=customXml/itemProps3.xml><?xml version="1.0" encoding="utf-8"?>
<ds:datastoreItem xmlns:ds="http://schemas.openxmlformats.org/officeDocument/2006/customXml" ds:itemID="{1A27DAFA-29FA-4B00-AD23-5C1F259B484F}">
  <ds:schemaRefs>
    <ds:schemaRef ds:uri="http://schemas.microsoft.com/office/2006/metadata/properties"/>
    <ds:schemaRef ds:uri="http://schemas.microsoft.com/office/infopath/2007/PartnerControls"/>
    <ds:schemaRef ds:uri="5d28d3af-ec69-4ce5-aff6-de903cb24472"/>
    <ds:schemaRef ds:uri="e188ef89-f412-4c9f-bec1-9b807e26fc0c"/>
  </ds:schemaRefs>
</ds:datastoreItem>
</file>

<file path=customXml/itemProps4.xml><?xml version="1.0" encoding="utf-8"?>
<ds:datastoreItem xmlns:ds="http://schemas.openxmlformats.org/officeDocument/2006/customXml" ds:itemID="{6267558C-CA50-4F96-A376-D3C9D5620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8ef89-f412-4c9f-bec1-9b807e26fc0c"/>
    <ds:schemaRef ds:uri="5d28d3af-ec69-4ce5-aff6-de903cb24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2547</Words>
  <Characters>14522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Didier Loukakou</cp:lastModifiedBy>
  <cp:revision>2</cp:revision>
  <dcterms:created xsi:type="dcterms:W3CDTF">2024-04-24T08:11:00Z</dcterms:created>
  <dcterms:modified xsi:type="dcterms:W3CDTF">2024-04-24T08:11:00Z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0x010100D16E713F2EA58240A5DB0B71BF52C6E9</vt:lpwstr>
  </property>
</Properties>
</file>