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DD42D2" w14:textId="309FC535" w:rsidR="00E62DB7" w:rsidRPr="00843759" w:rsidRDefault="00F94358" w:rsidP="00F94358">
      <w:pPr>
        <w:pBdr>
          <w:top w:val="single" w:sz="4" w:space="1" w:color="auto"/>
          <w:left w:val="single" w:sz="4" w:space="4" w:color="auto"/>
          <w:bottom w:val="single" w:sz="4" w:space="1" w:color="auto"/>
          <w:right w:val="single" w:sz="4" w:space="4" w:color="auto"/>
        </w:pBdr>
        <w:spacing w:after="345" w:line="675" w:lineRule="atLeast"/>
        <w:jc w:val="center"/>
        <w:outlineLvl w:val="1"/>
        <w:rPr>
          <w:rFonts w:ascii="Times New Roman" w:eastAsia="Times New Roman" w:hAnsi="Times New Roman" w:cs="Times New Roman"/>
          <w:color w:val="222222"/>
          <w:spacing w:val="-14"/>
          <w:sz w:val="54"/>
          <w:szCs w:val="54"/>
          <w:lang w:eastAsia="fr-FR"/>
        </w:rPr>
      </w:pPr>
      <w:r>
        <w:rPr>
          <w:rFonts w:ascii="Times New Roman" w:eastAsia="Times New Roman" w:hAnsi="Times New Roman" w:cs="Times New Roman"/>
          <w:color w:val="222222"/>
          <w:spacing w:val="-14"/>
          <w:sz w:val="54"/>
          <w:szCs w:val="54"/>
          <w:lang w:eastAsia="fr-FR"/>
        </w:rPr>
        <w:t>C</w:t>
      </w:r>
      <w:r w:rsidR="004D075C" w:rsidRPr="004D075C">
        <w:rPr>
          <w:rFonts w:ascii="Times New Roman" w:eastAsia="Times New Roman" w:hAnsi="Times New Roman" w:cs="Times New Roman"/>
          <w:color w:val="222222"/>
          <w:spacing w:val="-14"/>
          <w:sz w:val="54"/>
          <w:szCs w:val="54"/>
          <w:lang w:eastAsia="fr-FR"/>
        </w:rPr>
        <w:t>onsultation publique sur des projets d’instructions</w:t>
      </w:r>
      <w:r w:rsidR="004D075C" w:rsidRPr="00843759">
        <w:rPr>
          <w:rFonts w:ascii="Times New Roman" w:eastAsia="Times New Roman" w:hAnsi="Times New Roman" w:cs="Times New Roman"/>
          <w:color w:val="222222"/>
          <w:spacing w:val="-14"/>
          <w:sz w:val="54"/>
          <w:szCs w:val="54"/>
          <w:lang w:eastAsia="fr-FR"/>
        </w:rPr>
        <w:t xml:space="preserve"> </w:t>
      </w:r>
      <w:r w:rsidR="00E62DB7" w:rsidRPr="00843759">
        <w:rPr>
          <w:rFonts w:ascii="Times New Roman" w:eastAsia="Times New Roman" w:hAnsi="Times New Roman" w:cs="Times New Roman"/>
          <w:color w:val="222222"/>
          <w:spacing w:val="-14"/>
          <w:sz w:val="54"/>
          <w:szCs w:val="54"/>
          <w:lang w:eastAsia="fr-FR"/>
        </w:rPr>
        <w:t>de la COSUMAF (communiqué)</w:t>
      </w:r>
    </w:p>
    <w:p w14:paraId="481E044E" w14:textId="77777777" w:rsidR="003E3153" w:rsidRDefault="003E3153" w:rsidP="003E3153">
      <w:pPr>
        <w:spacing w:after="150" w:line="240" w:lineRule="auto"/>
        <w:jc w:val="both"/>
        <w:rPr>
          <w:rFonts w:ascii="Times New Roman" w:eastAsia="Times New Roman" w:hAnsi="Times New Roman" w:cs="Times New Roman"/>
          <w:sz w:val="24"/>
          <w:szCs w:val="24"/>
          <w:lang w:eastAsia="fr-FR"/>
        </w:rPr>
      </w:pPr>
    </w:p>
    <w:p w14:paraId="5CB6CDBE" w14:textId="77777777" w:rsidR="003E3153" w:rsidRDefault="003E3153" w:rsidP="003E3153">
      <w:pPr>
        <w:spacing w:after="150" w:line="240" w:lineRule="auto"/>
        <w:jc w:val="both"/>
        <w:rPr>
          <w:rFonts w:ascii="Times New Roman" w:eastAsia="Times New Roman" w:hAnsi="Times New Roman" w:cs="Times New Roman"/>
          <w:sz w:val="24"/>
          <w:szCs w:val="24"/>
          <w:lang w:eastAsia="fr-FR"/>
        </w:rPr>
      </w:pPr>
    </w:p>
    <w:p w14:paraId="472C9C34" w14:textId="14F09DC1" w:rsidR="004D075C" w:rsidRDefault="003E3153" w:rsidP="00E62DB7">
      <w:pPr>
        <w:spacing w:after="15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Commission de Surveillance du Marché Financier de l’Afrique Centrale (COSUMAF) lance une consultation publique sur des projets d’Instructions élaborés en vue de préciser les modalités d’application des dispositions du Règlement n°01/22/CEMAC/UMAC/CM/</w:t>
      </w:r>
      <w:r w:rsidRPr="003E3153">
        <w:rPr>
          <w:rFonts w:ascii="Times New Roman" w:eastAsia="Times New Roman" w:hAnsi="Times New Roman" w:cs="Times New Roman"/>
          <w:sz w:val="24"/>
          <w:szCs w:val="24"/>
          <w:lang w:eastAsia="fr-FR"/>
        </w:rPr>
        <w:t xml:space="preserve"> </w:t>
      </w:r>
      <w:r w:rsidRPr="00843759">
        <w:rPr>
          <w:rFonts w:ascii="Times New Roman" w:eastAsia="Times New Roman" w:hAnsi="Times New Roman" w:cs="Times New Roman"/>
          <w:sz w:val="24"/>
          <w:szCs w:val="24"/>
          <w:lang w:eastAsia="fr-FR"/>
        </w:rPr>
        <w:t xml:space="preserve">COSUMAF </w:t>
      </w:r>
      <w:r>
        <w:rPr>
          <w:rFonts w:ascii="Times New Roman" w:eastAsia="Times New Roman" w:hAnsi="Times New Roman" w:cs="Times New Roman"/>
          <w:sz w:val="24"/>
          <w:szCs w:val="24"/>
          <w:lang w:eastAsia="fr-FR"/>
        </w:rPr>
        <w:t xml:space="preserve">du </w:t>
      </w:r>
      <w:r w:rsidRPr="00843759">
        <w:rPr>
          <w:rFonts w:ascii="Times New Roman" w:eastAsia="Times New Roman" w:hAnsi="Times New Roman" w:cs="Times New Roman"/>
          <w:sz w:val="24"/>
          <w:szCs w:val="24"/>
          <w:lang w:eastAsia="fr-FR"/>
        </w:rPr>
        <w:t>21 juillet 2022</w:t>
      </w:r>
      <w:r>
        <w:rPr>
          <w:rFonts w:ascii="Times New Roman" w:eastAsia="Times New Roman" w:hAnsi="Times New Roman" w:cs="Times New Roman"/>
          <w:sz w:val="24"/>
          <w:szCs w:val="24"/>
          <w:lang w:eastAsia="fr-FR"/>
        </w:rPr>
        <w:t xml:space="preserve"> </w:t>
      </w:r>
      <w:r w:rsidRPr="00843759">
        <w:rPr>
          <w:rFonts w:ascii="Times New Roman" w:eastAsia="Times New Roman" w:hAnsi="Times New Roman" w:cs="Times New Roman"/>
          <w:sz w:val="24"/>
          <w:szCs w:val="24"/>
          <w:lang w:eastAsia="fr-FR"/>
        </w:rPr>
        <w:t>portant organisation et fonctionnement du marché financier de l’Afrique Centrale et d</w:t>
      </w:r>
      <w:r>
        <w:rPr>
          <w:rFonts w:ascii="Times New Roman" w:eastAsia="Times New Roman" w:hAnsi="Times New Roman" w:cs="Times New Roman"/>
          <w:sz w:val="24"/>
          <w:szCs w:val="24"/>
          <w:lang w:eastAsia="fr-FR"/>
        </w:rPr>
        <w:t>u</w:t>
      </w:r>
      <w:r w:rsidRPr="00843759">
        <w:rPr>
          <w:rFonts w:ascii="Times New Roman" w:eastAsia="Times New Roman" w:hAnsi="Times New Roman" w:cs="Times New Roman"/>
          <w:sz w:val="24"/>
          <w:szCs w:val="24"/>
          <w:lang w:eastAsia="fr-FR"/>
        </w:rPr>
        <w:t xml:space="preserve"> Règlement Général</w:t>
      </w:r>
      <w:r w:rsidRPr="004D075C">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de la COSUMAF.</w:t>
      </w:r>
    </w:p>
    <w:p w14:paraId="0C04000D" w14:textId="22E76B2E" w:rsidR="00E62DB7" w:rsidRDefault="004D075C" w:rsidP="00E62DB7">
      <w:pPr>
        <w:spacing w:after="15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présente </w:t>
      </w:r>
      <w:r w:rsidR="003E3153">
        <w:rPr>
          <w:rFonts w:ascii="Times New Roman" w:eastAsia="Times New Roman" w:hAnsi="Times New Roman" w:cs="Times New Roman"/>
          <w:sz w:val="24"/>
          <w:szCs w:val="24"/>
          <w:lang w:eastAsia="fr-FR"/>
        </w:rPr>
        <w:t>c</w:t>
      </w:r>
      <w:r>
        <w:rPr>
          <w:rFonts w:ascii="Times New Roman" w:eastAsia="Times New Roman" w:hAnsi="Times New Roman" w:cs="Times New Roman"/>
          <w:sz w:val="24"/>
          <w:szCs w:val="24"/>
          <w:lang w:eastAsia="fr-FR"/>
        </w:rPr>
        <w:t>onsultation publique porte sur les douze</w:t>
      </w:r>
      <w:r w:rsidRPr="00843759">
        <w:rPr>
          <w:rFonts w:ascii="Times New Roman" w:eastAsia="Times New Roman" w:hAnsi="Times New Roman" w:cs="Times New Roman"/>
          <w:sz w:val="24"/>
          <w:szCs w:val="24"/>
          <w:lang w:eastAsia="fr-FR"/>
        </w:rPr>
        <w:t xml:space="preserve"> (12) projets d’Instructions </w:t>
      </w:r>
      <w:r w:rsidR="00E62DB7" w:rsidRPr="00843759">
        <w:rPr>
          <w:rFonts w:ascii="Times New Roman" w:eastAsia="Times New Roman" w:hAnsi="Times New Roman" w:cs="Times New Roman"/>
          <w:sz w:val="24"/>
          <w:szCs w:val="24"/>
          <w:lang w:eastAsia="fr-FR"/>
        </w:rPr>
        <w:t>suivants : </w:t>
      </w:r>
    </w:p>
    <w:p w14:paraId="348106A5" w14:textId="77777777" w:rsidR="004D075C" w:rsidRPr="00843759" w:rsidRDefault="004D075C" w:rsidP="00E62DB7">
      <w:pPr>
        <w:spacing w:after="150" w:line="240" w:lineRule="auto"/>
        <w:jc w:val="both"/>
        <w:rPr>
          <w:rFonts w:ascii="Times New Roman" w:eastAsia="Times New Roman" w:hAnsi="Times New Roman" w:cs="Times New Roman"/>
          <w:sz w:val="24"/>
          <w:szCs w:val="24"/>
          <w:lang w:eastAsia="fr-FR"/>
        </w:rPr>
      </w:pPr>
    </w:p>
    <w:p w14:paraId="1082A514" w14:textId="3A6CC029"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 modèle type de document d’information d’un organisme de placement collectif en valeurs mobilières ;</w:t>
      </w:r>
    </w:p>
    <w:p w14:paraId="6B8EBDB6" w14:textId="77777777" w:rsidR="00E62DB7" w:rsidRPr="00E62DB7" w:rsidRDefault="00E62DB7" w:rsidP="00E62DB7">
      <w:pPr>
        <w:pStyle w:val="Paragraphedeliste"/>
        <w:shd w:val="clear" w:color="auto" w:fill="FFFFFF"/>
        <w:spacing w:line="240" w:lineRule="auto"/>
        <w:jc w:val="both"/>
        <w:rPr>
          <w:rFonts w:ascii="Times New Roman" w:eastAsia="Times New Roman" w:hAnsi="Times New Roman" w:cs="Times New Roman"/>
          <w:color w:val="000000"/>
          <w:sz w:val="24"/>
          <w:szCs w:val="24"/>
          <w:lang w:eastAsia="fr-FR"/>
        </w:rPr>
      </w:pPr>
    </w:p>
    <w:p w14:paraId="7F03A623" w14:textId="5972ABB9"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aux méthodes de diffusion permettant d’assurer une communication appropriée des informations relatives au prix d’émission, de vente, de rachat ou de remboursement des parts de l’OPC.</w:t>
      </w:r>
    </w:p>
    <w:p w14:paraId="3748608D"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4A097D8E" w14:textId="25D349E6"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 contenu du dossier de la demande d’enregistrement des opérations de placement privé ;</w:t>
      </w:r>
    </w:p>
    <w:p w14:paraId="0D88BD18"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69229FB4" w14:textId="2637516F"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 contenu et au format du document d’information simplifié exigé dans le cadre d’une opération de placement privé ;</w:t>
      </w:r>
    </w:p>
    <w:p w14:paraId="0836092F"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7055A48A" w14:textId="22211F72"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aux modalités de commercialisation, de publicité ou de démarchage des OPCVM</w:t>
      </w:r>
      <w:r>
        <w:rPr>
          <w:rFonts w:ascii="Times New Roman" w:eastAsia="Times New Roman" w:hAnsi="Times New Roman" w:cs="Times New Roman"/>
          <w:color w:val="000000"/>
          <w:sz w:val="24"/>
          <w:szCs w:val="24"/>
          <w:lang w:eastAsia="fr-FR"/>
        </w:rPr>
        <w:t> ;</w:t>
      </w:r>
    </w:p>
    <w:p w14:paraId="0F4EFF2C"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20962E68" w14:textId="4974DD59"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aux mentions minimales devant figurer dans les contrats de placements conclus entre un émetteur et un agent placeur</w:t>
      </w:r>
      <w:r>
        <w:rPr>
          <w:rFonts w:ascii="Times New Roman" w:eastAsia="Times New Roman" w:hAnsi="Times New Roman" w:cs="Times New Roman"/>
          <w:color w:val="000000"/>
          <w:sz w:val="24"/>
          <w:szCs w:val="24"/>
          <w:lang w:eastAsia="fr-FR"/>
        </w:rPr>
        <w:t> ;</w:t>
      </w:r>
    </w:p>
    <w:p w14:paraId="71986C6E"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3C7F1164" w14:textId="4C68EF35"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aux modalités et fréquence de publication des informations périodiques des émetteurs faisant appel public à l’épargne</w:t>
      </w:r>
      <w:r>
        <w:rPr>
          <w:rFonts w:ascii="Times New Roman" w:eastAsia="Times New Roman" w:hAnsi="Times New Roman" w:cs="Times New Roman"/>
          <w:color w:val="000000"/>
          <w:sz w:val="24"/>
          <w:szCs w:val="24"/>
          <w:lang w:eastAsia="fr-FR"/>
        </w:rPr>
        <w:t> ;</w:t>
      </w:r>
    </w:p>
    <w:p w14:paraId="55AE7870"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71CAF959" w14:textId="2F77CFF5"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aux modalités d’établissement de la cartographie des risques auxquels sont exposés les personnes, structures ou organismes places sous contrôle de la COSUMAF</w:t>
      </w:r>
      <w:r>
        <w:rPr>
          <w:rFonts w:ascii="Times New Roman" w:eastAsia="Times New Roman" w:hAnsi="Times New Roman" w:cs="Times New Roman"/>
          <w:color w:val="000000"/>
          <w:sz w:val="24"/>
          <w:szCs w:val="24"/>
          <w:lang w:eastAsia="fr-FR"/>
        </w:rPr>
        <w:t> ;</w:t>
      </w:r>
    </w:p>
    <w:p w14:paraId="023B7CBE"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6548284C" w14:textId="16EC78FD" w:rsidR="00E62DB7" w:rsidRPr="003E3153" w:rsidRDefault="00E62DB7" w:rsidP="003E3153">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relative aux modalités de mise en œuvre des obligations de vigilance applicables aux personnes, structures ou organismes soumis aux contrôles de la COSUMAF en matière de LCB/FT</w:t>
      </w:r>
      <w:r>
        <w:rPr>
          <w:rFonts w:ascii="Times New Roman" w:eastAsia="Times New Roman" w:hAnsi="Times New Roman" w:cs="Times New Roman"/>
          <w:color w:val="000000"/>
          <w:sz w:val="24"/>
          <w:szCs w:val="24"/>
          <w:lang w:eastAsia="fr-FR"/>
        </w:rPr>
        <w:t> ;</w:t>
      </w:r>
    </w:p>
    <w:p w14:paraId="559D9908" w14:textId="70CE6F4D"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lastRenderedPageBreak/>
        <w:t>Instruction relative aux facteurs de risques à prendre en compte en matière de lutte contre le blanchiment de capitaux et le financement du terrorisme</w:t>
      </w:r>
      <w:r>
        <w:rPr>
          <w:rFonts w:ascii="Times New Roman" w:eastAsia="Times New Roman" w:hAnsi="Times New Roman" w:cs="Times New Roman"/>
          <w:color w:val="000000"/>
          <w:sz w:val="24"/>
          <w:szCs w:val="24"/>
          <w:lang w:eastAsia="fr-FR"/>
        </w:rPr>
        <w:t> ;</w:t>
      </w:r>
    </w:p>
    <w:p w14:paraId="4079009D"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1A04B8C0" w14:textId="673B7B83" w:rsid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précisant les opérations présentant un risque élevé de blanchiment de capitaux ou de financement du terrorisme en raison du pays ou du territoire d’origine ou de destination des fonds, de la nature des opérations en cause ou des structures juridiques impliquées dans ces opérations</w:t>
      </w:r>
      <w:r>
        <w:rPr>
          <w:rFonts w:ascii="Times New Roman" w:eastAsia="Times New Roman" w:hAnsi="Times New Roman" w:cs="Times New Roman"/>
          <w:color w:val="000000"/>
          <w:sz w:val="24"/>
          <w:szCs w:val="24"/>
          <w:lang w:eastAsia="fr-FR"/>
        </w:rPr>
        <w:t> ;</w:t>
      </w:r>
    </w:p>
    <w:p w14:paraId="682F24A9" w14:textId="77777777" w:rsidR="00E62DB7" w:rsidRPr="00E62DB7" w:rsidRDefault="00E62DB7" w:rsidP="00E62DB7">
      <w:pPr>
        <w:pStyle w:val="Paragraphedeliste"/>
        <w:rPr>
          <w:rFonts w:ascii="Times New Roman" w:eastAsia="Times New Roman" w:hAnsi="Times New Roman" w:cs="Times New Roman"/>
          <w:color w:val="000000"/>
          <w:sz w:val="24"/>
          <w:szCs w:val="24"/>
          <w:lang w:eastAsia="fr-FR"/>
        </w:rPr>
      </w:pPr>
    </w:p>
    <w:p w14:paraId="4230665B" w14:textId="09F948E1" w:rsidR="00E62DB7" w:rsidRPr="00E62DB7" w:rsidRDefault="00E62DB7" w:rsidP="00E62DB7">
      <w:pPr>
        <w:pStyle w:val="Paragraphedeliste"/>
        <w:numPr>
          <w:ilvl w:val="0"/>
          <w:numId w:val="1"/>
        </w:numPr>
        <w:shd w:val="clear" w:color="auto" w:fill="FFFFFF"/>
        <w:spacing w:line="240" w:lineRule="auto"/>
        <w:jc w:val="both"/>
        <w:rPr>
          <w:rFonts w:ascii="Times New Roman" w:eastAsia="Times New Roman" w:hAnsi="Times New Roman" w:cs="Times New Roman"/>
          <w:color w:val="000000"/>
          <w:sz w:val="24"/>
          <w:szCs w:val="24"/>
          <w:lang w:eastAsia="fr-FR"/>
        </w:rPr>
      </w:pPr>
      <w:r w:rsidRPr="00E62DB7">
        <w:rPr>
          <w:rFonts w:ascii="Times New Roman" w:eastAsia="Times New Roman" w:hAnsi="Times New Roman" w:cs="Times New Roman"/>
          <w:color w:val="000000"/>
          <w:sz w:val="24"/>
          <w:szCs w:val="24"/>
          <w:lang w:eastAsia="fr-FR"/>
        </w:rPr>
        <w:t>Instruction précisant les conditions de diplôme et d’honorabilité, de compétences et d’expérience professionnelle applicables aux dirigeants et au personnel des structures ou organismes places sous le contrôle de la COSUMAF.</w:t>
      </w:r>
    </w:p>
    <w:p w14:paraId="4E418902" w14:textId="77777777" w:rsidR="00E62DB7" w:rsidRDefault="00E62DB7" w:rsidP="00E62DB7">
      <w:pPr>
        <w:spacing w:after="150" w:line="240" w:lineRule="auto"/>
        <w:jc w:val="both"/>
        <w:rPr>
          <w:rFonts w:ascii="Times New Roman" w:eastAsia="Times New Roman" w:hAnsi="Times New Roman" w:cs="Times New Roman"/>
          <w:sz w:val="24"/>
          <w:szCs w:val="24"/>
          <w:lang w:eastAsia="fr-FR"/>
        </w:rPr>
      </w:pPr>
    </w:p>
    <w:p w14:paraId="04FE4625" w14:textId="00C4FD86" w:rsidR="00F94358" w:rsidRDefault="003E3153" w:rsidP="00E62DB7">
      <w:pPr>
        <w:spacing w:after="15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Ladite consultation publique est organisée conformément aux dispositions de </w:t>
      </w:r>
      <w:r w:rsidR="00E62DB7" w:rsidRPr="00843759">
        <w:rPr>
          <w:rFonts w:ascii="Times New Roman" w:eastAsia="Times New Roman" w:hAnsi="Times New Roman" w:cs="Times New Roman"/>
          <w:sz w:val="24"/>
          <w:szCs w:val="24"/>
          <w:lang w:eastAsia="fr-FR"/>
        </w:rPr>
        <w:t>l’article 8 du Règlement Général de la COSUMAF. </w:t>
      </w:r>
    </w:p>
    <w:p w14:paraId="0565E466" w14:textId="203E9F06" w:rsidR="00F94358" w:rsidRDefault="00E62DB7" w:rsidP="00E62DB7">
      <w:pPr>
        <w:spacing w:after="150" w:line="240" w:lineRule="auto"/>
        <w:jc w:val="both"/>
        <w:rPr>
          <w:rFonts w:ascii="Times New Roman" w:eastAsia="Times New Roman" w:hAnsi="Times New Roman" w:cs="Times New Roman"/>
          <w:sz w:val="24"/>
          <w:szCs w:val="24"/>
          <w:lang w:eastAsia="fr-FR"/>
        </w:rPr>
      </w:pPr>
      <w:r w:rsidRPr="00843759">
        <w:rPr>
          <w:rFonts w:ascii="Times New Roman" w:eastAsia="Times New Roman" w:hAnsi="Times New Roman" w:cs="Times New Roman"/>
          <w:sz w:val="24"/>
          <w:szCs w:val="24"/>
          <w:lang w:eastAsia="fr-FR"/>
        </w:rPr>
        <w:t>Cette consultation s’adresse notamment aux acteurs et intervenants du marché et au public. Elle vise à recueillir les éventuelles observations et propositions des participants. </w:t>
      </w:r>
    </w:p>
    <w:p w14:paraId="2D727AEA" w14:textId="29D5AD4B" w:rsidR="00E62DB7" w:rsidRPr="00843759" w:rsidRDefault="00E62DB7" w:rsidP="00E62DB7">
      <w:pPr>
        <w:spacing w:after="150" w:line="240" w:lineRule="auto"/>
        <w:jc w:val="both"/>
        <w:rPr>
          <w:rFonts w:ascii="Times New Roman" w:eastAsia="Times New Roman" w:hAnsi="Times New Roman" w:cs="Times New Roman"/>
          <w:sz w:val="24"/>
          <w:szCs w:val="24"/>
          <w:lang w:eastAsia="fr-FR"/>
        </w:rPr>
      </w:pPr>
      <w:r w:rsidRPr="00843759">
        <w:rPr>
          <w:rFonts w:ascii="Times New Roman" w:eastAsia="Times New Roman" w:hAnsi="Times New Roman" w:cs="Times New Roman"/>
          <w:sz w:val="24"/>
          <w:szCs w:val="24"/>
          <w:lang w:eastAsia="fr-FR"/>
        </w:rPr>
        <w:t>La consultation publique court du 17 au 27 septembre 2024. </w:t>
      </w:r>
    </w:p>
    <w:p w14:paraId="32DCE030" w14:textId="1C28D8C1" w:rsidR="004D075C" w:rsidRPr="00843759" w:rsidRDefault="00E62DB7" w:rsidP="00E62DB7">
      <w:pPr>
        <w:spacing w:after="150" w:line="240" w:lineRule="auto"/>
        <w:jc w:val="both"/>
        <w:rPr>
          <w:rFonts w:ascii="Times New Roman" w:eastAsia="Times New Roman" w:hAnsi="Times New Roman" w:cs="Times New Roman"/>
          <w:sz w:val="24"/>
          <w:szCs w:val="24"/>
          <w:lang w:eastAsia="fr-FR"/>
        </w:rPr>
      </w:pPr>
      <w:r w:rsidRPr="00843759">
        <w:rPr>
          <w:rFonts w:ascii="Times New Roman" w:eastAsia="Times New Roman" w:hAnsi="Times New Roman" w:cs="Times New Roman"/>
          <w:sz w:val="24"/>
          <w:szCs w:val="24"/>
          <w:lang w:eastAsia="fr-FR"/>
        </w:rPr>
        <w:t>A l’issue de ce délai, la COSUMAF procèdera à l’analyse des observations formulées et publiera, sur son site internet, le procès-verbal</w:t>
      </w:r>
      <w:r w:rsidR="003E3153">
        <w:rPr>
          <w:rFonts w:ascii="Times New Roman" w:eastAsia="Times New Roman" w:hAnsi="Times New Roman" w:cs="Times New Roman"/>
          <w:sz w:val="24"/>
          <w:szCs w:val="24"/>
          <w:lang w:eastAsia="fr-FR"/>
        </w:rPr>
        <w:t xml:space="preserve"> correspondant</w:t>
      </w:r>
      <w:r w:rsidRPr="00843759">
        <w:rPr>
          <w:rFonts w:ascii="Times New Roman" w:eastAsia="Times New Roman" w:hAnsi="Times New Roman" w:cs="Times New Roman"/>
          <w:sz w:val="24"/>
          <w:szCs w:val="24"/>
          <w:lang w:eastAsia="fr-FR"/>
        </w:rPr>
        <w:t>.</w:t>
      </w:r>
    </w:p>
    <w:p w14:paraId="754C6BA1" w14:textId="7864BBB3" w:rsidR="00E006CA" w:rsidRDefault="00E62DB7" w:rsidP="00805641">
      <w:pPr>
        <w:spacing w:after="150" w:line="240" w:lineRule="auto"/>
        <w:rPr>
          <w:rFonts w:ascii="Times New Roman" w:eastAsia="Times New Roman" w:hAnsi="Times New Roman" w:cs="Times New Roman"/>
          <w:sz w:val="24"/>
          <w:szCs w:val="24"/>
          <w:lang w:eastAsia="fr-FR"/>
        </w:rPr>
      </w:pPr>
      <w:r w:rsidRPr="00843759">
        <w:rPr>
          <w:rFonts w:ascii="Times New Roman" w:eastAsia="Times New Roman" w:hAnsi="Times New Roman" w:cs="Times New Roman"/>
          <w:sz w:val="24"/>
          <w:szCs w:val="24"/>
          <w:lang w:eastAsia="fr-FR"/>
        </w:rPr>
        <w:t xml:space="preserve">Les participants sont invités à formuler par écrit leurs éventuelles observations ou propositions et à les transmettre </w:t>
      </w:r>
      <w:r w:rsidR="00805641">
        <w:rPr>
          <w:rFonts w:ascii="Times New Roman" w:eastAsia="Times New Roman" w:hAnsi="Times New Roman" w:cs="Times New Roman"/>
          <w:sz w:val="24"/>
          <w:szCs w:val="24"/>
          <w:lang w:eastAsia="fr-FR"/>
        </w:rPr>
        <w:t>à l’</w:t>
      </w:r>
      <w:r w:rsidRPr="00843759">
        <w:rPr>
          <w:rFonts w:ascii="Times New Roman" w:eastAsia="Times New Roman" w:hAnsi="Times New Roman" w:cs="Times New Roman"/>
          <w:sz w:val="24"/>
          <w:szCs w:val="24"/>
          <w:lang w:eastAsia="fr-FR"/>
        </w:rPr>
        <w:t xml:space="preserve">adresse électronique suivante : </w:t>
      </w:r>
      <w:hyperlink r:id="rId5" w:history="1">
        <w:r w:rsidR="00805641" w:rsidRPr="00CA54C2">
          <w:rPr>
            <w:rStyle w:val="Lienhypertexte"/>
            <w:rFonts w:ascii="Times New Roman" w:eastAsia="Times New Roman" w:hAnsi="Times New Roman" w:cs="Times New Roman"/>
            <w:sz w:val="24"/>
            <w:szCs w:val="24"/>
            <w:lang w:eastAsia="fr-FR"/>
          </w:rPr>
          <w:t>infos@cosumaf.org</w:t>
        </w:r>
      </w:hyperlink>
      <w:r w:rsidR="00E006CA">
        <w:rPr>
          <w:rFonts w:ascii="Times New Roman" w:eastAsia="Times New Roman" w:hAnsi="Times New Roman" w:cs="Times New Roman"/>
          <w:color w:val="A8833C"/>
          <w:sz w:val="24"/>
          <w:szCs w:val="24"/>
          <w:u w:val="single"/>
          <w:lang w:eastAsia="fr-FR"/>
        </w:rPr>
        <w:t xml:space="preserve"> </w:t>
      </w:r>
      <w:r w:rsidRPr="00843759">
        <w:rPr>
          <w:rFonts w:ascii="Times New Roman" w:eastAsia="Times New Roman" w:hAnsi="Times New Roman" w:cs="Times New Roman"/>
          <w:sz w:val="24"/>
          <w:szCs w:val="24"/>
          <w:lang w:eastAsia="fr-FR"/>
        </w:rPr>
        <w:t> </w:t>
      </w:r>
    </w:p>
    <w:p w14:paraId="4FCF7351" w14:textId="7A42F20A" w:rsidR="00E62DB7" w:rsidRPr="00072333" w:rsidRDefault="00E62DB7" w:rsidP="00E62DB7">
      <w:pPr>
        <w:spacing w:after="150" w:line="240" w:lineRule="auto"/>
        <w:jc w:val="both"/>
        <w:rPr>
          <w:rFonts w:ascii="Times New Roman" w:eastAsia="Times New Roman" w:hAnsi="Times New Roman" w:cs="Times New Roman"/>
          <w:sz w:val="24"/>
          <w:szCs w:val="24"/>
          <w:lang w:eastAsia="fr-FR"/>
        </w:rPr>
      </w:pPr>
      <w:r w:rsidRPr="00843759">
        <w:rPr>
          <w:rFonts w:ascii="Times New Roman" w:eastAsia="Times New Roman" w:hAnsi="Times New Roman" w:cs="Times New Roman"/>
          <w:sz w:val="24"/>
          <w:szCs w:val="24"/>
          <w:lang w:eastAsia="fr-FR"/>
        </w:rPr>
        <w:t>Les projets d’Instructions soumis à consultation sont accessibles par le lien suivant : </w:t>
      </w:r>
      <w:r w:rsidR="00E006CA">
        <w:t>……………………</w:t>
      </w:r>
      <w:r w:rsidR="00E006CA" w:rsidRPr="00072333">
        <w:rPr>
          <w:rFonts w:ascii="Times New Roman" w:eastAsia="Times New Roman" w:hAnsi="Times New Roman" w:cs="Times New Roman"/>
          <w:sz w:val="24"/>
          <w:szCs w:val="24"/>
          <w:lang w:eastAsia="fr-FR"/>
        </w:rPr>
        <w:t xml:space="preserve"> </w:t>
      </w:r>
    </w:p>
    <w:p w14:paraId="6F9F8291" w14:textId="77777777" w:rsidR="0077203F" w:rsidRDefault="0077203F" w:rsidP="00E62DB7"/>
    <w:p w14:paraId="0263AB5A" w14:textId="77777777" w:rsidR="003A4877" w:rsidRDefault="003A4877" w:rsidP="00E62DB7"/>
    <w:p w14:paraId="63ACA056" w14:textId="77777777" w:rsidR="003A4877" w:rsidRDefault="003A4877" w:rsidP="00E62DB7"/>
    <w:p w14:paraId="5A7D3C29" w14:textId="55A4FAD1" w:rsidR="003A4877" w:rsidRPr="00E62DB7" w:rsidRDefault="003A4877" w:rsidP="003A4877">
      <w:pPr>
        <w:ind w:left="5760"/>
      </w:pPr>
      <w:r>
        <w:t>Libreville, le 17 septembre 2024</w:t>
      </w:r>
    </w:p>
    <w:sectPr w:rsidR="003A4877" w:rsidRPr="00E62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F412F7"/>
    <w:multiLevelType w:val="hybridMultilevel"/>
    <w:tmpl w:val="9822F8A2"/>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5B5A4B24"/>
    <w:multiLevelType w:val="hybridMultilevel"/>
    <w:tmpl w:val="2C287058"/>
    <w:lvl w:ilvl="0" w:tplc="7DB0252A">
      <w:start w:val="1"/>
      <w:numFmt w:val="decimal"/>
      <w:lvlText w:val="%1."/>
      <w:lvlJc w:val="left"/>
      <w:pPr>
        <w:ind w:left="435" w:hanging="375"/>
      </w:pPr>
      <w:rPr>
        <w:rFonts w:hint="default"/>
      </w:rPr>
    </w:lvl>
    <w:lvl w:ilvl="1" w:tplc="20000019" w:tentative="1">
      <w:start w:val="1"/>
      <w:numFmt w:val="lowerLetter"/>
      <w:lvlText w:val="%2."/>
      <w:lvlJc w:val="left"/>
      <w:pPr>
        <w:ind w:left="1140" w:hanging="360"/>
      </w:pPr>
    </w:lvl>
    <w:lvl w:ilvl="2" w:tplc="2000001B" w:tentative="1">
      <w:start w:val="1"/>
      <w:numFmt w:val="lowerRoman"/>
      <w:lvlText w:val="%3."/>
      <w:lvlJc w:val="right"/>
      <w:pPr>
        <w:ind w:left="1860" w:hanging="180"/>
      </w:pPr>
    </w:lvl>
    <w:lvl w:ilvl="3" w:tplc="2000000F" w:tentative="1">
      <w:start w:val="1"/>
      <w:numFmt w:val="decimal"/>
      <w:lvlText w:val="%4."/>
      <w:lvlJc w:val="left"/>
      <w:pPr>
        <w:ind w:left="2580" w:hanging="360"/>
      </w:pPr>
    </w:lvl>
    <w:lvl w:ilvl="4" w:tplc="20000019" w:tentative="1">
      <w:start w:val="1"/>
      <w:numFmt w:val="lowerLetter"/>
      <w:lvlText w:val="%5."/>
      <w:lvlJc w:val="left"/>
      <w:pPr>
        <w:ind w:left="3300" w:hanging="360"/>
      </w:pPr>
    </w:lvl>
    <w:lvl w:ilvl="5" w:tplc="2000001B" w:tentative="1">
      <w:start w:val="1"/>
      <w:numFmt w:val="lowerRoman"/>
      <w:lvlText w:val="%6."/>
      <w:lvlJc w:val="right"/>
      <w:pPr>
        <w:ind w:left="4020" w:hanging="180"/>
      </w:pPr>
    </w:lvl>
    <w:lvl w:ilvl="6" w:tplc="2000000F" w:tentative="1">
      <w:start w:val="1"/>
      <w:numFmt w:val="decimal"/>
      <w:lvlText w:val="%7."/>
      <w:lvlJc w:val="left"/>
      <w:pPr>
        <w:ind w:left="4740" w:hanging="360"/>
      </w:pPr>
    </w:lvl>
    <w:lvl w:ilvl="7" w:tplc="20000019" w:tentative="1">
      <w:start w:val="1"/>
      <w:numFmt w:val="lowerLetter"/>
      <w:lvlText w:val="%8."/>
      <w:lvlJc w:val="left"/>
      <w:pPr>
        <w:ind w:left="5460" w:hanging="360"/>
      </w:pPr>
    </w:lvl>
    <w:lvl w:ilvl="8" w:tplc="2000001B" w:tentative="1">
      <w:start w:val="1"/>
      <w:numFmt w:val="lowerRoman"/>
      <w:lvlText w:val="%9."/>
      <w:lvlJc w:val="right"/>
      <w:pPr>
        <w:ind w:left="6180" w:hanging="180"/>
      </w:pPr>
    </w:lvl>
  </w:abstractNum>
  <w:num w:numId="1" w16cid:durableId="1393773019">
    <w:abstractNumId w:val="0"/>
  </w:num>
  <w:num w:numId="2" w16cid:durableId="940916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B7"/>
    <w:rsid w:val="00325A67"/>
    <w:rsid w:val="003A4877"/>
    <w:rsid w:val="003E3153"/>
    <w:rsid w:val="004D075C"/>
    <w:rsid w:val="006272BA"/>
    <w:rsid w:val="0077203F"/>
    <w:rsid w:val="00805641"/>
    <w:rsid w:val="00962387"/>
    <w:rsid w:val="00A54FE6"/>
    <w:rsid w:val="00A74CD7"/>
    <w:rsid w:val="00E006CA"/>
    <w:rsid w:val="00E62DB7"/>
    <w:rsid w:val="00F842E4"/>
    <w:rsid w:val="00F94358"/>
  </w:rsids>
  <m:mathPr>
    <m:mathFont m:val="Cambria Math"/>
    <m:brkBin m:val="before"/>
    <m:brkBinSub m:val="--"/>
    <m:smallFrac m:val="0"/>
    <m:dispDef/>
    <m:lMargin m:val="0"/>
    <m:rMargin m:val="0"/>
    <m:defJc m:val="centerGroup"/>
    <m:wrapIndent m:val="1440"/>
    <m:intLim m:val="subSup"/>
    <m:naryLim m:val="undOvr"/>
  </m:mathPr>
  <w:themeFontLang w:val="fr-G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DECC"/>
  <w15:chartTrackingRefBased/>
  <w15:docId w15:val="{C74BE246-9B6B-47CB-89B0-475001A41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G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B7"/>
    <w:rPr>
      <w:kern w:val="0"/>
      <w:lang w:val="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62DB7"/>
    <w:pPr>
      <w:ind w:left="720"/>
      <w:contextualSpacing/>
    </w:pPr>
  </w:style>
  <w:style w:type="character" w:styleId="Lienhypertexte">
    <w:name w:val="Hyperlink"/>
    <w:basedOn w:val="Policepardfaut"/>
    <w:uiPriority w:val="99"/>
    <w:unhideWhenUsed/>
    <w:rsid w:val="00E006CA"/>
    <w:rPr>
      <w:color w:val="0563C1" w:themeColor="hyperlink"/>
      <w:u w:val="single"/>
    </w:rPr>
  </w:style>
  <w:style w:type="character" w:styleId="Mentionnonrsolue">
    <w:name w:val="Unresolved Mention"/>
    <w:basedOn w:val="Policepardfaut"/>
    <w:uiPriority w:val="99"/>
    <w:semiHidden/>
    <w:unhideWhenUsed/>
    <w:rsid w:val="00E006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s@cosumaf.org"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515</Words>
  <Characters>2937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Ebenezer KEUFFI</dc:creator>
  <cp:keywords/>
  <dc:description/>
  <cp:lastModifiedBy>Ghislaine MAVOUNGOU MASSOUTA</cp:lastModifiedBy>
  <cp:revision>5</cp:revision>
  <dcterms:created xsi:type="dcterms:W3CDTF">2024-09-12T13:50:00Z</dcterms:created>
  <dcterms:modified xsi:type="dcterms:W3CDTF">2024-09-13T15:32:00Z</dcterms:modified>
</cp:coreProperties>
</file>