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68F20" w14:textId="616F4812" w:rsidR="00C9723A" w:rsidRPr="00C9723A" w:rsidRDefault="00C9723A" w:rsidP="00C9723A"/>
    <w:p w14:paraId="202D521C" w14:textId="77777777"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Monétaire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622217C0"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B676AB">
        <w:rPr>
          <w:rFonts w:ascii="Helvetica" w:hAnsi="Helvetica"/>
          <w:sz w:val="28"/>
          <w:szCs w:val="28"/>
        </w:rPr>
        <w:t>4</w:t>
      </w:r>
    </w:p>
    <w:p w14:paraId="58CA1ED9" w14:textId="1C24E1C4" w:rsidR="00880CFF" w:rsidRPr="00C9723A" w:rsidRDefault="00880CFF" w:rsidP="00880CFF">
      <w:pPr>
        <w:pStyle w:val="NormalWeb"/>
        <w:jc w:val="center"/>
        <w:rPr>
          <w:sz w:val="28"/>
          <w:szCs w:val="28"/>
        </w:rPr>
      </w:pPr>
      <w:r w:rsidRPr="00C9723A">
        <w:rPr>
          <w:rFonts w:ascii="Helvetica" w:hAnsi="Helvetica"/>
          <w:sz w:val="28"/>
          <w:szCs w:val="28"/>
        </w:rPr>
        <w:t xml:space="preserve">RELATIVE </w:t>
      </w:r>
      <w:r>
        <w:rPr>
          <w:rFonts w:ascii="Helvetica" w:hAnsi="Helvetica"/>
          <w:sz w:val="28"/>
          <w:szCs w:val="28"/>
        </w:rPr>
        <w:t xml:space="preserve">AUX </w:t>
      </w:r>
      <w:r w:rsidR="00961171">
        <w:rPr>
          <w:rFonts w:ascii="Helvetica" w:hAnsi="Helvetica"/>
          <w:sz w:val="28"/>
          <w:szCs w:val="28"/>
        </w:rPr>
        <w:t>FACTEURS DE RISQUES A PRENDRE EN COMPTE EN MATIERE DE LUTTE CONTRE LE BLANCHIMENT D</w:t>
      </w:r>
      <w:r w:rsidR="004C16EE">
        <w:rPr>
          <w:rFonts w:ascii="Helvetica" w:hAnsi="Helvetica"/>
          <w:sz w:val="28"/>
          <w:szCs w:val="28"/>
        </w:rPr>
        <w:t>E CAPITAUX</w:t>
      </w:r>
      <w:r w:rsidR="00961171">
        <w:rPr>
          <w:rFonts w:ascii="Helvetica" w:hAnsi="Helvetica"/>
          <w:sz w:val="28"/>
          <w:szCs w:val="28"/>
        </w:rPr>
        <w:t xml:space="preserve"> ET LE FINANCEMENT DU TERRORISME</w:t>
      </w:r>
    </w:p>
    <w:p w14:paraId="20D34039" w14:textId="5D0E439F" w:rsidR="00EF5E4D" w:rsidRPr="00C9723A" w:rsidRDefault="00EF5E4D" w:rsidP="00EF5E4D">
      <w:pPr>
        <w:pStyle w:val="NormalWeb"/>
        <w:jc w:val="center"/>
        <w:rPr>
          <w:sz w:val="28"/>
          <w:szCs w:val="28"/>
        </w:rPr>
      </w:pP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07D8DA2F" w:rsidR="00EF5E4D" w:rsidRPr="004765F7" w:rsidRDefault="00D84EB1" w:rsidP="004765F7">
      <w:pPr>
        <w:pStyle w:val="NormalWeb"/>
        <w:jc w:val="both"/>
        <w:rPr>
          <w:sz w:val="20"/>
          <w:szCs w:val="20"/>
        </w:rPr>
      </w:pPr>
      <w:r>
        <w:rPr>
          <w:rFonts w:ascii="Helvetica" w:hAnsi="Helvetica"/>
          <w:sz w:val="20"/>
          <w:szCs w:val="20"/>
        </w:rPr>
        <w:t xml:space="preserve">LE COLLEGE DE </w:t>
      </w:r>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50F600BC"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B676AB">
        <w:rPr>
          <w:rFonts w:ascii="Helvetica" w:hAnsi="Helvetica"/>
          <w:sz w:val="20"/>
          <w:szCs w:val="20"/>
        </w:rPr>
        <w:t>°</w:t>
      </w:r>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Pr="004765F7">
        <w:rPr>
          <w:rFonts w:ascii="Helvetica" w:hAnsi="Helvetica"/>
          <w:sz w:val="20"/>
          <w:szCs w:val="20"/>
        </w:rPr>
        <w:t xml:space="preserv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61D8051D"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C9723A" w:rsidRPr="004765F7">
        <w:rPr>
          <w:rFonts w:ascii="Helvetica" w:hAnsi="Helvetica"/>
          <w:sz w:val="20"/>
          <w:szCs w:val="20"/>
        </w:rPr>
        <w:t>Règlement</w:t>
      </w:r>
      <w:r w:rsidRPr="004765F7">
        <w:rPr>
          <w:rFonts w:ascii="Helvetica" w:hAnsi="Helvetica"/>
          <w:sz w:val="20"/>
          <w:szCs w:val="20"/>
        </w:rPr>
        <w:t xml:space="preserve"> n</w:t>
      </w:r>
      <w:r w:rsidR="00B676AB">
        <w:rPr>
          <w:rFonts w:ascii="Helvetica" w:hAnsi="Helvetica"/>
          <w:sz w:val="20"/>
          <w:szCs w:val="20"/>
        </w:rPr>
        <w:t>°01/22/</w:t>
      </w:r>
      <w:r w:rsidRPr="004765F7">
        <w:rPr>
          <w:rFonts w:ascii="Helvetica" w:hAnsi="Helvetica"/>
          <w:sz w:val="20"/>
          <w:szCs w:val="20"/>
        </w:rPr>
        <w:t>CEMAC</w:t>
      </w:r>
      <w:r w:rsidR="00B676AB">
        <w:rPr>
          <w:rFonts w:ascii="Helvetica" w:hAnsi="Helvetica"/>
          <w:sz w:val="20"/>
          <w:szCs w:val="20"/>
        </w:rPr>
        <w:t>/</w:t>
      </w:r>
      <w:r w:rsidRPr="004765F7">
        <w:rPr>
          <w:rFonts w:ascii="Helvetica" w:hAnsi="Helvetica"/>
          <w:sz w:val="20"/>
          <w:szCs w:val="20"/>
        </w:rPr>
        <w:t>UMAC</w:t>
      </w:r>
      <w:r w:rsidR="00B676AB">
        <w:rPr>
          <w:rFonts w:ascii="Helvetica" w:hAnsi="Helvetica"/>
          <w:sz w:val="20"/>
          <w:szCs w:val="20"/>
        </w:rPr>
        <w:t>/CM/COSUMAF</w:t>
      </w:r>
      <w:r w:rsidRPr="004765F7">
        <w:rPr>
          <w:rFonts w:ascii="Helvetica" w:hAnsi="Helvetica"/>
          <w:sz w:val="20"/>
          <w:szCs w:val="20"/>
        </w:rPr>
        <w:t xml:space="preserve"> du</w:t>
      </w:r>
      <w:r w:rsidR="00B676AB">
        <w:rPr>
          <w:rFonts w:ascii="Helvetica" w:hAnsi="Helvetica"/>
          <w:sz w:val="20"/>
          <w:szCs w:val="20"/>
        </w:rPr>
        <w:t xml:space="preserve"> 21 juillet 2022</w:t>
      </w:r>
      <w:r w:rsidRPr="004765F7">
        <w:rPr>
          <w:rFonts w:ascii="Helvetica" w:hAnsi="Helvetica"/>
          <w:sz w:val="20"/>
          <w:szCs w:val="20"/>
        </w:rPr>
        <w:t xml:space="preserve"> porta</w:t>
      </w:r>
      <w:r w:rsidR="00C9723A">
        <w:rPr>
          <w:rFonts w:ascii="Helvetica" w:hAnsi="Helvetica"/>
          <w:sz w:val="20"/>
          <w:szCs w:val="20"/>
        </w:rPr>
        <w:t>n</w:t>
      </w:r>
      <w:r w:rsidRPr="004765F7">
        <w:rPr>
          <w:rFonts w:ascii="Helvetica" w:hAnsi="Helvetica"/>
          <w:sz w:val="20"/>
          <w:szCs w:val="20"/>
        </w:rPr>
        <w:t>t Organisation</w:t>
      </w:r>
      <w:r w:rsidR="00B676AB">
        <w:rPr>
          <w:rFonts w:ascii="Helvetica" w:hAnsi="Helvetica"/>
          <w:sz w:val="20"/>
          <w:szCs w:val="20"/>
        </w:rPr>
        <w:t xml:space="preserve"> et</w:t>
      </w:r>
      <w:r w:rsidRPr="004765F7">
        <w:rPr>
          <w:rFonts w:ascii="Helvetica" w:hAnsi="Helvetica"/>
          <w:sz w:val="20"/>
          <w:szCs w:val="20"/>
        </w:rPr>
        <w:t xml:space="preserve"> Fonctionnement du Marché Financier de </w:t>
      </w:r>
      <w:r w:rsidR="0031620A">
        <w:rPr>
          <w:rFonts w:ascii="Helvetica" w:hAnsi="Helvetica"/>
          <w:sz w:val="20"/>
          <w:szCs w:val="20"/>
        </w:rPr>
        <w:t>l</w:t>
      </w:r>
      <w:r w:rsidRPr="004765F7">
        <w:rPr>
          <w:rFonts w:ascii="Helvetica" w:hAnsi="Helvetica"/>
          <w:sz w:val="20"/>
          <w:szCs w:val="20"/>
        </w:rPr>
        <w:t xml:space="preserve">'Afrique </w:t>
      </w:r>
      <w:proofErr w:type="gramStart"/>
      <w:r w:rsidRPr="004765F7">
        <w:rPr>
          <w:rFonts w:ascii="Helvetica" w:hAnsi="Helvetica"/>
          <w:sz w:val="20"/>
          <w:szCs w:val="20"/>
        </w:rPr>
        <w:t>Centrale</w:t>
      </w:r>
      <w:proofErr w:type="gramEnd"/>
      <w:r w:rsidR="00B676AB">
        <w:rPr>
          <w:rFonts w:ascii="Helvetica" w:hAnsi="Helvetica"/>
          <w:sz w:val="20"/>
          <w:szCs w:val="20"/>
        </w:rPr>
        <w:t> ;</w:t>
      </w:r>
    </w:p>
    <w:p w14:paraId="3F39EA8E" w14:textId="74E72B71"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e Règlement Généra</w:t>
      </w:r>
      <w:r w:rsidR="009E26C7">
        <w:rPr>
          <w:rFonts w:ascii="Helvetica" w:hAnsi="Helvetica"/>
          <w:sz w:val="20"/>
          <w:szCs w:val="20"/>
        </w:rPr>
        <w:t>l</w:t>
      </w:r>
      <w:r w:rsidRPr="004765F7">
        <w:rPr>
          <w:rFonts w:ascii="Helvetica" w:hAnsi="Helvetica"/>
          <w:sz w:val="20"/>
          <w:szCs w:val="20"/>
        </w:rPr>
        <w:t xml:space="preserve"> de la Commission de Surveillance du Marché Financier de l'Afrique </w:t>
      </w:r>
      <w:proofErr w:type="gramStart"/>
      <w:r w:rsidRPr="004765F7">
        <w:rPr>
          <w:rFonts w:ascii="Helvetica" w:hAnsi="Helvetica"/>
          <w:sz w:val="20"/>
          <w:szCs w:val="20"/>
        </w:rPr>
        <w:t>Centrale</w:t>
      </w:r>
      <w:proofErr w:type="gramEnd"/>
      <w:r w:rsidR="00B676AB">
        <w:rPr>
          <w:rFonts w:ascii="Helvetica" w:hAnsi="Helvetica"/>
          <w:sz w:val="20"/>
          <w:szCs w:val="20"/>
        </w:rPr>
        <w:t> ;</w:t>
      </w:r>
    </w:p>
    <w:p w14:paraId="2BE8285F" w14:textId="637A96CB"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D84EB1">
        <w:rPr>
          <w:rFonts w:ascii="Helvetica" w:hAnsi="Helvetica"/>
          <w:sz w:val="20"/>
          <w:szCs w:val="20"/>
        </w:rPr>
        <w:t>30 septembre 2024 à Libreville</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1A2B2C">
      <w:pPr>
        <w:pStyle w:val="NormalWeb"/>
        <w:shd w:val="clear" w:color="auto" w:fill="FFFFFF" w:themeFill="background1"/>
        <w:jc w:val="both"/>
        <w:rPr>
          <w:rFonts w:ascii="Trebuchet MS" w:hAnsi="Trebuchet MS"/>
          <w:b/>
          <w:bCs/>
        </w:rPr>
      </w:pPr>
      <w:r w:rsidRPr="00ED6269">
        <w:rPr>
          <w:rFonts w:ascii="Trebuchet MS" w:hAnsi="Trebuchet MS"/>
          <w:b/>
          <w:bCs/>
        </w:rPr>
        <w:lastRenderedPageBreak/>
        <w:t xml:space="preserve">ARTICLE PREMIER </w:t>
      </w:r>
    </w:p>
    <w:p w14:paraId="28DA36A1" w14:textId="6BA4E5C1" w:rsidR="00FD1893" w:rsidRDefault="00B676AB" w:rsidP="001A2B2C">
      <w:pPr>
        <w:pStyle w:val="NormalWeb"/>
        <w:jc w:val="both"/>
        <w:rPr>
          <w:rFonts w:ascii="Calibri" w:hAnsi="Calibri" w:cs="Calibri"/>
          <w:sz w:val="20"/>
          <w:szCs w:val="20"/>
        </w:rPr>
      </w:pPr>
      <w:r>
        <w:rPr>
          <w:rFonts w:ascii="Calibri" w:hAnsi="Calibri" w:cs="Calibri"/>
          <w:sz w:val="20"/>
          <w:szCs w:val="20"/>
        </w:rPr>
        <w:t>La présente</w:t>
      </w:r>
      <w:r w:rsidR="007A275C">
        <w:rPr>
          <w:rFonts w:ascii="Calibri" w:hAnsi="Calibri" w:cs="Calibri"/>
          <w:sz w:val="20"/>
          <w:szCs w:val="20"/>
        </w:rPr>
        <w:t xml:space="preserve"> instruction</w:t>
      </w:r>
      <w:r>
        <w:rPr>
          <w:rFonts w:ascii="Calibri" w:hAnsi="Calibri" w:cs="Calibri"/>
          <w:sz w:val="20"/>
          <w:szCs w:val="20"/>
        </w:rPr>
        <w:t xml:space="preserve"> est prise en application des dispositions de l’article 14 du Règlement N°01/22/CEMAC/UMAC/CM/COSUMAF du 21 juillet 2022. Elle</w:t>
      </w:r>
      <w:r w:rsidR="007A275C">
        <w:rPr>
          <w:rFonts w:ascii="Calibri" w:hAnsi="Calibri" w:cs="Calibri"/>
          <w:sz w:val="20"/>
          <w:szCs w:val="20"/>
        </w:rPr>
        <w:t xml:space="preserve"> </w:t>
      </w:r>
      <w:r w:rsidR="007A275C" w:rsidRPr="00880CFF">
        <w:rPr>
          <w:rFonts w:ascii="Calibri" w:hAnsi="Calibri" w:cs="Calibri"/>
          <w:sz w:val="20"/>
          <w:szCs w:val="20"/>
        </w:rPr>
        <w:t>s’applique</w:t>
      </w:r>
      <w:r w:rsidR="007A275C">
        <w:rPr>
          <w:rFonts w:ascii="Calibri" w:hAnsi="Calibri" w:cs="Calibri"/>
          <w:sz w:val="20"/>
          <w:szCs w:val="20"/>
        </w:rPr>
        <w:t xml:space="preserve"> </w:t>
      </w:r>
      <w:r w:rsidR="00880CFF">
        <w:rPr>
          <w:rFonts w:ascii="Calibri" w:hAnsi="Calibri" w:cs="Calibri"/>
          <w:sz w:val="20"/>
          <w:szCs w:val="20"/>
        </w:rPr>
        <w:t xml:space="preserve">aux </w:t>
      </w:r>
      <w:r w:rsidR="00880CFF" w:rsidRPr="00880CFF">
        <w:rPr>
          <w:rFonts w:ascii="Calibri" w:hAnsi="Calibri" w:cs="Calibri"/>
          <w:sz w:val="20"/>
          <w:szCs w:val="20"/>
        </w:rPr>
        <w:t>personnes,</w:t>
      </w:r>
      <w:r w:rsidR="00DB6A30">
        <w:rPr>
          <w:rFonts w:ascii="Calibri" w:hAnsi="Calibri" w:cs="Calibri"/>
          <w:sz w:val="20"/>
          <w:szCs w:val="20"/>
        </w:rPr>
        <w:t xml:space="preserve"> structures </w:t>
      </w:r>
      <w:proofErr w:type="gramStart"/>
      <w:r w:rsidR="00DB6A30">
        <w:rPr>
          <w:rFonts w:ascii="Calibri" w:hAnsi="Calibri" w:cs="Calibri"/>
          <w:sz w:val="20"/>
          <w:szCs w:val="20"/>
        </w:rPr>
        <w:t xml:space="preserve">ou </w:t>
      </w:r>
      <w:r w:rsidR="00880CFF" w:rsidRPr="00880CFF">
        <w:rPr>
          <w:rFonts w:ascii="Calibri" w:hAnsi="Calibri" w:cs="Calibri"/>
          <w:sz w:val="20"/>
          <w:szCs w:val="20"/>
        </w:rPr>
        <w:t xml:space="preserve"> organismes</w:t>
      </w:r>
      <w:proofErr w:type="gramEnd"/>
      <w:r w:rsidR="00880CFF" w:rsidRPr="00880CFF">
        <w:rPr>
          <w:rFonts w:ascii="Calibri" w:hAnsi="Calibri" w:cs="Calibri"/>
          <w:sz w:val="20"/>
          <w:szCs w:val="20"/>
        </w:rPr>
        <w:t xml:space="preserve"> soumis au contrôle de la COSUMAF</w:t>
      </w:r>
      <w:r w:rsidR="00D84EB1">
        <w:rPr>
          <w:rFonts w:ascii="Calibri" w:hAnsi="Calibri" w:cs="Calibri"/>
          <w:sz w:val="20"/>
          <w:szCs w:val="20"/>
        </w:rPr>
        <w:t>.</w:t>
      </w:r>
      <w:r w:rsidR="00764479">
        <w:rPr>
          <w:rFonts w:ascii="Calibri" w:hAnsi="Calibri" w:cs="Calibri"/>
          <w:sz w:val="20"/>
          <w:szCs w:val="20"/>
        </w:rPr>
        <w:t>.</w:t>
      </w:r>
    </w:p>
    <w:p w14:paraId="03F78F81" w14:textId="5977D9A7" w:rsidR="00AC4D54" w:rsidRPr="00AC4D54" w:rsidRDefault="00EF5E4D" w:rsidP="001A2B2C">
      <w:pPr>
        <w:pStyle w:val="NormalWeb"/>
        <w:jc w:val="both"/>
        <w:rPr>
          <w:rFonts w:ascii="Trebuchet MS" w:hAnsi="Trebuchet MS"/>
          <w:b/>
          <w:bCs/>
        </w:rPr>
      </w:pPr>
      <w:r w:rsidRPr="00ED6269">
        <w:rPr>
          <w:rFonts w:ascii="Trebuchet MS" w:hAnsi="Trebuchet MS"/>
          <w:b/>
          <w:bCs/>
        </w:rPr>
        <w:t xml:space="preserve">ARTICLE 2 </w:t>
      </w:r>
      <w:r w:rsidR="00F803A8">
        <w:rPr>
          <w:rFonts w:ascii="Trebuchet MS" w:hAnsi="Trebuchet MS"/>
          <w:b/>
          <w:bCs/>
        </w:rPr>
        <w:t>–</w:t>
      </w:r>
      <w:r w:rsidR="00255CB8">
        <w:rPr>
          <w:rFonts w:ascii="Trebuchet MS" w:hAnsi="Trebuchet MS"/>
          <w:b/>
          <w:bCs/>
        </w:rPr>
        <w:t xml:space="preserve"> CONSIDERATIONS GENERALES</w:t>
      </w:r>
      <w:r w:rsidR="00AC4D54">
        <w:rPr>
          <w:rFonts w:ascii="Trebuchet MS" w:hAnsi="Trebuchet MS"/>
          <w:b/>
          <w:bCs/>
        </w:rPr>
        <w:t xml:space="preserve"> </w:t>
      </w:r>
    </w:p>
    <w:p w14:paraId="5F8656AF" w14:textId="31AE7B9F" w:rsidR="00764479" w:rsidRDefault="00764479" w:rsidP="003035AB">
      <w:pPr>
        <w:pStyle w:val="Paragraphedeliste"/>
        <w:numPr>
          <w:ilvl w:val="0"/>
          <w:numId w:val="9"/>
        </w:numPr>
        <w:spacing w:before="100" w:beforeAutospacing="1" w:after="100" w:afterAutospacing="1"/>
        <w:jc w:val="both"/>
        <w:rPr>
          <w:rFonts w:ascii="Calibri" w:hAnsi="Calibri" w:cs="Calibri"/>
          <w:sz w:val="20"/>
          <w:szCs w:val="20"/>
        </w:rPr>
      </w:pPr>
      <w:r w:rsidRPr="00764479">
        <w:rPr>
          <w:rFonts w:ascii="Calibri" w:hAnsi="Calibri" w:cs="Calibri"/>
          <w:sz w:val="20"/>
          <w:szCs w:val="20"/>
        </w:rPr>
        <w:t>L</w:t>
      </w:r>
      <w:r w:rsidR="00961171">
        <w:rPr>
          <w:rFonts w:ascii="Calibri" w:hAnsi="Calibri" w:cs="Calibri"/>
          <w:sz w:val="20"/>
          <w:szCs w:val="20"/>
        </w:rPr>
        <w:t xml:space="preserve">es assujettis doivent s’assurer de bien comprendre les risques de blanchiment </w:t>
      </w:r>
      <w:r w:rsidR="004C16EE">
        <w:rPr>
          <w:rFonts w:ascii="Calibri" w:hAnsi="Calibri" w:cs="Calibri"/>
          <w:sz w:val="20"/>
          <w:szCs w:val="20"/>
        </w:rPr>
        <w:t xml:space="preserve">de capitaux </w:t>
      </w:r>
      <w:r w:rsidR="00961171">
        <w:rPr>
          <w:rFonts w:ascii="Calibri" w:hAnsi="Calibri" w:cs="Calibri"/>
          <w:sz w:val="20"/>
          <w:szCs w:val="20"/>
        </w:rPr>
        <w:t>et</w:t>
      </w:r>
      <w:r w:rsidR="00DB6A30">
        <w:rPr>
          <w:rFonts w:ascii="Calibri" w:hAnsi="Calibri" w:cs="Calibri"/>
          <w:sz w:val="20"/>
          <w:szCs w:val="20"/>
        </w:rPr>
        <w:t xml:space="preserve"> de </w:t>
      </w:r>
      <w:r w:rsidR="00961171">
        <w:rPr>
          <w:rFonts w:ascii="Calibri" w:hAnsi="Calibri" w:cs="Calibri"/>
          <w:sz w:val="20"/>
          <w:szCs w:val="20"/>
        </w:rPr>
        <w:t xml:space="preserve"> financement du terrorisme auxquels ils sont exposés.</w:t>
      </w:r>
    </w:p>
    <w:p w14:paraId="3CD5D5A9" w14:textId="77777777" w:rsidR="00961171" w:rsidRDefault="00961171" w:rsidP="00961171">
      <w:pPr>
        <w:pStyle w:val="Paragraphedeliste"/>
        <w:spacing w:before="100" w:beforeAutospacing="1" w:after="100" w:afterAutospacing="1"/>
        <w:jc w:val="both"/>
        <w:rPr>
          <w:rFonts w:ascii="Calibri" w:hAnsi="Calibri" w:cs="Calibri"/>
          <w:sz w:val="20"/>
          <w:szCs w:val="20"/>
        </w:rPr>
      </w:pPr>
    </w:p>
    <w:p w14:paraId="7AA89C4F" w14:textId="7BFABF02" w:rsidR="00961171" w:rsidRDefault="00961171" w:rsidP="003035AB">
      <w:pPr>
        <w:pStyle w:val="Paragraphedeliste"/>
        <w:numPr>
          <w:ilvl w:val="0"/>
          <w:numId w:val="9"/>
        </w:numPr>
        <w:spacing w:before="100" w:beforeAutospacing="1" w:after="100" w:afterAutospacing="1"/>
        <w:jc w:val="both"/>
        <w:rPr>
          <w:rFonts w:ascii="Calibri" w:hAnsi="Calibri" w:cs="Calibri"/>
          <w:sz w:val="20"/>
          <w:szCs w:val="20"/>
        </w:rPr>
      </w:pPr>
      <w:r>
        <w:rPr>
          <w:rFonts w:ascii="Calibri" w:hAnsi="Calibri" w:cs="Calibri"/>
          <w:sz w:val="20"/>
          <w:szCs w:val="20"/>
        </w:rPr>
        <w:t xml:space="preserve">Pour se conformer aux obligations qui leur incombent, les assujettis doivent évaluer : </w:t>
      </w:r>
    </w:p>
    <w:p w14:paraId="7D849F01" w14:textId="77777777" w:rsidR="00961171" w:rsidRDefault="00961171" w:rsidP="00961171">
      <w:pPr>
        <w:pStyle w:val="Paragraphedeliste"/>
        <w:spacing w:before="100" w:beforeAutospacing="1" w:after="100" w:afterAutospacing="1"/>
        <w:jc w:val="both"/>
        <w:rPr>
          <w:rFonts w:ascii="Calibri" w:hAnsi="Calibri" w:cs="Calibri"/>
          <w:sz w:val="20"/>
          <w:szCs w:val="20"/>
        </w:rPr>
      </w:pPr>
    </w:p>
    <w:p w14:paraId="5DE2C9CB" w14:textId="300EFB00" w:rsidR="00961171" w:rsidRDefault="00961171" w:rsidP="003035AB">
      <w:pPr>
        <w:pStyle w:val="Paragraphedeliste"/>
        <w:numPr>
          <w:ilvl w:val="1"/>
          <w:numId w:val="10"/>
        </w:numPr>
        <w:spacing w:before="100" w:beforeAutospacing="1" w:after="100" w:afterAutospacing="1"/>
        <w:ind w:left="1276"/>
        <w:jc w:val="both"/>
        <w:rPr>
          <w:rFonts w:ascii="Calibri" w:hAnsi="Calibri" w:cs="Calibri"/>
          <w:sz w:val="20"/>
          <w:szCs w:val="20"/>
        </w:rPr>
      </w:pPr>
      <w:proofErr w:type="gramStart"/>
      <w:r>
        <w:rPr>
          <w:rFonts w:ascii="Calibri" w:hAnsi="Calibri" w:cs="Calibri"/>
          <w:sz w:val="20"/>
          <w:szCs w:val="20"/>
        </w:rPr>
        <w:t>le</w:t>
      </w:r>
      <w:proofErr w:type="gramEnd"/>
      <w:r>
        <w:rPr>
          <w:rFonts w:ascii="Calibri" w:hAnsi="Calibri" w:cs="Calibri"/>
          <w:sz w:val="20"/>
          <w:szCs w:val="20"/>
        </w:rPr>
        <w:t xml:space="preserve"> risque de blanchiment </w:t>
      </w:r>
      <w:r w:rsidR="004C16EE">
        <w:rPr>
          <w:rFonts w:ascii="Calibri" w:hAnsi="Calibri" w:cs="Calibri"/>
          <w:sz w:val="20"/>
          <w:szCs w:val="20"/>
        </w:rPr>
        <w:t xml:space="preserve">de capitaux </w:t>
      </w:r>
      <w:r>
        <w:rPr>
          <w:rFonts w:ascii="Calibri" w:hAnsi="Calibri" w:cs="Calibri"/>
          <w:sz w:val="20"/>
          <w:szCs w:val="20"/>
        </w:rPr>
        <w:t xml:space="preserve">et financement du terrorisme auquel ils sont exposés en raison de la nature et de la complexité de leurs activités ;  </w:t>
      </w:r>
    </w:p>
    <w:p w14:paraId="7734E293" w14:textId="6259F5E5" w:rsidR="00961171" w:rsidRDefault="00961171" w:rsidP="00961171">
      <w:pPr>
        <w:pStyle w:val="Paragraphedeliste"/>
        <w:spacing w:before="100" w:beforeAutospacing="1" w:after="100" w:afterAutospacing="1"/>
        <w:ind w:left="1276"/>
        <w:jc w:val="both"/>
        <w:rPr>
          <w:rFonts w:ascii="Calibri" w:hAnsi="Calibri" w:cs="Calibri"/>
          <w:sz w:val="20"/>
          <w:szCs w:val="20"/>
        </w:rPr>
      </w:pPr>
    </w:p>
    <w:p w14:paraId="6DDAA99D" w14:textId="38827098" w:rsidR="00961171" w:rsidRDefault="00961171" w:rsidP="003035AB">
      <w:pPr>
        <w:pStyle w:val="Paragraphedeliste"/>
        <w:numPr>
          <w:ilvl w:val="1"/>
          <w:numId w:val="10"/>
        </w:numPr>
        <w:spacing w:before="100" w:beforeAutospacing="1" w:after="100" w:afterAutospacing="1"/>
        <w:ind w:left="1276"/>
        <w:jc w:val="both"/>
        <w:rPr>
          <w:rFonts w:ascii="Calibri" w:hAnsi="Calibri" w:cs="Calibri"/>
          <w:sz w:val="20"/>
          <w:szCs w:val="20"/>
        </w:rPr>
      </w:pPr>
      <w:r>
        <w:rPr>
          <w:rFonts w:ascii="Calibri" w:hAnsi="Calibri" w:cs="Calibri"/>
          <w:sz w:val="20"/>
          <w:szCs w:val="20"/>
        </w:rPr>
        <w:t xml:space="preserve">le risque de blanchiment </w:t>
      </w:r>
      <w:r w:rsidR="004C16EE">
        <w:rPr>
          <w:rFonts w:ascii="Calibri" w:hAnsi="Calibri" w:cs="Calibri"/>
          <w:sz w:val="20"/>
          <w:szCs w:val="20"/>
        </w:rPr>
        <w:t xml:space="preserve">de capitaux </w:t>
      </w:r>
      <w:r>
        <w:rPr>
          <w:rFonts w:ascii="Calibri" w:hAnsi="Calibri" w:cs="Calibri"/>
          <w:sz w:val="20"/>
          <w:szCs w:val="20"/>
        </w:rPr>
        <w:t>et financement du terrorisme auquel ils s’exposent en nouant une relation d’affaires ou en concluant une transaction à titre occasionnel.</w:t>
      </w:r>
    </w:p>
    <w:p w14:paraId="16A74802" w14:textId="77777777" w:rsidR="00961171" w:rsidRDefault="00961171" w:rsidP="00961171">
      <w:pPr>
        <w:pStyle w:val="Paragraphedeliste"/>
        <w:spacing w:before="100" w:beforeAutospacing="1" w:after="100" w:afterAutospacing="1"/>
        <w:jc w:val="both"/>
        <w:rPr>
          <w:rFonts w:ascii="Calibri" w:hAnsi="Calibri" w:cs="Calibri"/>
          <w:sz w:val="20"/>
          <w:szCs w:val="20"/>
        </w:rPr>
      </w:pPr>
    </w:p>
    <w:p w14:paraId="5E4D2490" w14:textId="26931521" w:rsidR="00961171" w:rsidRDefault="00961171" w:rsidP="00961171">
      <w:pPr>
        <w:pStyle w:val="Paragraphedeliste"/>
        <w:spacing w:before="100" w:beforeAutospacing="1" w:after="100" w:afterAutospacing="1"/>
        <w:jc w:val="both"/>
        <w:rPr>
          <w:rFonts w:ascii="Calibri" w:hAnsi="Calibri" w:cs="Calibri"/>
          <w:sz w:val="20"/>
          <w:szCs w:val="20"/>
        </w:rPr>
      </w:pPr>
      <w:r>
        <w:rPr>
          <w:rFonts w:ascii="Calibri" w:hAnsi="Calibri" w:cs="Calibri"/>
          <w:sz w:val="20"/>
          <w:szCs w:val="20"/>
        </w:rPr>
        <w:t>Chaque évaluation des risques s’articule autour de deux étapes distinctes liées :</w:t>
      </w:r>
    </w:p>
    <w:p w14:paraId="1B3E46AE" w14:textId="77777777" w:rsidR="00961171" w:rsidRDefault="00961171" w:rsidP="00961171">
      <w:pPr>
        <w:pStyle w:val="Paragraphedeliste"/>
        <w:spacing w:before="100" w:beforeAutospacing="1" w:after="100" w:afterAutospacing="1"/>
        <w:jc w:val="both"/>
        <w:rPr>
          <w:rFonts w:ascii="Calibri" w:hAnsi="Calibri" w:cs="Calibri"/>
          <w:sz w:val="20"/>
          <w:szCs w:val="20"/>
        </w:rPr>
      </w:pPr>
    </w:p>
    <w:p w14:paraId="52310A3A" w14:textId="49BFF967" w:rsidR="00961171" w:rsidRDefault="00961171" w:rsidP="003035AB">
      <w:pPr>
        <w:pStyle w:val="Paragraphedeliste"/>
        <w:numPr>
          <w:ilvl w:val="0"/>
          <w:numId w:val="11"/>
        </w:numPr>
        <w:spacing w:before="100" w:beforeAutospacing="1" w:after="100" w:afterAutospacing="1"/>
        <w:ind w:left="1276"/>
        <w:jc w:val="both"/>
        <w:rPr>
          <w:rFonts w:ascii="Calibri" w:hAnsi="Calibri" w:cs="Calibri"/>
          <w:sz w:val="20"/>
          <w:szCs w:val="20"/>
        </w:rPr>
      </w:pPr>
      <w:r>
        <w:rPr>
          <w:rFonts w:ascii="Calibri" w:hAnsi="Calibri" w:cs="Calibri"/>
          <w:sz w:val="20"/>
          <w:szCs w:val="20"/>
        </w:rPr>
        <w:t xml:space="preserve">L’identification des facteurs de risque de blanchiment </w:t>
      </w:r>
      <w:r w:rsidR="004C16EE">
        <w:rPr>
          <w:rFonts w:ascii="Calibri" w:hAnsi="Calibri" w:cs="Calibri"/>
          <w:sz w:val="20"/>
          <w:szCs w:val="20"/>
        </w:rPr>
        <w:t xml:space="preserve">de capitaux </w:t>
      </w:r>
      <w:r>
        <w:rPr>
          <w:rFonts w:ascii="Calibri" w:hAnsi="Calibri" w:cs="Calibri"/>
          <w:sz w:val="20"/>
          <w:szCs w:val="20"/>
        </w:rPr>
        <w:t xml:space="preserve">et financement du terrorisme ; </w:t>
      </w:r>
    </w:p>
    <w:p w14:paraId="2C012849" w14:textId="77777777" w:rsidR="00961171" w:rsidRDefault="00961171" w:rsidP="00961171">
      <w:pPr>
        <w:pStyle w:val="Paragraphedeliste"/>
        <w:spacing w:before="100" w:beforeAutospacing="1" w:after="100" w:afterAutospacing="1"/>
        <w:ind w:left="1276"/>
        <w:jc w:val="both"/>
        <w:rPr>
          <w:rFonts w:ascii="Calibri" w:hAnsi="Calibri" w:cs="Calibri"/>
          <w:sz w:val="20"/>
          <w:szCs w:val="20"/>
        </w:rPr>
      </w:pPr>
    </w:p>
    <w:p w14:paraId="59B04C3B" w14:textId="6CD4632D" w:rsidR="00961171" w:rsidRDefault="00961171" w:rsidP="003035AB">
      <w:pPr>
        <w:pStyle w:val="Paragraphedeliste"/>
        <w:numPr>
          <w:ilvl w:val="0"/>
          <w:numId w:val="11"/>
        </w:numPr>
        <w:spacing w:before="100" w:beforeAutospacing="1" w:after="100" w:afterAutospacing="1"/>
        <w:ind w:left="1276"/>
        <w:jc w:val="both"/>
        <w:rPr>
          <w:rFonts w:ascii="Calibri" w:hAnsi="Calibri" w:cs="Calibri"/>
          <w:sz w:val="20"/>
          <w:szCs w:val="20"/>
        </w:rPr>
      </w:pPr>
      <w:r>
        <w:rPr>
          <w:rFonts w:ascii="Calibri" w:hAnsi="Calibri" w:cs="Calibri"/>
          <w:sz w:val="20"/>
          <w:szCs w:val="20"/>
        </w:rPr>
        <w:t xml:space="preserve">L’évaluation du risque de blanchiment </w:t>
      </w:r>
      <w:r w:rsidR="004C16EE">
        <w:rPr>
          <w:rFonts w:ascii="Calibri" w:hAnsi="Calibri" w:cs="Calibri"/>
          <w:sz w:val="20"/>
          <w:szCs w:val="20"/>
        </w:rPr>
        <w:t xml:space="preserve">de capitaux </w:t>
      </w:r>
      <w:r>
        <w:rPr>
          <w:rFonts w:ascii="Calibri" w:hAnsi="Calibri" w:cs="Calibri"/>
          <w:sz w:val="20"/>
          <w:szCs w:val="20"/>
        </w:rPr>
        <w:t>et financement du terrorisme</w:t>
      </w:r>
    </w:p>
    <w:p w14:paraId="77C06C1C" w14:textId="77777777" w:rsidR="00961171" w:rsidRDefault="00961171" w:rsidP="00961171">
      <w:pPr>
        <w:pStyle w:val="Paragraphedeliste"/>
        <w:spacing w:before="100" w:beforeAutospacing="1" w:after="100" w:afterAutospacing="1"/>
        <w:jc w:val="both"/>
        <w:rPr>
          <w:rFonts w:ascii="Calibri" w:hAnsi="Calibri" w:cs="Calibri"/>
          <w:sz w:val="20"/>
          <w:szCs w:val="20"/>
        </w:rPr>
      </w:pPr>
    </w:p>
    <w:p w14:paraId="23F6B452" w14:textId="7C801236" w:rsidR="00961171" w:rsidRDefault="00961171" w:rsidP="003035AB">
      <w:pPr>
        <w:pStyle w:val="Paragraphedeliste"/>
        <w:numPr>
          <w:ilvl w:val="0"/>
          <w:numId w:val="9"/>
        </w:numPr>
        <w:spacing w:before="100" w:beforeAutospacing="1" w:after="100" w:afterAutospacing="1"/>
        <w:jc w:val="both"/>
        <w:rPr>
          <w:rFonts w:ascii="Calibri" w:hAnsi="Calibri" w:cs="Calibri"/>
          <w:sz w:val="20"/>
          <w:szCs w:val="20"/>
        </w:rPr>
      </w:pPr>
      <w:r w:rsidRPr="00255CB8">
        <w:rPr>
          <w:rFonts w:ascii="Calibri" w:hAnsi="Calibri" w:cs="Calibri"/>
          <w:sz w:val="20"/>
          <w:szCs w:val="20"/>
        </w:rPr>
        <w:t xml:space="preserve">Lorsqu’ils évaluent le niveau global du risque résiduel de blanchiment </w:t>
      </w:r>
      <w:r w:rsidR="004C16EE">
        <w:rPr>
          <w:rFonts w:ascii="Calibri" w:hAnsi="Calibri" w:cs="Calibri"/>
          <w:sz w:val="20"/>
          <w:szCs w:val="20"/>
        </w:rPr>
        <w:t xml:space="preserve">de capitaux </w:t>
      </w:r>
      <w:r w:rsidRPr="00255CB8">
        <w:rPr>
          <w:rFonts w:ascii="Calibri" w:hAnsi="Calibri" w:cs="Calibri"/>
          <w:sz w:val="20"/>
          <w:szCs w:val="20"/>
        </w:rPr>
        <w:t xml:space="preserve">et financement du terrorisme associé à leurs activités et à des relations d’affaires individuelles ou à des transactions conclues à titre occasionnel, les </w:t>
      </w:r>
      <w:r w:rsidR="00255CB8" w:rsidRPr="00255CB8">
        <w:rPr>
          <w:rFonts w:ascii="Calibri" w:hAnsi="Calibri" w:cs="Calibri"/>
          <w:sz w:val="20"/>
          <w:szCs w:val="20"/>
        </w:rPr>
        <w:t>assujettis</w:t>
      </w:r>
      <w:r w:rsidRPr="00255CB8">
        <w:rPr>
          <w:rFonts w:ascii="Calibri" w:hAnsi="Calibri" w:cs="Calibri"/>
          <w:sz w:val="20"/>
          <w:szCs w:val="20"/>
        </w:rPr>
        <w:t xml:space="preserve"> </w:t>
      </w:r>
      <w:r w:rsidR="00255CB8" w:rsidRPr="00255CB8">
        <w:rPr>
          <w:rFonts w:ascii="Calibri" w:hAnsi="Calibri" w:cs="Calibri"/>
          <w:sz w:val="20"/>
          <w:szCs w:val="20"/>
        </w:rPr>
        <w:t>tiennent compte à la fois du niveau de risque inhérent et de la qualité des contrôles et autres facteurs d’atténuation des risques.</w:t>
      </w:r>
    </w:p>
    <w:p w14:paraId="50E26CA3" w14:textId="77777777" w:rsidR="00255CB8" w:rsidRDefault="00255CB8" w:rsidP="00255CB8">
      <w:pPr>
        <w:pStyle w:val="Paragraphedeliste"/>
        <w:spacing w:before="100" w:beforeAutospacing="1" w:after="100" w:afterAutospacing="1"/>
        <w:jc w:val="both"/>
        <w:rPr>
          <w:rFonts w:ascii="Calibri" w:hAnsi="Calibri" w:cs="Calibri"/>
          <w:sz w:val="20"/>
          <w:szCs w:val="20"/>
        </w:rPr>
      </w:pPr>
    </w:p>
    <w:p w14:paraId="3D161A93" w14:textId="001B7FDA" w:rsidR="00255CB8" w:rsidRDefault="00255CB8" w:rsidP="003035AB">
      <w:pPr>
        <w:pStyle w:val="Paragraphedeliste"/>
        <w:numPr>
          <w:ilvl w:val="0"/>
          <w:numId w:val="9"/>
        </w:numPr>
        <w:spacing w:before="100" w:beforeAutospacing="1" w:after="100" w:afterAutospacing="1"/>
        <w:jc w:val="both"/>
        <w:rPr>
          <w:rFonts w:ascii="Calibri" w:hAnsi="Calibri" w:cs="Calibri"/>
          <w:sz w:val="20"/>
          <w:szCs w:val="20"/>
        </w:rPr>
      </w:pPr>
      <w:r>
        <w:rPr>
          <w:rFonts w:ascii="Calibri" w:hAnsi="Calibri" w:cs="Calibri"/>
          <w:sz w:val="20"/>
          <w:szCs w:val="20"/>
        </w:rPr>
        <w:t>Les assujettis enregistrent et documentent leur évaluation des risques ainsi que toute modification apportée à cette évaluation, de sorte que l’assujetti et la COSUMAF puissent comprendre la manière dont elle a été réalisée et les raisons pour lesquelles elle a fait l’objet d’une méthode particulière.</w:t>
      </w:r>
    </w:p>
    <w:p w14:paraId="68F41A21" w14:textId="77777777" w:rsidR="00255CB8" w:rsidRDefault="00255CB8" w:rsidP="00255CB8">
      <w:pPr>
        <w:pStyle w:val="Paragraphedeliste"/>
        <w:spacing w:before="100" w:beforeAutospacing="1" w:after="100" w:afterAutospacing="1"/>
        <w:jc w:val="both"/>
        <w:rPr>
          <w:rFonts w:ascii="Calibri" w:hAnsi="Calibri" w:cs="Calibri"/>
          <w:sz w:val="20"/>
          <w:szCs w:val="20"/>
        </w:rPr>
      </w:pPr>
    </w:p>
    <w:p w14:paraId="3A780219" w14:textId="49A1B1C0" w:rsidR="00255CB8" w:rsidRPr="00AC4D54" w:rsidRDefault="00255CB8" w:rsidP="00255CB8">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3</w:t>
      </w:r>
      <w:r w:rsidRPr="00ED6269">
        <w:rPr>
          <w:rFonts w:ascii="Trebuchet MS" w:hAnsi="Trebuchet MS"/>
          <w:b/>
          <w:bCs/>
        </w:rPr>
        <w:t xml:space="preserve"> </w:t>
      </w:r>
      <w:r>
        <w:rPr>
          <w:rFonts w:ascii="Trebuchet MS" w:hAnsi="Trebuchet MS"/>
          <w:b/>
          <w:bCs/>
        </w:rPr>
        <w:t>– MISES A JOUR</w:t>
      </w:r>
      <w:r w:rsidR="00FB59EA">
        <w:rPr>
          <w:rFonts w:ascii="Trebuchet MS" w:hAnsi="Trebuchet MS"/>
          <w:b/>
          <w:bCs/>
        </w:rPr>
        <w:t xml:space="preserve"> DES EVALUATIONS DES RISQUES</w:t>
      </w:r>
    </w:p>
    <w:p w14:paraId="4901351C" w14:textId="4CBF0224" w:rsidR="00FB59EA" w:rsidRDefault="00FB59EA" w:rsidP="003035AB">
      <w:pPr>
        <w:pStyle w:val="Paragraphedeliste"/>
        <w:numPr>
          <w:ilvl w:val="0"/>
          <w:numId w:val="12"/>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Les assujettis mettent en place des systèmes et des contrôles qui permettent d’évaluer en permanence le risque de blanchiment </w:t>
      </w:r>
      <w:r w:rsidR="004C16EE">
        <w:rPr>
          <w:rFonts w:ascii="Calibri" w:hAnsi="Calibri" w:cs="Calibri"/>
          <w:sz w:val="20"/>
          <w:szCs w:val="20"/>
        </w:rPr>
        <w:t xml:space="preserve">de capitaux </w:t>
      </w:r>
      <w:r>
        <w:rPr>
          <w:rFonts w:ascii="Calibri" w:hAnsi="Calibri" w:cs="Calibri"/>
          <w:sz w:val="20"/>
          <w:szCs w:val="20"/>
        </w:rPr>
        <w:t>et financement du terrorisme associé à leur activité et à leurs relations d’affaires individuelles, afin que cette évaluation soit constamment à jour et pertinente.</w:t>
      </w:r>
    </w:p>
    <w:p w14:paraId="508AA78C" w14:textId="77777777" w:rsidR="00981B89" w:rsidRDefault="00981B89" w:rsidP="00981B89">
      <w:pPr>
        <w:pStyle w:val="Paragraphedeliste"/>
        <w:spacing w:before="100" w:beforeAutospacing="1" w:after="100" w:afterAutospacing="1"/>
        <w:jc w:val="both"/>
        <w:rPr>
          <w:rFonts w:ascii="Calibri" w:hAnsi="Calibri" w:cs="Calibri"/>
          <w:sz w:val="20"/>
          <w:szCs w:val="20"/>
        </w:rPr>
      </w:pPr>
    </w:p>
    <w:p w14:paraId="265B1BB2" w14:textId="64CFCC6B" w:rsidR="00981B89" w:rsidRDefault="00981B89" w:rsidP="003035AB">
      <w:pPr>
        <w:pStyle w:val="Paragraphedeliste"/>
        <w:numPr>
          <w:ilvl w:val="0"/>
          <w:numId w:val="12"/>
        </w:numPr>
        <w:spacing w:before="100" w:beforeAutospacing="1" w:after="100" w:afterAutospacing="1"/>
        <w:jc w:val="both"/>
        <w:rPr>
          <w:rFonts w:ascii="Calibri" w:hAnsi="Calibri" w:cs="Calibri"/>
          <w:sz w:val="20"/>
          <w:szCs w:val="20"/>
        </w:rPr>
      </w:pPr>
      <w:r>
        <w:rPr>
          <w:rFonts w:ascii="Calibri" w:hAnsi="Calibri" w:cs="Calibri"/>
          <w:sz w:val="20"/>
          <w:szCs w:val="20"/>
        </w:rPr>
        <w:t xml:space="preserve">Les systèmes et contrôles que les assujettis mettent en place pour tenir à jour leurs évaluations de risques individuelles doivent porter </w:t>
      </w:r>
      <w:r w:rsidR="006B6FE6">
        <w:rPr>
          <w:rFonts w:ascii="Calibri" w:hAnsi="Calibri" w:cs="Calibri"/>
          <w:sz w:val="20"/>
          <w:szCs w:val="20"/>
        </w:rPr>
        <w:t>à</w:t>
      </w:r>
      <w:r>
        <w:rPr>
          <w:rFonts w:ascii="Calibri" w:hAnsi="Calibri" w:cs="Calibri"/>
          <w:sz w:val="20"/>
          <w:szCs w:val="20"/>
        </w:rPr>
        <w:t xml:space="preserve"> minima sur les aspects suivants : </w:t>
      </w:r>
    </w:p>
    <w:p w14:paraId="311170AE" w14:textId="77777777" w:rsidR="00981B89" w:rsidRDefault="00981B89" w:rsidP="00981B89">
      <w:pPr>
        <w:pStyle w:val="Paragraphedeliste"/>
        <w:spacing w:before="100" w:beforeAutospacing="1" w:after="100" w:afterAutospacing="1"/>
        <w:jc w:val="both"/>
        <w:rPr>
          <w:rFonts w:ascii="Calibri" w:hAnsi="Calibri" w:cs="Calibri"/>
          <w:sz w:val="20"/>
          <w:szCs w:val="20"/>
        </w:rPr>
      </w:pPr>
    </w:p>
    <w:p w14:paraId="466A5C57" w14:textId="3296D76F" w:rsidR="00981B89" w:rsidRDefault="00981B89" w:rsidP="003035AB">
      <w:pPr>
        <w:pStyle w:val="Paragraphedeliste"/>
        <w:numPr>
          <w:ilvl w:val="0"/>
          <w:numId w:val="13"/>
        </w:numPr>
        <w:spacing w:before="100" w:beforeAutospacing="1" w:after="100" w:afterAutospacing="1"/>
        <w:jc w:val="both"/>
        <w:rPr>
          <w:rFonts w:ascii="Calibri" w:hAnsi="Calibri" w:cs="Calibri"/>
          <w:sz w:val="20"/>
          <w:szCs w:val="20"/>
        </w:rPr>
      </w:pPr>
      <w:r>
        <w:rPr>
          <w:rFonts w:ascii="Calibri" w:hAnsi="Calibri" w:cs="Calibri"/>
          <w:sz w:val="20"/>
          <w:szCs w:val="20"/>
        </w:rPr>
        <w:t>fixer la date à laquelle sera effectuée, chaque année civile, la prochaine mise à jour de l’évaluation des risques à l’échelle de l’entreprise, et en ce qui concerne l’évaluation de risques individuelle, fixer une date en fonction du risque pour s’assurer que les risques nouveaux ou émergents sont pris en compte ;</w:t>
      </w:r>
    </w:p>
    <w:p w14:paraId="36900957" w14:textId="6954CE1A" w:rsidR="00981B89" w:rsidRDefault="00981B89" w:rsidP="003035AB">
      <w:pPr>
        <w:pStyle w:val="Paragraphedeliste"/>
        <w:numPr>
          <w:ilvl w:val="0"/>
          <w:numId w:val="13"/>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981B89">
        <w:rPr>
          <w:rFonts w:ascii="Calibri" w:hAnsi="Calibri" w:cs="Calibri"/>
          <w:sz w:val="20"/>
          <w:szCs w:val="20"/>
        </w:rPr>
        <w:t>orsque l’</w:t>
      </w:r>
      <w:r>
        <w:rPr>
          <w:rFonts w:ascii="Calibri" w:hAnsi="Calibri" w:cs="Calibri"/>
          <w:sz w:val="20"/>
          <w:szCs w:val="20"/>
        </w:rPr>
        <w:t>assujetti</w:t>
      </w:r>
      <w:r w:rsidRPr="00981B89">
        <w:rPr>
          <w:rFonts w:ascii="Calibri" w:hAnsi="Calibri" w:cs="Calibri"/>
          <w:sz w:val="20"/>
          <w:szCs w:val="20"/>
        </w:rPr>
        <w:t xml:space="preserve"> prend connaissance avant cette date de l’apparition d’un nouveau risque de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ou financement du terrorisme</w:t>
      </w:r>
      <w:r w:rsidRPr="00981B89">
        <w:rPr>
          <w:rFonts w:ascii="Calibri" w:hAnsi="Calibri" w:cs="Calibri"/>
          <w:sz w:val="20"/>
          <w:szCs w:val="20"/>
        </w:rPr>
        <w:t xml:space="preserve"> ou de l’augmentation d’un risque existant, il d</w:t>
      </w:r>
      <w:r>
        <w:rPr>
          <w:rFonts w:ascii="Calibri" w:hAnsi="Calibri" w:cs="Calibri"/>
          <w:sz w:val="20"/>
          <w:szCs w:val="20"/>
        </w:rPr>
        <w:t xml:space="preserve">oit </w:t>
      </w:r>
      <w:r w:rsidRPr="00981B89">
        <w:rPr>
          <w:rFonts w:ascii="Calibri" w:hAnsi="Calibri" w:cs="Calibri"/>
          <w:sz w:val="20"/>
          <w:szCs w:val="20"/>
        </w:rPr>
        <w:t xml:space="preserve">en rendre compte dès que possible dans les évaluations de risques individuelles et à l’échelle de l’entreprise. </w:t>
      </w:r>
    </w:p>
    <w:p w14:paraId="49346631" w14:textId="03A02E1A" w:rsidR="00981B89" w:rsidRDefault="00981B89" w:rsidP="003035AB">
      <w:pPr>
        <w:pStyle w:val="Paragraphedeliste"/>
        <w:numPr>
          <w:ilvl w:val="0"/>
          <w:numId w:val="13"/>
        </w:numPr>
        <w:spacing w:before="100" w:beforeAutospacing="1" w:after="100" w:afterAutospacing="1"/>
        <w:jc w:val="both"/>
        <w:rPr>
          <w:rFonts w:ascii="Calibri" w:hAnsi="Calibri" w:cs="Calibri"/>
          <w:sz w:val="20"/>
          <w:szCs w:val="20"/>
        </w:rPr>
      </w:pPr>
      <w:r w:rsidRPr="00981B89">
        <w:rPr>
          <w:rFonts w:ascii="Calibri" w:hAnsi="Calibri" w:cs="Calibri"/>
          <w:sz w:val="20"/>
          <w:szCs w:val="20"/>
        </w:rPr>
        <w:t xml:space="preserve">Enregistrer soigneusement tout au long de la période de référence les événements qui pourraient avoir une incidence sur les évaluations de risques, telles que les déclarations de transaction suspecte effectuées, les manquements à la conformité ou les renseignements émanant </w:t>
      </w:r>
      <w:r>
        <w:rPr>
          <w:rFonts w:ascii="Calibri" w:hAnsi="Calibri" w:cs="Calibri"/>
          <w:sz w:val="20"/>
          <w:szCs w:val="20"/>
        </w:rPr>
        <w:t>des services opérationnels</w:t>
      </w:r>
    </w:p>
    <w:p w14:paraId="4A6EA059" w14:textId="77777777" w:rsidR="00981B89" w:rsidRDefault="00981B89" w:rsidP="00981B89">
      <w:pPr>
        <w:pStyle w:val="Paragraphedeliste"/>
        <w:spacing w:before="100" w:beforeAutospacing="1" w:after="100" w:afterAutospacing="1"/>
        <w:jc w:val="both"/>
        <w:rPr>
          <w:rFonts w:ascii="Calibri" w:hAnsi="Calibri" w:cs="Calibri"/>
          <w:sz w:val="20"/>
          <w:szCs w:val="20"/>
        </w:rPr>
      </w:pPr>
    </w:p>
    <w:p w14:paraId="061CDDCE" w14:textId="73040BB5" w:rsidR="00981B89" w:rsidRDefault="00981B89" w:rsidP="003035AB">
      <w:pPr>
        <w:pStyle w:val="Paragraphedeliste"/>
        <w:numPr>
          <w:ilvl w:val="0"/>
          <w:numId w:val="12"/>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981B89">
        <w:rPr>
          <w:rFonts w:ascii="Calibri" w:hAnsi="Calibri" w:cs="Calibri"/>
          <w:sz w:val="20"/>
          <w:szCs w:val="20"/>
        </w:rPr>
        <w:t xml:space="preserve">es </w:t>
      </w:r>
      <w:r>
        <w:rPr>
          <w:rFonts w:ascii="Calibri" w:hAnsi="Calibri" w:cs="Calibri"/>
          <w:sz w:val="20"/>
          <w:szCs w:val="20"/>
        </w:rPr>
        <w:t>assujettis doivent</w:t>
      </w:r>
      <w:r w:rsidRPr="00981B89">
        <w:rPr>
          <w:rFonts w:ascii="Calibri" w:hAnsi="Calibri" w:cs="Calibri"/>
          <w:sz w:val="20"/>
          <w:szCs w:val="20"/>
        </w:rPr>
        <w:t xml:space="preserve"> disposer de systèmes et de contrôles permettant de détecter les risques émergents en matière de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de financement du terrorisme</w:t>
      </w:r>
      <w:r w:rsidRPr="00981B89">
        <w:rPr>
          <w:rFonts w:ascii="Calibri" w:hAnsi="Calibri" w:cs="Calibri"/>
          <w:sz w:val="20"/>
          <w:szCs w:val="20"/>
        </w:rPr>
        <w:t>. Ils d</w:t>
      </w:r>
      <w:r>
        <w:rPr>
          <w:rFonts w:ascii="Calibri" w:hAnsi="Calibri" w:cs="Calibri"/>
          <w:sz w:val="20"/>
          <w:szCs w:val="20"/>
        </w:rPr>
        <w:t xml:space="preserve">oivent </w:t>
      </w:r>
      <w:r w:rsidRPr="00981B89">
        <w:rPr>
          <w:rFonts w:ascii="Calibri" w:hAnsi="Calibri" w:cs="Calibri"/>
          <w:sz w:val="20"/>
          <w:szCs w:val="20"/>
        </w:rPr>
        <w:t>être en mesure d’évaluer ces risques et, le cas échéant, de les intégrer en temps utile dans leurs évaluations de risques individuelles et à l’échelle de l’entreprise.</w:t>
      </w:r>
    </w:p>
    <w:p w14:paraId="65399BB4" w14:textId="0CCA7218" w:rsidR="00981B89" w:rsidRDefault="00981B89" w:rsidP="00981B89">
      <w:pPr>
        <w:pStyle w:val="Paragraphedeliste"/>
        <w:spacing w:before="100" w:beforeAutospacing="1" w:after="100" w:afterAutospacing="1"/>
        <w:jc w:val="both"/>
        <w:rPr>
          <w:rFonts w:ascii="Calibri" w:hAnsi="Calibri" w:cs="Calibri"/>
          <w:sz w:val="20"/>
          <w:szCs w:val="20"/>
        </w:rPr>
      </w:pPr>
    </w:p>
    <w:p w14:paraId="6015DF19" w14:textId="5EE598AA" w:rsidR="00D1542D" w:rsidRDefault="00981B89" w:rsidP="003035AB">
      <w:pPr>
        <w:pStyle w:val="Paragraphedeliste"/>
        <w:numPr>
          <w:ilvl w:val="0"/>
          <w:numId w:val="12"/>
        </w:numPr>
        <w:spacing w:before="100" w:beforeAutospacing="1" w:after="100" w:afterAutospacing="1"/>
        <w:jc w:val="both"/>
        <w:rPr>
          <w:rFonts w:ascii="Calibri" w:hAnsi="Calibri" w:cs="Calibri"/>
          <w:sz w:val="20"/>
          <w:szCs w:val="20"/>
        </w:rPr>
      </w:pPr>
      <w:r w:rsidRPr="00981B89">
        <w:rPr>
          <w:rFonts w:ascii="Calibri" w:hAnsi="Calibri" w:cs="Calibri"/>
          <w:sz w:val="20"/>
          <w:szCs w:val="20"/>
        </w:rPr>
        <w:t xml:space="preserve">Les systèmes et contrôles que les </w:t>
      </w:r>
      <w:r w:rsidR="0033633E">
        <w:rPr>
          <w:rFonts w:ascii="Calibri" w:hAnsi="Calibri" w:cs="Calibri"/>
          <w:sz w:val="20"/>
          <w:szCs w:val="20"/>
        </w:rPr>
        <w:t>assujettis</w:t>
      </w:r>
      <w:r w:rsidRPr="00981B89">
        <w:rPr>
          <w:rFonts w:ascii="Calibri" w:hAnsi="Calibri" w:cs="Calibri"/>
          <w:sz w:val="20"/>
          <w:szCs w:val="20"/>
        </w:rPr>
        <w:t xml:space="preserve"> d</w:t>
      </w:r>
      <w:r w:rsidR="0033633E">
        <w:rPr>
          <w:rFonts w:ascii="Calibri" w:hAnsi="Calibri" w:cs="Calibri"/>
          <w:sz w:val="20"/>
          <w:szCs w:val="20"/>
        </w:rPr>
        <w:t>oivent</w:t>
      </w:r>
      <w:r w:rsidRPr="00981B89">
        <w:rPr>
          <w:rFonts w:ascii="Calibri" w:hAnsi="Calibri" w:cs="Calibri"/>
          <w:sz w:val="20"/>
          <w:szCs w:val="20"/>
        </w:rPr>
        <w:t xml:space="preserve"> mettre en place pour identifier les risques émergents comprennent</w:t>
      </w:r>
      <w:r w:rsidR="00D1542D">
        <w:rPr>
          <w:rFonts w:ascii="Calibri" w:hAnsi="Calibri" w:cs="Calibri"/>
          <w:sz w:val="20"/>
          <w:szCs w:val="20"/>
        </w:rPr>
        <w:t xml:space="preserve"> </w:t>
      </w:r>
      <w:r w:rsidRPr="00981B89">
        <w:rPr>
          <w:rFonts w:ascii="Calibri" w:hAnsi="Calibri" w:cs="Calibri"/>
          <w:sz w:val="20"/>
          <w:szCs w:val="20"/>
        </w:rPr>
        <w:t xml:space="preserve">: </w:t>
      </w:r>
    </w:p>
    <w:p w14:paraId="133477D3" w14:textId="77777777" w:rsidR="00D1542D" w:rsidRDefault="00D1542D" w:rsidP="00D1542D">
      <w:pPr>
        <w:pStyle w:val="Paragraphedeliste"/>
        <w:spacing w:before="100" w:beforeAutospacing="1" w:after="100" w:afterAutospacing="1"/>
        <w:jc w:val="both"/>
        <w:rPr>
          <w:rFonts w:ascii="Calibri" w:hAnsi="Calibri" w:cs="Calibri"/>
          <w:sz w:val="20"/>
          <w:szCs w:val="20"/>
        </w:rPr>
      </w:pPr>
    </w:p>
    <w:p w14:paraId="34FE5631" w14:textId="21EF902E" w:rsidR="00981B89" w:rsidRDefault="00D1542D" w:rsidP="003035AB">
      <w:pPr>
        <w:pStyle w:val="Paragraphedeliste"/>
        <w:numPr>
          <w:ilvl w:val="0"/>
          <w:numId w:val="14"/>
        </w:numPr>
        <w:spacing w:before="100" w:beforeAutospacing="1" w:after="100" w:afterAutospacing="1"/>
        <w:jc w:val="both"/>
        <w:rPr>
          <w:rFonts w:ascii="Calibri" w:hAnsi="Calibri" w:cs="Calibri"/>
          <w:sz w:val="20"/>
          <w:szCs w:val="20"/>
        </w:rPr>
      </w:pPr>
      <w:r w:rsidRPr="00D1542D">
        <w:rPr>
          <w:rFonts w:ascii="Calibri" w:hAnsi="Calibri" w:cs="Calibri"/>
          <w:sz w:val="20"/>
          <w:szCs w:val="20"/>
        </w:rPr>
        <w:t>Des</w:t>
      </w:r>
      <w:r w:rsidR="00981B89" w:rsidRPr="00D1542D">
        <w:rPr>
          <w:rFonts w:ascii="Calibri" w:hAnsi="Calibri" w:cs="Calibri"/>
          <w:sz w:val="20"/>
          <w:szCs w:val="20"/>
        </w:rPr>
        <w:t xml:space="preserve"> processus permettant de s’assurer que les informations internes, telles que les informations obtenues dans le cadre du contrôle continu des relations d’affaires par un </w:t>
      </w:r>
      <w:r>
        <w:rPr>
          <w:rFonts w:ascii="Calibri" w:hAnsi="Calibri" w:cs="Calibri"/>
          <w:sz w:val="20"/>
          <w:szCs w:val="20"/>
        </w:rPr>
        <w:t>assujetti</w:t>
      </w:r>
      <w:r w:rsidR="00981B89" w:rsidRPr="00D1542D">
        <w:rPr>
          <w:rFonts w:ascii="Calibri" w:hAnsi="Calibri" w:cs="Calibri"/>
          <w:sz w:val="20"/>
          <w:szCs w:val="20"/>
        </w:rPr>
        <w:t>, sont réexaminées régulièrement afin d’identifier les tendances et les</w:t>
      </w:r>
      <w:r>
        <w:rPr>
          <w:rFonts w:ascii="Calibri" w:hAnsi="Calibri" w:cs="Calibri"/>
          <w:sz w:val="20"/>
          <w:szCs w:val="20"/>
        </w:rPr>
        <w:t xml:space="preserve"> questions émergentes concernant les relations d’affaires individuelles et les activités commerciales de l’assujetti ;</w:t>
      </w:r>
    </w:p>
    <w:p w14:paraId="79D187DF" w14:textId="77777777" w:rsidR="00D1542D" w:rsidRDefault="00D1542D" w:rsidP="00D1542D">
      <w:pPr>
        <w:pStyle w:val="Paragraphedeliste"/>
        <w:spacing w:before="100" w:beforeAutospacing="1" w:after="100" w:afterAutospacing="1"/>
        <w:ind w:left="1080"/>
        <w:jc w:val="both"/>
        <w:rPr>
          <w:rFonts w:ascii="Calibri" w:hAnsi="Calibri" w:cs="Calibri"/>
          <w:sz w:val="20"/>
          <w:szCs w:val="20"/>
        </w:rPr>
      </w:pPr>
    </w:p>
    <w:p w14:paraId="33EDE453" w14:textId="5C3C54CA" w:rsidR="00D1542D" w:rsidRDefault="00D1542D" w:rsidP="003035AB">
      <w:pPr>
        <w:pStyle w:val="Paragraphedeliste"/>
        <w:numPr>
          <w:ilvl w:val="0"/>
          <w:numId w:val="14"/>
        </w:numPr>
        <w:spacing w:before="100" w:beforeAutospacing="1" w:after="100" w:afterAutospacing="1"/>
        <w:jc w:val="both"/>
        <w:rPr>
          <w:rFonts w:ascii="Calibri" w:hAnsi="Calibri" w:cs="Calibri"/>
          <w:sz w:val="20"/>
          <w:szCs w:val="20"/>
        </w:rPr>
      </w:pPr>
      <w:r>
        <w:rPr>
          <w:rFonts w:ascii="Calibri" w:hAnsi="Calibri" w:cs="Calibri"/>
          <w:sz w:val="20"/>
          <w:szCs w:val="20"/>
        </w:rPr>
        <w:t>D</w:t>
      </w:r>
      <w:r w:rsidRPr="00D1542D">
        <w:rPr>
          <w:rFonts w:ascii="Calibri" w:hAnsi="Calibri" w:cs="Calibri"/>
          <w:sz w:val="20"/>
          <w:szCs w:val="20"/>
        </w:rPr>
        <w:t>es processus permettant de s’assurer que l’</w:t>
      </w:r>
      <w:r>
        <w:rPr>
          <w:rFonts w:ascii="Calibri" w:hAnsi="Calibri" w:cs="Calibri"/>
          <w:sz w:val="20"/>
          <w:szCs w:val="20"/>
        </w:rPr>
        <w:t>assujetti</w:t>
      </w:r>
      <w:r w:rsidRPr="00D1542D">
        <w:rPr>
          <w:rFonts w:ascii="Calibri" w:hAnsi="Calibri" w:cs="Calibri"/>
          <w:sz w:val="20"/>
          <w:szCs w:val="20"/>
        </w:rPr>
        <w:t xml:space="preserve"> réexamine régulièrement les sources d’information pertinentes, et en particulier</w:t>
      </w:r>
      <w:r>
        <w:rPr>
          <w:rFonts w:ascii="Calibri" w:hAnsi="Calibri" w:cs="Calibri"/>
          <w:sz w:val="20"/>
          <w:szCs w:val="20"/>
        </w:rPr>
        <w:t xml:space="preserve"> </w:t>
      </w:r>
      <w:r w:rsidRPr="00D1542D">
        <w:rPr>
          <w:rFonts w:ascii="Calibri" w:hAnsi="Calibri" w:cs="Calibri"/>
          <w:sz w:val="20"/>
          <w:szCs w:val="20"/>
        </w:rPr>
        <w:t xml:space="preserve">: </w:t>
      </w:r>
    </w:p>
    <w:p w14:paraId="0B70F1D8" w14:textId="77777777" w:rsidR="00D1542D" w:rsidRDefault="00D1542D" w:rsidP="00D1542D">
      <w:pPr>
        <w:pStyle w:val="Paragraphedeliste"/>
        <w:spacing w:before="100" w:beforeAutospacing="1" w:after="100" w:afterAutospacing="1"/>
        <w:ind w:left="1080"/>
        <w:jc w:val="both"/>
        <w:rPr>
          <w:rFonts w:ascii="Calibri" w:hAnsi="Calibri" w:cs="Calibri"/>
          <w:sz w:val="20"/>
          <w:szCs w:val="20"/>
        </w:rPr>
      </w:pPr>
    </w:p>
    <w:p w14:paraId="3703EE91" w14:textId="6F1F35DF" w:rsidR="00D1542D" w:rsidRDefault="00D1542D" w:rsidP="003035AB">
      <w:pPr>
        <w:pStyle w:val="Paragraphedeliste"/>
        <w:numPr>
          <w:ilvl w:val="1"/>
          <w:numId w:val="15"/>
        </w:numPr>
        <w:spacing w:before="100" w:beforeAutospacing="1" w:after="100" w:afterAutospacing="1"/>
        <w:jc w:val="both"/>
        <w:rPr>
          <w:rFonts w:ascii="Calibri" w:hAnsi="Calibri" w:cs="Calibri"/>
          <w:sz w:val="20"/>
          <w:szCs w:val="20"/>
        </w:rPr>
      </w:pPr>
      <w:r w:rsidRPr="00D1542D">
        <w:rPr>
          <w:rFonts w:ascii="Calibri" w:hAnsi="Calibri" w:cs="Calibri"/>
          <w:sz w:val="20"/>
          <w:szCs w:val="20"/>
        </w:rPr>
        <w:t xml:space="preserve">en ce qui concerne les évaluations de risques individuelles, </w:t>
      </w:r>
    </w:p>
    <w:p w14:paraId="436E7BE2" w14:textId="77777777" w:rsidR="00D1542D" w:rsidRDefault="00D1542D" w:rsidP="00D1542D">
      <w:pPr>
        <w:pStyle w:val="Paragraphedeliste"/>
        <w:spacing w:before="100" w:beforeAutospacing="1" w:after="100" w:afterAutospacing="1"/>
        <w:ind w:left="1080"/>
        <w:jc w:val="both"/>
        <w:rPr>
          <w:rFonts w:ascii="Calibri" w:hAnsi="Calibri" w:cs="Calibri"/>
          <w:sz w:val="20"/>
          <w:szCs w:val="20"/>
        </w:rPr>
      </w:pPr>
    </w:p>
    <w:p w14:paraId="05ACF144" w14:textId="12E20335" w:rsidR="00D1542D" w:rsidRDefault="00D1542D" w:rsidP="003035AB">
      <w:pPr>
        <w:pStyle w:val="Paragraphedeliste"/>
        <w:numPr>
          <w:ilvl w:val="0"/>
          <w:numId w:val="16"/>
        </w:numPr>
        <w:spacing w:before="100" w:beforeAutospacing="1" w:after="100" w:afterAutospacing="1"/>
        <w:jc w:val="both"/>
        <w:rPr>
          <w:rFonts w:ascii="Calibri" w:hAnsi="Calibri" w:cs="Calibri"/>
          <w:sz w:val="20"/>
          <w:szCs w:val="20"/>
        </w:rPr>
      </w:pPr>
      <w:proofErr w:type="gramStart"/>
      <w:r w:rsidRPr="00D1542D">
        <w:rPr>
          <w:rFonts w:ascii="Calibri" w:hAnsi="Calibri" w:cs="Calibri"/>
          <w:sz w:val="20"/>
          <w:szCs w:val="20"/>
        </w:rPr>
        <w:t>les</w:t>
      </w:r>
      <w:proofErr w:type="gramEnd"/>
      <w:r w:rsidRPr="00D1542D">
        <w:rPr>
          <w:rFonts w:ascii="Calibri" w:hAnsi="Calibri" w:cs="Calibri"/>
          <w:sz w:val="20"/>
          <w:szCs w:val="20"/>
        </w:rPr>
        <w:t xml:space="preserve"> alertes terroristes et les régimes de sanctions financières, ou les changements intervenus dans ces alertes et régimes, dès qu’ils sont émis ou communiqués, en veillant à ce qu’il y soit donné suite si nécessaire; </w:t>
      </w:r>
    </w:p>
    <w:p w14:paraId="471E63F9" w14:textId="77777777" w:rsidR="00D1542D" w:rsidRDefault="00D1542D" w:rsidP="00D1542D">
      <w:pPr>
        <w:pStyle w:val="Paragraphedeliste"/>
        <w:spacing w:before="100" w:beforeAutospacing="1" w:after="100" w:afterAutospacing="1"/>
        <w:ind w:left="1440"/>
        <w:jc w:val="both"/>
        <w:rPr>
          <w:rFonts w:ascii="Calibri" w:hAnsi="Calibri" w:cs="Calibri"/>
          <w:sz w:val="20"/>
          <w:szCs w:val="20"/>
        </w:rPr>
      </w:pPr>
    </w:p>
    <w:p w14:paraId="76E721C8" w14:textId="56B05E4C" w:rsidR="00D1542D" w:rsidRPr="00D1542D" w:rsidRDefault="00D1542D" w:rsidP="003035AB">
      <w:pPr>
        <w:pStyle w:val="Paragraphedeliste"/>
        <w:numPr>
          <w:ilvl w:val="0"/>
          <w:numId w:val="16"/>
        </w:numPr>
        <w:spacing w:before="100" w:beforeAutospacing="1" w:after="100" w:afterAutospacing="1"/>
        <w:jc w:val="both"/>
        <w:rPr>
          <w:rFonts w:ascii="Calibri" w:hAnsi="Calibri" w:cs="Calibri"/>
          <w:sz w:val="20"/>
          <w:szCs w:val="20"/>
        </w:rPr>
      </w:pPr>
      <w:r w:rsidRPr="00D1542D">
        <w:rPr>
          <w:rFonts w:ascii="Calibri" w:hAnsi="Calibri" w:cs="Calibri"/>
          <w:sz w:val="20"/>
          <w:szCs w:val="20"/>
        </w:rPr>
        <w:t xml:space="preserve">les comptes rendus parus dans les médias concernant les secteurs ou les pays ou territoires dans lesquels opère l’assujetti; </w:t>
      </w:r>
    </w:p>
    <w:p w14:paraId="780E0F10" w14:textId="77777777" w:rsidR="00D1542D" w:rsidRDefault="00D1542D" w:rsidP="00D1542D">
      <w:pPr>
        <w:pStyle w:val="Paragraphedeliste"/>
        <w:spacing w:before="100" w:beforeAutospacing="1" w:after="100" w:afterAutospacing="1"/>
        <w:ind w:left="1080"/>
        <w:jc w:val="both"/>
        <w:rPr>
          <w:rFonts w:ascii="Calibri" w:hAnsi="Calibri" w:cs="Calibri"/>
          <w:sz w:val="20"/>
          <w:szCs w:val="20"/>
        </w:rPr>
      </w:pPr>
    </w:p>
    <w:p w14:paraId="0F0B1C19" w14:textId="3CE84D50" w:rsidR="00D1542D" w:rsidRDefault="00D1542D" w:rsidP="003035AB">
      <w:pPr>
        <w:pStyle w:val="Paragraphedeliste"/>
        <w:numPr>
          <w:ilvl w:val="1"/>
          <w:numId w:val="15"/>
        </w:numPr>
        <w:spacing w:before="100" w:beforeAutospacing="1" w:after="100" w:afterAutospacing="1"/>
        <w:jc w:val="both"/>
        <w:rPr>
          <w:rFonts w:ascii="Calibri" w:hAnsi="Calibri" w:cs="Calibri"/>
          <w:sz w:val="20"/>
          <w:szCs w:val="20"/>
        </w:rPr>
      </w:pPr>
      <w:r w:rsidRPr="00D1542D">
        <w:rPr>
          <w:rFonts w:ascii="Calibri" w:hAnsi="Calibri" w:cs="Calibri"/>
          <w:sz w:val="20"/>
          <w:szCs w:val="20"/>
        </w:rPr>
        <w:t xml:space="preserve">en ce qui concerne les évaluations de risques à l’échelle de l’entreprise, </w:t>
      </w:r>
    </w:p>
    <w:p w14:paraId="48F0DFAC" w14:textId="77777777" w:rsidR="00D1542D" w:rsidRDefault="00D1542D" w:rsidP="00D1542D">
      <w:pPr>
        <w:pStyle w:val="Paragraphedeliste"/>
        <w:spacing w:before="100" w:beforeAutospacing="1" w:after="100" w:afterAutospacing="1"/>
        <w:ind w:left="1080"/>
        <w:jc w:val="both"/>
        <w:rPr>
          <w:rFonts w:ascii="Calibri" w:hAnsi="Calibri" w:cs="Calibri"/>
          <w:sz w:val="20"/>
          <w:szCs w:val="20"/>
        </w:rPr>
      </w:pPr>
    </w:p>
    <w:p w14:paraId="3B43602D" w14:textId="7D50A701" w:rsidR="00D1542D" w:rsidRDefault="00D1542D" w:rsidP="003035AB">
      <w:pPr>
        <w:pStyle w:val="Paragraphedeliste"/>
        <w:numPr>
          <w:ilvl w:val="0"/>
          <w:numId w:val="1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D1542D">
        <w:rPr>
          <w:rFonts w:ascii="Calibri" w:hAnsi="Calibri" w:cs="Calibri"/>
          <w:sz w:val="20"/>
          <w:szCs w:val="20"/>
        </w:rPr>
        <w:t>es alertes et les signalements d’ordre répressif ;</w:t>
      </w:r>
    </w:p>
    <w:p w14:paraId="2E773361" w14:textId="03A1D609" w:rsidR="00D1542D" w:rsidRDefault="00D1542D" w:rsidP="003035AB">
      <w:pPr>
        <w:pStyle w:val="Paragraphedeliste"/>
        <w:numPr>
          <w:ilvl w:val="0"/>
          <w:numId w:val="16"/>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D1542D">
        <w:rPr>
          <w:rFonts w:ascii="Calibri" w:hAnsi="Calibri" w:cs="Calibri"/>
          <w:sz w:val="20"/>
          <w:szCs w:val="20"/>
        </w:rPr>
        <w:t xml:space="preserve">es études thématiques et autres publications émanant </w:t>
      </w:r>
      <w:r>
        <w:rPr>
          <w:rFonts w:ascii="Calibri" w:hAnsi="Calibri" w:cs="Calibri"/>
          <w:sz w:val="20"/>
          <w:szCs w:val="20"/>
        </w:rPr>
        <w:t xml:space="preserve">de la COSUMAF </w:t>
      </w:r>
      <w:r w:rsidRPr="00D1542D">
        <w:rPr>
          <w:rFonts w:ascii="Calibri" w:hAnsi="Calibri" w:cs="Calibri"/>
          <w:sz w:val="20"/>
          <w:szCs w:val="20"/>
        </w:rPr>
        <w:t xml:space="preserve">;  </w:t>
      </w:r>
    </w:p>
    <w:p w14:paraId="2D7537D6" w14:textId="5D50A0B4" w:rsidR="00D1542D" w:rsidRDefault="00D1542D" w:rsidP="003035AB">
      <w:pPr>
        <w:pStyle w:val="Paragraphedeliste"/>
        <w:numPr>
          <w:ilvl w:val="0"/>
          <w:numId w:val="16"/>
        </w:numPr>
        <w:spacing w:before="100" w:beforeAutospacing="1" w:after="100" w:afterAutospacing="1"/>
        <w:jc w:val="both"/>
        <w:rPr>
          <w:rFonts w:ascii="Calibri" w:hAnsi="Calibri" w:cs="Calibri"/>
          <w:sz w:val="20"/>
          <w:szCs w:val="20"/>
        </w:rPr>
      </w:pPr>
      <w:r>
        <w:rPr>
          <w:rFonts w:ascii="Calibri" w:hAnsi="Calibri" w:cs="Calibri"/>
          <w:sz w:val="20"/>
          <w:szCs w:val="20"/>
        </w:rPr>
        <w:t>D</w:t>
      </w:r>
      <w:r w:rsidRPr="00D1542D">
        <w:rPr>
          <w:rFonts w:ascii="Calibri" w:hAnsi="Calibri" w:cs="Calibri"/>
          <w:sz w:val="20"/>
          <w:szCs w:val="20"/>
        </w:rPr>
        <w:t>es processus permettant de collecter et de réexaminer les informations sur les risques, en particulier les risques liés à de nouvelles catégories de clients, de pays ou de zones géographiques, à de nouveaux produits et services, à de nouveaux canaux de distribution et à de nouveaux systèmes et contrôles de la conformité</w:t>
      </w:r>
      <w:r>
        <w:rPr>
          <w:rFonts w:ascii="Calibri" w:hAnsi="Calibri" w:cs="Calibri"/>
          <w:sz w:val="20"/>
          <w:szCs w:val="20"/>
        </w:rPr>
        <w:t xml:space="preserve"> </w:t>
      </w:r>
      <w:r w:rsidRPr="00D1542D">
        <w:rPr>
          <w:rFonts w:ascii="Calibri" w:hAnsi="Calibri" w:cs="Calibri"/>
          <w:sz w:val="20"/>
          <w:szCs w:val="20"/>
        </w:rPr>
        <w:t xml:space="preserve">; </w:t>
      </w:r>
    </w:p>
    <w:p w14:paraId="17AFA5BE" w14:textId="77777777" w:rsidR="00D1542D" w:rsidRDefault="00D1542D" w:rsidP="00D1542D">
      <w:pPr>
        <w:pStyle w:val="Paragraphedeliste"/>
        <w:spacing w:before="100" w:beforeAutospacing="1" w:after="100" w:afterAutospacing="1"/>
        <w:ind w:left="1440"/>
        <w:jc w:val="both"/>
        <w:rPr>
          <w:rFonts w:ascii="Calibri" w:hAnsi="Calibri" w:cs="Calibri"/>
          <w:sz w:val="20"/>
          <w:szCs w:val="20"/>
        </w:rPr>
      </w:pPr>
    </w:p>
    <w:p w14:paraId="0D106751" w14:textId="77777777" w:rsidR="00D1542D" w:rsidRDefault="00D1542D" w:rsidP="003035AB">
      <w:pPr>
        <w:pStyle w:val="Paragraphedeliste"/>
        <w:numPr>
          <w:ilvl w:val="0"/>
          <w:numId w:val="14"/>
        </w:numPr>
        <w:spacing w:before="100" w:beforeAutospacing="1" w:after="100" w:afterAutospacing="1"/>
        <w:jc w:val="both"/>
        <w:rPr>
          <w:rFonts w:ascii="Calibri" w:hAnsi="Calibri" w:cs="Calibri"/>
          <w:sz w:val="20"/>
          <w:szCs w:val="20"/>
        </w:rPr>
      </w:pPr>
      <w:r>
        <w:rPr>
          <w:rFonts w:ascii="Calibri" w:hAnsi="Calibri" w:cs="Calibri"/>
          <w:sz w:val="20"/>
          <w:szCs w:val="20"/>
        </w:rPr>
        <w:t>L</w:t>
      </w:r>
      <w:r w:rsidRPr="00D1542D">
        <w:rPr>
          <w:rFonts w:ascii="Calibri" w:hAnsi="Calibri" w:cs="Calibri"/>
          <w:sz w:val="20"/>
          <w:szCs w:val="20"/>
        </w:rPr>
        <w:t xml:space="preserve">’engagement d’un dialogue avec d’autres représentants du secteur et avec </w:t>
      </w:r>
      <w:r>
        <w:rPr>
          <w:rFonts w:ascii="Calibri" w:hAnsi="Calibri" w:cs="Calibri"/>
          <w:sz w:val="20"/>
          <w:szCs w:val="20"/>
        </w:rPr>
        <w:t>la COSUMAF</w:t>
      </w:r>
      <w:r w:rsidRPr="00D1542D">
        <w:rPr>
          <w:rFonts w:ascii="Calibri" w:hAnsi="Calibri" w:cs="Calibri"/>
          <w:sz w:val="20"/>
          <w:szCs w:val="20"/>
        </w:rPr>
        <w:t xml:space="preserve"> et des processus de retour d’information pour communiquer les éventuelles conclusions au personnel concerné. </w:t>
      </w:r>
    </w:p>
    <w:p w14:paraId="340D877B" w14:textId="77777777" w:rsidR="00D1542D" w:rsidRDefault="00D1542D" w:rsidP="00D1542D">
      <w:pPr>
        <w:pStyle w:val="Paragraphedeliste"/>
        <w:spacing w:before="100" w:beforeAutospacing="1" w:after="100" w:afterAutospacing="1"/>
        <w:ind w:left="1080"/>
        <w:jc w:val="both"/>
        <w:rPr>
          <w:rFonts w:ascii="Calibri" w:hAnsi="Calibri" w:cs="Calibri"/>
          <w:sz w:val="20"/>
          <w:szCs w:val="20"/>
        </w:rPr>
      </w:pPr>
    </w:p>
    <w:p w14:paraId="6997ACCB" w14:textId="03A9B719" w:rsidR="00981B89" w:rsidRDefault="00D1542D" w:rsidP="003035AB">
      <w:pPr>
        <w:pStyle w:val="Paragraphedeliste"/>
        <w:numPr>
          <w:ilvl w:val="0"/>
          <w:numId w:val="12"/>
        </w:numPr>
        <w:spacing w:before="100" w:beforeAutospacing="1" w:after="100" w:afterAutospacing="1"/>
        <w:jc w:val="both"/>
        <w:rPr>
          <w:rFonts w:ascii="Calibri" w:hAnsi="Calibri" w:cs="Calibri"/>
          <w:sz w:val="20"/>
          <w:szCs w:val="20"/>
        </w:rPr>
      </w:pPr>
      <w:r w:rsidRPr="00D1542D">
        <w:rPr>
          <w:rFonts w:ascii="Calibri" w:hAnsi="Calibri" w:cs="Calibri"/>
          <w:sz w:val="20"/>
          <w:szCs w:val="20"/>
        </w:rPr>
        <w:t>Les établissements devraient déterminer la fréquence de l’examen général de leur méthode d’évaluation de risques individuelle et à l’échelle de l’entreprise, en fonction de la sensibilité au risque.</w:t>
      </w:r>
    </w:p>
    <w:p w14:paraId="3727F8FE" w14:textId="77777777" w:rsidR="00D1542D" w:rsidRDefault="00D1542D" w:rsidP="00D1542D">
      <w:pPr>
        <w:pStyle w:val="Paragraphedeliste"/>
        <w:spacing w:before="100" w:beforeAutospacing="1" w:after="100" w:afterAutospacing="1"/>
        <w:jc w:val="both"/>
        <w:rPr>
          <w:rFonts w:ascii="Calibri" w:hAnsi="Calibri" w:cs="Calibri"/>
          <w:sz w:val="20"/>
          <w:szCs w:val="20"/>
        </w:rPr>
      </w:pPr>
    </w:p>
    <w:p w14:paraId="1785AB90" w14:textId="00939141" w:rsidR="00D1542D" w:rsidRDefault="00D1542D" w:rsidP="00D1542D">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4</w:t>
      </w:r>
      <w:r w:rsidRPr="00ED6269">
        <w:rPr>
          <w:rFonts w:ascii="Trebuchet MS" w:hAnsi="Trebuchet MS"/>
          <w:b/>
          <w:bCs/>
        </w:rPr>
        <w:t xml:space="preserve"> </w:t>
      </w:r>
      <w:r>
        <w:rPr>
          <w:rFonts w:ascii="Trebuchet MS" w:hAnsi="Trebuchet MS"/>
          <w:b/>
          <w:bCs/>
        </w:rPr>
        <w:t>– EVALUATION DES RISQUES A L’ECHELLE DE L’ENTREPRISE</w:t>
      </w:r>
    </w:p>
    <w:p w14:paraId="4B121CB7" w14:textId="40907E7D" w:rsidR="009D0A2D" w:rsidRDefault="009D0A2D" w:rsidP="003035AB">
      <w:pPr>
        <w:pStyle w:val="NormalWeb"/>
        <w:numPr>
          <w:ilvl w:val="2"/>
          <w:numId w:val="14"/>
        </w:numPr>
        <w:ind w:left="851"/>
        <w:contextualSpacing/>
        <w:jc w:val="both"/>
        <w:rPr>
          <w:rFonts w:ascii="Calibri" w:hAnsi="Calibri" w:cs="Calibri"/>
          <w:sz w:val="20"/>
          <w:szCs w:val="20"/>
        </w:rPr>
      </w:pPr>
      <w:r w:rsidRPr="009D0A2D">
        <w:rPr>
          <w:rFonts w:ascii="Calibri" w:hAnsi="Calibri" w:cs="Calibri"/>
          <w:sz w:val="20"/>
          <w:szCs w:val="20"/>
        </w:rPr>
        <w:t>Les évaluations des risques à l’échelle de l’entreprise d</w:t>
      </w:r>
      <w:r>
        <w:rPr>
          <w:rFonts w:ascii="Calibri" w:hAnsi="Calibri" w:cs="Calibri"/>
          <w:sz w:val="20"/>
          <w:szCs w:val="20"/>
        </w:rPr>
        <w:t>oivent</w:t>
      </w:r>
      <w:r w:rsidRPr="009D0A2D">
        <w:rPr>
          <w:rFonts w:ascii="Calibri" w:hAnsi="Calibri" w:cs="Calibri"/>
          <w:sz w:val="20"/>
          <w:szCs w:val="20"/>
        </w:rPr>
        <w:t xml:space="preserve"> aider les </w:t>
      </w:r>
      <w:r>
        <w:rPr>
          <w:rFonts w:ascii="Calibri" w:hAnsi="Calibri" w:cs="Calibri"/>
          <w:sz w:val="20"/>
          <w:szCs w:val="20"/>
        </w:rPr>
        <w:t>assujettis</w:t>
      </w:r>
      <w:r w:rsidRPr="009D0A2D">
        <w:rPr>
          <w:rFonts w:ascii="Calibri" w:hAnsi="Calibri" w:cs="Calibri"/>
          <w:sz w:val="20"/>
          <w:szCs w:val="20"/>
        </w:rPr>
        <w:t xml:space="preserve"> à identifier les domaines dans lesquels ils sont exposés à un risque de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de financement du terrorisme</w:t>
      </w:r>
      <w:r w:rsidRPr="009D0A2D">
        <w:rPr>
          <w:rFonts w:ascii="Calibri" w:hAnsi="Calibri" w:cs="Calibri"/>
          <w:sz w:val="20"/>
          <w:szCs w:val="20"/>
        </w:rPr>
        <w:t xml:space="preserve"> et les secteurs de leurs activités sur lesquels ils devraient concentrer la lutte contre le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de financement du terrorisme ;</w:t>
      </w:r>
    </w:p>
    <w:p w14:paraId="5E64040B" w14:textId="77777777" w:rsidR="00855E2C" w:rsidRPr="00855E2C" w:rsidRDefault="00855E2C" w:rsidP="00855E2C">
      <w:pPr>
        <w:pStyle w:val="NormalWeb"/>
        <w:ind w:left="851"/>
        <w:contextualSpacing/>
        <w:jc w:val="both"/>
        <w:rPr>
          <w:rFonts w:ascii="Calibri" w:hAnsi="Calibri" w:cs="Calibri"/>
          <w:sz w:val="20"/>
          <w:szCs w:val="20"/>
        </w:rPr>
      </w:pPr>
    </w:p>
    <w:p w14:paraId="08C5D5DA" w14:textId="06DB8FC7" w:rsidR="00855E2C" w:rsidRDefault="009D0A2D" w:rsidP="003035AB">
      <w:pPr>
        <w:pStyle w:val="NormalWeb"/>
        <w:numPr>
          <w:ilvl w:val="2"/>
          <w:numId w:val="14"/>
        </w:numPr>
        <w:ind w:left="851"/>
        <w:contextualSpacing/>
        <w:jc w:val="both"/>
        <w:rPr>
          <w:rFonts w:ascii="Calibri" w:hAnsi="Calibri" w:cs="Calibri"/>
          <w:sz w:val="20"/>
          <w:szCs w:val="20"/>
        </w:rPr>
      </w:pPr>
      <w:r>
        <w:rPr>
          <w:rFonts w:ascii="Calibri" w:hAnsi="Calibri" w:cs="Calibri"/>
          <w:sz w:val="20"/>
          <w:szCs w:val="20"/>
        </w:rPr>
        <w:t xml:space="preserve">Les assujettis doivent </w:t>
      </w:r>
      <w:r w:rsidRPr="009D0A2D">
        <w:rPr>
          <w:rFonts w:ascii="Calibri" w:hAnsi="Calibri" w:cs="Calibri"/>
          <w:sz w:val="20"/>
          <w:szCs w:val="20"/>
        </w:rPr>
        <w:t xml:space="preserve">obtenir une vue globale des risques de </w:t>
      </w:r>
      <w:r>
        <w:rPr>
          <w:rFonts w:ascii="Calibri" w:hAnsi="Calibri" w:cs="Calibri"/>
          <w:sz w:val="20"/>
          <w:szCs w:val="20"/>
        </w:rPr>
        <w:t>blanchiment et de financement du terrorisme</w:t>
      </w:r>
      <w:r w:rsidRPr="009D0A2D">
        <w:rPr>
          <w:rFonts w:ascii="Calibri" w:hAnsi="Calibri" w:cs="Calibri"/>
          <w:sz w:val="20"/>
          <w:szCs w:val="20"/>
        </w:rPr>
        <w:t xml:space="preserve"> auxquels ils sont exposés, en identifiant et en évaluant le risque de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de financement du terrorisme</w:t>
      </w:r>
      <w:r w:rsidRPr="009D0A2D">
        <w:rPr>
          <w:rFonts w:ascii="Calibri" w:hAnsi="Calibri" w:cs="Calibri"/>
          <w:sz w:val="20"/>
          <w:szCs w:val="20"/>
        </w:rPr>
        <w:t xml:space="preserve"> associé aux produits et aux services qu’ils proposent, aux pays ou territoires dans lesquels ils opèrent, aux clients qu’ils attirent, ainsi qu’aux canaux de transaction ou de distribution qu’ils utilisent pour servir leurs clients.</w:t>
      </w:r>
    </w:p>
    <w:p w14:paraId="0B8AAC40" w14:textId="77777777" w:rsidR="00855E2C" w:rsidRPr="00855E2C" w:rsidRDefault="00855E2C" w:rsidP="00855E2C">
      <w:pPr>
        <w:pStyle w:val="NormalWeb"/>
        <w:ind w:left="851"/>
        <w:contextualSpacing/>
        <w:jc w:val="both"/>
        <w:rPr>
          <w:rFonts w:ascii="Calibri" w:hAnsi="Calibri" w:cs="Calibri"/>
          <w:sz w:val="20"/>
          <w:szCs w:val="20"/>
        </w:rPr>
      </w:pPr>
    </w:p>
    <w:p w14:paraId="5DD8BA30" w14:textId="5AE8563C" w:rsidR="009D0A2D" w:rsidRDefault="009D0A2D" w:rsidP="003035AB">
      <w:pPr>
        <w:pStyle w:val="NormalWeb"/>
        <w:numPr>
          <w:ilvl w:val="2"/>
          <w:numId w:val="14"/>
        </w:numPr>
        <w:ind w:left="851"/>
        <w:contextualSpacing/>
        <w:jc w:val="both"/>
        <w:rPr>
          <w:rFonts w:ascii="Calibri" w:hAnsi="Calibri" w:cs="Calibri"/>
          <w:sz w:val="20"/>
          <w:szCs w:val="20"/>
        </w:rPr>
      </w:pPr>
      <w:r>
        <w:rPr>
          <w:rFonts w:ascii="Calibri" w:hAnsi="Calibri" w:cs="Calibri"/>
          <w:sz w:val="20"/>
          <w:szCs w:val="20"/>
        </w:rPr>
        <w:lastRenderedPageBreak/>
        <w:t>Les assujettis doivent :</w:t>
      </w:r>
    </w:p>
    <w:p w14:paraId="40F66AC0" w14:textId="4D1DBA78" w:rsidR="009D0A2D" w:rsidRDefault="009D0A2D" w:rsidP="003035AB">
      <w:pPr>
        <w:pStyle w:val="NormalWeb"/>
        <w:numPr>
          <w:ilvl w:val="0"/>
          <w:numId w:val="16"/>
        </w:numPr>
        <w:contextualSpacing/>
        <w:jc w:val="both"/>
        <w:rPr>
          <w:rFonts w:ascii="Calibri" w:hAnsi="Calibri" w:cs="Calibri"/>
          <w:sz w:val="20"/>
          <w:szCs w:val="20"/>
        </w:rPr>
      </w:pPr>
      <w:r>
        <w:rPr>
          <w:rFonts w:ascii="Calibri" w:hAnsi="Calibri" w:cs="Calibri"/>
          <w:sz w:val="20"/>
          <w:szCs w:val="20"/>
        </w:rPr>
        <w:t>Recenser les facteurs de risque sur la base d’informations provenant de diverses sources internes et externes ;</w:t>
      </w:r>
    </w:p>
    <w:p w14:paraId="4E559676" w14:textId="729CB936" w:rsidR="009D0A2D" w:rsidRDefault="009D0A2D" w:rsidP="003035AB">
      <w:pPr>
        <w:pStyle w:val="NormalWeb"/>
        <w:numPr>
          <w:ilvl w:val="0"/>
          <w:numId w:val="16"/>
        </w:numPr>
        <w:contextualSpacing/>
        <w:jc w:val="both"/>
        <w:rPr>
          <w:rFonts w:ascii="Calibri" w:hAnsi="Calibri" w:cs="Calibri"/>
          <w:sz w:val="20"/>
          <w:szCs w:val="20"/>
        </w:rPr>
      </w:pPr>
      <w:r>
        <w:rPr>
          <w:rFonts w:ascii="Calibri" w:hAnsi="Calibri" w:cs="Calibri"/>
          <w:sz w:val="20"/>
          <w:szCs w:val="20"/>
        </w:rPr>
        <w:t>Tenir compte des facteurs de risque pertinents visés dans</w:t>
      </w:r>
      <w:r w:rsidR="00671A1D">
        <w:rPr>
          <w:rFonts w:ascii="Calibri" w:hAnsi="Calibri" w:cs="Calibri"/>
          <w:sz w:val="20"/>
          <w:szCs w:val="20"/>
        </w:rPr>
        <w:t xml:space="preserve"> la présente</w:t>
      </w:r>
      <w:r>
        <w:rPr>
          <w:rFonts w:ascii="Calibri" w:hAnsi="Calibri" w:cs="Calibri"/>
          <w:sz w:val="20"/>
          <w:szCs w:val="20"/>
        </w:rPr>
        <w:t xml:space="preserve"> instruction ;</w:t>
      </w:r>
    </w:p>
    <w:p w14:paraId="5BA4EDFF" w14:textId="7695D79D" w:rsidR="009D0A2D" w:rsidRDefault="009D0A2D" w:rsidP="003035AB">
      <w:pPr>
        <w:pStyle w:val="NormalWeb"/>
        <w:numPr>
          <w:ilvl w:val="0"/>
          <w:numId w:val="16"/>
        </w:numPr>
        <w:contextualSpacing/>
        <w:jc w:val="both"/>
        <w:rPr>
          <w:rFonts w:ascii="Calibri" w:hAnsi="Calibri" w:cs="Calibri"/>
          <w:sz w:val="20"/>
          <w:szCs w:val="20"/>
        </w:rPr>
      </w:pPr>
      <w:r>
        <w:rPr>
          <w:rFonts w:ascii="Calibri" w:hAnsi="Calibri" w:cs="Calibri"/>
          <w:sz w:val="20"/>
          <w:szCs w:val="20"/>
        </w:rPr>
        <w:t xml:space="preserve">Prendre en considération des facteurs plus généraux, contextuels, tels que le risque sectoriel et le risque géographique, qui pourraient avoir une incidence sur leurs profils de risques de blanchiment </w:t>
      </w:r>
      <w:r w:rsidR="004C16EE">
        <w:rPr>
          <w:rFonts w:ascii="Calibri" w:hAnsi="Calibri" w:cs="Calibri"/>
          <w:sz w:val="20"/>
          <w:szCs w:val="20"/>
        </w:rPr>
        <w:t xml:space="preserve">de capitaux </w:t>
      </w:r>
      <w:r>
        <w:rPr>
          <w:rFonts w:ascii="Calibri" w:hAnsi="Calibri" w:cs="Calibri"/>
          <w:sz w:val="20"/>
          <w:szCs w:val="20"/>
        </w:rPr>
        <w:t>et de financement du terrorisme.</w:t>
      </w:r>
    </w:p>
    <w:p w14:paraId="2A89939A" w14:textId="77777777" w:rsidR="00855E2C" w:rsidRDefault="00855E2C" w:rsidP="00855E2C">
      <w:pPr>
        <w:pStyle w:val="NormalWeb"/>
        <w:ind w:left="1440"/>
        <w:contextualSpacing/>
        <w:jc w:val="both"/>
        <w:rPr>
          <w:rFonts w:ascii="Calibri" w:hAnsi="Calibri" w:cs="Calibri"/>
          <w:sz w:val="20"/>
          <w:szCs w:val="20"/>
        </w:rPr>
      </w:pPr>
    </w:p>
    <w:p w14:paraId="688A4E31" w14:textId="3593D845" w:rsidR="00855E2C" w:rsidRDefault="00855E2C" w:rsidP="003035AB">
      <w:pPr>
        <w:pStyle w:val="NormalWeb"/>
        <w:numPr>
          <w:ilvl w:val="2"/>
          <w:numId w:val="14"/>
        </w:numPr>
        <w:ind w:left="851"/>
        <w:jc w:val="both"/>
        <w:rPr>
          <w:rFonts w:ascii="Calibri" w:hAnsi="Calibri" w:cs="Calibri"/>
          <w:sz w:val="20"/>
          <w:szCs w:val="20"/>
        </w:rPr>
      </w:pPr>
      <w:r>
        <w:rPr>
          <w:rFonts w:ascii="Calibri" w:hAnsi="Calibri" w:cs="Calibri"/>
          <w:sz w:val="20"/>
          <w:szCs w:val="20"/>
        </w:rPr>
        <w:t>Les assujettis doivent veiller à ce que leur évaluation des risques à l’échelle de l’entreprise soit adaptée à leur profil d’activité et tienne compte des facteurs et des risques propres aux activités de l’assujetti.</w:t>
      </w:r>
    </w:p>
    <w:p w14:paraId="77AA76E5" w14:textId="5A74737B" w:rsidR="00855E2C" w:rsidRDefault="00855E2C" w:rsidP="00855E2C">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5</w:t>
      </w:r>
      <w:r w:rsidRPr="00ED6269">
        <w:rPr>
          <w:rFonts w:ascii="Trebuchet MS" w:hAnsi="Trebuchet MS"/>
          <w:b/>
          <w:bCs/>
        </w:rPr>
        <w:t xml:space="preserve"> </w:t>
      </w:r>
      <w:r>
        <w:rPr>
          <w:rFonts w:ascii="Trebuchet MS" w:hAnsi="Trebuchet MS"/>
          <w:b/>
          <w:bCs/>
        </w:rPr>
        <w:t>– EVALUATION DES RISQUES INDIVIDUELLES</w:t>
      </w:r>
    </w:p>
    <w:p w14:paraId="08A75D0E" w14:textId="09037195" w:rsidR="00855E2C" w:rsidRDefault="00855E2C" w:rsidP="003035AB">
      <w:pPr>
        <w:pStyle w:val="NormalWeb"/>
        <w:numPr>
          <w:ilvl w:val="0"/>
          <w:numId w:val="17"/>
        </w:numPr>
        <w:contextualSpacing/>
        <w:jc w:val="both"/>
        <w:rPr>
          <w:rFonts w:ascii="Calibri" w:hAnsi="Calibri" w:cs="Calibri"/>
          <w:sz w:val="20"/>
          <w:szCs w:val="20"/>
        </w:rPr>
      </w:pPr>
      <w:r>
        <w:rPr>
          <w:rFonts w:ascii="Calibri" w:hAnsi="Calibri" w:cs="Calibri"/>
          <w:sz w:val="20"/>
          <w:szCs w:val="20"/>
        </w:rPr>
        <w:t xml:space="preserve">Les assujettis doivent recenser les risques de blanchiment </w:t>
      </w:r>
      <w:r w:rsidR="004C16EE">
        <w:rPr>
          <w:rFonts w:ascii="Calibri" w:hAnsi="Calibri" w:cs="Calibri"/>
          <w:sz w:val="20"/>
          <w:szCs w:val="20"/>
        </w:rPr>
        <w:t xml:space="preserve">de capitaux </w:t>
      </w:r>
      <w:r>
        <w:rPr>
          <w:rFonts w:ascii="Calibri" w:hAnsi="Calibri" w:cs="Calibri"/>
          <w:sz w:val="20"/>
          <w:szCs w:val="20"/>
        </w:rPr>
        <w:t>et de financement du terrorisme auxquels ils sont ou seraient exposés lorsqu’ils nouent ou maintiennent une relation d’affaires ou concluent une transaction à titre occasionnel.</w:t>
      </w:r>
    </w:p>
    <w:p w14:paraId="6A4F9268" w14:textId="77777777" w:rsidR="00855E2C" w:rsidRPr="00855E2C" w:rsidRDefault="00855E2C" w:rsidP="00855E2C">
      <w:pPr>
        <w:pStyle w:val="NormalWeb"/>
        <w:ind w:left="720"/>
        <w:contextualSpacing/>
        <w:jc w:val="both"/>
        <w:rPr>
          <w:rFonts w:ascii="Calibri" w:hAnsi="Calibri" w:cs="Calibri"/>
          <w:sz w:val="20"/>
          <w:szCs w:val="20"/>
        </w:rPr>
      </w:pPr>
    </w:p>
    <w:p w14:paraId="69BFD739" w14:textId="6B2F69ED" w:rsidR="00855E2C" w:rsidRDefault="00855E2C" w:rsidP="003035AB">
      <w:pPr>
        <w:pStyle w:val="NormalWeb"/>
        <w:numPr>
          <w:ilvl w:val="0"/>
          <w:numId w:val="17"/>
        </w:numPr>
        <w:contextualSpacing/>
        <w:jc w:val="both"/>
        <w:rPr>
          <w:rFonts w:ascii="Calibri" w:hAnsi="Calibri" w:cs="Calibri"/>
          <w:sz w:val="20"/>
          <w:szCs w:val="20"/>
        </w:rPr>
      </w:pPr>
      <w:r w:rsidRPr="00855E2C">
        <w:rPr>
          <w:rFonts w:ascii="Calibri" w:hAnsi="Calibri" w:cs="Calibri"/>
          <w:sz w:val="20"/>
          <w:szCs w:val="20"/>
        </w:rPr>
        <w:t xml:space="preserve">Lorsqu’ils identifient les risques de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de financement du terrorisme</w:t>
      </w:r>
      <w:r w:rsidRPr="00855E2C">
        <w:rPr>
          <w:rFonts w:ascii="Calibri" w:hAnsi="Calibri" w:cs="Calibri"/>
          <w:sz w:val="20"/>
          <w:szCs w:val="20"/>
        </w:rPr>
        <w:t xml:space="preserve"> associés à une relation d’affaires ou à une transaction conclue à titre occasionnel, les </w:t>
      </w:r>
      <w:r>
        <w:rPr>
          <w:rFonts w:ascii="Calibri" w:hAnsi="Calibri" w:cs="Calibri"/>
          <w:sz w:val="20"/>
          <w:szCs w:val="20"/>
        </w:rPr>
        <w:t>assujettis</w:t>
      </w:r>
      <w:r w:rsidRPr="00855E2C">
        <w:rPr>
          <w:rFonts w:ascii="Calibri" w:hAnsi="Calibri" w:cs="Calibri"/>
          <w:sz w:val="20"/>
          <w:szCs w:val="20"/>
        </w:rPr>
        <w:t xml:space="preserve"> d</w:t>
      </w:r>
      <w:r>
        <w:rPr>
          <w:rFonts w:ascii="Calibri" w:hAnsi="Calibri" w:cs="Calibri"/>
          <w:sz w:val="20"/>
          <w:szCs w:val="20"/>
        </w:rPr>
        <w:t>oiven</w:t>
      </w:r>
      <w:r w:rsidRPr="00855E2C">
        <w:rPr>
          <w:rFonts w:ascii="Calibri" w:hAnsi="Calibri" w:cs="Calibri"/>
          <w:sz w:val="20"/>
          <w:szCs w:val="20"/>
        </w:rPr>
        <w:t>t considérer les facteurs de risque pertinents, et notamment</w:t>
      </w:r>
      <w:r w:rsidR="00671A1D">
        <w:rPr>
          <w:rFonts w:ascii="Calibri" w:hAnsi="Calibri" w:cs="Calibri"/>
          <w:sz w:val="20"/>
          <w:szCs w:val="20"/>
        </w:rPr>
        <w:t xml:space="preserve"> le profil et</w:t>
      </w:r>
      <w:r w:rsidRPr="00855E2C">
        <w:rPr>
          <w:rFonts w:ascii="Calibri" w:hAnsi="Calibri" w:cs="Calibri"/>
          <w:sz w:val="20"/>
          <w:szCs w:val="20"/>
        </w:rPr>
        <w:t xml:space="preserve"> les caractéristiques de leur</w:t>
      </w:r>
      <w:r w:rsidR="00671A1D">
        <w:rPr>
          <w:rFonts w:ascii="Calibri" w:hAnsi="Calibri" w:cs="Calibri"/>
          <w:sz w:val="20"/>
          <w:szCs w:val="20"/>
        </w:rPr>
        <w:t>s</w:t>
      </w:r>
      <w:r w:rsidRPr="00855E2C">
        <w:rPr>
          <w:rFonts w:ascii="Calibri" w:hAnsi="Calibri" w:cs="Calibri"/>
          <w:sz w:val="20"/>
          <w:szCs w:val="20"/>
        </w:rPr>
        <w:t xml:space="preserve"> client</w:t>
      </w:r>
      <w:r w:rsidR="00671A1D">
        <w:rPr>
          <w:rFonts w:ascii="Calibri" w:hAnsi="Calibri" w:cs="Calibri"/>
          <w:sz w:val="20"/>
          <w:szCs w:val="20"/>
        </w:rPr>
        <w:t>s</w:t>
      </w:r>
      <w:r w:rsidRPr="00855E2C">
        <w:rPr>
          <w:rFonts w:ascii="Calibri" w:hAnsi="Calibri" w:cs="Calibri"/>
          <w:sz w:val="20"/>
          <w:szCs w:val="20"/>
        </w:rPr>
        <w:t>, les pays ou zones géographiques dans lesquels ils opèrent, les produits, services et transactions spécifiques demandés par le client, et les canaux utilisés par l’</w:t>
      </w:r>
      <w:r w:rsidR="00D1706F">
        <w:rPr>
          <w:rFonts w:ascii="Calibri" w:hAnsi="Calibri" w:cs="Calibri"/>
          <w:sz w:val="20"/>
          <w:szCs w:val="20"/>
        </w:rPr>
        <w:t>assujetti</w:t>
      </w:r>
      <w:r w:rsidRPr="00855E2C">
        <w:rPr>
          <w:rFonts w:ascii="Calibri" w:hAnsi="Calibri" w:cs="Calibri"/>
          <w:sz w:val="20"/>
          <w:szCs w:val="20"/>
        </w:rPr>
        <w:t xml:space="preserve"> pour fournir ces produits, services et transactions</w:t>
      </w:r>
      <w:r w:rsidR="00D1706F">
        <w:rPr>
          <w:rFonts w:ascii="Calibri" w:hAnsi="Calibri" w:cs="Calibri"/>
          <w:sz w:val="20"/>
          <w:szCs w:val="20"/>
        </w:rPr>
        <w:t>.</w:t>
      </w:r>
    </w:p>
    <w:p w14:paraId="08718009" w14:textId="77777777" w:rsidR="00D1706F" w:rsidRDefault="00D1706F" w:rsidP="00D1706F">
      <w:pPr>
        <w:pStyle w:val="NormalWeb"/>
        <w:contextualSpacing/>
        <w:jc w:val="both"/>
        <w:rPr>
          <w:rFonts w:ascii="Calibri" w:hAnsi="Calibri" w:cs="Calibri"/>
          <w:sz w:val="20"/>
          <w:szCs w:val="20"/>
        </w:rPr>
      </w:pPr>
    </w:p>
    <w:p w14:paraId="2F01BAD5" w14:textId="07069088" w:rsidR="00D1706F" w:rsidRDefault="00D1706F" w:rsidP="00D1706F">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6</w:t>
      </w:r>
      <w:r w:rsidRPr="00ED6269">
        <w:rPr>
          <w:rFonts w:ascii="Trebuchet MS" w:hAnsi="Trebuchet MS"/>
          <w:b/>
          <w:bCs/>
        </w:rPr>
        <w:t xml:space="preserve"> </w:t>
      </w:r>
      <w:r>
        <w:rPr>
          <w:rFonts w:ascii="Trebuchet MS" w:hAnsi="Trebuchet MS"/>
          <w:b/>
          <w:bCs/>
        </w:rPr>
        <w:t xml:space="preserve">– FACTEURS DE RISQUE DE BLANCHIMENT </w:t>
      </w:r>
      <w:r w:rsidR="004C16EE">
        <w:rPr>
          <w:rFonts w:ascii="Trebuchet MS" w:hAnsi="Trebuchet MS"/>
          <w:b/>
          <w:bCs/>
        </w:rPr>
        <w:t xml:space="preserve">DE CAPITAUX </w:t>
      </w:r>
      <w:r>
        <w:rPr>
          <w:rFonts w:ascii="Trebuchet MS" w:hAnsi="Trebuchet MS"/>
          <w:b/>
          <w:bCs/>
        </w:rPr>
        <w:t>ET FINANCEMENT DU TERRORISME</w:t>
      </w:r>
      <w:r w:rsidR="007C67C5">
        <w:rPr>
          <w:rFonts w:ascii="Trebuchet MS" w:hAnsi="Trebuchet MS"/>
          <w:b/>
          <w:bCs/>
        </w:rPr>
        <w:t xml:space="preserve"> LIES AU CLIENT</w:t>
      </w:r>
    </w:p>
    <w:p w14:paraId="679F9850" w14:textId="7C6E99C2" w:rsidR="00D1706F" w:rsidRDefault="00D1706F" w:rsidP="003035AB">
      <w:pPr>
        <w:pStyle w:val="NormalWeb"/>
        <w:numPr>
          <w:ilvl w:val="0"/>
          <w:numId w:val="18"/>
        </w:numPr>
        <w:contextualSpacing/>
        <w:jc w:val="both"/>
        <w:rPr>
          <w:rFonts w:ascii="Calibri" w:hAnsi="Calibri" w:cs="Calibri"/>
          <w:sz w:val="20"/>
          <w:szCs w:val="20"/>
        </w:rPr>
      </w:pPr>
      <w:r w:rsidRPr="00D1706F">
        <w:rPr>
          <w:rFonts w:ascii="Calibri" w:hAnsi="Calibri" w:cs="Calibri"/>
          <w:sz w:val="20"/>
          <w:szCs w:val="20"/>
        </w:rPr>
        <w:t>Les assujettis doivent identifier les facteurs de risque liés à leurs clients, aux pays ou aux zones géographiques, aux produits et services et aux canaux de distribution.</w:t>
      </w:r>
    </w:p>
    <w:p w14:paraId="35FE1161" w14:textId="77777777" w:rsidR="006551A8" w:rsidRDefault="006551A8" w:rsidP="006551A8">
      <w:pPr>
        <w:pStyle w:val="NormalWeb"/>
        <w:ind w:left="720"/>
        <w:contextualSpacing/>
        <w:jc w:val="both"/>
        <w:rPr>
          <w:rFonts w:ascii="Calibri" w:hAnsi="Calibri" w:cs="Calibri"/>
          <w:sz w:val="20"/>
          <w:szCs w:val="20"/>
        </w:rPr>
      </w:pPr>
    </w:p>
    <w:p w14:paraId="760C2B0C" w14:textId="4FD09D3C" w:rsidR="00D1706F" w:rsidRDefault="00D1706F" w:rsidP="003035AB">
      <w:pPr>
        <w:pStyle w:val="NormalWeb"/>
        <w:numPr>
          <w:ilvl w:val="0"/>
          <w:numId w:val="18"/>
        </w:numPr>
        <w:contextualSpacing/>
        <w:jc w:val="both"/>
        <w:rPr>
          <w:rFonts w:ascii="Calibri" w:hAnsi="Calibri" w:cs="Calibri"/>
          <w:sz w:val="20"/>
          <w:szCs w:val="20"/>
        </w:rPr>
      </w:pPr>
      <w:r>
        <w:rPr>
          <w:rFonts w:ascii="Calibri" w:hAnsi="Calibri" w:cs="Calibri"/>
          <w:sz w:val="20"/>
          <w:szCs w:val="20"/>
        </w:rPr>
        <w:t xml:space="preserve">Lorsqu’ils identifient le risque associé à leurs clients et bénéficiaires effectifs de leurs clients, les assujettis doivent prendre en considération le risque lié : </w:t>
      </w:r>
    </w:p>
    <w:p w14:paraId="57E63802" w14:textId="77777777" w:rsidR="007C67C5" w:rsidRDefault="007C67C5" w:rsidP="007C67C5">
      <w:pPr>
        <w:pStyle w:val="NormalWeb"/>
        <w:ind w:left="720"/>
        <w:contextualSpacing/>
        <w:jc w:val="both"/>
        <w:rPr>
          <w:rFonts w:ascii="Calibri" w:hAnsi="Calibri" w:cs="Calibri"/>
          <w:sz w:val="20"/>
          <w:szCs w:val="20"/>
        </w:rPr>
      </w:pPr>
    </w:p>
    <w:p w14:paraId="33D6894D" w14:textId="6EACA8F6" w:rsidR="006551A8" w:rsidRDefault="006551A8" w:rsidP="003035AB">
      <w:pPr>
        <w:pStyle w:val="NormalWeb"/>
        <w:numPr>
          <w:ilvl w:val="1"/>
          <w:numId w:val="19"/>
        </w:numPr>
        <w:contextualSpacing/>
        <w:jc w:val="both"/>
        <w:rPr>
          <w:rFonts w:ascii="Calibri" w:hAnsi="Calibri" w:cs="Calibri"/>
          <w:sz w:val="20"/>
          <w:szCs w:val="20"/>
        </w:rPr>
      </w:pPr>
      <w:r>
        <w:rPr>
          <w:rFonts w:ascii="Calibri" w:hAnsi="Calibri" w:cs="Calibri"/>
          <w:sz w:val="20"/>
          <w:szCs w:val="20"/>
        </w:rPr>
        <w:t>aux activités commerciales ou professionnelles du client et du bénéficiaire effectif du client ;</w:t>
      </w:r>
    </w:p>
    <w:p w14:paraId="588CBC71" w14:textId="017A3153" w:rsidR="006551A8" w:rsidRDefault="006551A8" w:rsidP="003035AB">
      <w:pPr>
        <w:pStyle w:val="NormalWeb"/>
        <w:numPr>
          <w:ilvl w:val="1"/>
          <w:numId w:val="19"/>
        </w:numPr>
        <w:contextualSpacing/>
        <w:jc w:val="both"/>
        <w:rPr>
          <w:rFonts w:ascii="Calibri" w:hAnsi="Calibri" w:cs="Calibri"/>
          <w:sz w:val="20"/>
          <w:szCs w:val="20"/>
        </w:rPr>
      </w:pPr>
      <w:proofErr w:type="gramStart"/>
      <w:r>
        <w:rPr>
          <w:rFonts w:ascii="Calibri" w:hAnsi="Calibri" w:cs="Calibri"/>
          <w:sz w:val="20"/>
          <w:szCs w:val="20"/>
        </w:rPr>
        <w:t>à</w:t>
      </w:r>
      <w:proofErr w:type="gramEnd"/>
      <w:r>
        <w:rPr>
          <w:rFonts w:ascii="Calibri" w:hAnsi="Calibri" w:cs="Calibri"/>
          <w:sz w:val="20"/>
          <w:szCs w:val="20"/>
        </w:rPr>
        <w:t xml:space="preserve"> la réputation du client et du bénéficiaire effectif du client ; </w:t>
      </w:r>
    </w:p>
    <w:p w14:paraId="5C19D6DB" w14:textId="593F8AF1" w:rsidR="006551A8" w:rsidRDefault="006551A8" w:rsidP="003035AB">
      <w:pPr>
        <w:pStyle w:val="NormalWeb"/>
        <w:numPr>
          <w:ilvl w:val="1"/>
          <w:numId w:val="19"/>
        </w:numPr>
        <w:contextualSpacing/>
        <w:jc w:val="both"/>
        <w:rPr>
          <w:rFonts w:ascii="Calibri" w:hAnsi="Calibri" w:cs="Calibri"/>
          <w:sz w:val="20"/>
          <w:szCs w:val="20"/>
        </w:rPr>
      </w:pPr>
      <w:r>
        <w:rPr>
          <w:rFonts w:ascii="Calibri" w:hAnsi="Calibri" w:cs="Calibri"/>
          <w:sz w:val="20"/>
          <w:szCs w:val="20"/>
        </w:rPr>
        <w:t>à la nature</w:t>
      </w:r>
      <w:r w:rsidR="0084350A">
        <w:rPr>
          <w:rFonts w:ascii="Calibri" w:hAnsi="Calibri" w:cs="Calibri"/>
          <w:sz w:val="20"/>
          <w:szCs w:val="20"/>
        </w:rPr>
        <w:t xml:space="preserve"> des transactions ou des opérations</w:t>
      </w:r>
      <w:r>
        <w:rPr>
          <w:rFonts w:ascii="Calibri" w:hAnsi="Calibri" w:cs="Calibri"/>
          <w:sz w:val="20"/>
          <w:szCs w:val="20"/>
        </w:rPr>
        <w:t xml:space="preserve"> et au comportement du client et du bénéficiaire effectif du client, et déterminer si le risque de financement du terrorisme pourrait s’en trouver accru.</w:t>
      </w:r>
    </w:p>
    <w:p w14:paraId="2D143CD6" w14:textId="77777777" w:rsidR="006551A8" w:rsidRPr="00D1706F" w:rsidRDefault="006551A8" w:rsidP="006551A8">
      <w:pPr>
        <w:pStyle w:val="NormalWeb"/>
        <w:ind w:left="2160"/>
        <w:contextualSpacing/>
        <w:jc w:val="both"/>
        <w:rPr>
          <w:rFonts w:ascii="Calibri" w:hAnsi="Calibri" w:cs="Calibri"/>
          <w:sz w:val="20"/>
          <w:szCs w:val="20"/>
        </w:rPr>
      </w:pPr>
    </w:p>
    <w:p w14:paraId="0824E350" w14:textId="06677C25" w:rsidR="007C67C5" w:rsidRDefault="006551A8" w:rsidP="003035AB">
      <w:pPr>
        <w:pStyle w:val="NormalWeb"/>
        <w:numPr>
          <w:ilvl w:val="0"/>
          <w:numId w:val="18"/>
        </w:numPr>
        <w:contextualSpacing/>
        <w:jc w:val="both"/>
        <w:rPr>
          <w:rFonts w:ascii="Calibri" w:hAnsi="Calibri" w:cs="Calibri"/>
          <w:sz w:val="20"/>
          <w:szCs w:val="20"/>
        </w:rPr>
      </w:pPr>
      <w:r>
        <w:rPr>
          <w:rFonts w:ascii="Calibri" w:hAnsi="Calibri" w:cs="Calibri"/>
          <w:sz w:val="20"/>
          <w:szCs w:val="20"/>
        </w:rPr>
        <w:t xml:space="preserve">Les facteurs de risque liés aux clients qui peuvent être pertinent sont précisés en Annexe I. </w:t>
      </w:r>
    </w:p>
    <w:p w14:paraId="1ABC496C" w14:textId="476386EB" w:rsidR="007C67C5" w:rsidRPr="007C67C5" w:rsidRDefault="007C67C5" w:rsidP="007C67C5">
      <w:pPr>
        <w:pStyle w:val="NormalWeb"/>
        <w:ind w:left="360"/>
        <w:contextualSpacing/>
        <w:jc w:val="both"/>
        <w:rPr>
          <w:rFonts w:ascii="Calibri" w:hAnsi="Calibri" w:cs="Calibri"/>
          <w:sz w:val="20"/>
          <w:szCs w:val="20"/>
        </w:rPr>
      </w:pPr>
    </w:p>
    <w:p w14:paraId="520D0750" w14:textId="2A041666" w:rsidR="007C67C5" w:rsidRDefault="007C67C5" w:rsidP="007C67C5">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7</w:t>
      </w:r>
      <w:r w:rsidRPr="00ED6269">
        <w:rPr>
          <w:rFonts w:ascii="Trebuchet MS" w:hAnsi="Trebuchet MS"/>
          <w:b/>
          <w:bCs/>
        </w:rPr>
        <w:t xml:space="preserve"> </w:t>
      </w:r>
      <w:r>
        <w:rPr>
          <w:rFonts w:ascii="Trebuchet MS" w:hAnsi="Trebuchet MS"/>
          <w:b/>
          <w:bCs/>
        </w:rPr>
        <w:t xml:space="preserve">– FACTEURS DE RISQUE DE BLANCHIMENT </w:t>
      </w:r>
      <w:r w:rsidR="004C16EE">
        <w:rPr>
          <w:rFonts w:ascii="Trebuchet MS" w:hAnsi="Trebuchet MS"/>
          <w:b/>
          <w:bCs/>
        </w:rPr>
        <w:t xml:space="preserve">DE CAPITAUX </w:t>
      </w:r>
      <w:r>
        <w:rPr>
          <w:rFonts w:ascii="Trebuchet MS" w:hAnsi="Trebuchet MS"/>
          <w:b/>
          <w:bCs/>
        </w:rPr>
        <w:t>ET FINANCEMENT DU TERRORISME LIES AUX PRODUITS, AUX SERVICES ET AUX TRANSACTIONS</w:t>
      </w:r>
    </w:p>
    <w:p w14:paraId="3BC84C3F" w14:textId="14EC1581" w:rsidR="007C67C5" w:rsidRDefault="007C67C5" w:rsidP="003035AB">
      <w:pPr>
        <w:pStyle w:val="NormalWeb"/>
        <w:numPr>
          <w:ilvl w:val="2"/>
          <w:numId w:val="19"/>
        </w:numPr>
        <w:ind w:left="709"/>
        <w:jc w:val="both"/>
        <w:rPr>
          <w:rFonts w:ascii="Calibri" w:hAnsi="Calibri" w:cs="Calibri"/>
          <w:sz w:val="20"/>
          <w:szCs w:val="20"/>
        </w:rPr>
      </w:pPr>
      <w:r>
        <w:rPr>
          <w:rFonts w:ascii="Calibri" w:hAnsi="Calibri" w:cs="Calibri"/>
          <w:sz w:val="20"/>
          <w:szCs w:val="20"/>
        </w:rPr>
        <w:t>L</w:t>
      </w:r>
      <w:r w:rsidRPr="007C67C5">
        <w:rPr>
          <w:rFonts w:ascii="Calibri" w:hAnsi="Calibri" w:cs="Calibri"/>
          <w:sz w:val="20"/>
          <w:szCs w:val="20"/>
        </w:rPr>
        <w:t xml:space="preserve">orsqu’ils identifient le risque associé à leurs produits, services et transactions, les </w:t>
      </w:r>
      <w:r>
        <w:rPr>
          <w:rFonts w:ascii="Calibri" w:hAnsi="Calibri" w:cs="Calibri"/>
          <w:sz w:val="20"/>
          <w:szCs w:val="20"/>
        </w:rPr>
        <w:t>assujettis</w:t>
      </w:r>
      <w:r w:rsidRPr="007C67C5">
        <w:rPr>
          <w:rFonts w:ascii="Calibri" w:hAnsi="Calibri" w:cs="Calibri"/>
          <w:sz w:val="20"/>
          <w:szCs w:val="20"/>
        </w:rPr>
        <w:t xml:space="preserve"> d</w:t>
      </w:r>
      <w:r>
        <w:rPr>
          <w:rFonts w:ascii="Calibri" w:hAnsi="Calibri" w:cs="Calibri"/>
          <w:sz w:val="20"/>
          <w:szCs w:val="20"/>
        </w:rPr>
        <w:t xml:space="preserve">oivent </w:t>
      </w:r>
      <w:r w:rsidRPr="007C67C5">
        <w:rPr>
          <w:rFonts w:ascii="Calibri" w:hAnsi="Calibri" w:cs="Calibri"/>
          <w:sz w:val="20"/>
          <w:szCs w:val="20"/>
        </w:rPr>
        <w:t>prendre en considération le risque lié</w:t>
      </w:r>
      <w:r>
        <w:rPr>
          <w:rFonts w:ascii="Calibri" w:hAnsi="Calibri" w:cs="Calibri"/>
          <w:sz w:val="20"/>
          <w:szCs w:val="20"/>
        </w:rPr>
        <w:t xml:space="preserve"> </w:t>
      </w:r>
      <w:r w:rsidRPr="007C67C5">
        <w:rPr>
          <w:rFonts w:ascii="Calibri" w:hAnsi="Calibri" w:cs="Calibri"/>
          <w:sz w:val="20"/>
          <w:szCs w:val="20"/>
        </w:rPr>
        <w:t xml:space="preserve">: </w:t>
      </w:r>
    </w:p>
    <w:p w14:paraId="3681BFEE" w14:textId="77777777" w:rsidR="007C67C5" w:rsidRDefault="007C67C5" w:rsidP="003035AB">
      <w:pPr>
        <w:pStyle w:val="NormalWeb"/>
        <w:numPr>
          <w:ilvl w:val="1"/>
          <w:numId w:val="29"/>
        </w:numPr>
        <w:jc w:val="both"/>
        <w:rPr>
          <w:rFonts w:ascii="Calibri" w:hAnsi="Calibri" w:cs="Calibri"/>
          <w:sz w:val="20"/>
          <w:szCs w:val="20"/>
        </w:rPr>
      </w:pPr>
      <w:r w:rsidRPr="007C67C5">
        <w:rPr>
          <w:rFonts w:ascii="Calibri" w:hAnsi="Calibri" w:cs="Calibri"/>
          <w:sz w:val="20"/>
          <w:szCs w:val="20"/>
        </w:rPr>
        <w:t xml:space="preserve">au niveau de transparence, ou d’opacité, offert par le produit, le service ou la transaction; </w:t>
      </w:r>
    </w:p>
    <w:p w14:paraId="3C5B4829" w14:textId="47C2F56C" w:rsidR="007C67C5" w:rsidRDefault="007C67C5" w:rsidP="003035AB">
      <w:pPr>
        <w:pStyle w:val="NormalWeb"/>
        <w:numPr>
          <w:ilvl w:val="1"/>
          <w:numId w:val="29"/>
        </w:numPr>
        <w:jc w:val="both"/>
        <w:rPr>
          <w:rFonts w:ascii="Calibri" w:hAnsi="Calibri" w:cs="Calibri"/>
          <w:sz w:val="20"/>
          <w:szCs w:val="20"/>
        </w:rPr>
      </w:pPr>
      <w:proofErr w:type="gramStart"/>
      <w:r w:rsidRPr="007C67C5">
        <w:rPr>
          <w:rFonts w:ascii="Calibri" w:hAnsi="Calibri" w:cs="Calibri"/>
          <w:sz w:val="20"/>
          <w:szCs w:val="20"/>
        </w:rPr>
        <w:t>à</w:t>
      </w:r>
      <w:proofErr w:type="gramEnd"/>
      <w:r w:rsidRPr="007C67C5">
        <w:rPr>
          <w:rFonts w:ascii="Calibri" w:hAnsi="Calibri" w:cs="Calibri"/>
          <w:sz w:val="20"/>
          <w:szCs w:val="20"/>
        </w:rPr>
        <w:t xml:space="preserve"> la complexité du produit, du service ou de la transaction;  </w:t>
      </w:r>
    </w:p>
    <w:p w14:paraId="3BA971C1" w14:textId="028B7D87" w:rsidR="00855E2C" w:rsidRDefault="007C67C5" w:rsidP="003035AB">
      <w:pPr>
        <w:pStyle w:val="NormalWeb"/>
        <w:numPr>
          <w:ilvl w:val="1"/>
          <w:numId w:val="29"/>
        </w:numPr>
        <w:jc w:val="both"/>
        <w:rPr>
          <w:rFonts w:ascii="Calibri" w:hAnsi="Calibri" w:cs="Calibri"/>
          <w:sz w:val="20"/>
          <w:szCs w:val="20"/>
        </w:rPr>
      </w:pPr>
      <w:r w:rsidRPr="007C67C5">
        <w:rPr>
          <w:rFonts w:ascii="Calibri" w:hAnsi="Calibri" w:cs="Calibri"/>
          <w:sz w:val="20"/>
          <w:szCs w:val="20"/>
        </w:rPr>
        <w:t>à la valeur ou à la taille du produit, du service ou de la transaction.</w:t>
      </w:r>
    </w:p>
    <w:p w14:paraId="4405295B" w14:textId="01B9E831" w:rsidR="007C67C5" w:rsidRDefault="007C67C5" w:rsidP="003035AB">
      <w:pPr>
        <w:pStyle w:val="NormalWeb"/>
        <w:numPr>
          <w:ilvl w:val="2"/>
          <w:numId w:val="19"/>
        </w:numPr>
        <w:ind w:left="709"/>
        <w:contextualSpacing/>
        <w:jc w:val="both"/>
        <w:rPr>
          <w:rFonts w:ascii="Calibri" w:hAnsi="Calibri" w:cs="Calibri"/>
          <w:sz w:val="20"/>
          <w:szCs w:val="20"/>
        </w:rPr>
      </w:pPr>
      <w:r>
        <w:rPr>
          <w:rFonts w:ascii="Calibri" w:hAnsi="Calibri" w:cs="Calibri"/>
          <w:sz w:val="20"/>
          <w:szCs w:val="20"/>
        </w:rPr>
        <w:t xml:space="preserve">Les facteurs de risque liés </w:t>
      </w:r>
      <w:r w:rsidRPr="007C67C5">
        <w:rPr>
          <w:rFonts w:ascii="Calibri" w:hAnsi="Calibri" w:cs="Calibri"/>
          <w:sz w:val="20"/>
          <w:szCs w:val="20"/>
        </w:rPr>
        <w:t>aux produits, aux services et aux transactions</w:t>
      </w:r>
      <w:r>
        <w:rPr>
          <w:rFonts w:ascii="Calibri" w:hAnsi="Calibri" w:cs="Calibri"/>
          <w:sz w:val="20"/>
          <w:szCs w:val="20"/>
        </w:rPr>
        <w:t xml:space="preserve"> qui peuvent être pertinent sont précisés en Annexe II. </w:t>
      </w:r>
    </w:p>
    <w:p w14:paraId="7015766A" w14:textId="77777777" w:rsidR="006551A8" w:rsidRDefault="006551A8" w:rsidP="00855E2C">
      <w:pPr>
        <w:pStyle w:val="NormalWeb"/>
        <w:jc w:val="both"/>
        <w:rPr>
          <w:rFonts w:ascii="Calibri" w:hAnsi="Calibri" w:cs="Calibri"/>
          <w:sz w:val="20"/>
          <w:szCs w:val="20"/>
        </w:rPr>
      </w:pPr>
    </w:p>
    <w:p w14:paraId="0B9C1AD0" w14:textId="09C7A6D2" w:rsidR="0065326B" w:rsidRDefault="0065326B" w:rsidP="0065326B">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8</w:t>
      </w:r>
      <w:r w:rsidRPr="00ED6269">
        <w:rPr>
          <w:rFonts w:ascii="Trebuchet MS" w:hAnsi="Trebuchet MS"/>
          <w:b/>
          <w:bCs/>
        </w:rPr>
        <w:t xml:space="preserve"> </w:t>
      </w:r>
      <w:r>
        <w:rPr>
          <w:rFonts w:ascii="Trebuchet MS" w:hAnsi="Trebuchet MS"/>
          <w:b/>
          <w:bCs/>
        </w:rPr>
        <w:t>– FACTEURS DE RISQUE DE BLANCHIMENT</w:t>
      </w:r>
      <w:r w:rsidR="004C16EE">
        <w:rPr>
          <w:rFonts w:ascii="Trebuchet MS" w:hAnsi="Trebuchet MS"/>
          <w:b/>
          <w:bCs/>
        </w:rPr>
        <w:t xml:space="preserve"> DE CAPITAUX</w:t>
      </w:r>
      <w:r>
        <w:rPr>
          <w:rFonts w:ascii="Trebuchet MS" w:hAnsi="Trebuchet MS"/>
          <w:b/>
          <w:bCs/>
        </w:rPr>
        <w:t xml:space="preserve"> ET FINANCEMENT DU TERRORISME LIES AUX CANAUX DE DISTRIBUTION</w:t>
      </w:r>
    </w:p>
    <w:p w14:paraId="7EBD6710" w14:textId="1D4E19E3" w:rsidR="0065326B" w:rsidRDefault="0065326B" w:rsidP="003035AB">
      <w:pPr>
        <w:pStyle w:val="NormalWeb"/>
        <w:numPr>
          <w:ilvl w:val="0"/>
          <w:numId w:val="34"/>
        </w:numPr>
        <w:contextualSpacing/>
        <w:jc w:val="both"/>
        <w:rPr>
          <w:rFonts w:ascii="Calibri" w:hAnsi="Calibri" w:cs="Calibri"/>
          <w:sz w:val="20"/>
          <w:szCs w:val="20"/>
        </w:rPr>
      </w:pPr>
      <w:r>
        <w:rPr>
          <w:rFonts w:ascii="Calibri" w:hAnsi="Calibri" w:cs="Calibri"/>
          <w:sz w:val="20"/>
          <w:szCs w:val="20"/>
        </w:rPr>
        <w:t>L</w:t>
      </w:r>
      <w:r w:rsidRPr="007C67C5">
        <w:rPr>
          <w:rFonts w:ascii="Calibri" w:hAnsi="Calibri" w:cs="Calibri"/>
          <w:sz w:val="20"/>
          <w:szCs w:val="20"/>
        </w:rPr>
        <w:t xml:space="preserve">orsqu’ils identifient le risque associé à </w:t>
      </w:r>
      <w:r>
        <w:rPr>
          <w:rFonts w:ascii="Calibri" w:hAnsi="Calibri" w:cs="Calibri"/>
          <w:sz w:val="20"/>
          <w:szCs w:val="20"/>
        </w:rPr>
        <w:t>la façon dont le client obtient les produits ou services</w:t>
      </w:r>
      <w:r w:rsidR="00B62DC3">
        <w:rPr>
          <w:rFonts w:ascii="Calibri" w:hAnsi="Calibri" w:cs="Calibri"/>
          <w:sz w:val="20"/>
          <w:szCs w:val="20"/>
        </w:rPr>
        <w:t xml:space="preserve"> qui lui sont fournis</w:t>
      </w:r>
      <w:r>
        <w:rPr>
          <w:rFonts w:ascii="Calibri" w:hAnsi="Calibri" w:cs="Calibri"/>
          <w:sz w:val="20"/>
          <w:szCs w:val="20"/>
        </w:rPr>
        <w:t xml:space="preserve">, les assujettis prennent en compte le risque lié </w:t>
      </w:r>
      <w:r w:rsidRPr="007C67C5">
        <w:rPr>
          <w:rFonts w:ascii="Calibri" w:hAnsi="Calibri" w:cs="Calibri"/>
          <w:sz w:val="20"/>
          <w:szCs w:val="20"/>
        </w:rPr>
        <w:t xml:space="preserve">: </w:t>
      </w:r>
      <w:r>
        <w:rPr>
          <w:rFonts w:ascii="Calibri" w:hAnsi="Calibri" w:cs="Calibri"/>
          <w:sz w:val="20"/>
          <w:szCs w:val="20"/>
        </w:rPr>
        <w:t>`</w:t>
      </w:r>
    </w:p>
    <w:p w14:paraId="7B34A360" w14:textId="77777777" w:rsidR="0065326B" w:rsidRDefault="0065326B" w:rsidP="0065326B">
      <w:pPr>
        <w:pStyle w:val="NormalWeb"/>
        <w:contextualSpacing/>
        <w:jc w:val="both"/>
        <w:rPr>
          <w:rFonts w:ascii="Calibri" w:hAnsi="Calibri" w:cs="Calibri"/>
          <w:sz w:val="20"/>
          <w:szCs w:val="20"/>
        </w:rPr>
      </w:pPr>
    </w:p>
    <w:p w14:paraId="11044999" w14:textId="5843DCC0" w:rsidR="0065326B" w:rsidRDefault="0065326B" w:rsidP="003035AB">
      <w:pPr>
        <w:pStyle w:val="NormalWeb"/>
        <w:numPr>
          <w:ilvl w:val="1"/>
          <w:numId w:val="18"/>
        </w:numPr>
        <w:jc w:val="both"/>
        <w:rPr>
          <w:rFonts w:ascii="Calibri" w:hAnsi="Calibri" w:cs="Calibri"/>
          <w:sz w:val="20"/>
          <w:szCs w:val="20"/>
        </w:rPr>
      </w:pPr>
      <w:proofErr w:type="gramStart"/>
      <w:r>
        <w:rPr>
          <w:rFonts w:ascii="Calibri" w:hAnsi="Calibri" w:cs="Calibri"/>
          <w:sz w:val="20"/>
          <w:szCs w:val="20"/>
        </w:rPr>
        <w:t>à</w:t>
      </w:r>
      <w:proofErr w:type="gramEnd"/>
      <w:r>
        <w:rPr>
          <w:rFonts w:ascii="Calibri" w:hAnsi="Calibri" w:cs="Calibri"/>
          <w:sz w:val="20"/>
          <w:szCs w:val="20"/>
        </w:rPr>
        <w:t xml:space="preserve"> la mesure dans laquelle la relation d’affaires est conduite sans la présence physique des parties </w:t>
      </w:r>
      <w:r w:rsidRPr="007C67C5">
        <w:rPr>
          <w:rFonts w:ascii="Calibri" w:hAnsi="Calibri" w:cs="Calibri"/>
          <w:sz w:val="20"/>
          <w:szCs w:val="20"/>
        </w:rPr>
        <w:t>;</w:t>
      </w:r>
      <w:r>
        <w:rPr>
          <w:rFonts w:ascii="Calibri" w:hAnsi="Calibri" w:cs="Calibri"/>
          <w:sz w:val="20"/>
          <w:szCs w:val="20"/>
        </w:rPr>
        <w:t xml:space="preserve"> </w:t>
      </w:r>
    </w:p>
    <w:p w14:paraId="75DF953E" w14:textId="77777777" w:rsidR="0065326B" w:rsidRDefault="0065326B" w:rsidP="003035AB">
      <w:pPr>
        <w:pStyle w:val="NormalWeb"/>
        <w:numPr>
          <w:ilvl w:val="1"/>
          <w:numId w:val="18"/>
        </w:numPr>
        <w:jc w:val="both"/>
        <w:rPr>
          <w:rFonts w:ascii="Calibri" w:hAnsi="Calibri" w:cs="Calibri"/>
          <w:sz w:val="20"/>
          <w:szCs w:val="20"/>
        </w:rPr>
      </w:pPr>
      <w:r>
        <w:rPr>
          <w:rFonts w:ascii="Calibri" w:hAnsi="Calibri" w:cs="Calibri"/>
          <w:sz w:val="20"/>
          <w:szCs w:val="20"/>
        </w:rPr>
        <w:t>aux apporteurs d’affaires ou aux intermédiaires auxquels l’assujetti pourrait avoir recours, ainsi qu’à la nature de leur relation avec l’assujetti.</w:t>
      </w:r>
      <w:r w:rsidRPr="007C67C5">
        <w:rPr>
          <w:rFonts w:ascii="Calibri" w:hAnsi="Calibri" w:cs="Calibri"/>
          <w:sz w:val="20"/>
          <w:szCs w:val="20"/>
        </w:rPr>
        <w:t xml:space="preserve"> </w:t>
      </w:r>
    </w:p>
    <w:p w14:paraId="7775D458" w14:textId="6D506FF0" w:rsidR="0065326B" w:rsidRPr="0065326B" w:rsidRDefault="0065326B" w:rsidP="003035AB">
      <w:pPr>
        <w:pStyle w:val="NormalWeb"/>
        <w:numPr>
          <w:ilvl w:val="0"/>
          <w:numId w:val="34"/>
        </w:numPr>
        <w:jc w:val="both"/>
        <w:rPr>
          <w:rFonts w:ascii="Calibri" w:hAnsi="Calibri" w:cs="Calibri"/>
          <w:sz w:val="20"/>
          <w:szCs w:val="20"/>
        </w:rPr>
      </w:pPr>
      <w:r w:rsidRPr="0065326B">
        <w:rPr>
          <w:rFonts w:ascii="Calibri" w:hAnsi="Calibri" w:cs="Calibri"/>
          <w:sz w:val="20"/>
          <w:szCs w:val="20"/>
        </w:rPr>
        <w:t>Les facteurs de risque liés aux canaux de distribution qui peuvent être pertinent sont précisés en Annexe III</w:t>
      </w:r>
      <w:r w:rsidR="006B6FE6">
        <w:rPr>
          <w:rFonts w:ascii="Calibri" w:hAnsi="Calibri" w:cs="Calibri"/>
          <w:sz w:val="20"/>
          <w:szCs w:val="20"/>
        </w:rPr>
        <w:t>.</w:t>
      </w:r>
      <w:r w:rsidRPr="0065326B">
        <w:rPr>
          <w:rFonts w:ascii="Calibri" w:hAnsi="Calibri" w:cs="Calibri"/>
          <w:sz w:val="20"/>
          <w:szCs w:val="20"/>
        </w:rPr>
        <w:t xml:space="preserve"> </w:t>
      </w:r>
    </w:p>
    <w:p w14:paraId="4685EB9C" w14:textId="6433E650" w:rsidR="00C6347D" w:rsidRDefault="00C6347D" w:rsidP="00C6347D">
      <w:pPr>
        <w:pStyle w:val="NormalWeb"/>
        <w:jc w:val="both"/>
        <w:rPr>
          <w:rFonts w:ascii="Trebuchet MS" w:hAnsi="Trebuchet MS"/>
          <w:b/>
          <w:bCs/>
        </w:rPr>
      </w:pPr>
      <w:r w:rsidRPr="00ED6269">
        <w:rPr>
          <w:rFonts w:ascii="Trebuchet MS" w:hAnsi="Trebuchet MS"/>
          <w:b/>
          <w:bCs/>
        </w:rPr>
        <w:t xml:space="preserve">ARTICLE </w:t>
      </w:r>
      <w:r>
        <w:rPr>
          <w:rFonts w:ascii="Trebuchet MS" w:hAnsi="Trebuchet MS"/>
          <w:b/>
          <w:bCs/>
        </w:rPr>
        <w:t>9</w:t>
      </w:r>
      <w:r w:rsidRPr="00ED6269">
        <w:rPr>
          <w:rFonts w:ascii="Trebuchet MS" w:hAnsi="Trebuchet MS"/>
          <w:b/>
          <w:bCs/>
        </w:rPr>
        <w:t xml:space="preserve"> </w:t>
      </w:r>
      <w:r>
        <w:rPr>
          <w:rFonts w:ascii="Trebuchet MS" w:hAnsi="Trebuchet MS"/>
          <w:b/>
          <w:bCs/>
        </w:rPr>
        <w:t xml:space="preserve">– EVALUATION DU RISQUE DE BLANCHIMENT </w:t>
      </w:r>
      <w:r w:rsidR="004C16EE">
        <w:rPr>
          <w:rFonts w:ascii="Trebuchet MS" w:hAnsi="Trebuchet MS"/>
          <w:b/>
          <w:bCs/>
        </w:rPr>
        <w:t xml:space="preserve">DE CAPITAUX </w:t>
      </w:r>
      <w:r>
        <w:rPr>
          <w:rFonts w:ascii="Trebuchet MS" w:hAnsi="Trebuchet MS"/>
          <w:b/>
          <w:bCs/>
        </w:rPr>
        <w:t>ET</w:t>
      </w:r>
      <w:r w:rsidR="00B62DC3">
        <w:rPr>
          <w:rFonts w:ascii="Trebuchet MS" w:hAnsi="Trebuchet MS"/>
          <w:b/>
          <w:bCs/>
        </w:rPr>
        <w:t xml:space="preserve"> DE </w:t>
      </w:r>
      <w:r>
        <w:rPr>
          <w:rFonts w:ascii="Trebuchet MS" w:hAnsi="Trebuchet MS"/>
          <w:b/>
          <w:bCs/>
        </w:rPr>
        <w:t xml:space="preserve"> FINANCEMENT DU TERRORISME</w:t>
      </w:r>
    </w:p>
    <w:p w14:paraId="3C0C40E2" w14:textId="3E788FEF" w:rsidR="006C2852" w:rsidRDefault="00C6347D" w:rsidP="003035AB">
      <w:pPr>
        <w:pStyle w:val="NormalWeb"/>
        <w:numPr>
          <w:ilvl w:val="0"/>
          <w:numId w:val="38"/>
        </w:numPr>
        <w:contextualSpacing/>
        <w:jc w:val="both"/>
        <w:rPr>
          <w:rFonts w:ascii="Calibri" w:hAnsi="Calibri" w:cs="Calibri"/>
          <w:sz w:val="20"/>
          <w:szCs w:val="20"/>
        </w:rPr>
      </w:pPr>
      <w:r w:rsidRPr="00C6347D">
        <w:rPr>
          <w:rFonts w:ascii="Calibri" w:hAnsi="Calibri" w:cs="Calibri"/>
          <w:sz w:val="20"/>
          <w:szCs w:val="20"/>
        </w:rPr>
        <w:t xml:space="preserve">Les assujettis utilisent les facteurs de risque identifiés pour évaluer le niveau global du risque de blanchiment </w:t>
      </w:r>
      <w:r w:rsidR="004C16EE">
        <w:rPr>
          <w:rFonts w:ascii="Calibri" w:hAnsi="Calibri" w:cs="Calibri"/>
          <w:sz w:val="20"/>
          <w:szCs w:val="20"/>
        </w:rPr>
        <w:t xml:space="preserve">de capitaux </w:t>
      </w:r>
      <w:r w:rsidRPr="00C6347D">
        <w:rPr>
          <w:rFonts w:ascii="Calibri" w:hAnsi="Calibri" w:cs="Calibri"/>
          <w:sz w:val="20"/>
          <w:szCs w:val="20"/>
        </w:rPr>
        <w:t>et d</w:t>
      </w:r>
      <w:r w:rsidR="00B62DC3">
        <w:rPr>
          <w:rFonts w:ascii="Calibri" w:hAnsi="Calibri" w:cs="Calibri"/>
          <w:sz w:val="20"/>
          <w:szCs w:val="20"/>
        </w:rPr>
        <w:t>e</w:t>
      </w:r>
      <w:r w:rsidRPr="00C6347D">
        <w:rPr>
          <w:rFonts w:ascii="Calibri" w:hAnsi="Calibri" w:cs="Calibri"/>
          <w:sz w:val="20"/>
          <w:szCs w:val="20"/>
        </w:rPr>
        <w:t xml:space="preserve"> financement du terrorisme.</w:t>
      </w:r>
    </w:p>
    <w:p w14:paraId="24EE97EB" w14:textId="77777777" w:rsidR="006C2852" w:rsidRPr="006C2852" w:rsidRDefault="006C2852" w:rsidP="006C2852">
      <w:pPr>
        <w:pStyle w:val="NormalWeb"/>
        <w:ind w:left="720"/>
        <w:contextualSpacing/>
        <w:jc w:val="both"/>
        <w:rPr>
          <w:rFonts w:ascii="Calibri" w:hAnsi="Calibri" w:cs="Calibri"/>
          <w:sz w:val="20"/>
          <w:szCs w:val="20"/>
        </w:rPr>
      </w:pPr>
    </w:p>
    <w:p w14:paraId="392F573C" w14:textId="47C392E6" w:rsidR="006C2852" w:rsidRDefault="006C2852" w:rsidP="003035AB">
      <w:pPr>
        <w:pStyle w:val="NormalWeb"/>
        <w:numPr>
          <w:ilvl w:val="0"/>
          <w:numId w:val="38"/>
        </w:numPr>
        <w:contextualSpacing/>
        <w:jc w:val="both"/>
        <w:rPr>
          <w:rFonts w:ascii="Calibri" w:hAnsi="Calibri" w:cs="Calibri"/>
          <w:sz w:val="20"/>
          <w:szCs w:val="20"/>
        </w:rPr>
      </w:pPr>
      <w:r>
        <w:rPr>
          <w:rFonts w:ascii="Calibri" w:hAnsi="Calibri" w:cs="Calibri"/>
          <w:sz w:val="20"/>
          <w:szCs w:val="20"/>
        </w:rPr>
        <w:t>Lorsqu’ils évaluent les facteurs de risque, les assujettis déterminent en connaissance de cause la pertinence des différents facteurs de risque dans le contexte d’une relation d’affaires, d’une transaction conclue à titre occasionnel ou de leurs activités.</w:t>
      </w:r>
    </w:p>
    <w:p w14:paraId="12EA8437" w14:textId="77777777" w:rsidR="006C2852" w:rsidRPr="006C2852" w:rsidRDefault="006C2852" w:rsidP="006C2852">
      <w:pPr>
        <w:pStyle w:val="NormalWeb"/>
        <w:ind w:left="720"/>
        <w:contextualSpacing/>
        <w:jc w:val="both"/>
        <w:rPr>
          <w:rFonts w:ascii="Calibri" w:hAnsi="Calibri" w:cs="Calibri"/>
          <w:sz w:val="20"/>
          <w:szCs w:val="20"/>
        </w:rPr>
      </w:pPr>
    </w:p>
    <w:p w14:paraId="0E8251C2" w14:textId="366A20C3" w:rsidR="006C2852" w:rsidRDefault="006C2852" w:rsidP="003035AB">
      <w:pPr>
        <w:pStyle w:val="NormalWeb"/>
        <w:numPr>
          <w:ilvl w:val="0"/>
          <w:numId w:val="38"/>
        </w:numPr>
        <w:contextualSpacing/>
        <w:jc w:val="both"/>
        <w:rPr>
          <w:rFonts w:ascii="Calibri" w:hAnsi="Calibri" w:cs="Calibri"/>
          <w:sz w:val="20"/>
          <w:szCs w:val="20"/>
        </w:rPr>
      </w:pPr>
      <w:r>
        <w:rPr>
          <w:rFonts w:ascii="Calibri" w:hAnsi="Calibri" w:cs="Calibri"/>
          <w:sz w:val="20"/>
          <w:szCs w:val="20"/>
        </w:rPr>
        <w:t>Le poids accordé à chacun de ces facteurs est susceptible de varier d’un produit à l’autre, d’un client à l’autre et d’un assujetti à l’autre. Les assujettis veillent :</w:t>
      </w:r>
    </w:p>
    <w:p w14:paraId="07FE60B4" w14:textId="77777777" w:rsidR="006C2852" w:rsidRPr="006C2852" w:rsidRDefault="006C2852" w:rsidP="006C2852">
      <w:pPr>
        <w:pStyle w:val="NormalWeb"/>
        <w:ind w:left="720"/>
        <w:contextualSpacing/>
        <w:jc w:val="both"/>
        <w:rPr>
          <w:rFonts w:ascii="Calibri" w:hAnsi="Calibri" w:cs="Calibri"/>
          <w:sz w:val="20"/>
          <w:szCs w:val="20"/>
        </w:rPr>
      </w:pPr>
    </w:p>
    <w:p w14:paraId="720CC26F" w14:textId="77777777" w:rsidR="006C2852" w:rsidRDefault="006C2852" w:rsidP="003035AB">
      <w:pPr>
        <w:pStyle w:val="NormalWeb"/>
        <w:numPr>
          <w:ilvl w:val="0"/>
          <w:numId w:val="39"/>
        </w:numPr>
        <w:jc w:val="both"/>
        <w:rPr>
          <w:rFonts w:ascii="Calibri" w:hAnsi="Calibri" w:cs="Calibri"/>
          <w:sz w:val="20"/>
          <w:szCs w:val="20"/>
        </w:rPr>
      </w:pPr>
      <w:r>
        <w:rPr>
          <w:rFonts w:ascii="Calibri" w:hAnsi="Calibri" w:cs="Calibri"/>
          <w:sz w:val="20"/>
          <w:szCs w:val="20"/>
        </w:rPr>
        <w:t>à ce que la pondération ne soit pas excessivement influencée par un seul facteur ;</w:t>
      </w:r>
    </w:p>
    <w:p w14:paraId="65C4D97B" w14:textId="717C643A" w:rsidR="006C2852" w:rsidRDefault="006C2852" w:rsidP="003035AB">
      <w:pPr>
        <w:pStyle w:val="NormalWeb"/>
        <w:numPr>
          <w:ilvl w:val="0"/>
          <w:numId w:val="39"/>
        </w:numPr>
        <w:jc w:val="both"/>
        <w:rPr>
          <w:rFonts w:ascii="Calibri" w:hAnsi="Calibri" w:cs="Calibri"/>
          <w:sz w:val="20"/>
          <w:szCs w:val="20"/>
        </w:rPr>
      </w:pPr>
      <w:r w:rsidRPr="006C2852">
        <w:rPr>
          <w:rFonts w:ascii="Calibri" w:hAnsi="Calibri" w:cs="Calibri"/>
          <w:sz w:val="20"/>
          <w:szCs w:val="20"/>
        </w:rPr>
        <w:t>à ce que la notation du risque ne soit pas influencée par des considérations d’ordre économique ou de profit</w:t>
      </w:r>
      <w:r w:rsidR="00B62DC3">
        <w:rPr>
          <w:rFonts w:ascii="Calibri" w:hAnsi="Calibri" w:cs="Calibri"/>
          <w:sz w:val="20"/>
          <w:szCs w:val="20"/>
        </w:rPr>
        <w:t> ;</w:t>
      </w:r>
    </w:p>
    <w:p w14:paraId="4A8524AF" w14:textId="77777777" w:rsidR="006C2852" w:rsidRDefault="006C2852" w:rsidP="003035AB">
      <w:pPr>
        <w:pStyle w:val="NormalWeb"/>
        <w:numPr>
          <w:ilvl w:val="0"/>
          <w:numId w:val="39"/>
        </w:numPr>
        <w:jc w:val="both"/>
        <w:rPr>
          <w:rFonts w:ascii="Calibri" w:hAnsi="Calibri" w:cs="Calibri"/>
          <w:sz w:val="20"/>
          <w:szCs w:val="20"/>
        </w:rPr>
      </w:pPr>
      <w:r w:rsidRPr="006C2852">
        <w:rPr>
          <w:rFonts w:ascii="Calibri" w:hAnsi="Calibri" w:cs="Calibri"/>
          <w:sz w:val="20"/>
          <w:szCs w:val="20"/>
        </w:rPr>
        <w:t>à ce que la pondération ne conduise pas à une situation où il est impossible de classer une relation d’affaires comme présentant un risque élevé ;</w:t>
      </w:r>
    </w:p>
    <w:p w14:paraId="41E7CFED" w14:textId="7D2D3632" w:rsidR="006C2852" w:rsidRPr="006C2852" w:rsidRDefault="006C2852" w:rsidP="003035AB">
      <w:pPr>
        <w:pStyle w:val="NormalWeb"/>
        <w:numPr>
          <w:ilvl w:val="0"/>
          <w:numId w:val="39"/>
        </w:numPr>
        <w:jc w:val="both"/>
        <w:rPr>
          <w:rFonts w:ascii="Calibri" w:hAnsi="Calibri" w:cs="Calibri"/>
          <w:sz w:val="20"/>
          <w:szCs w:val="20"/>
        </w:rPr>
      </w:pPr>
      <w:r w:rsidRPr="006C2852">
        <w:rPr>
          <w:rFonts w:ascii="Calibri" w:hAnsi="Calibri" w:cs="Calibri"/>
          <w:sz w:val="20"/>
          <w:szCs w:val="20"/>
        </w:rPr>
        <w:t>à ce qu’ils puissent annuler toute note de risque générée automatiquement, si nécessaire. Les raisons de la décision d’annulation de ces notes devraient être documentées de manière adéquate.</w:t>
      </w:r>
    </w:p>
    <w:p w14:paraId="4B839B20" w14:textId="51E64376" w:rsidR="00D66434" w:rsidRDefault="00D66434" w:rsidP="003035AB">
      <w:pPr>
        <w:pStyle w:val="NormalWeb"/>
        <w:numPr>
          <w:ilvl w:val="0"/>
          <w:numId w:val="38"/>
        </w:numPr>
        <w:contextualSpacing/>
        <w:jc w:val="both"/>
        <w:rPr>
          <w:rFonts w:ascii="Calibri" w:hAnsi="Calibri" w:cs="Calibri"/>
          <w:sz w:val="20"/>
          <w:szCs w:val="20"/>
        </w:rPr>
      </w:pPr>
      <w:r>
        <w:rPr>
          <w:rFonts w:ascii="Calibri" w:hAnsi="Calibri" w:cs="Calibri"/>
          <w:sz w:val="20"/>
          <w:szCs w:val="20"/>
        </w:rPr>
        <w:t>Les assujettis arrêtent la meilleure manière de catégoriser les risques. Cette décision dépendra de la nature et de l’ampleur des activités de l’assujetti, ainsi que des types de risque de blanchiment</w:t>
      </w:r>
      <w:r w:rsidR="004C16EE">
        <w:rPr>
          <w:rFonts w:ascii="Calibri" w:hAnsi="Calibri" w:cs="Calibri"/>
          <w:sz w:val="20"/>
          <w:szCs w:val="20"/>
        </w:rPr>
        <w:t xml:space="preserve"> de capitaux</w:t>
      </w:r>
      <w:r>
        <w:rPr>
          <w:rFonts w:ascii="Calibri" w:hAnsi="Calibri" w:cs="Calibri"/>
          <w:sz w:val="20"/>
          <w:szCs w:val="20"/>
        </w:rPr>
        <w:t xml:space="preserve"> et financement du terrorisme auxquels il est exposé.</w:t>
      </w:r>
    </w:p>
    <w:p w14:paraId="52888F60" w14:textId="77777777" w:rsidR="00D66434" w:rsidRDefault="00D66434" w:rsidP="00D66434">
      <w:pPr>
        <w:pStyle w:val="NormalWeb"/>
        <w:ind w:left="720"/>
        <w:contextualSpacing/>
        <w:jc w:val="both"/>
        <w:rPr>
          <w:rFonts w:ascii="Calibri" w:hAnsi="Calibri" w:cs="Calibri"/>
          <w:sz w:val="20"/>
          <w:szCs w:val="20"/>
        </w:rPr>
      </w:pPr>
    </w:p>
    <w:p w14:paraId="45FE6023" w14:textId="491B2421" w:rsidR="00D66434" w:rsidRDefault="00D66434" w:rsidP="003035AB">
      <w:pPr>
        <w:pStyle w:val="NormalWeb"/>
        <w:numPr>
          <w:ilvl w:val="0"/>
          <w:numId w:val="38"/>
        </w:numPr>
        <w:contextualSpacing/>
        <w:jc w:val="both"/>
        <w:rPr>
          <w:rFonts w:ascii="Calibri" w:hAnsi="Calibri" w:cs="Calibri"/>
          <w:sz w:val="20"/>
          <w:szCs w:val="20"/>
        </w:rPr>
      </w:pPr>
      <w:r>
        <w:rPr>
          <w:rFonts w:ascii="Calibri" w:hAnsi="Calibri" w:cs="Calibri"/>
          <w:sz w:val="20"/>
          <w:szCs w:val="20"/>
        </w:rPr>
        <w:t xml:space="preserve">A la suite de son évaluation </w:t>
      </w:r>
      <w:r w:rsidRPr="00D66434">
        <w:rPr>
          <w:rFonts w:ascii="Calibri" w:hAnsi="Calibri" w:cs="Calibri"/>
          <w:sz w:val="20"/>
          <w:szCs w:val="20"/>
        </w:rPr>
        <w:t xml:space="preserve">des risques, et compte tenu des risques inhérents et des techniques d’atténuation qu’il a identifiés, un </w:t>
      </w:r>
      <w:r w:rsidR="00464C7C">
        <w:rPr>
          <w:rFonts w:ascii="Calibri" w:hAnsi="Calibri" w:cs="Calibri"/>
          <w:sz w:val="20"/>
          <w:szCs w:val="20"/>
        </w:rPr>
        <w:t>assujetti</w:t>
      </w:r>
      <w:r w:rsidRPr="00D66434">
        <w:rPr>
          <w:rFonts w:ascii="Calibri" w:hAnsi="Calibri" w:cs="Calibri"/>
          <w:sz w:val="20"/>
          <w:szCs w:val="20"/>
        </w:rPr>
        <w:t xml:space="preserve"> </w:t>
      </w:r>
      <w:r w:rsidR="00464C7C">
        <w:rPr>
          <w:rFonts w:ascii="Calibri" w:hAnsi="Calibri" w:cs="Calibri"/>
          <w:sz w:val="20"/>
          <w:szCs w:val="20"/>
        </w:rPr>
        <w:t>classe</w:t>
      </w:r>
      <w:r w:rsidRPr="00D66434">
        <w:rPr>
          <w:rFonts w:ascii="Calibri" w:hAnsi="Calibri" w:cs="Calibri"/>
          <w:sz w:val="20"/>
          <w:szCs w:val="20"/>
        </w:rPr>
        <w:t xml:space="preserve"> ses lignes d’activité ainsi que ses relations d’affaires et les transactions conclues à titre occasionnel en fonction du niveau de risque de </w:t>
      </w:r>
      <w:r w:rsidR="00464C7C">
        <w:rPr>
          <w:rFonts w:ascii="Calibri" w:hAnsi="Calibri" w:cs="Calibri"/>
          <w:sz w:val="20"/>
          <w:szCs w:val="20"/>
        </w:rPr>
        <w:t xml:space="preserve">blanchiment </w:t>
      </w:r>
      <w:r w:rsidR="004C16EE">
        <w:rPr>
          <w:rFonts w:ascii="Calibri" w:hAnsi="Calibri" w:cs="Calibri"/>
          <w:sz w:val="20"/>
          <w:szCs w:val="20"/>
        </w:rPr>
        <w:t xml:space="preserve">de capitaux </w:t>
      </w:r>
      <w:r w:rsidR="00464C7C">
        <w:rPr>
          <w:rFonts w:ascii="Calibri" w:hAnsi="Calibri" w:cs="Calibri"/>
          <w:sz w:val="20"/>
          <w:szCs w:val="20"/>
        </w:rPr>
        <w:t>et de financement du terrorisme</w:t>
      </w:r>
      <w:r w:rsidRPr="00D66434">
        <w:rPr>
          <w:rFonts w:ascii="Calibri" w:hAnsi="Calibri" w:cs="Calibri"/>
          <w:sz w:val="20"/>
          <w:szCs w:val="20"/>
        </w:rPr>
        <w:t xml:space="preserve"> qu’il perçoit.</w:t>
      </w:r>
    </w:p>
    <w:p w14:paraId="412D8D8C" w14:textId="77777777" w:rsidR="0065326B" w:rsidRDefault="0065326B" w:rsidP="00855E2C">
      <w:pPr>
        <w:pStyle w:val="NormalWeb"/>
        <w:jc w:val="both"/>
        <w:rPr>
          <w:rFonts w:ascii="Calibri" w:hAnsi="Calibri" w:cs="Calibri"/>
          <w:sz w:val="20"/>
          <w:szCs w:val="20"/>
        </w:rPr>
      </w:pPr>
    </w:p>
    <w:p w14:paraId="1544C789" w14:textId="5323CB53" w:rsidR="006B6FE6" w:rsidRPr="00AC4D54" w:rsidRDefault="006B6FE6" w:rsidP="006B6FE6">
      <w:pPr>
        <w:pStyle w:val="NormalWeb"/>
        <w:jc w:val="both"/>
        <w:rPr>
          <w:rFonts w:ascii="Trebuchet MS" w:hAnsi="Trebuchet MS"/>
          <w:b/>
          <w:bCs/>
        </w:rPr>
      </w:pPr>
      <w:r w:rsidRPr="00ED6269">
        <w:rPr>
          <w:rFonts w:ascii="Trebuchet MS" w:hAnsi="Trebuchet MS"/>
          <w:b/>
          <w:bCs/>
        </w:rPr>
        <w:t>ARTICLE</w:t>
      </w:r>
      <w:r>
        <w:rPr>
          <w:rFonts w:ascii="Trebuchet MS" w:hAnsi="Trebuchet MS"/>
          <w:b/>
          <w:bCs/>
        </w:rPr>
        <w:t xml:space="preserve"> 10 – ENTREE EN VIGUEUR</w:t>
      </w:r>
    </w:p>
    <w:p w14:paraId="0AA77CCF" w14:textId="77777777" w:rsidR="006B6FE6" w:rsidRDefault="006B6FE6" w:rsidP="006B6FE6">
      <w:pPr>
        <w:pStyle w:val="Normal6"/>
        <w:shd w:val="clear" w:color="auto" w:fill="FFFFFF"/>
        <w:spacing w:before="120"/>
        <w:jc w:val="both"/>
        <w:rPr>
          <w:rFonts w:asciiTheme="minorHAnsi" w:hAnsiTheme="minorHAnsi" w:cstheme="minorHAnsi"/>
          <w:sz w:val="20"/>
          <w:szCs w:val="20"/>
        </w:rPr>
      </w:pPr>
      <w:r>
        <w:rPr>
          <w:rFonts w:asciiTheme="minorHAnsi" w:hAnsiTheme="minorHAnsi" w:cstheme="minorHAnsi"/>
          <w:sz w:val="20"/>
          <w:szCs w:val="20"/>
        </w:rPr>
        <w:t>La présente instruction, qui entre en vigueur à la date de sa signature, sera publiée sur le site internet de la COSUMAF et sur tout autre support précisé par la COSUMAF.</w:t>
      </w:r>
    </w:p>
    <w:p w14:paraId="566BC0DA" w14:textId="77777777" w:rsidR="006B6FE6" w:rsidRDefault="006B6FE6" w:rsidP="006B6FE6">
      <w:pPr>
        <w:pStyle w:val="Normal6"/>
        <w:shd w:val="clear" w:color="auto" w:fill="FFFFFF"/>
        <w:spacing w:before="120"/>
        <w:jc w:val="both"/>
        <w:rPr>
          <w:rFonts w:asciiTheme="minorHAnsi" w:hAnsiTheme="minorHAnsi" w:cstheme="minorHAnsi"/>
          <w:sz w:val="20"/>
          <w:szCs w:val="20"/>
        </w:rPr>
      </w:pPr>
    </w:p>
    <w:p w14:paraId="7ED2591D" w14:textId="77777777" w:rsidR="006B6FE6" w:rsidRDefault="006B6FE6" w:rsidP="006B6FE6">
      <w:pPr>
        <w:pStyle w:val="Normal6"/>
        <w:shd w:val="clear" w:color="auto" w:fill="FFFFFF"/>
        <w:spacing w:before="120"/>
        <w:jc w:val="both"/>
        <w:rPr>
          <w:rFonts w:asciiTheme="minorHAnsi" w:hAnsiTheme="minorHAnsi" w:cstheme="minorHAnsi"/>
          <w:sz w:val="20"/>
          <w:szCs w:val="20"/>
        </w:rPr>
      </w:pPr>
    </w:p>
    <w:p w14:paraId="66B19948" w14:textId="77777777" w:rsidR="006B6FE6" w:rsidRDefault="006B6FE6" w:rsidP="006B6FE6">
      <w:pPr>
        <w:pStyle w:val="Normal6"/>
        <w:shd w:val="clear" w:color="auto" w:fill="FFFFFF"/>
        <w:spacing w:before="12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                                                                                                                            Fait à Libreville, le xxx 2024</w:t>
      </w:r>
    </w:p>
    <w:p w14:paraId="465240CA" w14:textId="77777777" w:rsidR="006B6FE6" w:rsidRDefault="006B6FE6" w:rsidP="006B6FE6">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Pour la COSUMAF</w:t>
      </w:r>
    </w:p>
    <w:p w14:paraId="5C8C52DB" w14:textId="77777777" w:rsidR="006B6FE6" w:rsidRDefault="006B6FE6" w:rsidP="006B6FE6">
      <w:pPr>
        <w:pStyle w:val="Normal6"/>
        <w:shd w:val="clear" w:color="auto" w:fill="FFFFFF"/>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La Présidente</w:t>
      </w:r>
    </w:p>
    <w:p w14:paraId="0E5394B9" w14:textId="77777777" w:rsidR="006B6FE6" w:rsidRDefault="006B6FE6" w:rsidP="006B6FE6">
      <w:pPr>
        <w:pStyle w:val="Normal6"/>
        <w:shd w:val="clear" w:color="auto" w:fill="FFFFFF"/>
        <w:spacing w:before="120" w:beforeAutospacing="0" w:after="0" w:afterAutospacing="0"/>
        <w:jc w:val="both"/>
        <w:rPr>
          <w:rFonts w:asciiTheme="minorHAnsi" w:hAnsiTheme="minorHAnsi" w:cstheme="minorHAnsi"/>
          <w:sz w:val="20"/>
          <w:szCs w:val="20"/>
        </w:rPr>
      </w:pPr>
    </w:p>
    <w:p w14:paraId="377D25AB" w14:textId="77777777" w:rsidR="006B6FE6" w:rsidRDefault="006B6FE6" w:rsidP="006B6FE6">
      <w:pPr>
        <w:pStyle w:val="Normal6"/>
        <w:shd w:val="clear" w:color="auto" w:fill="FFFFFF"/>
        <w:spacing w:before="120" w:beforeAutospacing="0" w:after="0" w:afterAutospacing="0"/>
        <w:jc w:val="both"/>
        <w:rPr>
          <w:rFonts w:asciiTheme="minorHAnsi" w:hAnsiTheme="minorHAnsi" w:cstheme="minorHAnsi"/>
          <w:sz w:val="20"/>
          <w:szCs w:val="20"/>
        </w:rPr>
      </w:pPr>
    </w:p>
    <w:p w14:paraId="571AEE42" w14:textId="77777777" w:rsidR="006B6FE6" w:rsidRDefault="006B6FE6" w:rsidP="006B6FE6">
      <w:pPr>
        <w:pStyle w:val="Normal6"/>
        <w:shd w:val="clear" w:color="auto" w:fill="FFFFFF"/>
        <w:spacing w:before="120" w:beforeAutospacing="0" w:after="0" w:afterAutospacing="0"/>
        <w:jc w:val="both"/>
        <w:rPr>
          <w:rFonts w:asciiTheme="minorHAnsi" w:hAnsiTheme="minorHAnsi" w:cstheme="minorHAnsi"/>
          <w:sz w:val="20"/>
          <w:szCs w:val="20"/>
        </w:rPr>
      </w:pPr>
    </w:p>
    <w:p w14:paraId="3F332B59" w14:textId="77777777" w:rsidR="006B6FE6" w:rsidRPr="00AC052E" w:rsidRDefault="006B6FE6" w:rsidP="006B6FE6">
      <w:pPr>
        <w:pStyle w:val="Normal6"/>
        <w:shd w:val="clear" w:color="auto" w:fill="FFFFFF"/>
        <w:spacing w:before="120"/>
        <w:jc w:val="both"/>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Jacqueline ADIABA-NKEMBE</w:t>
      </w:r>
    </w:p>
    <w:p w14:paraId="1E2A5A52" w14:textId="59D7C8F7" w:rsidR="006551A8" w:rsidRDefault="006551A8">
      <w:pPr>
        <w:rPr>
          <w:rFonts w:ascii="Calibri" w:hAnsi="Calibri" w:cs="Calibri"/>
          <w:sz w:val="20"/>
          <w:szCs w:val="20"/>
        </w:rPr>
      </w:pPr>
      <w:r>
        <w:rPr>
          <w:rFonts w:ascii="Calibri" w:hAnsi="Calibri" w:cs="Calibri"/>
          <w:sz w:val="20"/>
          <w:szCs w:val="20"/>
        </w:rPr>
        <w:br w:type="page"/>
      </w:r>
    </w:p>
    <w:p w14:paraId="29A64D7C" w14:textId="14869796" w:rsidR="006551A8" w:rsidRPr="007C41AC" w:rsidRDefault="006551A8" w:rsidP="007C41AC">
      <w:pPr>
        <w:pStyle w:val="NormalWeb"/>
        <w:jc w:val="center"/>
        <w:rPr>
          <w:rFonts w:ascii="Calibri" w:hAnsi="Calibri" w:cs="Calibri"/>
        </w:rPr>
      </w:pPr>
      <w:r w:rsidRPr="007C41AC">
        <w:rPr>
          <w:rFonts w:ascii="Calibri" w:hAnsi="Calibri" w:cs="Calibri"/>
        </w:rPr>
        <w:lastRenderedPageBreak/>
        <w:t>ANNEXE I – FACTEUR DE RISQUE POUR LES CLIENTS</w:t>
      </w:r>
    </w:p>
    <w:p w14:paraId="78A0129F" w14:textId="4CC57180" w:rsidR="006551A8" w:rsidRDefault="00EF5818" w:rsidP="00EF5818">
      <w:pPr>
        <w:pStyle w:val="NormalWeb"/>
        <w:contextualSpacing/>
        <w:jc w:val="both"/>
        <w:rPr>
          <w:rFonts w:ascii="Calibri" w:hAnsi="Calibri" w:cs="Calibri"/>
          <w:sz w:val="20"/>
          <w:szCs w:val="20"/>
        </w:rPr>
      </w:pPr>
      <w:r>
        <w:rPr>
          <w:rFonts w:ascii="Calibri" w:hAnsi="Calibri" w:cs="Calibri"/>
          <w:sz w:val="20"/>
          <w:szCs w:val="20"/>
        </w:rPr>
        <w:t xml:space="preserve">1. </w:t>
      </w:r>
      <w:r w:rsidR="006551A8" w:rsidRPr="006551A8">
        <w:rPr>
          <w:rFonts w:ascii="Calibri" w:hAnsi="Calibri" w:cs="Calibri"/>
          <w:sz w:val="20"/>
          <w:szCs w:val="20"/>
        </w:rPr>
        <w:t>Les facteurs de risque qui peuvent être pertinents lors de l’identification du risque associé aux activités commerciales ou professionnelles d’un client ou du bénéficiaire effectif d’un client comprennent notamment</w:t>
      </w:r>
      <w:r w:rsidR="006551A8">
        <w:rPr>
          <w:rFonts w:ascii="Calibri" w:hAnsi="Calibri" w:cs="Calibri"/>
          <w:sz w:val="20"/>
          <w:szCs w:val="20"/>
        </w:rPr>
        <w:t xml:space="preserve"> </w:t>
      </w:r>
      <w:r w:rsidR="006551A8" w:rsidRPr="006551A8">
        <w:rPr>
          <w:rFonts w:ascii="Calibri" w:hAnsi="Calibri" w:cs="Calibri"/>
          <w:sz w:val="20"/>
          <w:szCs w:val="20"/>
        </w:rPr>
        <w:t xml:space="preserve">: </w:t>
      </w:r>
    </w:p>
    <w:p w14:paraId="6C47AB61" w14:textId="77777777" w:rsidR="006551A8" w:rsidRDefault="006551A8" w:rsidP="006551A8">
      <w:pPr>
        <w:pStyle w:val="NormalWeb"/>
        <w:contextualSpacing/>
        <w:jc w:val="both"/>
        <w:rPr>
          <w:rFonts w:ascii="Calibri" w:hAnsi="Calibri" w:cs="Calibri"/>
          <w:sz w:val="20"/>
          <w:szCs w:val="20"/>
        </w:rPr>
      </w:pPr>
    </w:p>
    <w:p w14:paraId="3BDA6CB9" w14:textId="5E2CA07C" w:rsidR="006551A8"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Le client ou le bénéficiaire effectif a-t-il des liens avec des secteurs qui sont communément associés à un risque de corruption plus élevé, tels que le bâtiment, le secteur pharmaceutique et la santé, l’industrie de l’armement et la défense, les industries extractives ou la passation de marchés publics</w:t>
      </w:r>
      <w:r>
        <w:rPr>
          <w:rFonts w:ascii="Calibri" w:hAnsi="Calibri" w:cs="Calibri"/>
          <w:sz w:val="20"/>
          <w:szCs w:val="20"/>
        </w:rPr>
        <w:t xml:space="preserve"> </w:t>
      </w:r>
      <w:r w:rsidRPr="006551A8">
        <w:rPr>
          <w:rFonts w:ascii="Calibri" w:hAnsi="Calibri" w:cs="Calibri"/>
          <w:sz w:val="20"/>
          <w:szCs w:val="20"/>
        </w:rPr>
        <w:t xml:space="preserve">? </w:t>
      </w:r>
    </w:p>
    <w:p w14:paraId="09F2803E" w14:textId="77777777" w:rsidR="006551A8" w:rsidRDefault="006551A8" w:rsidP="006551A8">
      <w:pPr>
        <w:pStyle w:val="NormalWeb"/>
        <w:ind w:left="851"/>
        <w:contextualSpacing/>
        <w:jc w:val="both"/>
        <w:rPr>
          <w:rFonts w:ascii="Calibri" w:hAnsi="Calibri" w:cs="Calibri"/>
          <w:sz w:val="20"/>
          <w:szCs w:val="20"/>
        </w:rPr>
      </w:pPr>
    </w:p>
    <w:p w14:paraId="512104D1" w14:textId="7115945A" w:rsidR="006551A8"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Le client ou le bénéficiaire effectif a-t-il des liens avec des secteurs qui sont associés à un risque plus élevé de BC/FT, par exemple certains prestataires de services monétaires, les casinos et les négociants de métaux précieux</w:t>
      </w:r>
      <w:r>
        <w:rPr>
          <w:rFonts w:ascii="Calibri" w:hAnsi="Calibri" w:cs="Calibri"/>
          <w:sz w:val="20"/>
          <w:szCs w:val="20"/>
        </w:rPr>
        <w:t xml:space="preserve"> </w:t>
      </w:r>
      <w:r w:rsidRPr="006551A8">
        <w:rPr>
          <w:rFonts w:ascii="Calibri" w:hAnsi="Calibri" w:cs="Calibri"/>
          <w:sz w:val="20"/>
          <w:szCs w:val="20"/>
        </w:rPr>
        <w:t xml:space="preserve">? </w:t>
      </w:r>
    </w:p>
    <w:p w14:paraId="0B62D1AB" w14:textId="77777777" w:rsidR="006551A8" w:rsidRDefault="006551A8" w:rsidP="006551A8">
      <w:pPr>
        <w:pStyle w:val="NormalWeb"/>
        <w:ind w:left="851"/>
        <w:contextualSpacing/>
        <w:jc w:val="both"/>
        <w:rPr>
          <w:rFonts w:ascii="Calibri" w:hAnsi="Calibri" w:cs="Calibri"/>
          <w:sz w:val="20"/>
          <w:szCs w:val="20"/>
        </w:rPr>
      </w:pPr>
    </w:p>
    <w:p w14:paraId="7F9AB8D7" w14:textId="77777777" w:rsidR="006551A8"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Le client ou le bénéficiaire effectif a-t-il des liens avec des secteurs qui impliquent d’importants montants en espèces</w:t>
      </w:r>
      <w:r>
        <w:rPr>
          <w:rFonts w:ascii="Calibri" w:hAnsi="Calibri" w:cs="Calibri"/>
          <w:sz w:val="20"/>
          <w:szCs w:val="20"/>
        </w:rPr>
        <w:t xml:space="preserve"> </w:t>
      </w:r>
      <w:r w:rsidRPr="006551A8">
        <w:rPr>
          <w:rFonts w:ascii="Calibri" w:hAnsi="Calibri" w:cs="Calibri"/>
          <w:sz w:val="20"/>
          <w:szCs w:val="20"/>
        </w:rPr>
        <w:t>?</w:t>
      </w:r>
    </w:p>
    <w:p w14:paraId="19E7B7D0" w14:textId="691256D9" w:rsidR="006551A8" w:rsidRDefault="006551A8" w:rsidP="006551A8">
      <w:pPr>
        <w:pStyle w:val="NormalWeb"/>
        <w:ind w:left="851"/>
        <w:contextualSpacing/>
        <w:jc w:val="both"/>
        <w:rPr>
          <w:rFonts w:ascii="Calibri" w:hAnsi="Calibri" w:cs="Calibri"/>
          <w:sz w:val="20"/>
          <w:szCs w:val="20"/>
        </w:rPr>
      </w:pPr>
      <w:r w:rsidRPr="006551A8">
        <w:rPr>
          <w:rFonts w:ascii="Calibri" w:hAnsi="Calibri" w:cs="Calibri"/>
          <w:sz w:val="20"/>
          <w:szCs w:val="20"/>
        </w:rPr>
        <w:t xml:space="preserve"> </w:t>
      </w:r>
    </w:p>
    <w:p w14:paraId="26E37184" w14:textId="2AAEBAA2" w:rsidR="006551A8"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Lorsque le client est une personne morale, une fiducie/un trust ou un autre type de construction juridique, quel est son objet social</w:t>
      </w:r>
      <w:r>
        <w:rPr>
          <w:rFonts w:ascii="Calibri" w:hAnsi="Calibri" w:cs="Calibri"/>
          <w:sz w:val="20"/>
          <w:szCs w:val="20"/>
        </w:rPr>
        <w:t xml:space="preserve"> </w:t>
      </w:r>
      <w:r w:rsidRPr="006551A8">
        <w:rPr>
          <w:rFonts w:ascii="Calibri" w:hAnsi="Calibri" w:cs="Calibri"/>
          <w:sz w:val="20"/>
          <w:szCs w:val="20"/>
        </w:rPr>
        <w:t>? Par exemple, quelle est la nature de son activité</w:t>
      </w:r>
      <w:r>
        <w:rPr>
          <w:rFonts w:ascii="Calibri" w:hAnsi="Calibri" w:cs="Calibri"/>
          <w:sz w:val="20"/>
          <w:szCs w:val="20"/>
        </w:rPr>
        <w:t xml:space="preserve"> </w:t>
      </w:r>
      <w:r w:rsidRPr="006551A8">
        <w:rPr>
          <w:rFonts w:ascii="Calibri" w:hAnsi="Calibri" w:cs="Calibri"/>
          <w:sz w:val="20"/>
          <w:szCs w:val="20"/>
        </w:rPr>
        <w:t xml:space="preserve">? </w:t>
      </w:r>
    </w:p>
    <w:p w14:paraId="3F008ED9" w14:textId="77777777" w:rsidR="006551A8" w:rsidRPr="006551A8" w:rsidRDefault="006551A8" w:rsidP="006551A8">
      <w:pPr>
        <w:pStyle w:val="NormalWeb"/>
        <w:ind w:left="851"/>
        <w:contextualSpacing/>
        <w:jc w:val="both"/>
        <w:rPr>
          <w:rFonts w:ascii="Calibri" w:hAnsi="Calibri" w:cs="Calibri"/>
          <w:sz w:val="20"/>
          <w:szCs w:val="20"/>
        </w:rPr>
      </w:pPr>
    </w:p>
    <w:p w14:paraId="2E10D46F" w14:textId="04C17B2A" w:rsidR="006551A8"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Le client a-t-il des liens politiques</w:t>
      </w:r>
      <w:r>
        <w:rPr>
          <w:rFonts w:ascii="Calibri" w:hAnsi="Calibri" w:cs="Calibri"/>
          <w:sz w:val="20"/>
          <w:szCs w:val="20"/>
        </w:rPr>
        <w:t xml:space="preserve"> </w:t>
      </w:r>
      <w:r w:rsidRPr="006551A8">
        <w:rPr>
          <w:rFonts w:ascii="Calibri" w:hAnsi="Calibri" w:cs="Calibri"/>
          <w:sz w:val="20"/>
          <w:szCs w:val="20"/>
        </w:rPr>
        <w:t>? S’agit-il par exemple d’une personne politiquement exposée (PPE), ou son bénéficiaire effectif est-il une PPE</w:t>
      </w:r>
      <w:r>
        <w:rPr>
          <w:rFonts w:ascii="Calibri" w:hAnsi="Calibri" w:cs="Calibri"/>
          <w:sz w:val="20"/>
          <w:szCs w:val="20"/>
        </w:rPr>
        <w:t xml:space="preserve"> </w:t>
      </w:r>
      <w:r w:rsidRPr="006551A8">
        <w:rPr>
          <w:rFonts w:ascii="Calibri" w:hAnsi="Calibri" w:cs="Calibri"/>
          <w:sz w:val="20"/>
          <w:szCs w:val="20"/>
        </w:rPr>
        <w:t>? Le client ou le bénéficiaire effectif a-t-il d’autres liens pertinents avec une PPE, par exemple les directeurs du client sont-ils des PPE et, si oui, ces dernières exercent</w:t>
      </w:r>
      <w:r>
        <w:rPr>
          <w:rFonts w:ascii="Calibri" w:hAnsi="Calibri" w:cs="Calibri"/>
          <w:sz w:val="20"/>
          <w:szCs w:val="20"/>
        </w:rPr>
        <w:t xml:space="preserve"> </w:t>
      </w:r>
      <w:r w:rsidRPr="006551A8">
        <w:rPr>
          <w:rFonts w:ascii="Calibri" w:hAnsi="Calibri" w:cs="Calibri"/>
          <w:sz w:val="20"/>
          <w:szCs w:val="20"/>
        </w:rPr>
        <w:t>elles un contrôle significatif sur le cl</w:t>
      </w:r>
      <w:r>
        <w:rPr>
          <w:rFonts w:ascii="Calibri" w:hAnsi="Calibri" w:cs="Calibri"/>
          <w:sz w:val="20"/>
          <w:szCs w:val="20"/>
        </w:rPr>
        <w:t>i</w:t>
      </w:r>
      <w:r w:rsidRPr="006551A8">
        <w:rPr>
          <w:rFonts w:ascii="Calibri" w:hAnsi="Calibri" w:cs="Calibri"/>
          <w:sz w:val="20"/>
          <w:szCs w:val="20"/>
        </w:rPr>
        <w:t>ent ou le bénéficiaire effectif</w:t>
      </w:r>
      <w:r>
        <w:rPr>
          <w:rFonts w:ascii="Calibri" w:hAnsi="Calibri" w:cs="Calibri"/>
          <w:sz w:val="20"/>
          <w:szCs w:val="20"/>
        </w:rPr>
        <w:t xml:space="preserve"> </w:t>
      </w:r>
      <w:r w:rsidRPr="006551A8">
        <w:rPr>
          <w:rFonts w:ascii="Calibri" w:hAnsi="Calibri" w:cs="Calibri"/>
          <w:sz w:val="20"/>
          <w:szCs w:val="20"/>
        </w:rPr>
        <w:t xml:space="preserve">? Lorsqu’un client ou son bénéficiaire effectif est une PPE, les établissements doivent toujours appliquer des mesures de vigilance renforcées à l’égard de la clientèle. </w:t>
      </w:r>
    </w:p>
    <w:p w14:paraId="0A5F4AB3" w14:textId="77777777" w:rsidR="006551A8" w:rsidRDefault="006551A8" w:rsidP="006551A8">
      <w:pPr>
        <w:pStyle w:val="NormalWeb"/>
        <w:ind w:left="851"/>
        <w:contextualSpacing/>
        <w:jc w:val="both"/>
        <w:rPr>
          <w:rFonts w:ascii="Calibri" w:hAnsi="Calibri" w:cs="Calibri"/>
          <w:sz w:val="20"/>
          <w:szCs w:val="20"/>
        </w:rPr>
      </w:pPr>
    </w:p>
    <w:p w14:paraId="182DE578" w14:textId="76259F17" w:rsidR="006551A8"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Le client ou le bénéficiaire effectif exerce-t-il une autre fonction importante ou jouit-il d’une notoriété publique qui pourrait lui permettre d’abuser de cette fonction en vue d’un gain personnel</w:t>
      </w:r>
      <w:r>
        <w:rPr>
          <w:rFonts w:ascii="Calibri" w:hAnsi="Calibri" w:cs="Calibri"/>
          <w:sz w:val="20"/>
          <w:szCs w:val="20"/>
        </w:rPr>
        <w:t xml:space="preserve"> </w:t>
      </w:r>
      <w:r w:rsidRPr="006551A8">
        <w:rPr>
          <w:rFonts w:ascii="Calibri" w:hAnsi="Calibri" w:cs="Calibri"/>
          <w:sz w:val="20"/>
          <w:szCs w:val="20"/>
        </w:rPr>
        <w:t xml:space="preserve">? Par exemple, s’agit-il d’un haut fonctionnaire local ou régional ayant la capacité d’influencer l’attribution de marchés publics, de décideurs d’organismes sportifs influents ou d’individus connus pour influencer le </w:t>
      </w:r>
      <w:proofErr w:type="gramStart"/>
      <w:r w:rsidRPr="006551A8">
        <w:rPr>
          <w:rFonts w:ascii="Calibri" w:hAnsi="Calibri" w:cs="Calibri"/>
          <w:sz w:val="20"/>
          <w:szCs w:val="20"/>
        </w:rPr>
        <w:t>gouvernement?</w:t>
      </w:r>
      <w:proofErr w:type="gramEnd"/>
      <w:r w:rsidRPr="006551A8">
        <w:rPr>
          <w:rFonts w:ascii="Calibri" w:hAnsi="Calibri" w:cs="Calibri"/>
          <w:sz w:val="20"/>
          <w:szCs w:val="20"/>
        </w:rPr>
        <w:t xml:space="preserve"> </w:t>
      </w:r>
    </w:p>
    <w:p w14:paraId="788475FA" w14:textId="77777777" w:rsidR="006551A8" w:rsidRDefault="006551A8" w:rsidP="006551A8">
      <w:pPr>
        <w:pStyle w:val="NormalWeb"/>
        <w:ind w:left="851"/>
        <w:contextualSpacing/>
        <w:jc w:val="both"/>
        <w:rPr>
          <w:rFonts w:ascii="Calibri" w:hAnsi="Calibri" w:cs="Calibri"/>
          <w:sz w:val="20"/>
          <w:szCs w:val="20"/>
        </w:rPr>
      </w:pPr>
    </w:p>
    <w:p w14:paraId="3DB17930" w14:textId="31E78C73" w:rsidR="006551A8" w:rsidRPr="003035AB"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Le client est-il une personne morale qui est soumise à des obligations contraignantes de déclaration qui garantissent que des informations fiables</w:t>
      </w:r>
      <w:r w:rsidRPr="006551A8">
        <w:t xml:space="preserve"> </w:t>
      </w:r>
      <w:r>
        <w:t>c</w:t>
      </w:r>
      <w:r w:rsidRPr="006551A8">
        <w:rPr>
          <w:rFonts w:ascii="Calibri" w:hAnsi="Calibri" w:cs="Calibri"/>
          <w:sz w:val="20"/>
          <w:szCs w:val="20"/>
        </w:rPr>
        <w:t xml:space="preserve">oncernant le bénéficiaire effectif du client sont accessibles au public, </w:t>
      </w:r>
      <w:r w:rsidRPr="003035AB">
        <w:rPr>
          <w:rFonts w:ascii="Calibri" w:hAnsi="Calibri" w:cs="Calibri"/>
          <w:sz w:val="20"/>
          <w:szCs w:val="20"/>
        </w:rPr>
        <w:t>par exemple une entreprise cotée sur la bourse régionale qui exige une telle déclaration comme condition d’admission à la bourse régionale</w:t>
      </w:r>
      <w:r w:rsidR="00CB0104" w:rsidRPr="003035AB">
        <w:rPr>
          <w:rFonts w:ascii="Calibri" w:hAnsi="Calibri" w:cs="Calibri"/>
          <w:sz w:val="20"/>
          <w:szCs w:val="20"/>
        </w:rPr>
        <w:t xml:space="preserve"> </w:t>
      </w:r>
      <w:r w:rsidRPr="003035AB">
        <w:rPr>
          <w:rFonts w:ascii="Calibri" w:hAnsi="Calibri" w:cs="Calibri"/>
          <w:sz w:val="20"/>
          <w:szCs w:val="20"/>
        </w:rPr>
        <w:t xml:space="preserve">? </w:t>
      </w:r>
    </w:p>
    <w:p w14:paraId="30764408" w14:textId="77777777" w:rsidR="006551A8" w:rsidRDefault="006551A8" w:rsidP="006551A8">
      <w:pPr>
        <w:pStyle w:val="NormalWeb"/>
        <w:ind w:left="851"/>
        <w:contextualSpacing/>
        <w:jc w:val="both"/>
        <w:rPr>
          <w:rFonts w:ascii="Calibri" w:hAnsi="Calibri" w:cs="Calibri"/>
          <w:sz w:val="20"/>
          <w:szCs w:val="20"/>
        </w:rPr>
      </w:pPr>
    </w:p>
    <w:p w14:paraId="508B44FA" w14:textId="4C4CE9C8" w:rsidR="006551A8"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 xml:space="preserve">Le client est-il un établissement de crédit ou un établissement financier agissant pour son propre compte dans un pays ou territoire doté d’un dispositif efficace de lutte contre le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le financement du terrorisme</w:t>
      </w:r>
      <w:r w:rsidRPr="006551A8">
        <w:rPr>
          <w:rFonts w:ascii="Calibri" w:hAnsi="Calibri" w:cs="Calibri"/>
          <w:sz w:val="20"/>
          <w:szCs w:val="20"/>
        </w:rPr>
        <w:t xml:space="preserve"> et fait-il l’objet d’une surveillance en ce qui concerne le respect des obligations locales en matière de lutte contre le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 xml:space="preserve">et le financement du terrorisme ? </w:t>
      </w:r>
      <w:r w:rsidRPr="006551A8">
        <w:rPr>
          <w:rFonts w:ascii="Calibri" w:hAnsi="Calibri" w:cs="Calibri"/>
          <w:sz w:val="20"/>
          <w:szCs w:val="20"/>
        </w:rPr>
        <w:t>Existe-t-il des preuves que le client a fait l’objet au cours des dernières années de sanctions ou de mesures répressives de la part d’un organisme de supervision en raison du non-respect d’obligations de lutte contre le BC/FT ou d’exigences de comportement plus générales</w:t>
      </w:r>
      <w:r w:rsidR="00CB0104">
        <w:rPr>
          <w:rFonts w:ascii="Calibri" w:hAnsi="Calibri" w:cs="Calibri"/>
          <w:sz w:val="20"/>
          <w:szCs w:val="20"/>
        </w:rPr>
        <w:t xml:space="preserve"> </w:t>
      </w:r>
      <w:r w:rsidRPr="006551A8">
        <w:rPr>
          <w:rFonts w:ascii="Calibri" w:hAnsi="Calibri" w:cs="Calibri"/>
          <w:sz w:val="20"/>
          <w:szCs w:val="20"/>
        </w:rPr>
        <w:t xml:space="preserve">? </w:t>
      </w:r>
    </w:p>
    <w:p w14:paraId="40ED6124" w14:textId="77777777" w:rsidR="006551A8" w:rsidRDefault="006551A8" w:rsidP="006551A8">
      <w:pPr>
        <w:pStyle w:val="NormalWeb"/>
        <w:ind w:left="851"/>
        <w:contextualSpacing/>
        <w:jc w:val="both"/>
        <w:rPr>
          <w:rFonts w:ascii="Calibri" w:hAnsi="Calibri" w:cs="Calibri"/>
          <w:sz w:val="20"/>
          <w:szCs w:val="20"/>
        </w:rPr>
      </w:pPr>
    </w:p>
    <w:p w14:paraId="40AC506A" w14:textId="7F1FF12D" w:rsidR="006551A8"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Le client est-il une administration ou une entreprise publique d’un pays ou territoire présentant de faibles niveaux de corruption</w:t>
      </w:r>
      <w:r w:rsidR="00CB0104">
        <w:rPr>
          <w:rFonts w:ascii="Calibri" w:hAnsi="Calibri" w:cs="Calibri"/>
          <w:sz w:val="20"/>
          <w:szCs w:val="20"/>
        </w:rPr>
        <w:t xml:space="preserve"> </w:t>
      </w:r>
      <w:r w:rsidRPr="006551A8">
        <w:rPr>
          <w:rFonts w:ascii="Calibri" w:hAnsi="Calibri" w:cs="Calibri"/>
          <w:sz w:val="20"/>
          <w:szCs w:val="20"/>
        </w:rPr>
        <w:t xml:space="preserve">? </w:t>
      </w:r>
    </w:p>
    <w:p w14:paraId="0DE32B66" w14:textId="77777777" w:rsidR="006551A8" w:rsidRDefault="006551A8" w:rsidP="006551A8">
      <w:pPr>
        <w:pStyle w:val="NormalWeb"/>
        <w:ind w:left="851"/>
        <w:contextualSpacing/>
        <w:jc w:val="both"/>
        <w:rPr>
          <w:rFonts w:ascii="Calibri" w:hAnsi="Calibri" w:cs="Calibri"/>
          <w:sz w:val="20"/>
          <w:szCs w:val="20"/>
        </w:rPr>
      </w:pPr>
    </w:p>
    <w:p w14:paraId="1A020044" w14:textId="07743DBB" w:rsidR="006551A8" w:rsidRDefault="006551A8" w:rsidP="003035AB">
      <w:pPr>
        <w:pStyle w:val="NormalWeb"/>
        <w:numPr>
          <w:ilvl w:val="1"/>
          <w:numId w:val="20"/>
        </w:numPr>
        <w:ind w:left="851"/>
        <w:contextualSpacing/>
        <w:jc w:val="both"/>
        <w:rPr>
          <w:rFonts w:ascii="Calibri" w:hAnsi="Calibri" w:cs="Calibri"/>
          <w:sz w:val="20"/>
          <w:szCs w:val="20"/>
        </w:rPr>
      </w:pPr>
      <w:r w:rsidRPr="006551A8">
        <w:rPr>
          <w:rFonts w:ascii="Calibri" w:hAnsi="Calibri" w:cs="Calibri"/>
          <w:sz w:val="20"/>
          <w:szCs w:val="20"/>
        </w:rPr>
        <w:t>Les informations sur le client ou le bénéficiaire effectif correspondent-elles à ce que l’établissement sait de leurs activités commerciales précédentes, actuelles ou envisagées, du chiffre d’affaires, de l’origine des fonds ou de l’origine de leur patrimoine</w:t>
      </w:r>
      <w:r w:rsidR="00CB0104">
        <w:rPr>
          <w:rFonts w:ascii="Calibri" w:hAnsi="Calibri" w:cs="Calibri"/>
          <w:sz w:val="20"/>
          <w:szCs w:val="20"/>
        </w:rPr>
        <w:t xml:space="preserve"> </w:t>
      </w:r>
      <w:r w:rsidRPr="006551A8">
        <w:rPr>
          <w:rFonts w:ascii="Calibri" w:hAnsi="Calibri" w:cs="Calibri"/>
          <w:sz w:val="20"/>
          <w:szCs w:val="20"/>
        </w:rPr>
        <w:t xml:space="preserve">? </w:t>
      </w:r>
    </w:p>
    <w:p w14:paraId="3EF0DD52" w14:textId="77777777" w:rsidR="006551A8" w:rsidRDefault="006551A8" w:rsidP="006551A8">
      <w:pPr>
        <w:pStyle w:val="NormalWeb"/>
        <w:ind w:left="851"/>
        <w:contextualSpacing/>
        <w:jc w:val="both"/>
        <w:rPr>
          <w:rFonts w:ascii="Calibri" w:hAnsi="Calibri" w:cs="Calibri"/>
          <w:sz w:val="20"/>
          <w:szCs w:val="20"/>
        </w:rPr>
      </w:pPr>
    </w:p>
    <w:p w14:paraId="2E957D5B" w14:textId="77777777" w:rsidR="00CB0104" w:rsidRDefault="006551A8" w:rsidP="003035AB">
      <w:pPr>
        <w:pStyle w:val="NormalWeb"/>
        <w:numPr>
          <w:ilvl w:val="2"/>
          <w:numId w:val="19"/>
        </w:numPr>
        <w:ind w:left="426"/>
        <w:contextualSpacing/>
        <w:jc w:val="both"/>
        <w:rPr>
          <w:rFonts w:ascii="Calibri" w:hAnsi="Calibri" w:cs="Calibri"/>
          <w:sz w:val="20"/>
          <w:szCs w:val="20"/>
        </w:rPr>
      </w:pPr>
      <w:r w:rsidRPr="006551A8">
        <w:rPr>
          <w:rFonts w:ascii="Calibri" w:hAnsi="Calibri" w:cs="Calibri"/>
          <w:sz w:val="20"/>
          <w:szCs w:val="20"/>
        </w:rPr>
        <w:t xml:space="preserve">Les facteurs de risque suivants peuvent être pertinents lors de l’identification du risque associé à la réputation d’un client ou d’un bénéficiaire </w:t>
      </w:r>
      <w:r w:rsidR="00CB0104" w:rsidRPr="006551A8">
        <w:rPr>
          <w:rFonts w:ascii="Calibri" w:hAnsi="Calibri" w:cs="Calibri"/>
          <w:sz w:val="20"/>
          <w:szCs w:val="20"/>
        </w:rPr>
        <w:t>effectif :</w:t>
      </w:r>
      <w:r w:rsidRPr="006551A8">
        <w:rPr>
          <w:rFonts w:ascii="Calibri" w:hAnsi="Calibri" w:cs="Calibri"/>
          <w:sz w:val="20"/>
          <w:szCs w:val="20"/>
        </w:rPr>
        <w:t xml:space="preserve"> </w:t>
      </w:r>
    </w:p>
    <w:p w14:paraId="1520C2C4" w14:textId="77777777" w:rsidR="00CB0104" w:rsidRDefault="00CB0104" w:rsidP="00CB0104">
      <w:pPr>
        <w:pStyle w:val="NormalWeb"/>
        <w:ind w:left="426"/>
        <w:contextualSpacing/>
        <w:jc w:val="both"/>
        <w:rPr>
          <w:rFonts w:ascii="Calibri" w:hAnsi="Calibri" w:cs="Calibri"/>
          <w:sz w:val="20"/>
          <w:szCs w:val="20"/>
        </w:rPr>
      </w:pPr>
    </w:p>
    <w:p w14:paraId="1DEDD9E0" w14:textId="5D86B102" w:rsidR="00CB0104" w:rsidRDefault="006551A8" w:rsidP="003035AB">
      <w:pPr>
        <w:pStyle w:val="NormalWeb"/>
        <w:numPr>
          <w:ilvl w:val="1"/>
          <w:numId w:val="21"/>
        </w:numPr>
        <w:ind w:left="851"/>
        <w:contextualSpacing/>
        <w:jc w:val="both"/>
        <w:rPr>
          <w:rFonts w:ascii="Calibri" w:hAnsi="Calibri" w:cs="Calibri"/>
          <w:sz w:val="20"/>
          <w:szCs w:val="20"/>
        </w:rPr>
      </w:pPr>
      <w:r w:rsidRPr="00727DC3">
        <w:rPr>
          <w:rFonts w:ascii="Calibri" w:hAnsi="Calibri" w:cs="Calibri"/>
          <w:sz w:val="20"/>
          <w:szCs w:val="20"/>
        </w:rPr>
        <w:lastRenderedPageBreak/>
        <w:t>Existe-t-il</w:t>
      </w:r>
      <w:r w:rsidRPr="006551A8">
        <w:rPr>
          <w:rFonts w:ascii="Calibri" w:hAnsi="Calibri" w:cs="Calibri"/>
          <w:sz w:val="20"/>
          <w:szCs w:val="20"/>
        </w:rPr>
        <w:t xml:space="preserve"> des échos négatifs dans les médias ou d’autres sources d’information pertinentes concernant le client, par exemple le client ou le bénéficiaire effectif est-il accusé d’actes criminels ou terroristes</w:t>
      </w:r>
      <w:r w:rsidR="00CB0104">
        <w:rPr>
          <w:rFonts w:ascii="Calibri" w:hAnsi="Calibri" w:cs="Calibri"/>
          <w:sz w:val="20"/>
          <w:szCs w:val="20"/>
        </w:rPr>
        <w:t xml:space="preserve"> </w:t>
      </w:r>
      <w:r w:rsidRPr="006551A8">
        <w:rPr>
          <w:rFonts w:ascii="Calibri" w:hAnsi="Calibri" w:cs="Calibri"/>
          <w:sz w:val="20"/>
          <w:szCs w:val="20"/>
        </w:rPr>
        <w:t>? Si oui, ces informations sont-elles fiables et crédibles</w:t>
      </w:r>
      <w:r w:rsidR="00CB0104">
        <w:rPr>
          <w:rFonts w:ascii="Calibri" w:hAnsi="Calibri" w:cs="Calibri"/>
          <w:sz w:val="20"/>
          <w:szCs w:val="20"/>
        </w:rPr>
        <w:t xml:space="preserve"> </w:t>
      </w:r>
      <w:r w:rsidRPr="006551A8">
        <w:rPr>
          <w:rFonts w:ascii="Calibri" w:hAnsi="Calibri" w:cs="Calibri"/>
          <w:sz w:val="20"/>
          <w:szCs w:val="20"/>
        </w:rPr>
        <w:t xml:space="preserve">? Les </w:t>
      </w:r>
      <w:r w:rsidR="00CB0104">
        <w:rPr>
          <w:rFonts w:ascii="Calibri" w:hAnsi="Calibri" w:cs="Calibri"/>
          <w:sz w:val="20"/>
          <w:szCs w:val="20"/>
        </w:rPr>
        <w:t>assujettis</w:t>
      </w:r>
      <w:r w:rsidRPr="006551A8">
        <w:rPr>
          <w:rFonts w:ascii="Calibri" w:hAnsi="Calibri" w:cs="Calibri"/>
          <w:sz w:val="20"/>
          <w:szCs w:val="20"/>
        </w:rPr>
        <w:t xml:space="preserve"> d</w:t>
      </w:r>
      <w:r w:rsidR="00CB0104">
        <w:rPr>
          <w:rFonts w:ascii="Calibri" w:hAnsi="Calibri" w:cs="Calibri"/>
          <w:sz w:val="20"/>
          <w:szCs w:val="20"/>
        </w:rPr>
        <w:t>oivent</w:t>
      </w:r>
      <w:r w:rsidRPr="006551A8">
        <w:rPr>
          <w:rFonts w:ascii="Calibri" w:hAnsi="Calibri" w:cs="Calibri"/>
          <w:sz w:val="20"/>
          <w:szCs w:val="20"/>
        </w:rPr>
        <w:t xml:space="preserve"> déterminer la crédibilité des allégations rapportées dans les médias en fonction notamment de la qualité et de l’indépendance de la source d’information et de la persistance de ces informations dans les médias. Les </w:t>
      </w:r>
      <w:r w:rsidR="00CB0104">
        <w:rPr>
          <w:rFonts w:ascii="Calibri" w:hAnsi="Calibri" w:cs="Calibri"/>
          <w:sz w:val="20"/>
          <w:szCs w:val="20"/>
        </w:rPr>
        <w:t xml:space="preserve">assujettis </w:t>
      </w:r>
      <w:r w:rsidRPr="006551A8">
        <w:rPr>
          <w:rFonts w:ascii="Calibri" w:hAnsi="Calibri" w:cs="Calibri"/>
          <w:sz w:val="20"/>
          <w:szCs w:val="20"/>
        </w:rPr>
        <w:t>d</w:t>
      </w:r>
      <w:r w:rsidR="00CB0104">
        <w:rPr>
          <w:rFonts w:ascii="Calibri" w:hAnsi="Calibri" w:cs="Calibri"/>
          <w:sz w:val="20"/>
          <w:szCs w:val="20"/>
        </w:rPr>
        <w:t>oiven</w:t>
      </w:r>
      <w:r w:rsidRPr="006551A8">
        <w:rPr>
          <w:rFonts w:ascii="Calibri" w:hAnsi="Calibri" w:cs="Calibri"/>
          <w:sz w:val="20"/>
          <w:szCs w:val="20"/>
        </w:rPr>
        <w:t xml:space="preserve">t garder à l’esprit que l’absence de condamnations pénales ne suffit pas, seule, à écarter les allégations d’infractions. </w:t>
      </w:r>
    </w:p>
    <w:p w14:paraId="597B8CB1" w14:textId="77777777" w:rsidR="00CB0104" w:rsidRDefault="00CB0104" w:rsidP="00CB0104">
      <w:pPr>
        <w:pStyle w:val="NormalWeb"/>
        <w:ind w:left="851"/>
        <w:contextualSpacing/>
        <w:jc w:val="both"/>
        <w:rPr>
          <w:rFonts w:ascii="Calibri" w:hAnsi="Calibri" w:cs="Calibri"/>
          <w:sz w:val="20"/>
          <w:szCs w:val="20"/>
        </w:rPr>
      </w:pPr>
    </w:p>
    <w:p w14:paraId="13B3A2DC" w14:textId="013CC80C" w:rsidR="00CB0104" w:rsidRDefault="006551A8" w:rsidP="003035AB">
      <w:pPr>
        <w:pStyle w:val="NormalWeb"/>
        <w:numPr>
          <w:ilvl w:val="1"/>
          <w:numId w:val="21"/>
        </w:numPr>
        <w:ind w:left="851"/>
        <w:contextualSpacing/>
        <w:jc w:val="both"/>
        <w:rPr>
          <w:rFonts w:ascii="Calibri" w:hAnsi="Calibri" w:cs="Calibri"/>
          <w:sz w:val="20"/>
          <w:szCs w:val="20"/>
        </w:rPr>
      </w:pPr>
      <w:r w:rsidRPr="00CB0104">
        <w:rPr>
          <w:rFonts w:ascii="Calibri" w:hAnsi="Calibri" w:cs="Calibri"/>
          <w:sz w:val="20"/>
          <w:szCs w:val="20"/>
        </w:rPr>
        <w:t>Le client, le bénéficiaire effectif ou toute personne connue publiquement pour être étroitement associée à ceux-ci a-t-il vu ses avoirs gelés en raison d’une procédure administrative ou pénale ou d’accusations de terrorisme ou de financement du terrorisme</w:t>
      </w:r>
      <w:r w:rsidR="00CB0104">
        <w:rPr>
          <w:rFonts w:ascii="Calibri" w:hAnsi="Calibri" w:cs="Calibri"/>
          <w:sz w:val="20"/>
          <w:szCs w:val="20"/>
        </w:rPr>
        <w:t xml:space="preserve"> </w:t>
      </w:r>
      <w:r w:rsidRPr="00CB0104">
        <w:rPr>
          <w:rFonts w:ascii="Calibri" w:hAnsi="Calibri" w:cs="Calibri"/>
          <w:sz w:val="20"/>
          <w:szCs w:val="20"/>
        </w:rPr>
        <w:t>? L’</w:t>
      </w:r>
      <w:r w:rsidR="00CB0104">
        <w:rPr>
          <w:rFonts w:ascii="Calibri" w:hAnsi="Calibri" w:cs="Calibri"/>
          <w:sz w:val="20"/>
          <w:szCs w:val="20"/>
        </w:rPr>
        <w:t xml:space="preserve">assujetti </w:t>
      </w:r>
      <w:r w:rsidRPr="00CB0104">
        <w:rPr>
          <w:rFonts w:ascii="Calibri" w:hAnsi="Calibri" w:cs="Calibri"/>
          <w:sz w:val="20"/>
          <w:szCs w:val="20"/>
        </w:rPr>
        <w:t>a-t-il des motifs raisonnables de soupçonner que le client, le bénéficiaire effectif ou toute personne connue publiquement pour être étroitement associée à ceux-ci a fait l’objet, à un quelconque moment dans le passé, d’un tel gel d’avoirs</w:t>
      </w:r>
      <w:r w:rsidR="00CB0104">
        <w:rPr>
          <w:rFonts w:ascii="Calibri" w:hAnsi="Calibri" w:cs="Calibri"/>
          <w:sz w:val="20"/>
          <w:szCs w:val="20"/>
        </w:rPr>
        <w:t xml:space="preserve"> </w:t>
      </w:r>
      <w:r w:rsidRPr="00CB0104">
        <w:rPr>
          <w:rFonts w:ascii="Calibri" w:hAnsi="Calibri" w:cs="Calibri"/>
          <w:sz w:val="20"/>
          <w:szCs w:val="20"/>
        </w:rPr>
        <w:t>?</w:t>
      </w:r>
    </w:p>
    <w:p w14:paraId="1B49D50F" w14:textId="77777777" w:rsidR="00CB0104" w:rsidRDefault="00CB0104" w:rsidP="00CB0104">
      <w:pPr>
        <w:pStyle w:val="NormalWeb"/>
        <w:ind w:left="851"/>
        <w:contextualSpacing/>
        <w:jc w:val="both"/>
        <w:rPr>
          <w:rFonts w:ascii="Calibri" w:hAnsi="Calibri" w:cs="Calibri"/>
          <w:sz w:val="20"/>
          <w:szCs w:val="20"/>
        </w:rPr>
      </w:pPr>
    </w:p>
    <w:p w14:paraId="09F52832" w14:textId="7A7F5FE9" w:rsidR="006551A8" w:rsidRDefault="006551A8" w:rsidP="003035AB">
      <w:pPr>
        <w:pStyle w:val="NormalWeb"/>
        <w:numPr>
          <w:ilvl w:val="1"/>
          <w:numId w:val="21"/>
        </w:numPr>
        <w:ind w:left="851"/>
        <w:contextualSpacing/>
        <w:jc w:val="both"/>
        <w:rPr>
          <w:rFonts w:ascii="Calibri" w:hAnsi="Calibri" w:cs="Calibri"/>
          <w:sz w:val="20"/>
          <w:szCs w:val="20"/>
        </w:rPr>
      </w:pPr>
      <w:r w:rsidRPr="00CB0104">
        <w:rPr>
          <w:rFonts w:ascii="Calibri" w:hAnsi="Calibri" w:cs="Calibri"/>
          <w:sz w:val="20"/>
          <w:szCs w:val="20"/>
        </w:rPr>
        <w:t>L’</w:t>
      </w:r>
      <w:r w:rsidR="00CB0104">
        <w:rPr>
          <w:rFonts w:ascii="Calibri" w:hAnsi="Calibri" w:cs="Calibri"/>
          <w:sz w:val="20"/>
          <w:szCs w:val="20"/>
        </w:rPr>
        <w:t>assujetti</w:t>
      </w:r>
      <w:r w:rsidRPr="00CB0104">
        <w:rPr>
          <w:rFonts w:ascii="Calibri" w:hAnsi="Calibri" w:cs="Calibri"/>
          <w:sz w:val="20"/>
          <w:szCs w:val="20"/>
        </w:rPr>
        <w:t xml:space="preserve"> sait-il si le client ou le bénéficiaire effectif a fait l’objet par le passé d’une déclaration de transaction suspecte</w:t>
      </w:r>
      <w:r w:rsidR="00CB0104">
        <w:rPr>
          <w:rFonts w:ascii="Calibri" w:hAnsi="Calibri" w:cs="Calibri"/>
          <w:sz w:val="20"/>
          <w:szCs w:val="20"/>
        </w:rPr>
        <w:t xml:space="preserve"> </w:t>
      </w:r>
      <w:r w:rsidRPr="00CB0104">
        <w:rPr>
          <w:rFonts w:ascii="Calibri" w:hAnsi="Calibri" w:cs="Calibri"/>
          <w:sz w:val="20"/>
          <w:szCs w:val="20"/>
        </w:rPr>
        <w:t>?</w:t>
      </w:r>
    </w:p>
    <w:p w14:paraId="06CD91D8" w14:textId="77777777" w:rsidR="00CB0104" w:rsidRDefault="00CB0104" w:rsidP="00CB0104">
      <w:pPr>
        <w:pStyle w:val="NormalWeb"/>
        <w:ind w:left="851"/>
        <w:contextualSpacing/>
        <w:jc w:val="both"/>
        <w:rPr>
          <w:rFonts w:ascii="Calibri" w:hAnsi="Calibri" w:cs="Calibri"/>
          <w:sz w:val="20"/>
          <w:szCs w:val="20"/>
        </w:rPr>
      </w:pPr>
    </w:p>
    <w:p w14:paraId="23FFED32" w14:textId="5DC3DEDE" w:rsidR="00CB0104" w:rsidRDefault="00CB0104" w:rsidP="003035AB">
      <w:pPr>
        <w:pStyle w:val="NormalWeb"/>
        <w:numPr>
          <w:ilvl w:val="1"/>
          <w:numId w:val="21"/>
        </w:numPr>
        <w:ind w:left="851"/>
        <w:contextualSpacing/>
        <w:jc w:val="both"/>
        <w:rPr>
          <w:rFonts w:ascii="Calibri" w:hAnsi="Calibri" w:cs="Calibri"/>
          <w:sz w:val="20"/>
          <w:szCs w:val="20"/>
        </w:rPr>
      </w:pPr>
      <w:r>
        <w:rPr>
          <w:rFonts w:ascii="Calibri" w:hAnsi="Calibri" w:cs="Calibri"/>
          <w:sz w:val="20"/>
          <w:szCs w:val="20"/>
        </w:rPr>
        <w:t>L</w:t>
      </w:r>
      <w:r w:rsidRPr="00CB0104">
        <w:rPr>
          <w:rFonts w:ascii="Calibri" w:hAnsi="Calibri" w:cs="Calibri"/>
          <w:sz w:val="20"/>
          <w:szCs w:val="20"/>
        </w:rPr>
        <w:t>’établissement dispose-t-il d’informations internes concernant l’intégrité du client ou du bénéficiaire effectif qu’il aurait obtenues, par exemple, dans le cadre d’une relation d’affaires de longue date</w:t>
      </w:r>
      <w:r>
        <w:rPr>
          <w:rFonts w:ascii="Calibri" w:hAnsi="Calibri" w:cs="Calibri"/>
          <w:sz w:val="20"/>
          <w:szCs w:val="20"/>
        </w:rPr>
        <w:t xml:space="preserve"> </w:t>
      </w:r>
      <w:r w:rsidRPr="00CB0104">
        <w:rPr>
          <w:rFonts w:ascii="Calibri" w:hAnsi="Calibri" w:cs="Calibri"/>
          <w:sz w:val="20"/>
          <w:szCs w:val="20"/>
        </w:rPr>
        <w:t xml:space="preserve">? </w:t>
      </w:r>
    </w:p>
    <w:p w14:paraId="22547D61" w14:textId="77777777" w:rsidR="00CB0104" w:rsidRDefault="00CB0104" w:rsidP="00CB0104">
      <w:pPr>
        <w:pStyle w:val="NormalWeb"/>
        <w:ind w:left="491"/>
        <w:contextualSpacing/>
        <w:jc w:val="both"/>
        <w:rPr>
          <w:rFonts w:ascii="Calibri" w:hAnsi="Calibri" w:cs="Calibri"/>
          <w:sz w:val="20"/>
          <w:szCs w:val="20"/>
        </w:rPr>
      </w:pPr>
    </w:p>
    <w:p w14:paraId="25B72404" w14:textId="3EE6F5FE" w:rsidR="00CB0104" w:rsidRDefault="00CB0104" w:rsidP="003035AB">
      <w:pPr>
        <w:pStyle w:val="NormalWeb"/>
        <w:numPr>
          <w:ilvl w:val="2"/>
          <w:numId w:val="19"/>
        </w:numPr>
        <w:ind w:left="851"/>
        <w:contextualSpacing/>
        <w:jc w:val="both"/>
        <w:rPr>
          <w:rFonts w:ascii="Calibri" w:hAnsi="Calibri" w:cs="Calibri"/>
          <w:sz w:val="20"/>
          <w:szCs w:val="20"/>
        </w:rPr>
      </w:pPr>
      <w:r w:rsidRPr="00CB0104">
        <w:rPr>
          <w:rFonts w:ascii="Calibri" w:hAnsi="Calibri" w:cs="Calibri"/>
          <w:sz w:val="20"/>
          <w:szCs w:val="20"/>
        </w:rPr>
        <w:t xml:space="preserve">Les facteurs de risque suivant peuvent être pertinents lors de l’identification du risque associé à la nature et au comportement d’un client ou d’un bénéficiaire effectif. Les </w:t>
      </w:r>
      <w:r>
        <w:rPr>
          <w:rFonts w:ascii="Calibri" w:hAnsi="Calibri" w:cs="Calibri"/>
          <w:sz w:val="20"/>
          <w:szCs w:val="20"/>
        </w:rPr>
        <w:t xml:space="preserve">assujettis </w:t>
      </w:r>
      <w:r w:rsidRPr="00CB0104">
        <w:rPr>
          <w:rFonts w:ascii="Calibri" w:hAnsi="Calibri" w:cs="Calibri"/>
          <w:sz w:val="20"/>
          <w:szCs w:val="20"/>
        </w:rPr>
        <w:t>d</w:t>
      </w:r>
      <w:r>
        <w:rPr>
          <w:rFonts w:ascii="Calibri" w:hAnsi="Calibri" w:cs="Calibri"/>
          <w:sz w:val="20"/>
          <w:szCs w:val="20"/>
        </w:rPr>
        <w:t xml:space="preserve">oivent </w:t>
      </w:r>
      <w:r w:rsidRPr="00CB0104">
        <w:rPr>
          <w:rFonts w:ascii="Calibri" w:hAnsi="Calibri" w:cs="Calibri"/>
          <w:sz w:val="20"/>
          <w:szCs w:val="20"/>
        </w:rPr>
        <w:t>noter que ces facteurs de risque ne seront pas tous perceptibles d’emblée et pourraient n’apparaître qu’après l’établissement d’une relation d’affaires</w:t>
      </w:r>
      <w:r>
        <w:rPr>
          <w:rFonts w:ascii="Calibri" w:hAnsi="Calibri" w:cs="Calibri"/>
          <w:sz w:val="20"/>
          <w:szCs w:val="20"/>
        </w:rPr>
        <w:t xml:space="preserve"> </w:t>
      </w:r>
      <w:r w:rsidRPr="00CB0104">
        <w:rPr>
          <w:rFonts w:ascii="Calibri" w:hAnsi="Calibri" w:cs="Calibri"/>
          <w:sz w:val="20"/>
          <w:szCs w:val="20"/>
        </w:rPr>
        <w:t xml:space="preserve">: </w:t>
      </w:r>
    </w:p>
    <w:p w14:paraId="1BE50000" w14:textId="77777777" w:rsidR="00CB0104" w:rsidRDefault="00CB0104" w:rsidP="00CB0104">
      <w:pPr>
        <w:pStyle w:val="NormalWeb"/>
        <w:ind w:left="491"/>
        <w:contextualSpacing/>
        <w:jc w:val="both"/>
        <w:rPr>
          <w:rFonts w:ascii="Calibri" w:hAnsi="Calibri" w:cs="Calibri"/>
          <w:sz w:val="20"/>
          <w:szCs w:val="20"/>
        </w:rPr>
      </w:pPr>
    </w:p>
    <w:p w14:paraId="43B1F22A" w14:textId="77777777"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Le client a-t-il des motifs légitimes de ne pas être en mesure de fournir des preuves solides de son identité, peut-être parce qu’il s’agit d’un demandeur d’asile</w:t>
      </w:r>
      <w:r>
        <w:rPr>
          <w:rFonts w:ascii="Calibri" w:hAnsi="Calibri" w:cs="Calibri"/>
          <w:sz w:val="20"/>
          <w:szCs w:val="20"/>
        </w:rPr>
        <w:t xml:space="preserve"> </w:t>
      </w:r>
      <w:r w:rsidRPr="00CB0104">
        <w:rPr>
          <w:rFonts w:ascii="Calibri" w:hAnsi="Calibri" w:cs="Calibri"/>
          <w:sz w:val="20"/>
          <w:szCs w:val="20"/>
        </w:rPr>
        <w:t xml:space="preserve">? </w:t>
      </w:r>
    </w:p>
    <w:p w14:paraId="5C7B1883" w14:textId="77777777" w:rsidR="00CB0104" w:rsidRDefault="00CB0104" w:rsidP="00CB0104">
      <w:pPr>
        <w:pStyle w:val="NormalWeb"/>
        <w:ind w:left="1211"/>
        <w:contextualSpacing/>
        <w:jc w:val="both"/>
        <w:rPr>
          <w:rFonts w:ascii="Calibri" w:hAnsi="Calibri" w:cs="Calibri"/>
          <w:sz w:val="20"/>
          <w:szCs w:val="20"/>
        </w:rPr>
      </w:pPr>
    </w:p>
    <w:p w14:paraId="0BF29B25" w14:textId="777F84B4"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L’</w:t>
      </w:r>
      <w:r>
        <w:rPr>
          <w:rFonts w:ascii="Calibri" w:hAnsi="Calibri" w:cs="Calibri"/>
          <w:sz w:val="20"/>
          <w:szCs w:val="20"/>
        </w:rPr>
        <w:t xml:space="preserve">assujetti </w:t>
      </w:r>
      <w:r w:rsidRPr="00CB0104">
        <w:rPr>
          <w:rFonts w:ascii="Calibri" w:hAnsi="Calibri" w:cs="Calibri"/>
          <w:sz w:val="20"/>
          <w:szCs w:val="20"/>
        </w:rPr>
        <w:t>a-t-il des doutes concernant la véracité ou l’exactitude de l’identité du client ou du bénéficiaire effectif</w:t>
      </w:r>
      <w:r>
        <w:rPr>
          <w:rFonts w:ascii="Calibri" w:hAnsi="Calibri" w:cs="Calibri"/>
          <w:sz w:val="20"/>
          <w:szCs w:val="20"/>
        </w:rPr>
        <w:t xml:space="preserve"> </w:t>
      </w:r>
      <w:r w:rsidRPr="00CB0104">
        <w:rPr>
          <w:rFonts w:ascii="Calibri" w:hAnsi="Calibri" w:cs="Calibri"/>
          <w:sz w:val="20"/>
          <w:szCs w:val="20"/>
        </w:rPr>
        <w:t>?</w:t>
      </w:r>
    </w:p>
    <w:p w14:paraId="472076DD" w14:textId="77777777" w:rsidR="00CB0104" w:rsidRDefault="00CB0104" w:rsidP="00CB0104">
      <w:pPr>
        <w:pStyle w:val="NormalWeb"/>
        <w:ind w:left="1211"/>
        <w:contextualSpacing/>
        <w:jc w:val="both"/>
        <w:rPr>
          <w:rFonts w:ascii="Calibri" w:hAnsi="Calibri" w:cs="Calibri"/>
          <w:sz w:val="20"/>
          <w:szCs w:val="20"/>
        </w:rPr>
      </w:pPr>
    </w:p>
    <w:p w14:paraId="0FE1F893" w14:textId="3A62B326"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Existe-t-il des indices selon lesquels le client pourrait chercher à éviter l’</w:t>
      </w:r>
      <w:r>
        <w:rPr>
          <w:rFonts w:ascii="Calibri" w:hAnsi="Calibri" w:cs="Calibri"/>
          <w:sz w:val="20"/>
          <w:szCs w:val="20"/>
        </w:rPr>
        <w:t>assujet</w:t>
      </w:r>
      <w:r w:rsidRPr="00CB0104">
        <w:rPr>
          <w:rFonts w:ascii="Calibri" w:hAnsi="Calibri" w:cs="Calibri"/>
          <w:sz w:val="20"/>
          <w:szCs w:val="20"/>
        </w:rPr>
        <w:t>t</w:t>
      </w:r>
      <w:r>
        <w:rPr>
          <w:rFonts w:ascii="Calibri" w:hAnsi="Calibri" w:cs="Calibri"/>
          <w:sz w:val="20"/>
          <w:szCs w:val="20"/>
        </w:rPr>
        <w:t>i</w:t>
      </w:r>
      <w:r w:rsidRPr="00CB0104">
        <w:rPr>
          <w:rFonts w:ascii="Calibri" w:hAnsi="Calibri" w:cs="Calibri"/>
          <w:sz w:val="20"/>
          <w:szCs w:val="20"/>
        </w:rPr>
        <w:t xml:space="preserve"> d’une relation d’affaires</w:t>
      </w:r>
      <w:r>
        <w:rPr>
          <w:rFonts w:ascii="Calibri" w:hAnsi="Calibri" w:cs="Calibri"/>
          <w:sz w:val="20"/>
          <w:szCs w:val="20"/>
        </w:rPr>
        <w:t xml:space="preserve"> </w:t>
      </w:r>
      <w:r w:rsidRPr="00CB0104">
        <w:rPr>
          <w:rFonts w:ascii="Calibri" w:hAnsi="Calibri" w:cs="Calibri"/>
          <w:sz w:val="20"/>
          <w:szCs w:val="20"/>
        </w:rPr>
        <w:t>? Par exemple, le client cherche-t-il à exécuter une seule transaction ou plusieurs transactions isolées, alors que l’établissement d’une relation d’affaires pourrait être plus logique sur le plan économique</w:t>
      </w:r>
      <w:r>
        <w:rPr>
          <w:rFonts w:ascii="Calibri" w:hAnsi="Calibri" w:cs="Calibri"/>
          <w:sz w:val="20"/>
          <w:szCs w:val="20"/>
        </w:rPr>
        <w:t xml:space="preserve"> </w:t>
      </w:r>
      <w:r w:rsidRPr="00CB0104">
        <w:rPr>
          <w:rFonts w:ascii="Calibri" w:hAnsi="Calibri" w:cs="Calibri"/>
          <w:sz w:val="20"/>
          <w:szCs w:val="20"/>
        </w:rPr>
        <w:t xml:space="preserve">? </w:t>
      </w:r>
    </w:p>
    <w:p w14:paraId="713CA6CE" w14:textId="77777777" w:rsidR="00CB0104" w:rsidRDefault="00CB0104" w:rsidP="00CB0104">
      <w:pPr>
        <w:pStyle w:val="NormalWeb"/>
        <w:ind w:left="1211"/>
        <w:contextualSpacing/>
        <w:jc w:val="both"/>
        <w:rPr>
          <w:rFonts w:ascii="Calibri" w:hAnsi="Calibri" w:cs="Calibri"/>
          <w:sz w:val="20"/>
          <w:szCs w:val="20"/>
        </w:rPr>
      </w:pPr>
    </w:p>
    <w:p w14:paraId="7996ADE8" w14:textId="1C551950" w:rsidR="00CB0104" w:rsidRDefault="00DA7D38"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La</w:t>
      </w:r>
      <w:r w:rsidR="00CB0104" w:rsidRPr="00CB0104">
        <w:rPr>
          <w:rFonts w:ascii="Calibri" w:hAnsi="Calibri" w:cs="Calibri"/>
          <w:sz w:val="20"/>
          <w:szCs w:val="20"/>
        </w:rPr>
        <w:t xml:space="preserve"> structure de propriété et de contrôle du client est-elle transparente et logique</w:t>
      </w:r>
      <w:r w:rsidR="00CB0104">
        <w:rPr>
          <w:rFonts w:ascii="Calibri" w:hAnsi="Calibri" w:cs="Calibri"/>
          <w:sz w:val="20"/>
          <w:szCs w:val="20"/>
        </w:rPr>
        <w:t xml:space="preserve"> </w:t>
      </w:r>
      <w:r w:rsidR="00CB0104" w:rsidRPr="00CB0104">
        <w:rPr>
          <w:rFonts w:ascii="Calibri" w:hAnsi="Calibri" w:cs="Calibri"/>
          <w:sz w:val="20"/>
          <w:szCs w:val="20"/>
        </w:rPr>
        <w:t>? Si la structure de propriété et de contrôle du client est complexe ou opaque, existe-t-il une justification commerciale ou licite évidente</w:t>
      </w:r>
      <w:r w:rsidR="00CB0104">
        <w:rPr>
          <w:rFonts w:ascii="Calibri" w:hAnsi="Calibri" w:cs="Calibri"/>
          <w:sz w:val="20"/>
          <w:szCs w:val="20"/>
        </w:rPr>
        <w:t xml:space="preserve"> </w:t>
      </w:r>
      <w:r w:rsidR="00CB0104" w:rsidRPr="00CB0104">
        <w:rPr>
          <w:rFonts w:ascii="Calibri" w:hAnsi="Calibri" w:cs="Calibri"/>
          <w:sz w:val="20"/>
          <w:szCs w:val="20"/>
        </w:rPr>
        <w:t xml:space="preserve">? </w:t>
      </w:r>
    </w:p>
    <w:p w14:paraId="5B282953" w14:textId="77777777" w:rsidR="00CB0104" w:rsidRDefault="00CB0104" w:rsidP="00CB0104">
      <w:pPr>
        <w:pStyle w:val="NormalWeb"/>
        <w:ind w:left="1211"/>
        <w:contextualSpacing/>
        <w:jc w:val="both"/>
        <w:rPr>
          <w:rFonts w:ascii="Calibri" w:hAnsi="Calibri" w:cs="Calibri"/>
          <w:sz w:val="20"/>
          <w:szCs w:val="20"/>
        </w:rPr>
      </w:pPr>
    </w:p>
    <w:p w14:paraId="71BDAFCA" w14:textId="0197A90D"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Le client émet-il des actions au porteur ou son capital est-il détenu par des actionnaires nominatifs (nominee shareholders)</w:t>
      </w:r>
      <w:r>
        <w:rPr>
          <w:rFonts w:ascii="Calibri" w:hAnsi="Calibri" w:cs="Calibri"/>
          <w:sz w:val="20"/>
          <w:szCs w:val="20"/>
        </w:rPr>
        <w:t xml:space="preserve"> </w:t>
      </w:r>
      <w:r w:rsidRPr="00CB0104">
        <w:rPr>
          <w:rFonts w:ascii="Calibri" w:hAnsi="Calibri" w:cs="Calibri"/>
          <w:sz w:val="20"/>
          <w:szCs w:val="20"/>
        </w:rPr>
        <w:t xml:space="preserve">? </w:t>
      </w:r>
    </w:p>
    <w:p w14:paraId="3C7A9517" w14:textId="77777777" w:rsidR="00CB0104" w:rsidRDefault="00CB0104" w:rsidP="00CB0104">
      <w:pPr>
        <w:pStyle w:val="NormalWeb"/>
        <w:ind w:left="1211"/>
        <w:contextualSpacing/>
        <w:jc w:val="both"/>
        <w:rPr>
          <w:rFonts w:ascii="Calibri" w:hAnsi="Calibri" w:cs="Calibri"/>
          <w:sz w:val="20"/>
          <w:szCs w:val="20"/>
        </w:rPr>
      </w:pPr>
    </w:p>
    <w:p w14:paraId="01B8F227" w14:textId="008175FA"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Le client est-il une personne morale ou une construction juridique qui pourrait être utilisée comme une structure de détention d’actifs</w:t>
      </w:r>
      <w:r>
        <w:rPr>
          <w:rFonts w:ascii="Calibri" w:hAnsi="Calibri" w:cs="Calibri"/>
          <w:sz w:val="20"/>
          <w:szCs w:val="20"/>
        </w:rPr>
        <w:t xml:space="preserve"> </w:t>
      </w:r>
      <w:r w:rsidRPr="00CB0104">
        <w:rPr>
          <w:rFonts w:ascii="Calibri" w:hAnsi="Calibri" w:cs="Calibri"/>
          <w:sz w:val="20"/>
          <w:szCs w:val="20"/>
        </w:rPr>
        <w:t xml:space="preserve">? </w:t>
      </w:r>
    </w:p>
    <w:p w14:paraId="66F14371" w14:textId="77777777" w:rsidR="00CB0104" w:rsidRDefault="00CB0104" w:rsidP="00CB0104">
      <w:pPr>
        <w:pStyle w:val="NormalWeb"/>
        <w:ind w:left="1211"/>
        <w:contextualSpacing/>
        <w:jc w:val="both"/>
        <w:rPr>
          <w:rFonts w:ascii="Calibri" w:hAnsi="Calibri" w:cs="Calibri"/>
          <w:sz w:val="20"/>
          <w:szCs w:val="20"/>
        </w:rPr>
      </w:pPr>
    </w:p>
    <w:p w14:paraId="3149DEC2" w14:textId="5D362049"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Existe-t-il une raison valable aux modifications apportées à la structure de propriété et de contrôle du client</w:t>
      </w:r>
      <w:r>
        <w:rPr>
          <w:rFonts w:ascii="Calibri" w:hAnsi="Calibri" w:cs="Calibri"/>
          <w:sz w:val="20"/>
          <w:szCs w:val="20"/>
        </w:rPr>
        <w:t xml:space="preserve"> </w:t>
      </w:r>
      <w:r w:rsidRPr="00CB0104">
        <w:rPr>
          <w:rFonts w:ascii="Calibri" w:hAnsi="Calibri" w:cs="Calibri"/>
          <w:sz w:val="20"/>
          <w:szCs w:val="20"/>
        </w:rPr>
        <w:t>?</w:t>
      </w:r>
    </w:p>
    <w:p w14:paraId="0F9486DC" w14:textId="77777777" w:rsidR="00CB0104" w:rsidRDefault="00CB0104" w:rsidP="00CB0104">
      <w:pPr>
        <w:pStyle w:val="NormalWeb"/>
        <w:ind w:left="1211"/>
        <w:contextualSpacing/>
        <w:jc w:val="both"/>
        <w:rPr>
          <w:rFonts w:ascii="Calibri" w:hAnsi="Calibri" w:cs="Calibri"/>
          <w:sz w:val="20"/>
          <w:szCs w:val="20"/>
        </w:rPr>
      </w:pPr>
    </w:p>
    <w:p w14:paraId="5464265F" w14:textId="77777777"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Le client demande-t-il des transactions complexes, d’un montant inhabituellement ou anormalement élevé, ou des types inhabituels ou inattendus de transaction, n’ayant pas d’objet économique ou licite apparent ou de justification commerciale valable</w:t>
      </w:r>
      <w:r>
        <w:rPr>
          <w:rFonts w:ascii="Calibri" w:hAnsi="Calibri" w:cs="Calibri"/>
          <w:sz w:val="20"/>
          <w:szCs w:val="20"/>
        </w:rPr>
        <w:t xml:space="preserve"> </w:t>
      </w:r>
      <w:r w:rsidRPr="00CB0104">
        <w:rPr>
          <w:rFonts w:ascii="Calibri" w:hAnsi="Calibri" w:cs="Calibri"/>
          <w:sz w:val="20"/>
          <w:szCs w:val="20"/>
        </w:rPr>
        <w:t xml:space="preserve">? </w:t>
      </w:r>
    </w:p>
    <w:p w14:paraId="050D8C12" w14:textId="77777777" w:rsidR="00CB0104" w:rsidRDefault="00CB0104" w:rsidP="00CB0104">
      <w:pPr>
        <w:pStyle w:val="NormalWeb"/>
        <w:ind w:left="1211"/>
        <w:contextualSpacing/>
        <w:jc w:val="both"/>
        <w:rPr>
          <w:rFonts w:ascii="Calibri" w:hAnsi="Calibri" w:cs="Calibri"/>
          <w:sz w:val="20"/>
          <w:szCs w:val="20"/>
        </w:rPr>
      </w:pPr>
    </w:p>
    <w:p w14:paraId="54CF55C2" w14:textId="77777777"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Le client exige-t-il des niveaux de secret professionnel inutiles ou déraisonnables</w:t>
      </w:r>
      <w:r>
        <w:rPr>
          <w:rFonts w:ascii="Calibri" w:hAnsi="Calibri" w:cs="Calibri"/>
          <w:sz w:val="20"/>
          <w:szCs w:val="20"/>
        </w:rPr>
        <w:t xml:space="preserve"> </w:t>
      </w:r>
      <w:r w:rsidRPr="00CB0104">
        <w:rPr>
          <w:rFonts w:ascii="Calibri" w:hAnsi="Calibri" w:cs="Calibri"/>
          <w:sz w:val="20"/>
          <w:szCs w:val="20"/>
        </w:rPr>
        <w:t>? Par exemple, le client est-il peu enclin à communiquer des informations dans le cadre du processus de vigilance à l’égard de la clientèle, ou semble-t-il vouloir masquer la véritable nature de ses activités</w:t>
      </w:r>
      <w:r>
        <w:rPr>
          <w:rFonts w:ascii="Calibri" w:hAnsi="Calibri" w:cs="Calibri"/>
          <w:sz w:val="20"/>
          <w:szCs w:val="20"/>
        </w:rPr>
        <w:t xml:space="preserve"> </w:t>
      </w:r>
    </w:p>
    <w:p w14:paraId="47229FDF" w14:textId="3C97DA00"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lastRenderedPageBreak/>
        <w:t>L’origine du patrimoine ou l’origine des fonds du client ou du bénéficiaire effectif peut-elle être facilement expliquée, par exemple au regard de la profession, de l’héritage ou des placements du client ou du bénéficiaire effectif</w:t>
      </w:r>
      <w:r>
        <w:rPr>
          <w:rFonts w:ascii="Calibri" w:hAnsi="Calibri" w:cs="Calibri"/>
          <w:sz w:val="20"/>
          <w:szCs w:val="20"/>
        </w:rPr>
        <w:t xml:space="preserve"> </w:t>
      </w:r>
      <w:r w:rsidRPr="00CB0104">
        <w:rPr>
          <w:rFonts w:ascii="Calibri" w:hAnsi="Calibri" w:cs="Calibri"/>
          <w:sz w:val="20"/>
          <w:szCs w:val="20"/>
        </w:rPr>
        <w:t>? Cette explication est-elle plausible</w:t>
      </w:r>
      <w:r>
        <w:rPr>
          <w:rFonts w:ascii="Calibri" w:hAnsi="Calibri" w:cs="Calibri"/>
          <w:sz w:val="20"/>
          <w:szCs w:val="20"/>
        </w:rPr>
        <w:t xml:space="preserve"> </w:t>
      </w:r>
      <w:r w:rsidRPr="00CB0104">
        <w:rPr>
          <w:rFonts w:ascii="Calibri" w:hAnsi="Calibri" w:cs="Calibri"/>
          <w:sz w:val="20"/>
          <w:szCs w:val="20"/>
        </w:rPr>
        <w:t xml:space="preserve">? </w:t>
      </w:r>
    </w:p>
    <w:p w14:paraId="08297626" w14:textId="77777777" w:rsidR="00CB0104" w:rsidRDefault="00CB0104" w:rsidP="00CB0104">
      <w:pPr>
        <w:pStyle w:val="NormalWeb"/>
        <w:ind w:left="1211"/>
        <w:contextualSpacing/>
        <w:jc w:val="both"/>
        <w:rPr>
          <w:rFonts w:ascii="Calibri" w:hAnsi="Calibri" w:cs="Calibri"/>
          <w:sz w:val="20"/>
          <w:szCs w:val="20"/>
        </w:rPr>
      </w:pPr>
    </w:p>
    <w:p w14:paraId="07B237F0" w14:textId="53314A1C"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Le client utilise-t-il les produits et les services qu’il a souscrits de la manière annoncée lors de l’établissement initial de la relation d’affaires</w:t>
      </w:r>
      <w:r>
        <w:rPr>
          <w:rFonts w:ascii="Calibri" w:hAnsi="Calibri" w:cs="Calibri"/>
          <w:sz w:val="20"/>
          <w:szCs w:val="20"/>
        </w:rPr>
        <w:t xml:space="preserve"> </w:t>
      </w:r>
      <w:r w:rsidRPr="00CB0104">
        <w:rPr>
          <w:rFonts w:ascii="Calibri" w:hAnsi="Calibri" w:cs="Calibri"/>
          <w:sz w:val="20"/>
          <w:szCs w:val="20"/>
        </w:rPr>
        <w:t xml:space="preserve">? </w:t>
      </w:r>
    </w:p>
    <w:p w14:paraId="5A142DE3" w14:textId="77777777" w:rsidR="00CB0104" w:rsidRDefault="00CB0104" w:rsidP="00CB0104">
      <w:pPr>
        <w:pStyle w:val="NormalWeb"/>
        <w:ind w:left="1211"/>
        <w:contextualSpacing/>
        <w:jc w:val="both"/>
        <w:rPr>
          <w:rFonts w:ascii="Calibri" w:hAnsi="Calibri" w:cs="Calibri"/>
          <w:sz w:val="20"/>
          <w:szCs w:val="20"/>
        </w:rPr>
      </w:pPr>
    </w:p>
    <w:p w14:paraId="67D109BB" w14:textId="7CD0A737" w:rsidR="00CB0104" w:rsidRDefault="00CB0104" w:rsidP="003035AB">
      <w:pPr>
        <w:pStyle w:val="NormalWeb"/>
        <w:numPr>
          <w:ilvl w:val="0"/>
          <w:numId w:val="22"/>
        </w:numPr>
        <w:contextualSpacing/>
        <w:jc w:val="both"/>
        <w:rPr>
          <w:rFonts w:ascii="Calibri" w:hAnsi="Calibri" w:cs="Calibri"/>
          <w:sz w:val="20"/>
          <w:szCs w:val="20"/>
        </w:rPr>
      </w:pPr>
      <w:r w:rsidRPr="00CB0104">
        <w:rPr>
          <w:rFonts w:ascii="Calibri" w:hAnsi="Calibri" w:cs="Calibri"/>
          <w:sz w:val="20"/>
          <w:szCs w:val="20"/>
        </w:rPr>
        <w:t>Lorsque le client est un non résident, ses besoins pourraient-ils être mieux servis ailleurs</w:t>
      </w:r>
      <w:r>
        <w:rPr>
          <w:rFonts w:ascii="Calibri" w:hAnsi="Calibri" w:cs="Calibri"/>
          <w:sz w:val="20"/>
          <w:szCs w:val="20"/>
        </w:rPr>
        <w:t xml:space="preserve"> </w:t>
      </w:r>
      <w:r w:rsidRPr="00CB0104">
        <w:rPr>
          <w:rFonts w:ascii="Calibri" w:hAnsi="Calibri" w:cs="Calibri"/>
          <w:sz w:val="20"/>
          <w:szCs w:val="20"/>
        </w:rPr>
        <w:t>? Le client a-t-il des motifs économiques et légaux valables pour demander le type de service financier souhaité</w:t>
      </w:r>
      <w:r w:rsidR="007C41AC">
        <w:rPr>
          <w:rFonts w:ascii="Calibri" w:hAnsi="Calibri" w:cs="Calibri"/>
          <w:sz w:val="20"/>
          <w:szCs w:val="20"/>
        </w:rPr>
        <w:t xml:space="preserve"> </w:t>
      </w:r>
      <w:r w:rsidRPr="00CB0104">
        <w:rPr>
          <w:rFonts w:ascii="Calibri" w:hAnsi="Calibri" w:cs="Calibri"/>
          <w:sz w:val="20"/>
          <w:szCs w:val="20"/>
        </w:rPr>
        <w:t xml:space="preserve">? </w:t>
      </w:r>
      <w:r>
        <w:rPr>
          <w:rFonts w:ascii="Calibri" w:hAnsi="Calibri" w:cs="Calibri"/>
          <w:sz w:val="20"/>
          <w:szCs w:val="20"/>
        </w:rPr>
        <w:t xml:space="preserve"> </w:t>
      </w:r>
    </w:p>
    <w:p w14:paraId="1A695481" w14:textId="77777777" w:rsidR="00CB0104" w:rsidRDefault="00CB0104" w:rsidP="00CB0104">
      <w:pPr>
        <w:pStyle w:val="NormalWeb"/>
        <w:ind w:left="851"/>
        <w:contextualSpacing/>
        <w:jc w:val="both"/>
        <w:rPr>
          <w:rFonts w:ascii="Calibri" w:hAnsi="Calibri" w:cs="Calibri"/>
          <w:sz w:val="20"/>
          <w:szCs w:val="20"/>
        </w:rPr>
      </w:pPr>
    </w:p>
    <w:p w14:paraId="23397965" w14:textId="302F66C0" w:rsidR="00CB0104" w:rsidRDefault="00CB0104" w:rsidP="003035AB">
      <w:pPr>
        <w:pStyle w:val="NormalWeb"/>
        <w:numPr>
          <w:ilvl w:val="2"/>
          <w:numId w:val="19"/>
        </w:numPr>
        <w:ind w:left="851"/>
        <w:contextualSpacing/>
        <w:jc w:val="both"/>
        <w:rPr>
          <w:rFonts w:ascii="Calibri" w:hAnsi="Calibri" w:cs="Calibri"/>
          <w:sz w:val="20"/>
          <w:szCs w:val="20"/>
        </w:rPr>
      </w:pPr>
      <w:r w:rsidRPr="00CB0104">
        <w:rPr>
          <w:rFonts w:ascii="Calibri" w:hAnsi="Calibri" w:cs="Calibri"/>
          <w:sz w:val="20"/>
          <w:szCs w:val="20"/>
        </w:rPr>
        <w:t xml:space="preserve">Lorsqu’ils identifient le risque associé à la nature et au comportement d’un client ou d’un bénéficiaire effectif, les établissements devraient accorder une attention particulière aux facteurs de risque qui, bien qu’ils ne soient pas spécifiques au financement du terrorisme, pourraient indiquer un accroissement du risque de </w:t>
      </w:r>
      <w:r>
        <w:rPr>
          <w:rFonts w:ascii="Calibri" w:hAnsi="Calibri" w:cs="Calibri"/>
          <w:sz w:val="20"/>
          <w:szCs w:val="20"/>
        </w:rPr>
        <w:t>financement du terrorisme</w:t>
      </w:r>
      <w:r w:rsidRPr="00CB0104">
        <w:rPr>
          <w:rFonts w:ascii="Calibri" w:hAnsi="Calibri" w:cs="Calibri"/>
          <w:sz w:val="20"/>
          <w:szCs w:val="20"/>
        </w:rPr>
        <w:t xml:space="preserve">, notamment lorsque d’autres facteurs de ce même risque sont également présents. À cette fin, les </w:t>
      </w:r>
      <w:r>
        <w:rPr>
          <w:rFonts w:ascii="Calibri" w:hAnsi="Calibri" w:cs="Calibri"/>
          <w:sz w:val="20"/>
          <w:szCs w:val="20"/>
        </w:rPr>
        <w:t>assujettis doivent</w:t>
      </w:r>
      <w:r w:rsidRPr="00CB0104">
        <w:rPr>
          <w:rFonts w:ascii="Calibri" w:hAnsi="Calibri" w:cs="Calibri"/>
          <w:sz w:val="20"/>
          <w:szCs w:val="20"/>
        </w:rPr>
        <w:t xml:space="preserve"> au moins tenir compte des facteurs de risque suivants</w:t>
      </w:r>
      <w:r w:rsidR="007C41AC">
        <w:rPr>
          <w:rFonts w:ascii="Calibri" w:hAnsi="Calibri" w:cs="Calibri"/>
          <w:sz w:val="20"/>
          <w:szCs w:val="20"/>
        </w:rPr>
        <w:t xml:space="preserve"> </w:t>
      </w:r>
      <w:r w:rsidRPr="00CB0104">
        <w:rPr>
          <w:rFonts w:ascii="Calibri" w:hAnsi="Calibri" w:cs="Calibri"/>
          <w:sz w:val="20"/>
          <w:szCs w:val="20"/>
        </w:rPr>
        <w:t xml:space="preserve">: </w:t>
      </w:r>
    </w:p>
    <w:p w14:paraId="684BD181" w14:textId="77777777" w:rsidR="00CB0104" w:rsidRDefault="00CB0104" w:rsidP="00CB0104">
      <w:pPr>
        <w:pStyle w:val="NormalWeb"/>
        <w:ind w:left="851"/>
        <w:contextualSpacing/>
        <w:jc w:val="both"/>
        <w:rPr>
          <w:rFonts w:ascii="Calibri" w:hAnsi="Calibri" w:cs="Calibri"/>
          <w:sz w:val="20"/>
          <w:szCs w:val="20"/>
        </w:rPr>
      </w:pPr>
    </w:p>
    <w:p w14:paraId="0A3F9D03" w14:textId="2585A50D" w:rsidR="00CB0104" w:rsidRDefault="00CB0104" w:rsidP="003035AB">
      <w:pPr>
        <w:pStyle w:val="NormalWeb"/>
        <w:numPr>
          <w:ilvl w:val="1"/>
          <w:numId w:val="23"/>
        </w:numPr>
        <w:contextualSpacing/>
        <w:jc w:val="both"/>
        <w:rPr>
          <w:rFonts w:ascii="Calibri" w:hAnsi="Calibri" w:cs="Calibri"/>
          <w:sz w:val="20"/>
          <w:szCs w:val="20"/>
        </w:rPr>
      </w:pPr>
      <w:r w:rsidRPr="00CB0104">
        <w:rPr>
          <w:rFonts w:ascii="Calibri" w:hAnsi="Calibri" w:cs="Calibri"/>
          <w:sz w:val="20"/>
          <w:szCs w:val="20"/>
        </w:rPr>
        <w:t>Le client ou le bénéficiaire effectif est-il une personne figurant sur les listes de personnes, groupes et entités impliqués dans des actes de terrorisme et faisant l’objet de mesures restrictives, ou est-il connu pour avoir des liens personnels ou professionnels étroits avec des personnes inscrites sur ces listes (par exemple, parce qu’il est en couple ou vit avec une telle personne)?</w:t>
      </w:r>
    </w:p>
    <w:p w14:paraId="3E0EDFE9" w14:textId="77777777" w:rsidR="007C41AC" w:rsidRDefault="007C41AC" w:rsidP="007C41AC">
      <w:pPr>
        <w:pStyle w:val="NormalWeb"/>
        <w:ind w:left="1440"/>
        <w:contextualSpacing/>
        <w:jc w:val="both"/>
        <w:rPr>
          <w:rFonts w:ascii="Calibri" w:hAnsi="Calibri" w:cs="Calibri"/>
          <w:sz w:val="20"/>
          <w:szCs w:val="20"/>
        </w:rPr>
      </w:pPr>
    </w:p>
    <w:p w14:paraId="06F5EF2E" w14:textId="259E8BB4" w:rsidR="007C41AC" w:rsidRDefault="007C41AC" w:rsidP="003035AB">
      <w:pPr>
        <w:pStyle w:val="NormalWeb"/>
        <w:numPr>
          <w:ilvl w:val="1"/>
          <w:numId w:val="23"/>
        </w:numPr>
        <w:contextualSpacing/>
        <w:jc w:val="both"/>
        <w:rPr>
          <w:rFonts w:ascii="Calibri" w:hAnsi="Calibri" w:cs="Calibri"/>
          <w:sz w:val="20"/>
          <w:szCs w:val="20"/>
        </w:rPr>
      </w:pPr>
      <w:r w:rsidRPr="007C41AC">
        <w:rPr>
          <w:rFonts w:ascii="Calibri" w:hAnsi="Calibri" w:cs="Calibri"/>
          <w:sz w:val="20"/>
          <w:szCs w:val="20"/>
        </w:rPr>
        <w:t>Le client ou le bénéficiaire effectif est-il une personne dont on sait publiquement qu’elle fait l’objet d’une enquête pour activité terroriste ou qu’elle a été condamnée pour activité terroriste, ou est-il connu pour avoir des liens personnels ou professionnels étroits avec une telle personne (par exemple, parce qu’il est en couple ou vit avec une telle personne)</w:t>
      </w:r>
      <w:r>
        <w:rPr>
          <w:rFonts w:ascii="Calibri" w:hAnsi="Calibri" w:cs="Calibri"/>
          <w:sz w:val="20"/>
          <w:szCs w:val="20"/>
        </w:rPr>
        <w:t xml:space="preserve"> </w:t>
      </w:r>
      <w:r w:rsidRPr="007C41AC">
        <w:rPr>
          <w:rFonts w:ascii="Calibri" w:hAnsi="Calibri" w:cs="Calibri"/>
          <w:sz w:val="20"/>
          <w:szCs w:val="20"/>
        </w:rPr>
        <w:t xml:space="preserve">? </w:t>
      </w:r>
    </w:p>
    <w:p w14:paraId="5252E391" w14:textId="77777777" w:rsidR="007C41AC" w:rsidRDefault="007C41AC" w:rsidP="007C41AC">
      <w:pPr>
        <w:pStyle w:val="NormalWeb"/>
        <w:ind w:left="1440"/>
        <w:contextualSpacing/>
        <w:jc w:val="both"/>
        <w:rPr>
          <w:rFonts w:ascii="Calibri" w:hAnsi="Calibri" w:cs="Calibri"/>
          <w:sz w:val="20"/>
          <w:szCs w:val="20"/>
        </w:rPr>
      </w:pPr>
    </w:p>
    <w:p w14:paraId="1B23F67F" w14:textId="71D57962" w:rsidR="007C41AC" w:rsidRDefault="007C41AC" w:rsidP="003035AB">
      <w:pPr>
        <w:pStyle w:val="NormalWeb"/>
        <w:numPr>
          <w:ilvl w:val="1"/>
          <w:numId w:val="23"/>
        </w:numPr>
        <w:contextualSpacing/>
        <w:jc w:val="both"/>
        <w:rPr>
          <w:rFonts w:ascii="Calibri" w:hAnsi="Calibri" w:cs="Calibri"/>
          <w:sz w:val="20"/>
          <w:szCs w:val="20"/>
        </w:rPr>
      </w:pPr>
      <w:r w:rsidRPr="007C41AC">
        <w:rPr>
          <w:rFonts w:ascii="Calibri" w:hAnsi="Calibri" w:cs="Calibri"/>
          <w:sz w:val="20"/>
          <w:szCs w:val="20"/>
        </w:rPr>
        <w:t>Le client effectue-t-il des transactions caractérisées par des transferts de fonds entrants et sortants en provenance et/ou à destination de pays connus pour abriter des groupes commettant des actes terroristes ou pour financer le terrorisme, ou qui font l’objet de sanctions internationales</w:t>
      </w:r>
      <w:r>
        <w:rPr>
          <w:rFonts w:ascii="Calibri" w:hAnsi="Calibri" w:cs="Calibri"/>
          <w:sz w:val="20"/>
          <w:szCs w:val="20"/>
        </w:rPr>
        <w:t xml:space="preserve"> </w:t>
      </w:r>
      <w:r w:rsidRPr="007C41AC">
        <w:rPr>
          <w:rFonts w:ascii="Calibri" w:hAnsi="Calibri" w:cs="Calibri"/>
          <w:sz w:val="20"/>
          <w:szCs w:val="20"/>
        </w:rPr>
        <w:t>? Dans l’affirmative, ces transferts peuvent-ils être aisément expliqués, par des liens familiaux ou des relations commerciales par exemple</w:t>
      </w:r>
      <w:r>
        <w:rPr>
          <w:rFonts w:ascii="Calibri" w:hAnsi="Calibri" w:cs="Calibri"/>
          <w:sz w:val="20"/>
          <w:szCs w:val="20"/>
        </w:rPr>
        <w:t xml:space="preserve"> </w:t>
      </w:r>
      <w:r w:rsidRPr="007C41AC">
        <w:rPr>
          <w:rFonts w:ascii="Calibri" w:hAnsi="Calibri" w:cs="Calibri"/>
          <w:sz w:val="20"/>
          <w:szCs w:val="20"/>
        </w:rPr>
        <w:t xml:space="preserve">? </w:t>
      </w:r>
    </w:p>
    <w:p w14:paraId="14FEE2E7" w14:textId="77777777" w:rsidR="007C41AC" w:rsidRDefault="007C41AC" w:rsidP="007C41AC">
      <w:pPr>
        <w:pStyle w:val="NormalWeb"/>
        <w:ind w:left="1440"/>
        <w:contextualSpacing/>
        <w:jc w:val="both"/>
        <w:rPr>
          <w:rFonts w:ascii="Calibri" w:hAnsi="Calibri" w:cs="Calibri"/>
          <w:sz w:val="20"/>
          <w:szCs w:val="20"/>
        </w:rPr>
      </w:pPr>
    </w:p>
    <w:p w14:paraId="73EE360A" w14:textId="77777777" w:rsidR="007C41AC" w:rsidRDefault="007C41AC" w:rsidP="003035AB">
      <w:pPr>
        <w:pStyle w:val="NormalWeb"/>
        <w:numPr>
          <w:ilvl w:val="1"/>
          <w:numId w:val="23"/>
        </w:numPr>
        <w:contextualSpacing/>
        <w:jc w:val="both"/>
        <w:rPr>
          <w:rFonts w:ascii="Calibri" w:hAnsi="Calibri" w:cs="Calibri"/>
          <w:sz w:val="20"/>
          <w:szCs w:val="20"/>
        </w:rPr>
      </w:pPr>
      <w:r w:rsidRPr="007C41AC">
        <w:rPr>
          <w:rFonts w:ascii="Calibri" w:hAnsi="Calibri" w:cs="Calibri"/>
          <w:sz w:val="20"/>
          <w:szCs w:val="20"/>
        </w:rPr>
        <w:t>Le client est-il une organisation à but non lucratif</w:t>
      </w:r>
      <w:r>
        <w:rPr>
          <w:rFonts w:ascii="Calibri" w:hAnsi="Calibri" w:cs="Calibri"/>
          <w:sz w:val="20"/>
          <w:szCs w:val="20"/>
        </w:rPr>
        <w:t> :</w:t>
      </w:r>
    </w:p>
    <w:p w14:paraId="7ABC4184" w14:textId="77777777" w:rsidR="007C41AC" w:rsidRDefault="007C41AC" w:rsidP="007C41AC">
      <w:pPr>
        <w:pStyle w:val="NormalWeb"/>
        <w:ind w:left="1440"/>
        <w:contextualSpacing/>
        <w:jc w:val="both"/>
        <w:rPr>
          <w:rFonts w:ascii="Calibri" w:hAnsi="Calibri" w:cs="Calibri"/>
          <w:sz w:val="20"/>
          <w:szCs w:val="20"/>
        </w:rPr>
      </w:pPr>
    </w:p>
    <w:p w14:paraId="1F28B6A5" w14:textId="77777777" w:rsidR="007C41AC" w:rsidRDefault="007C41AC" w:rsidP="003035AB">
      <w:pPr>
        <w:pStyle w:val="NormalWeb"/>
        <w:numPr>
          <w:ilvl w:val="0"/>
          <w:numId w:val="16"/>
        </w:numPr>
        <w:contextualSpacing/>
        <w:jc w:val="both"/>
        <w:rPr>
          <w:rFonts w:ascii="Calibri" w:hAnsi="Calibri" w:cs="Calibri"/>
          <w:sz w:val="20"/>
          <w:szCs w:val="20"/>
        </w:rPr>
      </w:pPr>
      <w:r w:rsidRPr="007C41AC">
        <w:rPr>
          <w:rFonts w:ascii="Calibri" w:hAnsi="Calibri" w:cs="Calibri"/>
          <w:sz w:val="20"/>
          <w:szCs w:val="20"/>
        </w:rPr>
        <w:t xml:space="preserve"> dont les activités ou les dirigeants sont publiquement connus pour être associés à l’extrémisme ou entretenir des sympathies terroristes? </w:t>
      </w:r>
    </w:p>
    <w:p w14:paraId="6D55F6AB" w14:textId="5E307E90" w:rsidR="007C41AC" w:rsidRDefault="007C41AC" w:rsidP="003035AB">
      <w:pPr>
        <w:pStyle w:val="NormalWeb"/>
        <w:numPr>
          <w:ilvl w:val="0"/>
          <w:numId w:val="16"/>
        </w:numPr>
        <w:contextualSpacing/>
        <w:jc w:val="both"/>
        <w:rPr>
          <w:rFonts w:ascii="Calibri" w:hAnsi="Calibri" w:cs="Calibri"/>
          <w:sz w:val="20"/>
          <w:szCs w:val="20"/>
        </w:rPr>
      </w:pPr>
      <w:r w:rsidRPr="007C41AC">
        <w:rPr>
          <w:rFonts w:ascii="Calibri" w:hAnsi="Calibri" w:cs="Calibri"/>
          <w:sz w:val="20"/>
          <w:szCs w:val="20"/>
        </w:rPr>
        <w:t xml:space="preserve">Ou dont le comportement en matière de transactions se caractérise par des transferts massifs de fonds vers des pays ou territoires associés à un risque plus élevé de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financement du terrorisme</w:t>
      </w:r>
      <w:r w:rsidRPr="007C41AC">
        <w:rPr>
          <w:rFonts w:ascii="Calibri" w:hAnsi="Calibri" w:cs="Calibri"/>
          <w:sz w:val="20"/>
          <w:szCs w:val="20"/>
        </w:rPr>
        <w:t xml:space="preserve"> ou vers des pays tiers à haut risque</w:t>
      </w:r>
      <w:r>
        <w:rPr>
          <w:rFonts w:ascii="Calibri" w:hAnsi="Calibri" w:cs="Calibri"/>
          <w:sz w:val="20"/>
          <w:szCs w:val="20"/>
        </w:rPr>
        <w:t xml:space="preserve"> </w:t>
      </w:r>
      <w:r w:rsidRPr="007C41AC">
        <w:rPr>
          <w:rFonts w:ascii="Calibri" w:hAnsi="Calibri" w:cs="Calibri"/>
          <w:sz w:val="20"/>
          <w:szCs w:val="20"/>
        </w:rPr>
        <w:t xml:space="preserve">? </w:t>
      </w:r>
    </w:p>
    <w:p w14:paraId="2A2FFB75" w14:textId="77777777" w:rsidR="007C41AC" w:rsidRDefault="007C41AC" w:rsidP="007C41AC">
      <w:pPr>
        <w:pStyle w:val="NormalWeb"/>
        <w:ind w:left="1440"/>
        <w:contextualSpacing/>
        <w:jc w:val="both"/>
        <w:rPr>
          <w:rFonts w:ascii="Calibri" w:hAnsi="Calibri" w:cs="Calibri"/>
          <w:sz w:val="20"/>
          <w:szCs w:val="20"/>
        </w:rPr>
      </w:pPr>
    </w:p>
    <w:p w14:paraId="0DCFC1A5" w14:textId="103AEBA7" w:rsidR="007C41AC" w:rsidRDefault="007C41AC" w:rsidP="003035AB">
      <w:pPr>
        <w:pStyle w:val="NormalWeb"/>
        <w:numPr>
          <w:ilvl w:val="1"/>
          <w:numId w:val="23"/>
        </w:numPr>
        <w:contextualSpacing/>
        <w:jc w:val="both"/>
        <w:rPr>
          <w:rFonts w:ascii="Calibri" w:hAnsi="Calibri" w:cs="Calibri"/>
          <w:sz w:val="20"/>
          <w:szCs w:val="20"/>
        </w:rPr>
      </w:pPr>
      <w:r w:rsidRPr="007C41AC">
        <w:rPr>
          <w:rFonts w:ascii="Calibri" w:hAnsi="Calibri" w:cs="Calibri"/>
          <w:sz w:val="20"/>
          <w:szCs w:val="20"/>
        </w:rPr>
        <w:t>Le client effectue-t-il des transactions portant sur d’importants flux d’argent dans un court laps de temps, auxquelles sont associées des organisations à but non lucratif dont les liens avec le client sont peu clairs (par exemple, ils sont domiciliés au même endroit physique, partagent les mêmes représentants ou employés ou détiennent plusieurs comptes sous les mêmes noms)</w:t>
      </w:r>
      <w:r>
        <w:rPr>
          <w:rFonts w:ascii="Calibri" w:hAnsi="Calibri" w:cs="Calibri"/>
          <w:sz w:val="20"/>
          <w:szCs w:val="20"/>
        </w:rPr>
        <w:t xml:space="preserve"> </w:t>
      </w:r>
      <w:r w:rsidRPr="007C41AC">
        <w:rPr>
          <w:rFonts w:ascii="Calibri" w:hAnsi="Calibri" w:cs="Calibri"/>
          <w:sz w:val="20"/>
          <w:szCs w:val="20"/>
        </w:rPr>
        <w:t>?</w:t>
      </w:r>
    </w:p>
    <w:p w14:paraId="3EF1F75F" w14:textId="77777777" w:rsidR="007C41AC" w:rsidRDefault="007C41AC" w:rsidP="007C41AC">
      <w:pPr>
        <w:pStyle w:val="NormalWeb"/>
        <w:ind w:left="1440"/>
        <w:contextualSpacing/>
        <w:jc w:val="both"/>
        <w:rPr>
          <w:rFonts w:ascii="Calibri" w:hAnsi="Calibri" w:cs="Calibri"/>
          <w:sz w:val="20"/>
          <w:szCs w:val="20"/>
        </w:rPr>
      </w:pPr>
    </w:p>
    <w:p w14:paraId="58402BE5" w14:textId="3B5D15FF" w:rsidR="007C41AC" w:rsidRPr="007C41AC" w:rsidRDefault="007C41AC" w:rsidP="003035AB">
      <w:pPr>
        <w:pStyle w:val="NormalWeb"/>
        <w:numPr>
          <w:ilvl w:val="1"/>
          <w:numId w:val="23"/>
        </w:numPr>
        <w:contextualSpacing/>
        <w:jc w:val="both"/>
        <w:rPr>
          <w:rFonts w:ascii="Calibri" w:hAnsi="Calibri" w:cs="Calibri"/>
          <w:sz w:val="20"/>
          <w:szCs w:val="20"/>
        </w:rPr>
      </w:pPr>
      <w:r w:rsidRPr="007C41AC">
        <w:rPr>
          <w:rFonts w:ascii="Calibri" w:hAnsi="Calibri" w:cs="Calibri"/>
          <w:sz w:val="20"/>
          <w:szCs w:val="20"/>
        </w:rPr>
        <w:t>Le client transfère-t-il ou a-t-il l’intention de transférer des fonds à des personnes visées aux points a) et b)</w:t>
      </w:r>
      <w:r>
        <w:rPr>
          <w:rFonts w:ascii="Calibri" w:hAnsi="Calibri" w:cs="Calibri"/>
          <w:sz w:val="20"/>
          <w:szCs w:val="20"/>
        </w:rPr>
        <w:t xml:space="preserve"> </w:t>
      </w:r>
      <w:r w:rsidRPr="007C41AC">
        <w:rPr>
          <w:rFonts w:ascii="Calibri" w:hAnsi="Calibri" w:cs="Calibri"/>
          <w:sz w:val="20"/>
          <w:szCs w:val="20"/>
        </w:rPr>
        <w:t>?</w:t>
      </w:r>
    </w:p>
    <w:p w14:paraId="0A76C8BE" w14:textId="77777777" w:rsidR="00CB0104" w:rsidRPr="00CB0104" w:rsidRDefault="00CB0104" w:rsidP="00CB0104">
      <w:pPr>
        <w:pStyle w:val="NormalWeb"/>
        <w:contextualSpacing/>
        <w:jc w:val="both"/>
        <w:rPr>
          <w:rFonts w:ascii="Calibri" w:hAnsi="Calibri" w:cs="Calibri"/>
          <w:sz w:val="20"/>
          <w:szCs w:val="20"/>
        </w:rPr>
      </w:pPr>
    </w:p>
    <w:p w14:paraId="2ECB98BC" w14:textId="6BABDD7E" w:rsidR="007C41AC" w:rsidRDefault="007C41AC" w:rsidP="003035AB">
      <w:pPr>
        <w:pStyle w:val="NormalWeb"/>
        <w:numPr>
          <w:ilvl w:val="2"/>
          <w:numId w:val="19"/>
        </w:numPr>
        <w:ind w:left="851"/>
        <w:contextualSpacing/>
        <w:jc w:val="both"/>
        <w:rPr>
          <w:rFonts w:ascii="Calibri" w:hAnsi="Calibri" w:cs="Calibri"/>
          <w:sz w:val="20"/>
          <w:szCs w:val="20"/>
        </w:rPr>
      </w:pPr>
      <w:r w:rsidRPr="007C41AC">
        <w:rPr>
          <w:rFonts w:ascii="Calibri" w:hAnsi="Calibri" w:cs="Calibri"/>
          <w:sz w:val="20"/>
          <w:szCs w:val="20"/>
        </w:rPr>
        <w:t xml:space="preserve">Lorsqu’ils identifient le risque associé aux pays et aux zones géographiques, les </w:t>
      </w:r>
      <w:r>
        <w:rPr>
          <w:rFonts w:ascii="Calibri" w:hAnsi="Calibri" w:cs="Calibri"/>
          <w:sz w:val="20"/>
          <w:szCs w:val="20"/>
        </w:rPr>
        <w:t>assujettis</w:t>
      </w:r>
      <w:r w:rsidRPr="007C41AC">
        <w:rPr>
          <w:rFonts w:ascii="Calibri" w:hAnsi="Calibri" w:cs="Calibri"/>
          <w:sz w:val="20"/>
          <w:szCs w:val="20"/>
        </w:rPr>
        <w:t xml:space="preserve"> devraient prendre en considération le risque lié</w:t>
      </w:r>
      <w:r>
        <w:rPr>
          <w:rFonts w:ascii="Calibri" w:hAnsi="Calibri" w:cs="Calibri"/>
          <w:sz w:val="20"/>
          <w:szCs w:val="20"/>
        </w:rPr>
        <w:t xml:space="preserve"> </w:t>
      </w:r>
      <w:r w:rsidRPr="007C41AC">
        <w:rPr>
          <w:rFonts w:ascii="Calibri" w:hAnsi="Calibri" w:cs="Calibri"/>
          <w:sz w:val="20"/>
          <w:szCs w:val="20"/>
        </w:rPr>
        <w:t xml:space="preserve">: </w:t>
      </w:r>
    </w:p>
    <w:p w14:paraId="01E1B991" w14:textId="77777777" w:rsidR="007C41AC" w:rsidRDefault="007C41AC" w:rsidP="007C41AC">
      <w:pPr>
        <w:pStyle w:val="NormalWeb"/>
        <w:contextualSpacing/>
        <w:jc w:val="both"/>
        <w:rPr>
          <w:rFonts w:ascii="Calibri" w:hAnsi="Calibri" w:cs="Calibri"/>
          <w:sz w:val="20"/>
          <w:szCs w:val="20"/>
        </w:rPr>
      </w:pPr>
    </w:p>
    <w:p w14:paraId="79BCB030" w14:textId="216CD3CD" w:rsidR="00CB0104" w:rsidRDefault="007C41AC" w:rsidP="003035AB">
      <w:pPr>
        <w:pStyle w:val="NormalWeb"/>
        <w:numPr>
          <w:ilvl w:val="0"/>
          <w:numId w:val="24"/>
        </w:numPr>
        <w:contextualSpacing/>
        <w:jc w:val="both"/>
        <w:rPr>
          <w:rFonts w:ascii="Calibri" w:hAnsi="Calibri" w:cs="Calibri"/>
          <w:sz w:val="20"/>
          <w:szCs w:val="20"/>
        </w:rPr>
      </w:pPr>
      <w:r w:rsidRPr="007C41AC">
        <w:rPr>
          <w:rFonts w:ascii="Calibri" w:hAnsi="Calibri" w:cs="Calibri"/>
          <w:sz w:val="20"/>
          <w:szCs w:val="20"/>
        </w:rPr>
        <w:t>aux pays ou territoires dans lesquels le client est établi ou réside, et où le bénéficiaire effectif réside;</w:t>
      </w:r>
    </w:p>
    <w:p w14:paraId="35078FFE" w14:textId="77777777" w:rsidR="00991BBC" w:rsidRDefault="007C41AC" w:rsidP="003035AB">
      <w:pPr>
        <w:pStyle w:val="NormalWeb"/>
        <w:numPr>
          <w:ilvl w:val="0"/>
          <w:numId w:val="24"/>
        </w:numPr>
        <w:contextualSpacing/>
        <w:jc w:val="both"/>
        <w:rPr>
          <w:rFonts w:ascii="Calibri" w:hAnsi="Calibri" w:cs="Calibri"/>
          <w:sz w:val="20"/>
          <w:szCs w:val="20"/>
        </w:rPr>
      </w:pPr>
      <w:r w:rsidRPr="00991BBC">
        <w:rPr>
          <w:rFonts w:ascii="Calibri" w:hAnsi="Calibri" w:cs="Calibri"/>
          <w:sz w:val="20"/>
          <w:szCs w:val="20"/>
        </w:rPr>
        <w:t>aux pays ou territoires dans lesquels le client et le bénéficiaire effectif ont leur siège; et</w:t>
      </w:r>
    </w:p>
    <w:p w14:paraId="2291660B" w14:textId="77777777" w:rsidR="00991BBC" w:rsidRDefault="007C41AC" w:rsidP="003035AB">
      <w:pPr>
        <w:pStyle w:val="NormalWeb"/>
        <w:numPr>
          <w:ilvl w:val="0"/>
          <w:numId w:val="24"/>
        </w:numPr>
        <w:contextualSpacing/>
        <w:jc w:val="both"/>
        <w:rPr>
          <w:rFonts w:ascii="Calibri" w:hAnsi="Calibri" w:cs="Calibri"/>
          <w:sz w:val="20"/>
          <w:szCs w:val="20"/>
        </w:rPr>
      </w:pPr>
      <w:r w:rsidRPr="00991BBC">
        <w:rPr>
          <w:rFonts w:ascii="Calibri" w:hAnsi="Calibri" w:cs="Calibri"/>
          <w:sz w:val="20"/>
          <w:szCs w:val="20"/>
        </w:rPr>
        <w:lastRenderedPageBreak/>
        <w:t xml:space="preserve">aux pays ou territoires avec lesquels le client et le bénéficiaire effectif ont des liens personnels ou commerciaux d’importance, ou des intérêts financiers ou juridiques. </w:t>
      </w:r>
    </w:p>
    <w:p w14:paraId="2821D1B3" w14:textId="77777777" w:rsidR="00991BBC" w:rsidRDefault="00991BBC" w:rsidP="00991BBC">
      <w:pPr>
        <w:pStyle w:val="NormalWeb"/>
        <w:contextualSpacing/>
        <w:jc w:val="both"/>
        <w:rPr>
          <w:rFonts w:ascii="Calibri" w:hAnsi="Calibri" w:cs="Calibri"/>
          <w:sz w:val="20"/>
          <w:szCs w:val="20"/>
        </w:rPr>
      </w:pPr>
    </w:p>
    <w:p w14:paraId="0ACC8620" w14:textId="02B2D1EA" w:rsidR="00991BBC" w:rsidRDefault="007C41AC" w:rsidP="003035AB">
      <w:pPr>
        <w:pStyle w:val="NormalWeb"/>
        <w:numPr>
          <w:ilvl w:val="2"/>
          <w:numId w:val="19"/>
        </w:numPr>
        <w:ind w:left="851"/>
        <w:contextualSpacing/>
        <w:jc w:val="both"/>
        <w:rPr>
          <w:rFonts w:ascii="Calibri" w:hAnsi="Calibri" w:cs="Calibri"/>
          <w:sz w:val="20"/>
          <w:szCs w:val="20"/>
        </w:rPr>
      </w:pPr>
      <w:r w:rsidRPr="00991BBC">
        <w:rPr>
          <w:rFonts w:ascii="Calibri" w:hAnsi="Calibri" w:cs="Calibri"/>
          <w:sz w:val="20"/>
          <w:szCs w:val="20"/>
        </w:rPr>
        <w:t xml:space="preserve">Les </w:t>
      </w:r>
      <w:r w:rsidR="00991BBC">
        <w:rPr>
          <w:rFonts w:ascii="Calibri" w:hAnsi="Calibri" w:cs="Calibri"/>
          <w:sz w:val="20"/>
          <w:szCs w:val="20"/>
        </w:rPr>
        <w:t>assujettis doivent</w:t>
      </w:r>
      <w:r w:rsidRPr="00991BBC">
        <w:rPr>
          <w:rFonts w:ascii="Calibri" w:hAnsi="Calibri" w:cs="Calibri"/>
          <w:sz w:val="20"/>
          <w:szCs w:val="20"/>
        </w:rPr>
        <w:t xml:space="preserve"> noter que la nature et la finalité de la relation d’affaires, ou le type d’activité, détermineront souvent l’importance relative des facteurs de risque associés à chaque pays et zone géographique. Par exemple</w:t>
      </w:r>
      <w:r w:rsidR="00991BBC">
        <w:rPr>
          <w:rFonts w:ascii="Calibri" w:hAnsi="Calibri" w:cs="Calibri"/>
          <w:sz w:val="20"/>
          <w:szCs w:val="20"/>
        </w:rPr>
        <w:t xml:space="preserve"> </w:t>
      </w:r>
      <w:r w:rsidRPr="00991BBC">
        <w:rPr>
          <w:rFonts w:ascii="Calibri" w:hAnsi="Calibri" w:cs="Calibri"/>
          <w:sz w:val="20"/>
          <w:szCs w:val="20"/>
        </w:rPr>
        <w:t xml:space="preserve">: </w:t>
      </w:r>
    </w:p>
    <w:p w14:paraId="7B8CDE57" w14:textId="77777777" w:rsidR="00991BBC" w:rsidRDefault="00991BBC" w:rsidP="00991BBC">
      <w:pPr>
        <w:pStyle w:val="NormalWeb"/>
        <w:contextualSpacing/>
        <w:jc w:val="both"/>
        <w:rPr>
          <w:rFonts w:ascii="Calibri" w:hAnsi="Calibri" w:cs="Calibri"/>
          <w:sz w:val="20"/>
          <w:szCs w:val="20"/>
        </w:rPr>
      </w:pPr>
    </w:p>
    <w:p w14:paraId="5CC546E4" w14:textId="77777777" w:rsidR="00991BBC" w:rsidRDefault="007C41AC" w:rsidP="003035AB">
      <w:pPr>
        <w:pStyle w:val="NormalWeb"/>
        <w:numPr>
          <w:ilvl w:val="1"/>
          <w:numId w:val="25"/>
        </w:numPr>
        <w:contextualSpacing/>
        <w:jc w:val="both"/>
        <w:rPr>
          <w:rFonts w:ascii="Calibri" w:hAnsi="Calibri" w:cs="Calibri"/>
          <w:sz w:val="20"/>
          <w:szCs w:val="20"/>
        </w:rPr>
      </w:pPr>
      <w:r w:rsidRPr="00991BBC">
        <w:rPr>
          <w:rFonts w:ascii="Calibri" w:hAnsi="Calibri" w:cs="Calibri"/>
          <w:sz w:val="20"/>
          <w:szCs w:val="20"/>
        </w:rPr>
        <w:t>Lorsque les fonds utilisés dans la relation d’affaires ont été générés à l’étranger, le niveau des infractions sous-jacentes au blanchiment de capitaux et l’efficacité du système juridique du pays concerné seront particulièrement importants.</w:t>
      </w:r>
    </w:p>
    <w:p w14:paraId="2F027227" w14:textId="77777777" w:rsidR="00991BBC" w:rsidRDefault="00991BBC" w:rsidP="00991BBC">
      <w:pPr>
        <w:pStyle w:val="NormalWeb"/>
        <w:ind w:left="1440"/>
        <w:contextualSpacing/>
        <w:jc w:val="both"/>
        <w:rPr>
          <w:rFonts w:ascii="Calibri" w:hAnsi="Calibri" w:cs="Calibri"/>
          <w:sz w:val="20"/>
          <w:szCs w:val="20"/>
        </w:rPr>
      </w:pPr>
    </w:p>
    <w:p w14:paraId="48DB4590" w14:textId="77777777" w:rsidR="00991BBC" w:rsidRDefault="007C41AC" w:rsidP="003035AB">
      <w:pPr>
        <w:pStyle w:val="NormalWeb"/>
        <w:numPr>
          <w:ilvl w:val="1"/>
          <w:numId w:val="25"/>
        </w:numPr>
        <w:contextualSpacing/>
        <w:jc w:val="both"/>
        <w:rPr>
          <w:rFonts w:ascii="Calibri" w:hAnsi="Calibri" w:cs="Calibri"/>
          <w:sz w:val="20"/>
          <w:szCs w:val="20"/>
        </w:rPr>
      </w:pPr>
      <w:r w:rsidRPr="00991BBC">
        <w:rPr>
          <w:rFonts w:ascii="Calibri" w:hAnsi="Calibri" w:cs="Calibri"/>
          <w:sz w:val="20"/>
          <w:szCs w:val="20"/>
        </w:rPr>
        <w:t>Lorsque les fonds sont reçus de pays ou territoires dans lesquels opèrent des groupes qui sont connus pour commettre des infractions terroristes, ou sont envoyés vers de tels pays ou territoires, les établissements devraient envisager dans quelle mesure cela pourrait faire naître un soupçon, en fonction de ce que l’établissement sait de l’objet et de la nature de la relation d’affaires.</w:t>
      </w:r>
    </w:p>
    <w:p w14:paraId="24E5E2A0" w14:textId="77777777" w:rsidR="00991BBC" w:rsidRDefault="00991BBC" w:rsidP="00991BBC">
      <w:pPr>
        <w:pStyle w:val="NormalWeb"/>
        <w:ind w:left="1440"/>
        <w:contextualSpacing/>
        <w:jc w:val="both"/>
        <w:rPr>
          <w:rFonts w:ascii="Calibri" w:hAnsi="Calibri" w:cs="Calibri"/>
          <w:sz w:val="20"/>
          <w:szCs w:val="20"/>
        </w:rPr>
      </w:pPr>
    </w:p>
    <w:p w14:paraId="0BE42639" w14:textId="58F2ABF5" w:rsidR="00991BBC" w:rsidRDefault="007C41AC" w:rsidP="003035AB">
      <w:pPr>
        <w:pStyle w:val="NormalWeb"/>
        <w:numPr>
          <w:ilvl w:val="1"/>
          <w:numId w:val="25"/>
        </w:numPr>
        <w:contextualSpacing/>
        <w:jc w:val="both"/>
        <w:rPr>
          <w:rFonts w:ascii="Calibri" w:hAnsi="Calibri" w:cs="Calibri"/>
          <w:sz w:val="20"/>
          <w:szCs w:val="20"/>
        </w:rPr>
      </w:pPr>
      <w:r w:rsidRPr="00991BBC">
        <w:rPr>
          <w:rFonts w:ascii="Calibri" w:hAnsi="Calibri" w:cs="Calibri"/>
          <w:sz w:val="20"/>
          <w:szCs w:val="20"/>
        </w:rPr>
        <w:t xml:space="preserve">Lorsque le client est un établissement financier ou un établissement de crédit, les établissements devraient accorder une attention particulière à l’adéquation du dispositif de lutte contre le </w:t>
      </w:r>
      <w:r w:rsidR="00991BBC">
        <w:rPr>
          <w:rFonts w:ascii="Calibri" w:hAnsi="Calibri" w:cs="Calibri"/>
          <w:sz w:val="20"/>
          <w:szCs w:val="20"/>
        </w:rPr>
        <w:t xml:space="preserve">blanchiment </w:t>
      </w:r>
      <w:r w:rsidR="004C16EE">
        <w:rPr>
          <w:rFonts w:ascii="Calibri" w:hAnsi="Calibri" w:cs="Calibri"/>
          <w:sz w:val="20"/>
          <w:szCs w:val="20"/>
        </w:rPr>
        <w:t xml:space="preserve">de capitaux </w:t>
      </w:r>
      <w:r w:rsidR="00991BBC">
        <w:rPr>
          <w:rFonts w:ascii="Calibri" w:hAnsi="Calibri" w:cs="Calibri"/>
          <w:sz w:val="20"/>
          <w:szCs w:val="20"/>
        </w:rPr>
        <w:t>et le financement du terrorisme </w:t>
      </w:r>
      <w:r w:rsidRPr="00991BBC">
        <w:rPr>
          <w:rFonts w:ascii="Calibri" w:hAnsi="Calibri" w:cs="Calibri"/>
          <w:sz w:val="20"/>
          <w:szCs w:val="20"/>
        </w:rPr>
        <w:t xml:space="preserve">et à l’efficacité de la surveillance en la matière dans le pays concerné. </w:t>
      </w:r>
    </w:p>
    <w:p w14:paraId="3C57DC4E" w14:textId="77777777" w:rsidR="00991BBC" w:rsidRDefault="00991BBC" w:rsidP="00991BBC">
      <w:pPr>
        <w:pStyle w:val="NormalWeb"/>
        <w:ind w:left="1440"/>
        <w:contextualSpacing/>
        <w:jc w:val="both"/>
        <w:rPr>
          <w:rFonts w:ascii="Calibri" w:hAnsi="Calibri" w:cs="Calibri"/>
          <w:sz w:val="20"/>
          <w:szCs w:val="20"/>
        </w:rPr>
      </w:pPr>
    </w:p>
    <w:p w14:paraId="7C50F3A2" w14:textId="77777777" w:rsidR="00991BBC" w:rsidRDefault="007C41AC" w:rsidP="003035AB">
      <w:pPr>
        <w:pStyle w:val="NormalWeb"/>
        <w:numPr>
          <w:ilvl w:val="1"/>
          <w:numId w:val="25"/>
        </w:numPr>
        <w:contextualSpacing/>
        <w:jc w:val="both"/>
        <w:rPr>
          <w:rFonts w:ascii="Calibri" w:hAnsi="Calibri" w:cs="Calibri"/>
          <w:sz w:val="20"/>
          <w:szCs w:val="20"/>
        </w:rPr>
      </w:pPr>
      <w:r w:rsidRPr="00991BBC">
        <w:rPr>
          <w:rFonts w:ascii="Calibri" w:hAnsi="Calibri" w:cs="Calibri"/>
          <w:sz w:val="20"/>
          <w:szCs w:val="20"/>
        </w:rPr>
        <w:t xml:space="preserve">Lorsque le client est une fiducie/un trust ou tout autre type de construction juridique, ou qu’il a une structure ou des fonctions semblables à celles des trusts , les </w:t>
      </w:r>
      <w:r w:rsidR="00991BBC">
        <w:rPr>
          <w:rFonts w:ascii="Calibri" w:hAnsi="Calibri" w:cs="Calibri"/>
          <w:sz w:val="20"/>
          <w:szCs w:val="20"/>
        </w:rPr>
        <w:t>assujettis</w:t>
      </w:r>
      <w:r w:rsidRPr="00991BBC">
        <w:rPr>
          <w:rFonts w:ascii="Calibri" w:hAnsi="Calibri" w:cs="Calibri"/>
          <w:sz w:val="20"/>
          <w:szCs w:val="20"/>
        </w:rPr>
        <w:t xml:space="preserve"> d</w:t>
      </w:r>
      <w:r w:rsidR="00991BBC">
        <w:rPr>
          <w:rFonts w:ascii="Calibri" w:hAnsi="Calibri" w:cs="Calibri"/>
          <w:sz w:val="20"/>
          <w:szCs w:val="20"/>
        </w:rPr>
        <w:t xml:space="preserve">oivent </w:t>
      </w:r>
      <w:r w:rsidRPr="00991BBC">
        <w:rPr>
          <w:rFonts w:ascii="Calibri" w:hAnsi="Calibri" w:cs="Calibri"/>
          <w:sz w:val="20"/>
          <w:szCs w:val="20"/>
        </w:rPr>
        <w:t xml:space="preserve">examiner dans quelle mesure le pays dans lequel le client et, le cas échéant, le bénéficiaire effectif sont enregistrés respecte effectivement les normes internationales en matière de transparence fiscale et d’échange d’informations. </w:t>
      </w:r>
    </w:p>
    <w:p w14:paraId="2B67C26F" w14:textId="77777777" w:rsidR="00991BBC" w:rsidRDefault="00991BBC" w:rsidP="00991BBC">
      <w:pPr>
        <w:pStyle w:val="NormalWeb"/>
        <w:ind w:left="1080"/>
        <w:contextualSpacing/>
        <w:jc w:val="both"/>
        <w:rPr>
          <w:rFonts w:ascii="Calibri" w:hAnsi="Calibri" w:cs="Calibri"/>
          <w:sz w:val="20"/>
          <w:szCs w:val="20"/>
        </w:rPr>
      </w:pPr>
    </w:p>
    <w:p w14:paraId="4802ABF0" w14:textId="07B8D188" w:rsidR="00991BBC" w:rsidRDefault="007C41AC" w:rsidP="003035AB">
      <w:pPr>
        <w:pStyle w:val="NormalWeb"/>
        <w:numPr>
          <w:ilvl w:val="2"/>
          <w:numId w:val="19"/>
        </w:numPr>
        <w:ind w:left="851"/>
        <w:contextualSpacing/>
        <w:jc w:val="both"/>
        <w:rPr>
          <w:rFonts w:ascii="Calibri" w:hAnsi="Calibri" w:cs="Calibri"/>
          <w:sz w:val="20"/>
          <w:szCs w:val="20"/>
        </w:rPr>
      </w:pPr>
      <w:r w:rsidRPr="00991BBC">
        <w:rPr>
          <w:rFonts w:ascii="Calibri" w:hAnsi="Calibri" w:cs="Calibri"/>
          <w:sz w:val="20"/>
          <w:szCs w:val="20"/>
        </w:rPr>
        <w:t xml:space="preserve">Les facteurs de risque que les </w:t>
      </w:r>
      <w:r w:rsidR="00991BBC">
        <w:rPr>
          <w:rFonts w:ascii="Calibri" w:hAnsi="Calibri" w:cs="Calibri"/>
          <w:sz w:val="20"/>
          <w:szCs w:val="20"/>
        </w:rPr>
        <w:t xml:space="preserve">assujettis doivent </w:t>
      </w:r>
      <w:r w:rsidRPr="00991BBC">
        <w:rPr>
          <w:rFonts w:ascii="Calibri" w:hAnsi="Calibri" w:cs="Calibri"/>
          <w:sz w:val="20"/>
          <w:szCs w:val="20"/>
        </w:rPr>
        <w:t xml:space="preserve">prendre en considération lorsqu’ils identifient l’efficacité du dispositif de lutte contre le </w:t>
      </w:r>
      <w:r w:rsidR="00991BBC">
        <w:rPr>
          <w:rFonts w:ascii="Calibri" w:hAnsi="Calibri" w:cs="Calibri"/>
          <w:sz w:val="20"/>
          <w:szCs w:val="20"/>
        </w:rPr>
        <w:t xml:space="preserve">blanchiment </w:t>
      </w:r>
      <w:r w:rsidR="004C16EE">
        <w:rPr>
          <w:rFonts w:ascii="Calibri" w:hAnsi="Calibri" w:cs="Calibri"/>
          <w:sz w:val="20"/>
          <w:szCs w:val="20"/>
        </w:rPr>
        <w:t xml:space="preserve">de capitaux </w:t>
      </w:r>
      <w:r w:rsidR="00991BBC">
        <w:rPr>
          <w:rFonts w:ascii="Calibri" w:hAnsi="Calibri" w:cs="Calibri"/>
          <w:sz w:val="20"/>
          <w:szCs w:val="20"/>
        </w:rPr>
        <w:t>et le financement du terrorisme</w:t>
      </w:r>
      <w:r w:rsidR="00991BBC" w:rsidRPr="00991BBC">
        <w:rPr>
          <w:rFonts w:ascii="Calibri" w:hAnsi="Calibri" w:cs="Calibri"/>
          <w:sz w:val="20"/>
          <w:szCs w:val="20"/>
        </w:rPr>
        <w:t xml:space="preserve"> </w:t>
      </w:r>
      <w:r w:rsidRPr="00991BBC">
        <w:rPr>
          <w:rFonts w:ascii="Calibri" w:hAnsi="Calibri" w:cs="Calibri"/>
          <w:sz w:val="20"/>
          <w:szCs w:val="20"/>
        </w:rPr>
        <w:t>mis en place dans un pays ou un territoire comprennent</w:t>
      </w:r>
      <w:r w:rsidR="00991BBC">
        <w:rPr>
          <w:rFonts w:ascii="Calibri" w:hAnsi="Calibri" w:cs="Calibri"/>
          <w:sz w:val="20"/>
          <w:szCs w:val="20"/>
        </w:rPr>
        <w:t xml:space="preserve"> </w:t>
      </w:r>
      <w:r w:rsidRPr="00991BBC">
        <w:rPr>
          <w:rFonts w:ascii="Calibri" w:hAnsi="Calibri" w:cs="Calibri"/>
          <w:sz w:val="20"/>
          <w:szCs w:val="20"/>
        </w:rPr>
        <w:t xml:space="preserve">: </w:t>
      </w:r>
    </w:p>
    <w:p w14:paraId="7FCF51BD" w14:textId="77777777" w:rsidR="00991BBC" w:rsidRDefault="00991BBC" w:rsidP="00991BBC">
      <w:pPr>
        <w:pStyle w:val="NormalWeb"/>
        <w:ind w:left="851"/>
        <w:contextualSpacing/>
        <w:jc w:val="both"/>
        <w:rPr>
          <w:rFonts w:ascii="Calibri" w:hAnsi="Calibri" w:cs="Calibri"/>
          <w:sz w:val="20"/>
          <w:szCs w:val="20"/>
        </w:rPr>
      </w:pPr>
    </w:p>
    <w:p w14:paraId="2FA0B63E" w14:textId="326D1A57" w:rsidR="007C41AC" w:rsidRDefault="007C41AC" w:rsidP="003035AB">
      <w:pPr>
        <w:pStyle w:val="NormalWeb"/>
        <w:numPr>
          <w:ilvl w:val="1"/>
          <w:numId w:val="26"/>
        </w:numPr>
        <w:contextualSpacing/>
        <w:jc w:val="both"/>
        <w:rPr>
          <w:rFonts w:ascii="Calibri" w:hAnsi="Calibri" w:cs="Calibri"/>
          <w:sz w:val="20"/>
          <w:szCs w:val="20"/>
        </w:rPr>
      </w:pPr>
      <w:r w:rsidRPr="00991BBC">
        <w:rPr>
          <w:rFonts w:ascii="Calibri" w:hAnsi="Calibri" w:cs="Calibri"/>
          <w:sz w:val="20"/>
          <w:szCs w:val="20"/>
        </w:rPr>
        <w:t xml:space="preserve">La </w:t>
      </w:r>
      <w:r w:rsidR="00991BBC">
        <w:rPr>
          <w:rFonts w:ascii="Calibri" w:hAnsi="Calibri" w:cs="Calibri"/>
          <w:sz w:val="20"/>
          <w:szCs w:val="20"/>
        </w:rPr>
        <w:t>COSUMAF</w:t>
      </w:r>
      <w:r w:rsidRPr="00991BBC">
        <w:rPr>
          <w:rFonts w:ascii="Calibri" w:hAnsi="Calibri" w:cs="Calibri"/>
          <w:sz w:val="20"/>
          <w:szCs w:val="20"/>
        </w:rPr>
        <w:t xml:space="preserve"> a-t-elle déterminé que le pays présentait des carences stratégiques dans son dispositif de lutte contre le </w:t>
      </w:r>
      <w:r w:rsidR="00991BBC">
        <w:rPr>
          <w:rFonts w:ascii="Calibri" w:hAnsi="Calibri" w:cs="Calibri"/>
          <w:sz w:val="20"/>
          <w:szCs w:val="20"/>
        </w:rPr>
        <w:t xml:space="preserve">blanchiment </w:t>
      </w:r>
      <w:r w:rsidR="004C16EE">
        <w:rPr>
          <w:rFonts w:ascii="Calibri" w:hAnsi="Calibri" w:cs="Calibri"/>
          <w:sz w:val="20"/>
          <w:szCs w:val="20"/>
        </w:rPr>
        <w:t xml:space="preserve">de capitaux </w:t>
      </w:r>
      <w:r w:rsidR="00991BBC">
        <w:rPr>
          <w:rFonts w:ascii="Calibri" w:hAnsi="Calibri" w:cs="Calibri"/>
          <w:sz w:val="20"/>
          <w:szCs w:val="20"/>
        </w:rPr>
        <w:t>et le financement du terrorisme ?</w:t>
      </w:r>
    </w:p>
    <w:p w14:paraId="59BC592D" w14:textId="77777777" w:rsidR="00991BBC" w:rsidRDefault="00991BBC" w:rsidP="00991BBC">
      <w:pPr>
        <w:pStyle w:val="NormalWeb"/>
        <w:ind w:left="1440"/>
        <w:contextualSpacing/>
        <w:jc w:val="both"/>
        <w:rPr>
          <w:rFonts w:ascii="Calibri" w:hAnsi="Calibri" w:cs="Calibri"/>
          <w:sz w:val="20"/>
          <w:szCs w:val="20"/>
        </w:rPr>
      </w:pPr>
    </w:p>
    <w:p w14:paraId="170D699C" w14:textId="40386892" w:rsidR="00991BBC" w:rsidRDefault="00991BBC" w:rsidP="003035AB">
      <w:pPr>
        <w:pStyle w:val="NormalWeb"/>
        <w:numPr>
          <w:ilvl w:val="1"/>
          <w:numId w:val="26"/>
        </w:numPr>
        <w:contextualSpacing/>
        <w:jc w:val="both"/>
        <w:rPr>
          <w:rFonts w:ascii="Calibri" w:hAnsi="Calibri" w:cs="Calibri"/>
          <w:sz w:val="20"/>
          <w:szCs w:val="20"/>
        </w:rPr>
      </w:pPr>
      <w:r>
        <w:rPr>
          <w:rFonts w:ascii="Calibri" w:hAnsi="Calibri" w:cs="Calibri"/>
          <w:sz w:val="20"/>
          <w:szCs w:val="20"/>
        </w:rPr>
        <w:t>La législation nationale interdit-elle la mise en place de politiques et de procédures à l’échelle du groupe ?</w:t>
      </w:r>
    </w:p>
    <w:p w14:paraId="46AED5B3" w14:textId="77777777" w:rsidR="00991BBC" w:rsidRDefault="00991BBC" w:rsidP="00991BBC">
      <w:pPr>
        <w:pStyle w:val="NormalWeb"/>
        <w:ind w:left="1440"/>
        <w:contextualSpacing/>
        <w:jc w:val="both"/>
        <w:rPr>
          <w:rFonts w:ascii="Calibri" w:hAnsi="Calibri" w:cs="Calibri"/>
          <w:sz w:val="20"/>
          <w:szCs w:val="20"/>
        </w:rPr>
      </w:pPr>
    </w:p>
    <w:p w14:paraId="49682D2A" w14:textId="53B417DD" w:rsidR="00991BBC" w:rsidRDefault="00991BBC" w:rsidP="003035AB">
      <w:pPr>
        <w:pStyle w:val="NormalWeb"/>
        <w:numPr>
          <w:ilvl w:val="1"/>
          <w:numId w:val="26"/>
        </w:numPr>
        <w:contextualSpacing/>
        <w:jc w:val="both"/>
        <w:rPr>
          <w:rFonts w:ascii="Calibri" w:hAnsi="Calibri" w:cs="Calibri"/>
          <w:sz w:val="20"/>
          <w:szCs w:val="20"/>
        </w:rPr>
      </w:pPr>
      <w:r w:rsidRPr="00991BBC">
        <w:rPr>
          <w:rFonts w:ascii="Calibri" w:hAnsi="Calibri" w:cs="Calibri"/>
          <w:sz w:val="20"/>
          <w:szCs w:val="20"/>
        </w:rPr>
        <w:t xml:space="preserve">Existe-t-il des informations provenant de plusieurs sources crédibles et fiables concernant la qualité des contrôles effectués par le pays ou le territoire en matière de lutte contre le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le financement du terrorisme</w:t>
      </w:r>
      <w:r w:rsidRPr="00991BBC">
        <w:rPr>
          <w:rFonts w:ascii="Calibri" w:hAnsi="Calibri" w:cs="Calibri"/>
          <w:sz w:val="20"/>
          <w:szCs w:val="20"/>
        </w:rPr>
        <w:t>, y compris des informations sur la qualité et l’efficacité de l’exécution des règlements et de la surveillance réglementaire</w:t>
      </w:r>
      <w:r>
        <w:rPr>
          <w:rFonts w:ascii="Calibri" w:hAnsi="Calibri" w:cs="Calibri"/>
          <w:sz w:val="20"/>
          <w:szCs w:val="20"/>
        </w:rPr>
        <w:t xml:space="preserve"> </w:t>
      </w:r>
      <w:r w:rsidRPr="00991BBC">
        <w:rPr>
          <w:rFonts w:ascii="Calibri" w:hAnsi="Calibri" w:cs="Calibri"/>
          <w:sz w:val="20"/>
          <w:szCs w:val="20"/>
        </w:rPr>
        <w:t xml:space="preserve">? Les sources d’information possibles comprennent, par exemple, les rapports d’évaluation établis par le Groupe d’action financière (GAFI) ou des organismes régionaux de type GAFI (ORTG), la liste des pays et territoires à haut risque et non coopératifs dressée par le GAFI, les évaluations du Fonds monétaire international (FMI) et les rapports du programme d’évaluation du secteur financier (FSAP). </w:t>
      </w:r>
    </w:p>
    <w:p w14:paraId="2AABB437" w14:textId="77777777" w:rsidR="00991BBC" w:rsidRPr="00991BBC" w:rsidRDefault="00991BBC" w:rsidP="00991BBC">
      <w:pPr>
        <w:pStyle w:val="NormalWeb"/>
        <w:ind w:left="1440"/>
        <w:contextualSpacing/>
        <w:jc w:val="both"/>
        <w:rPr>
          <w:rFonts w:ascii="Calibri" w:hAnsi="Calibri" w:cs="Calibri"/>
          <w:sz w:val="20"/>
          <w:szCs w:val="20"/>
        </w:rPr>
      </w:pPr>
    </w:p>
    <w:p w14:paraId="4A4D385B" w14:textId="584AFC1D" w:rsidR="007C67C5" w:rsidRDefault="00991BBC" w:rsidP="003035AB">
      <w:pPr>
        <w:pStyle w:val="NormalWeb"/>
        <w:numPr>
          <w:ilvl w:val="2"/>
          <w:numId w:val="19"/>
        </w:numPr>
        <w:ind w:left="851"/>
        <w:contextualSpacing/>
        <w:jc w:val="both"/>
        <w:rPr>
          <w:rFonts w:ascii="Calibri" w:hAnsi="Calibri" w:cs="Calibri"/>
          <w:sz w:val="20"/>
          <w:szCs w:val="20"/>
        </w:rPr>
      </w:pPr>
      <w:r w:rsidRPr="00991BBC">
        <w:rPr>
          <w:rFonts w:ascii="Calibri" w:hAnsi="Calibri" w:cs="Calibri"/>
          <w:sz w:val="20"/>
          <w:szCs w:val="20"/>
        </w:rPr>
        <w:t xml:space="preserve">Les facteurs de risque que les </w:t>
      </w:r>
      <w:r>
        <w:rPr>
          <w:rFonts w:ascii="Calibri" w:hAnsi="Calibri" w:cs="Calibri"/>
          <w:sz w:val="20"/>
          <w:szCs w:val="20"/>
        </w:rPr>
        <w:t>assujettis doivent</w:t>
      </w:r>
      <w:r w:rsidRPr="00991BBC">
        <w:rPr>
          <w:rFonts w:ascii="Calibri" w:hAnsi="Calibri" w:cs="Calibri"/>
          <w:sz w:val="20"/>
          <w:szCs w:val="20"/>
        </w:rPr>
        <w:t xml:space="preserve"> prendre en considération lorsqu’ils identifient le niveau de transparence et de discipline fiscale d’un pays ou territoire comprennent</w:t>
      </w:r>
      <w:r w:rsidR="007C67C5">
        <w:rPr>
          <w:rFonts w:ascii="Calibri" w:hAnsi="Calibri" w:cs="Calibri"/>
          <w:sz w:val="20"/>
          <w:szCs w:val="20"/>
        </w:rPr>
        <w:t xml:space="preserve"> </w:t>
      </w:r>
      <w:r w:rsidRPr="00991BBC">
        <w:rPr>
          <w:rFonts w:ascii="Calibri" w:hAnsi="Calibri" w:cs="Calibri"/>
          <w:sz w:val="20"/>
          <w:szCs w:val="20"/>
        </w:rPr>
        <w:t xml:space="preserve">: </w:t>
      </w:r>
    </w:p>
    <w:p w14:paraId="05853255" w14:textId="77777777" w:rsidR="007C67C5" w:rsidRDefault="007C67C5" w:rsidP="007C67C5">
      <w:pPr>
        <w:pStyle w:val="NormalWeb"/>
        <w:ind w:left="491"/>
        <w:contextualSpacing/>
        <w:jc w:val="both"/>
        <w:rPr>
          <w:rFonts w:ascii="Calibri" w:hAnsi="Calibri" w:cs="Calibri"/>
          <w:sz w:val="20"/>
          <w:szCs w:val="20"/>
        </w:rPr>
      </w:pPr>
    </w:p>
    <w:p w14:paraId="7C2192DD" w14:textId="77777777" w:rsidR="007C67C5" w:rsidRDefault="00991BBC" w:rsidP="003035AB">
      <w:pPr>
        <w:pStyle w:val="NormalWeb"/>
        <w:numPr>
          <w:ilvl w:val="0"/>
          <w:numId w:val="27"/>
        </w:numPr>
        <w:contextualSpacing/>
        <w:jc w:val="both"/>
        <w:rPr>
          <w:rFonts w:ascii="Calibri" w:hAnsi="Calibri" w:cs="Calibri"/>
          <w:sz w:val="20"/>
          <w:szCs w:val="20"/>
        </w:rPr>
      </w:pPr>
      <w:r w:rsidRPr="00991BBC">
        <w:rPr>
          <w:rFonts w:ascii="Calibri" w:hAnsi="Calibri" w:cs="Calibri"/>
          <w:sz w:val="20"/>
          <w:szCs w:val="20"/>
        </w:rPr>
        <w:t>Existe-t-il des informations provenant de plusieurs sources crédibles et fiables selon lesquelles le pays a été jugé conforme aux normes internationales en matière de transparence fiscale et d’échange d’informations</w:t>
      </w:r>
      <w:r w:rsidR="007C67C5">
        <w:rPr>
          <w:rFonts w:ascii="Calibri" w:hAnsi="Calibri" w:cs="Calibri"/>
          <w:sz w:val="20"/>
          <w:szCs w:val="20"/>
        </w:rPr>
        <w:t xml:space="preserve"> </w:t>
      </w:r>
      <w:r w:rsidRPr="00991BBC">
        <w:rPr>
          <w:rFonts w:ascii="Calibri" w:hAnsi="Calibri" w:cs="Calibri"/>
          <w:sz w:val="20"/>
          <w:szCs w:val="20"/>
        </w:rPr>
        <w:t>? Existe-t-il des preuves selon lesquelles les règles pertinentes sont effectivement mises en œuvre dans la pratique</w:t>
      </w:r>
      <w:r w:rsidR="007C67C5">
        <w:rPr>
          <w:rFonts w:ascii="Calibri" w:hAnsi="Calibri" w:cs="Calibri"/>
          <w:sz w:val="20"/>
          <w:szCs w:val="20"/>
        </w:rPr>
        <w:t xml:space="preserve"> </w:t>
      </w:r>
      <w:r w:rsidRPr="00991BBC">
        <w:rPr>
          <w:rFonts w:ascii="Calibri" w:hAnsi="Calibri" w:cs="Calibri"/>
          <w:sz w:val="20"/>
          <w:szCs w:val="20"/>
        </w:rPr>
        <w:t xml:space="preserve">? Les sources d’information possibles comprennent, par exemple, les rapports du Forum mondial sur la transparence et l’échange de renseignements à des fins fiscales organisé par l’Organisation de coopération et de </w:t>
      </w:r>
      <w:r w:rsidRPr="00991BBC">
        <w:rPr>
          <w:rFonts w:ascii="Calibri" w:hAnsi="Calibri" w:cs="Calibri"/>
          <w:sz w:val="20"/>
          <w:szCs w:val="20"/>
        </w:rPr>
        <w:lastRenderedPageBreak/>
        <w:t>développement économiques (OCDE), dans lesquels sont évalués les pays ou territoires à des fins de transparence fiscale et de partage d’informations, les évaluations visant à déterminer si un pays ou territoire respecte la norme commune de déclaration sur l’échange automatique de renseignements, les évaluations du respect des recommandations nº 9, 24 et 25 du GAFI et des résultats immédiats nº 2 et 5 menées par le GAFI ou les ORTG, les évaluations effectuées par rapport à la liste de l’Union européenne des pays et territoires non coopératifs à des fins fiscales, ainsi que les évaluations du FMI (portant par exemple sur les centres financiers extraterritoriaux).</w:t>
      </w:r>
    </w:p>
    <w:p w14:paraId="7D5DD90D" w14:textId="77777777" w:rsidR="007C67C5" w:rsidRDefault="007C67C5" w:rsidP="007C67C5">
      <w:pPr>
        <w:pStyle w:val="NormalWeb"/>
        <w:ind w:left="1211"/>
        <w:contextualSpacing/>
        <w:jc w:val="both"/>
        <w:rPr>
          <w:rFonts w:ascii="Calibri" w:hAnsi="Calibri" w:cs="Calibri"/>
          <w:sz w:val="20"/>
          <w:szCs w:val="20"/>
        </w:rPr>
      </w:pPr>
    </w:p>
    <w:p w14:paraId="33CAC7E3" w14:textId="2522AAD8" w:rsidR="007C67C5" w:rsidRDefault="00991BBC" w:rsidP="003035AB">
      <w:pPr>
        <w:pStyle w:val="NormalWeb"/>
        <w:numPr>
          <w:ilvl w:val="0"/>
          <w:numId w:val="27"/>
        </w:numPr>
        <w:contextualSpacing/>
        <w:jc w:val="both"/>
        <w:rPr>
          <w:rFonts w:ascii="Calibri" w:hAnsi="Calibri" w:cs="Calibri"/>
          <w:sz w:val="20"/>
          <w:szCs w:val="20"/>
        </w:rPr>
      </w:pPr>
      <w:r w:rsidRPr="00991BBC">
        <w:rPr>
          <w:rFonts w:ascii="Calibri" w:hAnsi="Calibri" w:cs="Calibri"/>
          <w:sz w:val="20"/>
          <w:szCs w:val="20"/>
        </w:rPr>
        <w:t>Le pays ou territoire s’est-il engagé à respecter, et a-t-il effectivement mis en œuvre la norme commune de déclaration sur l’échange automatique de renseignements, adoptée par le G20 en 2014</w:t>
      </w:r>
      <w:r w:rsidR="007C67C5">
        <w:rPr>
          <w:rFonts w:ascii="Calibri" w:hAnsi="Calibri" w:cs="Calibri"/>
          <w:sz w:val="20"/>
          <w:szCs w:val="20"/>
        </w:rPr>
        <w:t xml:space="preserve"> </w:t>
      </w:r>
      <w:r w:rsidRPr="00991BBC">
        <w:rPr>
          <w:rFonts w:ascii="Calibri" w:hAnsi="Calibri" w:cs="Calibri"/>
          <w:sz w:val="20"/>
          <w:szCs w:val="20"/>
        </w:rPr>
        <w:t xml:space="preserve">? </w:t>
      </w:r>
    </w:p>
    <w:p w14:paraId="47B5ECB3" w14:textId="77777777" w:rsidR="007C67C5" w:rsidRDefault="007C67C5" w:rsidP="007C67C5">
      <w:pPr>
        <w:pStyle w:val="NormalWeb"/>
        <w:ind w:left="1211"/>
        <w:contextualSpacing/>
        <w:jc w:val="both"/>
        <w:rPr>
          <w:rFonts w:ascii="Calibri" w:hAnsi="Calibri" w:cs="Calibri"/>
          <w:sz w:val="20"/>
          <w:szCs w:val="20"/>
        </w:rPr>
      </w:pPr>
    </w:p>
    <w:p w14:paraId="0B8E3135" w14:textId="1A680F61" w:rsidR="007C67C5" w:rsidRDefault="00991BBC" w:rsidP="003035AB">
      <w:pPr>
        <w:pStyle w:val="NormalWeb"/>
        <w:numPr>
          <w:ilvl w:val="0"/>
          <w:numId w:val="27"/>
        </w:numPr>
        <w:contextualSpacing/>
        <w:jc w:val="both"/>
        <w:rPr>
          <w:rFonts w:ascii="Calibri" w:hAnsi="Calibri" w:cs="Calibri"/>
          <w:sz w:val="20"/>
          <w:szCs w:val="20"/>
        </w:rPr>
      </w:pPr>
      <w:r w:rsidRPr="00991BBC">
        <w:rPr>
          <w:rFonts w:ascii="Calibri" w:hAnsi="Calibri" w:cs="Calibri"/>
          <w:sz w:val="20"/>
          <w:szCs w:val="20"/>
        </w:rPr>
        <w:t>Le pays ou territoire a-t-il mis en place des registres de bénéficiaires effectifs fiables et accessibles</w:t>
      </w:r>
      <w:r w:rsidR="007C67C5">
        <w:rPr>
          <w:rFonts w:ascii="Calibri" w:hAnsi="Calibri" w:cs="Calibri"/>
          <w:sz w:val="20"/>
          <w:szCs w:val="20"/>
        </w:rPr>
        <w:t xml:space="preserve"> </w:t>
      </w:r>
      <w:r w:rsidRPr="00991BBC">
        <w:rPr>
          <w:rFonts w:ascii="Calibri" w:hAnsi="Calibri" w:cs="Calibri"/>
          <w:sz w:val="20"/>
          <w:szCs w:val="20"/>
        </w:rPr>
        <w:t xml:space="preserve">? </w:t>
      </w:r>
    </w:p>
    <w:p w14:paraId="1BEEFA56" w14:textId="77777777" w:rsidR="007C67C5" w:rsidRDefault="007C67C5" w:rsidP="007C67C5">
      <w:pPr>
        <w:pStyle w:val="NormalWeb"/>
        <w:ind w:left="1211"/>
        <w:contextualSpacing/>
        <w:jc w:val="both"/>
        <w:rPr>
          <w:rFonts w:ascii="Calibri" w:hAnsi="Calibri" w:cs="Calibri"/>
          <w:sz w:val="20"/>
          <w:szCs w:val="20"/>
        </w:rPr>
      </w:pPr>
    </w:p>
    <w:p w14:paraId="0099150F" w14:textId="7A534FA9" w:rsidR="007C67C5" w:rsidRDefault="00991BBC" w:rsidP="003035AB">
      <w:pPr>
        <w:pStyle w:val="NormalWeb"/>
        <w:numPr>
          <w:ilvl w:val="2"/>
          <w:numId w:val="19"/>
        </w:numPr>
        <w:ind w:left="851"/>
        <w:contextualSpacing/>
        <w:jc w:val="both"/>
        <w:rPr>
          <w:rFonts w:ascii="Calibri" w:hAnsi="Calibri" w:cs="Calibri"/>
          <w:sz w:val="20"/>
          <w:szCs w:val="20"/>
        </w:rPr>
      </w:pPr>
      <w:r w:rsidRPr="00991BBC">
        <w:rPr>
          <w:rFonts w:ascii="Calibri" w:hAnsi="Calibri" w:cs="Calibri"/>
          <w:sz w:val="20"/>
          <w:szCs w:val="20"/>
        </w:rPr>
        <w:t xml:space="preserve">Les facteurs de risque que les </w:t>
      </w:r>
      <w:r w:rsidR="007C67C5">
        <w:rPr>
          <w:rFonts w:ascii="Calibri" w:hAnsi="Calibri" w:cs="Calibri"/>
          <w:sz w:val="20"/>
          <w:szCs w:val="20"/>
        </w:rPr>
        <w:t>assujettis doivent</w:t>
      </w:r>
      <w:r w:rsidRPr="00991BBC">
        <w:rPr>
          <w:rFonts w:ascii="Calibri" w:hAnsi="Calibri" w:cs="Calibri"/>
          <w:sz w:val="20"/>
          <w:szCs w:val="20"/>
        </w:rPr>
        <w:t xml:space="preserve"> prendre en considération lorsqu’ils identifient le risque associé au niveau d’infractions sous-jacentes au blanchiment de capitaux comprennent</w:t>
      </w:r>
      <w:r w:rsidR="007C67C5">
        <w:rPr>
          <w:rFonts w:ascii="Calibri" w:hAnsi="Calibri" w:cs="Calibri"/>
          <w:sz w:val="20"/>
          <w:szCs w:val="20"/>
        </w:rPr>
        <w:t xml:space="preserve"> </w:t>
      </w:r>
      <w:r w:rsidRPr="00991BBC">
        <w:rPr>
          <w:rFonts w:ascii="Calibri" w:hAnsi="Calibri" w:cs="Calibri"/>
          <w:sz w:val="20"/>
          <w:szCs w:val="20"/>
        </w:rPr>
        <w:t xml:space="preserve">: </w:t>
      </w:r>
    </w:p>
    <w:p w14:paraId="5061EF94" w14:textId="77777777" w:rsidR="007C67C5" w:rsidRDefault="007C67C5" w:rsidP="007C67C5">
      <w:pPr>
        <w:pStyle w:val="NormalWeb"/>
        <w:ind w:left="491"/>
        <w:contextualSpacing/>
        <w:jc w:val="both"/>
        <w:rPr>
          <w:rFonts w:ascii="Calibri" w:hAnsi="Calibri" w:cs="Calibri"/>
          <w:sz w:val="20"/>
          <w:szCs w:val="20"/>
        </w:rPr>
      </w:pPr>
    </w:p>
    <w:p w14:paraId="18A318C8" w14:textId="6FBF165D" w:rsidR="00991BBC" w:rsidRDefault="00991BBC" w:rsidP="003035AB">
      <w:pPr>
        <w:pStyle w:val="NormalWeb"/>
        <w:numPr>
          <w:ilvl w:val="0"/>
          <w:numId w:val="28"/>
        </w:numPr>
        <w:ind w:left="1276"/>
        <w:contextualSpacing/>
        <w:jc w:val="both"/>
        <w:rPr>
          <w:rFonts w:ascii="Calibri" w:hAnsi="Calibri" w:cs="Calibri"/>
          <w:sz w:val="20"/>
          <w:szCs w:val="20"/>
        </w:rPr>
      </w:pPr>
      <w:r w:rsidRPr="00991BBC">
        <w:rPr>
          <w:rFonts w:ascii="Calibri" w:hAnsi="Calibri" w:cs="Calibri"/>
          <w:sz w:val="20"/>
          <w:szCs w:val="20"/>
        </w:rPr>
        <w:t>Existe-t-il des informations provenant de sources crédibles et fiables concernant le niveau des infractions sous-jacentes au blanchiment de capitaux</w:t>
      </w:r>
      <w:r w:rsidR="007C67C5">
        <w:rPr>
          <w:rFonts w:ascii="Calibri" w:hAnsi="Calibri" w:cs="Calibri"/>
          <w:sz w:val="20"/>
          <w:szCs w:val="20"/>
        </w:rPr>
        <w:t xml:space="preserve">, </w:t>
      </w:r>
      <w:r w:rsidRPr="00991BBC">
        <w:rPr>
          <w:rFonts w:ascii="Calibri" w:hAnsi="Calibri" w:cs="Calibri"/>
          <w:sz w:val="20"/>
          <w:szCs w:val="20"/>
        </w:rPr>
        <w:t>telles que la corruption, la criminalité organisée, les infractions fiscales pénales ou la fraude grave</w:t>
      </w:r>
      <w:r w:rsidR="007C67C5">
        <w:rPr>
          <w:rFonts w:ascii="Calibri" w:hAnsi="Calibri" w:cs="Calibri"/>
          <w:sz w:val="20"/>
          <w:szCs w:val="20"/>
        </w:rPr>
        <w:t xml:space="preserve"> </w:t>
      </w:r>
      <w:r w:rsidRPr="00991BBC">
        <w:rPr>
          <w:rFonts w:ascii="Calibri" w:hAnsi="Calibri" w:cs="Calibri"/>
          <w:sz w:val="20"/>
          <w:szCs w:val="20"/>
        </w:rPr>
        <w:t>? On peut citer par exemple les indices de perception de la corruption, les rapports sur les pays de l’OCDE concernant la mise en œuvre de la convention de l’OCDE</w:t>
      </w:r>
      <w:r w:rsidR="007C67C5">
        <w:rPr>
          <w:rFonts w:ascii="Calibri" w:hAnsi="Calibri" w:cs="Calibri"/>
          <w:sz w:val="20"/>
          <w:szCs w:val="20"/>
        </w:rPr>
        <w:t xml:space="preserve"> contre la corruption, et le rapport de l’Office des Nations unies contre la drogue et le crime.</w:t>
      </w:r>
    </w:p>
    <w:p w14:paraId="0A889A6B" w14:textId="77777777" w:rsidR="007C67C5" w:rsidRDefault="007C67C5" w:rsidP="007C67C5">
      <w:pPr>
        <w:pStyle w:val="NormalWeb"/>
        <w:ind w:left="1276"/>
        <w:contextualSpacing/>
        <w:jc w:val="both"/>
        <w:rPr>
          <w:rFonts w:ascii="Calibri" w:hAnsi="Calibri" w:cs="Calibri"/>
          <w:sz w:val="20"/>
          <w:szCs w:val="20"/>
        </w:rPr>
      </w:pPr>
    </w:p>
    <w:p w14:paraId="0F77F000" w14:textId="6B2E12F0" w:rsidR="007C67C5" w:rsidRDefault="007C67C5" w:rsidP="003035AB">
      <w:pPr>
        <w:pStyle w:val="NormalWeb"/>
        <w:numPr>
          <w:ilvl w:val="0"/>
          <w:numId w:val="28"/>
        </w:numPr>
        <w:ind w:left="1276"/>
        <w:contextualSpacing/>
        <w:jc w:val="both"/>
        <w:rPr>
          <w:rFonts w:ascii="Calibri" w:hAnsi="Calibri" w:cs="Calibri"/>
          <w:sz w:val="20"/>
          <w:szCs w:val="20"/>
        </w:rPr>
      </w:pPr>
      <w:r w:rsidRPr="007C67C5">
        <w:rPr>
          <w:rFonts w:ascii="Calibri" w:hAnsi="Calibri" w:cs="Calibri"/>
          <w:sz w:val="20"/>
          <w:szCs w:val="20"/>
        </w:rPr>
        <w:t>Existe-t-il des informations provenant de plusieurs sources crédibles et fiables concernant la capacité du système judiciaire et d’enquête du pays ou territoire à rechercher et à poursuivre efficacement ces infractions</w:t>
      </w:r>
      <w:r>
        <w:rPr>
          <w:rFonts w:ascii="Calibri" w:hAnsi="Calibri" w:cs="Calibri"/>
          <w:sz w:val="20"/>
          <w:szCs w:val="20"/>
        </w:rPr>
        <w:t xml:space="preserve"> </w:t>
      </w:r>
      <w:r w:rsidRPr="007C67C5">
        <w:rPr>
          <w:rFonts w:ascii="Calibri" w:hAnsi="Calibri" w:cs="Calibri"/>
          <w:sz w:val="20"/>
          <w:szCs w:val="20"/>
        </w:rPr>
        <w:t>?</w:t>
      </w:r>
    </w:p>
    <w:p w14:paraId="125C70E6" w14:textId="77777777" w:rsidR="00EF5818" w:rsidRDefault="00EF5818" w:rsidP="00EF5818">
      <w:pPr>
        <w:pStyle w:val="NormalWeb"/>
        <w:contextualSpacing/>
        <w:jc w:val="both"/>
        <w:rPr>
          <w:rFonts w:ascii="Calibri" w:hAnsi="Calibri" w:cs="Calibri"/>
          <w:sz w:val="20"/>
          <w:szCs w:val="20"/>
        </w:rPr>
      </w:pPr>
    </w:p>
    <w:p w14:paraId="37EA3025" w14:textId="2E45C433" w:rsidR="00EF5818" w:rsidRDefault="00EF5818">
      <w:pPr>
        <w:rPr>
          <w:rFonts w:ascii="Calibri" w:hAnsi="Calibri" w:cs="Calibri"/>
          <w:sz w:val="20"/>
          <w:szCs w:val="20"/>
        </w:rPr>
      </w:pPr>
      <w:r>
        <w:rPr>
          <w:rFonts w:ascii="Calibri" w:hAnsi="Calibri" w:cs="Calibri"/>
          <w:sz w:val="20"/>
          <w:szCs w:val="20"/>
        </w:rPr>
        <w:br w:type="page"/>
      </w:r>
    </w:p>
    <w:p w14:paraId="0B20DB56" w14:textId="69BDCD3D" w:rsidR="00EF5818" w:rsidRPr="007C41AC" w:rsidRDefault="00EF5818" w:rsidP="00EF5818">
      <w:pPr>
        <w:pStyle w:val="NormalWeb"/>
        <w:jc w:val="center"/>
        <w:rPr>
          <w:rFonts w:ascii="Calibri" w:hAnsi="Calibri" w:cs="Calibri"/>
        </w:rPr>
      </w:pPr>
      <w:r w:rsidRPr="007C41AC">
        <w:rPr>
          <w:rFonts w:ascii="Calibri" w:hAnsi="Calibri" w:cs="Calibri"/>
        </w:rPr>
        <w:lastRenderedPageBreak/>
        <w:t>ANNEXE I</w:t>
      </w:r>
      <w:r>
        <w:rPr>
          <w:rFonts w:ascii="Calibri" w:hAnsi="Calibri" w:cs="Calibri"/>
        </w:rPr>
        <w:t xml:space="preserve">I </w:t>
      </w:r>
      <w:r w:rsidRPr="007C41AC">
        <w:rPr>
          <w:rFonts w:ascii="Calibri" w:hAnsi="Calibri" w:cs="Calibri"/>
        </w:rPr>
        <w:t>– FACTEUR</w:t>
      </w:r>
      <w:r w:rsidR="0070650C">
        <w:rPr>
          <w:rFonts w:ascii="Calibri" w:hAnsi="Calibri" w:cs="Calibri"/>
        </w:rPr>
        <w:t>S</w:t>
      </w:r>
      <w:r w:rsidRPr="007C41AC">
        <w:rPr>
          <w:rFonts w:ascii="Calibri" w:hAnsi="Calibri" w:cs="Calibri"/>
        </w:rPr>
        <w:t xml:space="preserve"> DE RISQUE</w:t>
      </w:r>
      <w:r w:rsidR="0070650C">
        <w:rPr>
          <w:rFonts w:ascii="Calibri" w:hAnsi="Calibri" w:cs="Calibri"/>
        </w:rPr>
        <w:t>S</w:t>
      </w:r>
      <w:r w:rsidRPr="007C41AC">
        <w:rPr>
          <w:rFonts w:ascii="Calibri" w:hAnsi="Calibri" w:cs="Calibri"/>
        </w:rPr>
        <w:t xml:space="preserve"> </w:t>
      </w:r>
      <w:r>
        <w:rPr>
          <w:rFonts w:ascii="Calibri" w:hAnsi="Calibri" w:cs="Calibri"/>
        </w:rPr>
        <w:t>LIES AUX PRODUITS, AUX SERVICES ET AUX TRANSACTIONS</w:t>
      </w:r>
    </w:p>
    <w:p w14:paraId="45849A50" w14:textId="77777777" w:rsidR="00EF5818" w:rsidRPr="00991BBC" w:rsidRDefault="00EF5818" w:rsidP="00EF5818">
      <w:pPr>
        <w:pStyle w:val="NormalWeb"/>
        <w:contextualSpacing/>
        <w:jc w:val="both"/>
        <w:rPr>
          <w:rFonts w:ascii="Calibri" w:hAnsi="Calibri" w:cs="Calibri"/>
          <w:sz w:val="20"/>
          <w:szCs w:val="20"/>
        </w:rPr>
      </w:pPr>
    </w:p>
    <w:p w14:paraId="62D52936" w14:textId="72BA70A8" w:rsidR="00EF5818" w:rsidRDefault="00EF5818" w:rsidP="003035AB">
      <w:pPr>
        <w:pStyle w:val="NormalWeb"/>
        <w:numPr>
          <w:ilvl w:val="0"/>
          <w:numId w:val="31"/>
        </w:numPr>
        <w:contextualSpacing/>
        <w:jc w:val="both"/>
        <w:rPr>
          <w:rFonts w:ascii="Calibri" w:hAnsi="Calibri" w:cs="Calibri"/>
          <w:sz w:val="20"/>
          <w:szCs w:val="20"/>
        </w:rPr>
      </w:pPr>
      <w:r w:rsidRPr="00EF5818">
        <w:rPr>
          <w:rFonts w:ascii="Calibri" w:hAnsi="Calibri" w:cs="Calibri"/>
          <w:sz w:val="20"/>
          <w:szCs w:val="20"/>
        </w:rPr>
        <w:t>Les facteurs de risque</w:t>
      </w:r>
      <w:r w:rsidR="0070650C">
        <w:rPr>
          <w:rFonts w:ascii="Calibri" w:hAnsi="Calibri" w:cs="Calibri"/>
          <w:sz w:val="20"/>
          <w:szCs w:val="20"/>
        </w:rPr>
        <w:t>s</w:t>
      </w:r>
      <w:r w:rsidRPr="00EF5818">
        <w:rPr>
          <w:rFonts w:ascii="Calibri" w:hAnsi="Calibri" w:cs="Calibri"/>
          <w:sz w:val="20"/>
          <w:szCs w:val="20"/>
        </w:rPr>
        <w:t xml:space="preserve"> que les </w:t>
      </w:r>
      <w:r>
        <w:rPr>
          <w:rFonts w:ascii="Calibri" w:hAnsi="Calibri" w:cs="Calibri"/>
          <w:sz w:val="20"/>
          <w:szCs w:val="20"/>
        </w:rPr>
        <w:t>assujettis</w:t>
      </w:r>
      <w:r w:rsidRPr="00EF5818">
        <w:rPr>
          <w:rFonts w:ascii="Calibri" w:hAnsi="Calibri" w:cs="Calibri"/>
          <w:sz w:val="20"/>
          <w:szCs w:val="20"/>
        </w:rPr>
        <w:t xml:space="preserve"> devraient prendre en considération lorsqu’ils identifient le risque associé à la transparence d’un produit, d’un service ou d’une transaction comprennent</w:t>
      </w:r>
      <w:r>
        <w:rPr>
          <w:rFonts w:ascii="Calibri" w:hAnsi="Calibri" w:cs="Calibri"/>
          <w:sz w:val="20"/>
          <w:szCs w:val="20"/>
        </w:rPr>
        <w:t xml:space="preserve"> </w:t>
      </w:r>
      <w:r w:rsidRPr="00EF5818">
        <w:rPr>
          <w:rFonts w:ascii="Calibri" w:hAnsi="Calibri" w:cs="Calibri"/>
          <w:sz w:val="20"/>
          <w:szCs w:val="20"/>
        </w:rPr>
        <w:t xml:space="preserve">: </w:t>
      </w:r>
    </w:p>
    <w:p w14:paraId="22777AC0" w14:textId="77777777" w:rsidR="00EF5818" w:rsidRDefault="00EF5818" w:rsidP="007C67C5">
      <w:pPr>
        <w:pStyle w:val="NormalWeb"/>
        <w:contextualSpacing/>
        <w:jc w:val="both"/>
        <w:rPr>
          <w:rFonts w:ascii="Calibri" w:hAnsi="Calibri" w:cs="Calibri"/>
          <w:sz w:val="20"/>
          <w:szCs w:val="20"/>
        </w:rPr>
      </w:pPr>
    </w:p>
    <w:p w14:paraId="6B455C02" w14:textId="77777777" w:rsidR="00EF5818" w:rsidRDefault="00EF5818" w:rsidP="003035AB">
      <w:pPr>
        <w:pStyle w:val="NormalWeb"/>
        <w:numPr>
          <w:ilvl w:val="1"/>
          <w:numId w:val="30"/>
        </w:numPr>
        <w:contextualSpacing/>
        <w:jc w:val="both"/>
        <w:rPr>
          <w:rFonts w:ascii="Calibri" w:hAnsi="Calibri" w:cs="Calibri"/>
          <w:sz w:val="20"/>
          <w:szCs w:val="20"/>
        </w:rPr>
      </w:pPr>
      <w:r w:rsidRPr="00EF5818">
        <w:rPr>
          <w:rFonts w:ascii="Calibri" w:hAnsi="Calibri" w:cs="Calibri"/>
          <w:sz w:val="20"/>
          <w:szCs w:val="20"/>
        </w:rPr>
        <w:t>Dans quelle mesure les produits ou services permettent-ils au client, au bénéficiaire effectif ou aux structures bénéficiaires de rester anonymes ou de masquer leur identité plus facilement</w:t>
      </w:r>
      <w:r>
        <w:rPr>
          <w:rFonts w:ascii="Calibri" w:hAnsi="Calibri" w:cs="Calibri"/>
          <w:sz w:val="20"/>
          <w:szCs w:val="20"/>
        </w:rPr>
        <w:t xml:space="preserve"> </w:t>
      </w:r>
      <w:r w:rsidRPr="00EF5818">
        <w:rPr>
          <w:rFonts w:ascii="Calibri" w:hAnsi="Calibri" w:cs="Calibri"/>
          <w:sz w:val="20"/>
          <w:szCs w:val="20"/>
        </w:rPr>
        <w:t xml:space="preserve">? </w:t>
      </w:r>
    </w:p>
    <w:p w14:paraId="77361C3E" w14:textId="77777777" w:rsidR="00EF5818" w:rsidRDefault="00EF5818" w:rsidP="00EF5818">
      <w:pPr>
        <w:pStyle w:val="NormalWeb"/>
        <w:ind w:left="1440"/>
        <w:contextualSpacing/>
        <w:jc w:val="both"/>
        <w:rPr>
          <w:rFonts w:ascii="Calibri" w:hAnsi="Calibri" w:cs="Calibri"/>
          <w:sz w:val="20"/>
          <w:szCs w:val="20"/>
        </w:rPr>
      </w:pPr>
    </w:p>
    <w:p w14:paraId="26CF90F1" w14:textId="77777777" w:rsidR="00EF5818" w:rsidRDefault="00EF5818" w:rsidP="00EF5818">
      <w:pPr>
        <w:pStyle w:val="NormalWeb"/>
        <w:ind w:left="1440"/>
        <w:contextualSpacing/>
        <w:jc w:val="both"/>
        <w:rPr>
          <w:rFonts w:ascii="Calibri" w:hAnsi="Calibri" w:cs="Calibri"/>
          <w:sz w:val="20"/>
          <w:szCs w:val="20"/>
        </w:rPr>
      </w:pPr>
      <w:r w:rsidRPr="00EF5818">
        <w:rPr>
          <w:rFonts w:ascii="Calibri" w:hAnsi="Calibri" w:cs="Calibri"/>
          <w:sz w:val="20"/>
          <w:szCs w:val="20"/>
        </w:rPr>
        <w:t xml:space="preserve">Ces produits et services comprennent notamment les actions au porteur, les placements fiduciaires, les véhicules offshore et certain(e)s fiducies/trusts, ainsi que les entités juridiques telles que les fondations, qui peuvent être structurées de façon à profiter de l’anonymat et permettent de conclure des transactions avec des sociétés écrans ou des sociétés dont le capital est détenu par des actionnaires apparents. </w:t>
      </w:r>
    </w:p>
    <w:p w14:paraId="64C6B0CB" w14:textId="77777777" w:rsidR="00EF5818" w:rsidRDefault="00EF5818" w:rsidP="00EF5818">
      <w:pPr>
        <w:pStyle w:val="NormalWeb"/>
        <w:ind w:left="1440"/>
        <w:contextualSpacing/>
        <w:jc w:val="both"/>
        <w:rPr>
          <w:rFonts w:ascii="Calibri" w:hAnsi="Calibri" w:cs="Calibri"/>
          <w:sz w:val="20"/>
          <w:szCs w:val="20"/>
        </w:rPr>
      </w:pPr>
    </w:p>
    <w:p w14:paraId="2903F80D" w14:textId="67B512FC" w:rsidR="00EF5818" w:rsidRDefault="00EF5818" w:rsidP="003035AB">
      <w:pPr>
        <w:pStyle w:val="NormalWeb"/>
        <w:numPr>
          <w:ilvl w:val="1"/>
          <w:numId w:val="30"/>
        </w:numPr>
        <w:contextualSpacing/>
        <w:jc w:val="both"/>
        <w:rPr>
          <w:rFonts w:ascii="Calibri" w:hAnsi="Calibri" w:cs="Calibri"/>
          <w:sz w:val="20"/>
          <w:szCs w:val="20"/>
        </w:rPr>
      </w:pPr>
      <w:r w:rsidRPr="00EF5818">
        <w:rPr>
          <w:rFonts w:ascii="Calibri" w:hAnsi="Calibri" w:cs="Calibri"/>
          <w:sz w:val="20"/>
          <w:szCs w:val="20"/>
        </w:rPr>
        <w:t>Dans quelle mesure est-il possible pour un tiers ne faisant pas partie de la relation d’affaires de donner des instructions, par exemple dans le cas de certaines relations bancaires de correspondant</w:t>
      </w:r>
      <w:r>
        <w:rPr>
          <w:rFonts w:ascii="Calibri" w:hAnsi="Calibri" w:cs="Calibri"/>
          <w:sz w:val="20"/>
          <w:szCs w:val="20"/>
        </w:rPr>
        <w:t xml:space="preserve"> </w:t>
      </w:r>
      <w:r w:rsidRPr="00EF5818">
        <w:rPr>
          <w:rFonts w:ascii="Calibri" w:hAnsi="Calibri" w:cs="Calibri"/>
          <w:sz w:val="20"/>
          <w:szCs w:val="20"/>
        </w:rPr>
        <w:t>?</w:t>
      </w:r>
    </w:p>
    <w:p w14:paraId="0B0C08AA" w14:textId="77777777" w:rsidR="00EF5818" w:rsidRDefault="00EF5818" w:rsidP="00EF5818">
      <w:pPr>
        <w:pStyle w:val="NormalWeb"/>
        <w:ind w:left="1440"/>
        <w:contextualSpacing/>
        <w:jc w:val="both"/>
        <w:rPr>
          <w:rFonts w:ascii="Calibri" w:hAnsi="Calibri" w:cs="Calibri"/>
          <w:sz w:val="20"/>
          <w:szCs w:val="20"/>
        </w:rPr>
      </w:pPr>
    </w:p>
    <w:p w14:paraId="7880D604" w14:textId="07B4C557" w:rsidR="00EF5818" w:rsidRDefault="00EF5818" w:rsidP="003035AB">
      <w:pPr>
        <w:pStyle w:val="NormalWeb"/>
        <w:numPr>
          <w:ilvl w:val="0"/>
          <w:numId w:val="31"/>
        </w:numPr>
        <w:contextualSpacing/>
        <w:jc w:val="both"/>
        <w:rPr>
          <w:rFonts w:ascii="Calibri" w:hAnsi="Calibri" w:cs="Calibri"/>
          <w:sz w:val="20"/>
          <w:szCs w:val="20"/>
        </w:rPr>
      </w:pPr>
      <w:r w:rsidRPr="00EF5818">
        <w:rPr>
          <w:rFonts w:ascii="Calibri" w:hAnsi="Calibri" w:cs="Calibri"/>
          <w:sz w:val="20"/>
          <w:szCs w:val="20"/>
        </w:rPr>
        <w:t xml:space="preserve">Les facteurs de risque que les </w:t>
      </w:r>
      <w:r>
        <w:rPr>
          <w:rFonts w:ascii="Calibri" w:hAnsi="Calibri" w:cs="Calibri"/>
          <w:sz w:val="20"/>
          <w:szCs w:val="20"/>
        </w:rPr>
        <w:t>assujettis</w:t>
      </w:r>
      <w:r w:rsidRPr="00EF5818">
        <w:rPr>
          <w:rFonts w:ascii="Calibri" w:hAnsi="Calibri" w:cs="Calibri"/>
          <w:sz w:val="20"/>
          <w:szCs w:val="20"/>
        </w:rPr>
        <w:t xml:space="preserve"> devraient prendre en considération lorsqu’ils identifient le risque associé à la complexité d’un produit, d’un service ou d’une transaction comprennent</w:t>
      </w:r>
      <w:r>
        <w:rPr>
          <w:rFonts w:ascii="Calibri" w:hAnsi="Calibri" w:cs="Calibri"/>
          <w:sz w:val="20"/>
          <w:szCs w:val="20"/>
        </w:rPr>
        <w:t xml:space="preserve"> </w:t>
      </w:r>
      <w:r w:rsidRPr="00EF5818">
        <w:rPr>
          <w:rFonts w:ascii="Calibri" w:hAnsi="Calibri" w:cs="Calibri"/>
          <w:sz w:val="20"/>
          <w:szCs w:val="20"/>
        </w:rPr>
        <w:t xml:space="preserve">: </w:t>
      </w:r>
    </w:p>
    <w:p w14:paraId="585D2080" w14:textId="77777777" w:rsidR="00EF5818" w:rsidRDefault="00EF5818" w:rsidP="00EF5818">
      <w:pPr>
        <w:pStyle w:val="NormalWeb"/>
        <w:ind w:left="720"/>
        <w:contextualSpacing/>
        <w:jc w:val="both"/>
        <w:rPr>
          <w:rFonts w:ascii="Calibri" w:hAnsi="Calibri" w:cs="Calibri"/>
          <w:sz w:val="20"/>
          <w:szCs w:val="20"/>
        </w:rPr>
      </w:pPr>
    </w:p>
    <w:p w14:paraId="07C1D252" w14:textId="68321A78" w:rsidR="00EF5818" w:rsidRDefault="00EF5818" w:rsidP="003035AB">
      <w:pPr>
        <w:pStyle w:val="NormalWeb"/>
        <w:numPr>
          <w:ilvl w:val="0"/>
          <w:numId w:val="32"/>
        </w:numPr>
        <w:contextualSpacing/>
        <w:jc w:val="both"/>
        <w:rPr>
          <w:rFonts w:ascii="Calibri" w:hAnsi="Calibri" w:cs="Calibri"/>
          <w:sz w:val="20"/>
          <w:szCs w:val="20"/>
        </w:rPr>
      </w:pPr>
      <w:r w:rsidRPr="00EF5818">
        <w:rPr>
          <w:rFonts w:ascii="Calibri" w:hAnsi="Calibri" w:cs="Calibri"/>
          <w:sz w:val="20"/>
          <w:szCs w:val="20"/>
        </w:rPr>
        <w:t>Quelle est la complexité de la transaction et concerne-t-elle plusieurs parties ou plusieurs pays ou territoires, par exemple dans le cas de certaines opérations de crédits commerciaux</w:t>
      </w:r>
      <w:r>
        <w:rPr>
          <w:rFonts w:ascii="Calibri" w:hAnsi="Calibri" w:cs="Calibri"/>
          <w:sz w:val="20"/>
          <w:szCs w:val="20"/>
        </w:rPr>
        <w:t xml:space="preserve"> </w:t>
      </w:r>
      <w:r w:rsidRPr="00EF5818">
        <w:rPr>
          <w:rFonts w:ascii="Calibri" w:hAnsi="Calibri" w:cs="Calibri"/>
          <w:sz w:val="20"/>
          <w:szCs w:val="20"/>
        </w:rPr>
        <w:t>? Les transactions sont-elles simples, par exemple des versements réguliers sont-ils effectués sur un fonds de pension</w:t>
      </w:r>
      <w:r>
        <w:rPr>
          <w:rFonts w:ascii="Calibri" w:hAnsi="Calibri" w:cs="Calibri"/>
          <w:sz w:val="20"/>
          <w:szCs w:val="20"/>
        </w:rPr>
        <w:t xml:space="preserve"> </w:t>
      </w:r>
      <w:r w:rsidRPr="00EF5818">
        <w:rPr>
          <w:rFonts w:ascii="Calibri" w:hAnsi="Calibri" w:cs="Calibri"/>
          <w:sz w:val="20"/>
          <w:szCs w:val="20"/>
        </w:rPr>
        <w:t>?</w:t>
      </w:r>
    </w:p>
    <w:p w14:paraId="07411E3F" w14:textId="77777777" w:rsidR="00EF5818" w:rsidRDefault="00EF5818" w:rsidP="00EF5818">
      <w:pPr>
        <w:pStyle w:val="NormalWeb"/>
        <w:ind w:left="720"/>
        <w:contextualSpacing/>
        <w:jc w:val="both"/>
        <w:rPr>
          <w:rFonts w:ascii="Calibri" w:hAnsi="Calibri" w:cs="Calibri"/>
          <w:sz w:val="20"/>
          <w:szCs w:val="20"/>
        </w:rPr>
      </w:pPr>
    </w:p>
    <w:p w14:paraId="5D63ABFC" w14:textId="13088B70" w:rsidR="00EF5818" w:rsidRDefault="00EF5818" w:rsidP="003035AB">
      <w:pPr>
        <w:pStyle w:val="NormalWeb"/>
        <w:numPr>
          <w:ilvl w:val="0"/>
          <w:numId w:val="32"/>
        </w:numPr>
        <w:contextualSpacing/>
        <w:jc w:val="both"/>
        <w:rPr>
          <w:rFonts w:ascii="Calibri" w:hAnsi="Calibri" w:cs="Calibri"/>
          <w:sz w:val="20"/>
          <w:szCs w:val="20"/>
        </w:rPr>
      </w:pPr>
      <w:r w:rsidRPr="00EF5818">
        <w:rPr>
          <w:rFonts w:ascii="Calibri" w:hAnsi="Calibri" w:cs="Calibri"/>
          <w:sz w:val="20"/>
          <w:szCs w:val="20"/>
        </w:rPr>
        <w:t>Dans quelle mesure les produits ou services permettent-ils les paiements de tiers ou acceptent-ils les paiements excédentaires lorsque cela n’est pas ou ne serait pas normalement prévu</w:t>
      </w:r>
      <w:r>
        <w:rPr>
          <w:rFonts w:ascii="Calibri" w:hAnsi="Calibri" w:cs="Calibri"/>
          <w:sz w:val="20"/>
          <w:szCs w:val="20"/>
        </w:rPr>
        <w:t xml:space="preserve"> </w:t>
      </w:r>
      <w:r w:rsidRPr="00EF5818">
        <w:rPr>
          <w:rFonts w:ascii="Calibri" w:hAnsi="Calibri" w:cs="Calibri"/>
          <w:sz w:val="20"/>
          <w:szCs w:val="20"/>
        </w:rPr>
        <w:t>? Lorsque des paiements de tiers sont prévus, l’établissement connaît-il l’identité du tiers, par exemple s’agit-il d’une autorité chargée du paiement d’allocations publiques ou d’un garant</w:t>
      </w:r>
      <w:r>
        <w:rPr>
          <w:rFonts w:ascii="Calibri" w:hAnsi="Calibri" w:cs="Calibri"/>
          <w:sz w:val="20"/>
          <w:szCs w:val="20"/>
        </w:rPr>
        <w:t xml:space="preserve"> </w:t>
      </w:r>
      <w:r w:rsidRPr="00EF5818">
        <w:rPr>
          <w:rFonts w:ascii="Calibri" w:hAnsi="Calibri" w:cs="Calibri"/>
          <w:sz w:val="20"/>
          <w:szCs w:val="20"/>
        </w:rPr>
        <w:t>? Ou bien les produits et services sont-ils financés exclusivement par des transferts de fonds provenant du compte propre du client auprès d’un autre établissement financier soumis à des normes et à une surveillance en matière de lutte contre le BC/FT qui sont comparables à celles</w:t>
      </w:r>
      <w:r w:rsidR="009D0597">
        <w:rPr>
          <w:rFonts w:ascii="Calibri" w:hAnsi="Calibri" w:cs="Calibri"/>
          <w:sz w:val="20"/>
          <w:szCs w:val="20"/>
        </w:rPr>
        <w:t xml:space="preserve"> applicables en zone CEMAC.</w:t>
      </w:r>
      <w:r w:rsidRPr="00EF5818">
        <w:rPr>
          <w:rFonts w:ascii="Calibri" w:hAnsi="Calibri" w:cs="Calibri"/>
          <w:sz w:val="20"/>
          <w:szCs w:val="20"/>
        </w:rPr>
        <w:t xml:space="preserve"> </w:t>
      </w:r>
    </w:p>
    <w:p w14:paraId="7E8F006F" w14:textId="77777777" w:rsidR="00EF5818" w:rsidRDefault="00EF5818" w:rsidP="00EF5818">
      <w:pPr>
        <w:pStyle w:val="NormalWeb"/>
        <w:ind w:left="720"/>
        <w:contextualSpacing/>
        <w:jc w:val="both"/>
        <w:rPr>
          <w:rFonts w:ascii="Calibri" w:hAnsi="Calibri" w:cs="Calibri"/>
          <w:sz w:val="20"/>
          <w:szCs w:val="20"/>
        </w:rPr>
      </w:pPr>
    </w:p>
    <w:p w14:paraId="6C482206" w14:textId="76896E5A" w:rsidR="00EF5818" w:rsidRDefault="00EF5818" w:rsidP="003035AB">
      <w:pPr>
        <w:pStyle w:val="NormalWeb"/>
        <w:numPr>
          <w:ilvl w:val="0"/>
          <w:numId w:val="32"/>
        </w:numPr>
        <w:contextualSpacing/>
        <w:jc w:val="both"/>
        <w:rPr>
          <w:rFonts w:ascii="Calibri" w:hAnsi="Calibri" w:cs="Calibri"/>
          <w:sz w:val="20"/>
          <w:szCs w:val="20"/>
        </w:rPr>
      </w:pPr>
      <w:r w:rsidRPr="00EF5818">
        <w:rPr>
          <w:rFonts w:ascii="Calibri" w:hAnsi="Calibri" w:cs="Calibri"/>
          <w:sz w:val="20"/>
          <w:szCs w:val="20"/>
        </w:rPr>
        <w:t>L’</w:t>
      </w:r>
      <w:r>
        <w:rPr>
          <w:rFonts w:ascii="Calibri" w:hAnsi="Calibri" w:cs="Calibri"/>
          <w:sz w:val="20"/>
          <w:szCs w:val="20"/>
        </w:rPr>
        <w:t xml:space="preserve">assujetti </w:t>
      </w:r>
      <w:r w:rsidRPr="00EF5818">
        <w:rPr>
          <w:rFonts w:ascii="Calibri" w:hAnsi="Calibri" w:cs="Calibri"/>
          <w:sz w:val="20"/>
          <w:szCs w:val="20"/>
        </w:rPr>
        <w:t>comprend-il les risques associés à son produit ou service nouveau ou innovant, en particulier lorsque cela implique le recours à des technologies ou à des méthodes de paiement nouvelles</w:t>
      </w:r>
      <w:r w:rsidR="0065326B">
        <w:rPr>
          <w:rFonts w:ascii="Calibri" w:hAnsi="Calibri" w:cs="Calibri"/>
          <w:sz w:val="20"/>
          <w:szCs w:val="20"/>
        </w:rPr>
        <w:t xml:space="preserve"> </w:t>
      </w:r>
      <w:r w:rsidRPr="00EF5818">
        <w:rPr>
          <w:rFonts w:ascii="Calibri" w:hAnsi="Calibri" w:cs="Calibri"/>
          <w:sz w:val="20"/>
          <w:szCs w:val="20"/>
        </w:rPr>
        <w:t xml:space="preserve">? </w:t>
      </w:r>
    </w:p>
    <w:p w14:paraId="1FD2A656" w14:textId="77777777" w:rsidR="00EF5818" w:rsidRDefault="00EF5818" w:rsidP="00EF5818">
      <w:pPr>
        <w:pStyle w:val="NormalWeb"/>
        <w:ind w:left="360"/>
        <w:contextualSpacing/>
        <w:jc w:val="both"/>
        <w:rPr>
          <w:rFonts w:ascii="Calibri" w:hAnsi="Calibri" w:cs="Calibri"/>
          <w:sz w:val="20"/>
          <w:szCs w:val="20"/>
        </w:rPr>
      </w:pPr>
    </w:p>
    <w:p w14:paraId="3398F7FD" w14:textId="41453A9E" w:rsidR="00EF5818" w:rsidRDefault="00EF5818" w:rsidP="003035AB">
      <w:pPr>
        <w:pStyle w:val="NormalWeb"/>
        <w:numPr>
          <w:ilvl w:val="0"/>
          <w:numId w:val="31"/>
        </w:numPr>
        <w:contextualSpacing/>
        <w:jc w:val="both"/>
        <w:rPr>
          <w:rFonts w:ascii="Calibri" w:hAnsi="Calibri" w:cs="Calibri"/>
          <w:sz w:val="20"/>
          <w:szCs w:val="20"/>
        </w:rPr>
      </w:pPr>
      <w:r w:rsidRPr="00EF5818">
        <w:rPr>
          <w:rFonts w:ascii="Calibri" w:hAnsi="Calibri" w:cs="Calibri"/>
          <w:sz w:val="20"/>
          <w:szCs w:val="20"/>
        </w:rPr>
        <w:t>Les facteurs de risque que les établissements devraient prendre en considération lorsqu’ils identifient le risque associé à la valeur ou à la taille d’un produit, d’un service ou d’une transaction comprennent</w:t>
      </w:r>
      <w:r>
        <w:rPr>
          <w:rFonts w:ascii="Calibri" w:hAnsi="Calibri" w:cs="Calibri"/>
          <w:sz w:val="20"/>
          <w:szCs w:val="20"/>
        </w:rPr>
        <w:t xml:space="preserve"> </w:t>
      </w:r>
      <w:r w:rsidRPr="00EF5818">
        <w:rPr>
          <w:rFonts w:ascii="Calibri" w:hAnsi="Calibri" w:cs="Calibri"/>
          <w:sz w:val="20"/>
          <w:szCs w:val="20"/>
        </w:rPr>
        <w:t xml:space="preserve">: </w:t>
      </w:r>
    </w:p>
    <w:p w14:paraId="392E0DAF" w14:textId="77777777" w:rsidR="00EF5818" w:rsidRDefault="00EF5818" w:rsidP="00EF5818">
      <w:pPr>
        <w:pStyle w:val="NormalWeb"/>
        <w:contextualSpacing/>
        <w:jc w:val="both"/>
        <w:rPr>
          <w:rFonts w:ascii="Calibri" w:hAnsi="Calibri" w:cs="Calibri"/>
          <w:sz w:val="20"/>
          <w:szCs w:val="20"/>
        </w:rPr>
      </w:pPr>
    </w:p>
    <w:p w14:paraId="623B1B04" w14:textId="6AA8B04F" w:rsidR="0065326B" w:rsidRDefault="00EF5818" w:rsidP="003035AB">
      <w:pPr>
        <w:pStyle w:val="NormalWeb"/>
        <w:numPr>
          <w:ilvl w:val="0"/>
          <w:numId w:val="33"/>
        </w:numPr>
        <w:ind w:left="709"/>
        <w:contextualSpacing/>
        <w:jc w:val="both"/>
        <w:rPr>
          <w:rFonts w:ascii="Calibri" w:hAnsi="Calibri" w:cs="Calibri"/>
          <w:sz w:val="20"/>
          <w:szCs w:val="20"/>
        </w:rPr>
      </w:pPr>
      <w:r w:rsidRPr="00EF5818">
        <w:rPr>
          <w:rFonts w:ascii="Calibri" w:hAnsi="Calibri" w:cs="Calibri"/>
          <w:sz w:val="20"/>
          <w:szCs w:val="20"/>
        </w:rPr>
        <w:t>Dans quelle mesure les produits ou services nécessitent-ils beaucoup d’espèces, à l’instar de nombreux services de paiement mais aussi de certains comptes courants</w:t>
      </w:r>
      <w:r w:rsidR="0065326B">
        <w:rPr>
          <w:rFonts w:ascii="Calibri" w:hAnsi="Calibri" w:cs="Calibri"/>
          <w:sz w:val="20"/>
          <w:szCs w:val="20"/>
        </w:rPr>
        <w:t xml:space="preserve"> </w:t>
      </w:r>
      <w:r w:rsidRPr="00EF5818">
        <w:rPr>
          <w:rFonts w:ascii="Calibri" w:hAnsi="Calibri" w:cs="Calibri"/>
          <w:sz w:val="20"/>
          <w:szCs w:val="20"/>
        </w:rPr>
        <w:t xml:space="preserve">? </w:t>
      </w:r>
    </w:p>
    <w:p w14:paraId="56EB22D7" w14:textId="77777777" w:rsidR="0065326B" w:rsidRDefault="0065326B" w:rsidP="0065326B">
      <w:pPr>
        <w:pStyle w:val="NormalWeb"/>
        <w:ind w:left="709"/>
        <w:contextualSpacing/>
        <w:jc w:val="both"/>
        <w:rPr>
          <w:rFonts w:ascii="Calibri" w:hAnsi="Calibri" w:cs="Calibri"/>
          <w:sz w:val="20"/>
          <w:szCs w:val="20"/>
        </w:rPr>
      </w:pPr>
    </w:p>
    <w:p w14:paraId="70853340" w14:textId="247FBE17" w:rsidR="00EF5818" w:rsidRPr="00EF5818" w:rsidRDefault="00EF5818" w:rsidP="003035AB">
      <w:pPr>
        <w:pStyle w:val="NormalWeb"/>
        <w:numPr>
          <w:ilvl w:val="0"/>
          <w:numId w:val="33"/>
        </w:numPr>
        <w:ind w:left="709"/>
        <w:contextualSpacing/>
        <w:jc w:val="both"/>
        <w:rPr>
          <w:rFonts w:ascii="Calibri" w:hAnsi="Calibri" w:cs="Calibri"/>
          <w:sz w:val="20"/>
          <w:szCs w:val="20"/>
        </w:rPr>
      </w:pPr>
      <w:r w:rsidRPr="00EF5818">
        <w:rPr>
          <w:rFonts w:ascii="Calibri" w:hAnsi="Calibri" w:cs="Calibri"/>
          <w:sz w:val="20"/>
          <w:szCs w:val="20"/>
        </w:rPr>
        <w:t>Dans quelle mesure les produits ou services facilitent-ils ou favorisent-ils des transactions d’un montant élevé</w:t>
      </w:r>
      <w:r w:rsidR="0065326B">
        <w:rPr>
          <w:rFonts w:ascii="Calibri" w:hAnsi="Calibri" w:cs="Calibri"/>
          <w:sz w:val="20"/>
          <w:szCs w:val="20"/>
        </w:rPr>
        <w:t xml:space="preserve"> </w:t>
      </w:r>
      <w:r w:rsidRPr="00EF5818">
        <w:rPr>
          <w:rFonts w:ascii="Calibri" w:hAnsi="Calibri" w:cs="Calibri"/>
          <w:sz w:val="20"/>
          <w:szCs w:val="20"/>
        </w:rPr>
        <w:t xml:space="preserve">? Existe-t-il des plafonds aux valeurs de transaction ou aux niveaux de prime qui pourraient limiter l’utilisation du produit ou du service à des fins de </w:t>
      </w:r>
      <w:r w:rsidR="0065326B">
        <w:rPr>
          <w:rFonts w:ascii="Calibri" w:hAnsi="Calibri" w:cs="Calibri"/>
          <w:sz w:val="20"/>
          <w:szCs w:val="20"/>
        </w:rPr>
        <w:t xml:space="preserve">blanchiment </w:t>
      </w:r>
      <w:r w:rsidR="004C16EE">
        <w:rPr>
          <w:rFonts w:ascii="Calibri" w:hAnsi="Calibri" w:cs="Calibri"/>
          <w:sz w:val="20"/>
          <w:szCs w:val="20"/>
        </w:rPr>
        <w:t xml:space="preserve">de capitaux </w:t>
      </w:r>
      <w:r w:rsidR="0065326B">
        <w:rPr>
          <w:rFonts w:ascii="Calibri" w:hAnsi="Calibri" w:cs="Calibri"/>
          <w:sz w:val="20"/>
          <w:szCs w:val="20"/>
        </w:rPr>
        <w:t xml:space="preserve">et financement du terrorisme </w:t>
      </w:r>
      <w:r w:rsidRPr="00EF5818">
        <w:rPr>
          <w:rFonts w:ascii="Calibri" w:hAnsi="Calibri" w:cs="Calibri"/>
          <w:sz w:val="20"/>
          <w:szCs w:val="20"/>
        </w:rPr>
        <w:t>?</w:t>
      </w:r>
    </w:p>
    <w:p w14:paraId="1DE48E2F" w14:textId="77777777" w:rsidR="00EF5818" w:rsidRDefault="00EF5818" w:rsidP="00EF5818">
      <w:pPr>
        <w:pStyle w:val="NormalWeb"/>
        <w:contextualSpacing/>
        <w:jc w:val="both"/>
        <w:rPr>
          <w:rFonts w:ascii="Calibri" w:hAnsi="Calibri" w:cs="Calibri"/>
          <w:sz w:val="20"/>
          <w:szCs w:val="20"/>
        </w:rPr>
      </w:pPr>
    </w:p>
    <w:p w14:paraId="06781AA6" w14:textId="5A010A64" w:rsidR="0065326B" w:rsidRDefault="0065326B">
      <w:pPr>
        <w:rPr>
          <w:rFonts w:ascii="Calibri" w:hAnsi="Calibri" w:cs="Calibri"/>
          <w:sz w:val="20"/>
          <w:szCs w:val="20"/>
        </w:rPr>
      </w:pPr>
      <w:r>
        <w:rPr>
          <w:rFonts w:ascii="Calibri" w:hAnsi="Calibri" w:cs="Calibri"/>
          <w:sz w:val="20"/>
          <w:szCs w:val="20"/>
        </w:rPr>
        <w:br w:type="page"/>
      </w:r>
    </w:p>
    <w:p w14:paraId="7EE1305A" w14:textId="21483EDF" w:rsidR="0065326B" w:rsidRPr="007C41AC" w:rsidRDefault="0065326B" w:rsidP="0065326B">
      <w:pPr>
        <w:pStyle w:val="NormalWeb"/>
        <w:jc w:val="center"/>
        <w:rPr>
          <w:rFonts w:ascii="Calibri" w:hAnsi="Calibri" w:cs="Calibri"/>
        </w:rPr>
      </w:pPr>
      <w:r w:rsidRPr="007C41AC">
        <w:rPr>
          <w:rFonts w:ascii="Calibri" w:hAnsi="Calibri" w:cs="Calibri"/>
        </w:rPr>
        <w:lastRenderedPageBreak/>
        <w:t>ANNEXE I</w:t>
      </w:r>
      <w:r>
        <w:rPr>
          <w:rFonts w:ascii="Calibri" w:hAnsi="Calibri" w:cs="Calibri"/>
        </w:rPr>
        <w:t xml:space="preserve">II </w:t>
      </w:r>
      <w:r w:rsidRPr="007C41AC">
        <w:rPr>
          <w:rFonts w:ascii="Calibri" w:hAnsi="Calibri" w:cs="Calibri"/>
        </w:rPr>
        <w:t>– FACTEUR</w:t>
      </w:r>
      <w:r w:rsidR="0070650C">
        <w:rPr>
          <w:rFonts w:ascii="Calibri" w:hAnsi="Calibri" w:cs="Calibri"/>
        </w:rPr>
        <w:t>S</w:t>
      </w:r>
      <w:r w:rsidRPr="007C41AC">
        <w:rPr>
          <w:rFonts w:ascii="Calibri" w:hAnsi="Calibri" w:cs="Calibri"/>
        </w:rPr>
        <w:t xml:space="preserve"> DE RISQUE</w:t>
      </w:r>
      <w:r w:rsidR="0070650C">
        <w:rPr>
          <w:rFonts w:ascii="Calibri" w:hAnsi="Calibri" w:cs="Calibri"/>
        </w:rPr>
        <w:t>S</w:t>
      </w:r>
      <w:r w:rsidRPr="007C41AC">
        <w:rPr>
          <w:rFonts w:ascii="Calibri" w:hAnsi="Calibri" w:cs="Calibri"/>
        </w:rPr>
        <w:t xml:space="preserve"> </w:t>
      </w:r>
      <w:r>
        <w:rPr>
          <w:rFonts w:ascii="Calibri" w:hAnsi="Calibri" w:cs="Calibri"/>
        </w:rPr>
        <w:t>LIES AUX CANAUX DE DISTRIBUTION</w:t>
      </w:r>
    </w:p>
    <w:p w14:paraId="2008F97D" w14:textId="77777777" w:rsidR="0065326B" w:rsidRPr="00991BBC" w:rsidRDefault="0065326B" w:rsidP="0065326B">
      <w:pPr>
        <w:pStyle w:val="NormalWeb"/>
        <w:contextualSpacing/>
        <w:jc w:val="both"/>
        <w:rPr>
          <w:rFonts w:ascii="Calibri" w:hAnsi="Calibri" w:cs="Calibri"/>
          <w:sz w:val="20"/>
          <w:szCs w:val="20"/>
        </w:rPr>
      </w:pPr>
    </w:p>
    <w:p w14:paraId="74F8910A" w14:textId="5F48EFE2" w:rsidR="00EF5818" w:rsidRDefault="007516FB" w:rsidP="0065326B">
      <w:pPr>
        <w:pStyle w:val="NormalWeb"/>
        <w:contextualSpacing/>
        <w:jc w:val="both"/>
        <w:rPr>
          <w:rFonts w:ascii="Calibri" w:hAnsi="Calibri" w:cs="Calibri"/>
          <w:sz w:val="20"/>
          <w:szCs w:val="20"/>
        </w:rPr>
      </w:pPr>
      <w:r>
        <w:rPr>
          <w:rFonts w:ascii="Calibri" w:hAnsi="Calibri" w:cs="Calibri"/>
          <w:sz w:val="20"/>
          <w:szCs w:val="20"/>
        </w:rPr>
        <w:t xml:space="preserve">Lorsqu’ils évaluent le risque associé à la façon dont le client obtient les produits ou services, les assujettis prennent en compte les facteurs suivant : </w:t>
      </w:r>
    </w:p>
    <w:p w14:paraId="6526A46B" w14:textId="77777777" w:rsidR="007516FB" w:rsidRDefault="007516FB" w:rsidP="0065326B">
      <w:pPr>
        <w:pStyle w:val="NormalWeb"/>
        <w:contextualSpacing/>
        <w:jc w:val="both"/>
        <w:rPr>
          <w:rFonts w:ascii="Calibri" w:hAnsi="Calibri" w:cs="Calibri"/>
          <w:sz w:val="20"/>
          <w:szCs w:val="20"/>
        </w:rPr>
      </w:pPr>
    </w:p>
    <w:p w14:paraId="0EA53E62" w14:textId="208C357F" w:rsidR="007516FB" w:rsidRDefault="007516FB" w:rsidP="003035AB">
      <w:pPr>
        <w:pStyle w:val="NormalWeb"/>
        <w:numPr>
          <w:ilvl w:val="0"/>
          <w:numId w:val="35"/>
        </w:numPr>
        <w:contextualSpacing/>
        <w:jc w:val="both"/>
        <w:rPr>
          <w:rFonts w:ascii="Calibri" w:hAnsi="Calibri" w:cs="Calibri"/>
          <w:sz w:val="20"/>
          <w:szCs w:val="20"/>
        </w:rPr>
      </w:pPr>
      <w:r w:rsidRPr="007516FB">
        <w:rPr>
          <w:rFonts w:ascii="Calibri" w:hAnsi="Calibri" w:cs="Calibri"/>
          <w:sz w:val="20"/>
          <w:szCs w:val="20"/>
        </w:rPr>
        <w:t>Le client est-il présent physiquement à des fins d’identification</w:t>
      </w:r>
      <w:r>
        <w:rPr>
          <w:rFonts w:ascii="Calibri" w:hAnsi="Calibri" w:cs="Calibri"/>
          <w:sz w:val="20"/>
          <w:szCs w:val="20"/>
        </w:rPr>
        <w:t xml:space="preserve"> </w:t>
      </w:r>
      <w:r w:rsidRPr="007516FB">
        <w:rPr>
          <w:rFonts w:ascii="Calibri" w:hAnsi="Calibri" w:cs="Calibri"/>
          <w:sz w:val="20"/>
          <w:szCs w:val="20"/>
        </w:rPr>
        <w:t>? Si le client n’est pas présent physiquement, l’établissement</w:t>
      </w:r>
      <w:r>
        <w:rPr>
          <w:rFonts w:ascii="Calibri" w:hAnsi="Calibri" w:cs="Calibri"/>
          <w:sz w:val="20"/>
          <w:szCs w:val="20"/>
        </w:rPr>
        <w:t> :</w:t>
      </w:r>
    </w:p>
    <w:p w14:paraId="3602EB3C" w14:textId="77777777" w:rsidR="007516FB" w:rsidRDefault="007516FB" w:rsidP="0065326B">
      <w:pPr>
        <w:pStyle w:val="NormalWeb"/>
        <w:contextualSpacing/>
        <w:jc w:val="both"/>
        <w:rPr>
          <w:rFonts w:ascii="Calibri" w:hAnsi="Calibri" w:cs="Calibri"/>
          <w:sz w:val="20"/>
          <w:szCs w:val="20"/>
        </w:rPr>
      </w:pPr>
    </w:p>
    <w:p w14:paraId="368EBA97" w14:textId="77777777" w:rsidR="007516FB" w:rsidRDefault="007516FB" w:rsidP="003035AB">
      <w:pPr>
        <w:pStyle w:val="NormalWeb"/>
        <w:numPr>
          <w:ilvl w:val="0"/>
          <w:numId w:val="36"/>
        </w:numPr>
        <w:ind w:left="1276"/>
        <w:contextualSpacing/>
        <w:jc w:val="both"/>
        <w:rPr>
          <w:rFonts w:ascii="Calibri" w:hAnsi="Calibri" w:cs="Calibri"/>
          <w:sz w:val="20"/>
          <w:szCs w:val="20"/>
        </w:rPr>
      </w:pPr>
      <w:r w:rsidRPr="007516FB">
        <w:rPr>
          <w:rFonts w:ascii="Calibri" w:hAnsi="Calibri" w:cs="Calibri"/>
          <w:sz w:val="20"/>
          <w:szCs w:val="20"/>
        </w:rPr>
        <w:t>a-t-il eu recours à une forme fiable de mesures de vigilance à l’égard de la clientèle n’impliquant pas la présence physique des parties</w:t>
      </w:r>
      <w:r>
        <w:rPr>
          <w:rFonts w:ascii="Calibri" w:hAnsi="Calibri" w:cs="Calibri"/>
          <w:sz w:val="20"/>
          <w:szCs w:val="20"/>
        </w:rPr>
        <w:t xml:space="preserve"> </w:t>
      </w:r>
      <w:r w:rsidRPr="007516FB">
        <w:rPr>
          <w:rFonts w:ascii="Calibri" w:hAnsi="Calibri" w:cs="Calibri"/>
          <w:sz w:val="20"/>
          <w:szCs w:val="20"/>
        </w:rPr>
        <w:t xml:space="preserve">? </w:t>
      </w:r>
    </w:p>
    <w:p w14:paraId="34F66C71" w14:textId="77777777" w:rsidR="007516FB" w:rsidRDefault="007516FB" w:rsidP="007516FB">
      <w:pPr>
        <w:pStyle w:val="NormalWeb"/>
        <w:ind w:left="1276"/>
        <w:contextualSpacing/>
        <w:jc w:val="both"/>
        <w:rPr>
          <w:rFonts w:ascii="Calibri" w:hAnsi="Calibri" w:cs="Calibri"/>
          <w:sz w:val="20"/>
          <w:szCs w:val="20"/>
        </w:rPr>
      </w:pPr>
    </w:p>
    <w:p w14:paraId="62255ECB" w14:textId="1C990235" w:rsidR="007516FB" w:rsidRDefault="007516FB" w:rsidP="003035AB">
      <w:pPr>
        <w:pStyle w:val="NormalWeb"/>
        <w:numPr>
          <w:ilvl w:val="0"/>
          <w:numId w:val="36"/>
        </w:numPr>
        <w:ind w:left="1276"/>
        <w:contextualSpacing/>
        <w:jc w:val="both"/>
        <w:rPr>
          <w:rFonts w:ascii="Calibri" w:hAnsi="Calibri" w:cs="Calibri"/>
          <w:sz w:val="20"/>
          <w:szCs w:val="20"/>
        </w:rPr>
      </w:pPr>
      <w:r w:rsidRPr="007516FB">
        <w:rPr>
          <w:rFonts w:ascii="Calibri" w:hAnsi="Calibri" w:cs="Calibri"/>
          <w:sz w:val="20"/>
          <w:szCs w:val="20"/>
        </w:rPr>
        <w:t xml:space="preserve">a-t-il pris des mesures pour éviter l’usurpation ou la fraude à l’identité ? </w:t>
      </w:r>
    </w:p>
    <w:p w14:paraId="353E9385" w14:textId="77777777" w:rsidR="007516FB" w:rsidRDefault="007516FB" w:rsidP="007516FB">
      <w:pPr>
        <w:pStyle w:val="NormalWeb"/>
        <w:contextualSpacing/>
        <w:jc w:val="both"/>
        <w:rPr>
          <w:rFonts w:ascii="Calibri" w:hAnsi="Calibri" w:cs="Calibri"/>
          <w:sz w:val="20"/>
          <w:szCs w:val="20"/>
        </w:rPr>
      </w:pPr>
    </w:p>
    <w:p w14:paraId="473E8FA6" w14:textId="622B0673" w:rsidR="007516FB" w:rsidRDefault="007516FB" w:rsidP="003035AB">
      <w:pPr>
        <w:pStyle w:val="NormalWeb"/>
        <w:numPr>
          <w:ilvl w:val="0"/>
          <w:numId w:val="35"/>
        </w:numPr>
        <w:contextualSpacing/>
        <w:jc w:val="both"/>
        <w:rPr>
          <w:rFonts w:ascii="Calibri" w:hAnsi="Calibri" w:cs="Calibri"/>
          <w:sz w:val="20"/>
          <w:szCs w:val="20"/>
        </w:rPr>
      </w:pPr>
      <w:r w:rsidRPr="007516FB">
        <w:rPr>
          <w:rFonts w:ascii="Calibri" w:hAnsi="Calibri" w:cs="Calibri"/>
          <w:sz w:val="20"/>
          <w:szCs w:val="20"/>
        </w:rPr>
        <w:t xml:space="preserve">Le client a-t-il été introduit par une autre partie appartenant au même groupe financier et, si tel est le cas, dans quelle mesure l’établissement peut-il s’appuyer sur cette mise en relation pour avoir la garantie que le client ne l’exposera pas à un risque excessif de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financement du terrorisme ?</w:t>
      </w:r>
    </w:p>
    <w:p w14:paraId="5F6814E4" w14:textId="77777777" w:rsidR="007516FB" w:rsidRDefault="007516FB" w:rsidP="007516FB">
      <w:pPr>
        <w:pStyle w:val="NormalWeb"/>
        <w:ind w:left="720"/>
        <w:contextualSpacing/>
        <w:jc w:val="both"/>
        <w:rPr>
          <w:rFonts w:ascii="Calibri" w:hAnsi="Calibri" w:cs="Calibri"/>
          <w:sz w:val="20"/>
          <w:szCs w:val="20"/>
        </w:rPr>
      </w:pPr>
    </w:p>
    <w:p w14:paraId="54A2B7AA" w14:textId="77777777" w:rsidR="007516FB" w:rsidRDefault="007516FB" w:rsidP="003035AB">
      <w:pPr>
        <w:pStyle w:val="NormalWeb"/>
        <w:numPr>
          <w:ilvl w:val="0"/>
          <w:numId w:val="35"/>
        </w:numPr>
        <w:contextualSpacing/>
        <w:jc w:val="both"/>
        <w:rPr>
          <w:rFonts w:ascii="Calibri" w:hAnsi="Calibri" w:cs="Calibri"/>
          <w:sz w:val="20"/>
          <w:szCs w:val="20"/>
        </w:rPr>
      </w:pPr>
      <w:r w:rsidRPr="007516FB">
        <w:rPr>
          <w:rFonts w:ascii="Calibri" w:hAnsi="Calibri" w:cs="Calibri"/>
          <w:sz w:val="20"/>
          <w:szCs w:val="20"/>
        </w:rPr>
        <w:t>Le client a-t-il été introduit par un tiers, par exemple une banque n’appartenant pas au même groupe ou un intermédiaire</w:t>
      </w:r>
      <w:r>
        <w:rPr>
          <w:rFonts w:ascii="Calibri" w:hAnsi="Calibri" w:cs="Calibri"/>
          <w:sz w:val="20"/>
          <w:szCs w:val="20"/>
        </w:rPr>
        <w:t xml:space="preserve"> </w:t>
      </w:r>
      <w:r w:rsidRPr="007516FB">
        <w:rPr>
          <w:rFonts w:ascii="Calibri" w:hAnsi="Calibri" w:cs="Calibri"/>
          <w:sz w:val="20"/>
          <w:szCs w:val="20"/>
        </w:rPr>
        <w:t xml:space="preserve">? </w:t>
      </w:r>
    </w:p>
    <w:p w14:paraId="46571281" w14:textId="77777777" w:rsidR="007516FB" w:rsidRDefault="007516FB" w:rsidP="007516FB">
      <w:pPr>
        <w:pStyle w:val="NormalWeb"/>
        <w:ind w:left="720"/>
        <w:contextualSpacing/>
        <w:jc w:val="both"/>
        <w:rPr>
          <w:rFonts w:ascii="Calibri" w:hAnsi="Calibri" w:cs="Calibri"/>
          <w:sz w:val="20"/>
          <w:szCs w:val="20"/>
        </w:rPr>
      </w:pPr>
    </w:p>
    <w:p w14:paraId="528C5B73" w14:textId="5AF5EF6B" w:rsidR="00C6347D" w:rsidRDefault="007516FB" w:rsidP="003035AB">
      <w:pPr>
        <w:pStyle w:val="NormalWeb"/>
        <w:numPr>
          <w:ilvl w:val="0"/>
          <w:numId w:val="37"/>
        </w:numPr>
        <w:ind w:left="1276"/>
        <w:contextualSpacing/>
        <w:jc w:val="both"/>
        <w:rPr>
          <w:rFonts w:ascii="Calibri" w:hAnsi="Calibri" w:cs="Calibri"/>
          <w:sz w:val="20"/>
          <w:szCs w:val="20"/>
        </w:rPr>
      </w:pPr>
      <w:r w:rsidRPr="007516FB">
        <w:rPr>
          <w:rFonts w:ascii="Calibri" w:hAnsi="Calibri" w:cs="Calibri"/>
          <w:sz w:val="20"/>
          <w:szCs w:val="20"/>
        </w:rPr>
        <w:t>Ce tiers est-il une entité réglementée soumise à des obligations en matière de lutte contre le blanchiment de capitaux qui sont compatibles avec celles</w:t>
      </w:r>
      <w:r w:rsidR="009D0597">
        <w:rPr>
          <w:rFonts w:ascii="Calibri" w:hAnsi="Calibri" w:cs="Calibri"/>
          <w:sz w:val="20"/>
          <w:szCs w:val="20"/>
        </w:rPr>
        <w:t xml:space="preserve"> applicables en zone</w:t>
      </w:r>
      <w:r w:rsidRPr="007516FB">
        <w:rPr>
          <w:rFonts w:ascii="Calibri" w:hAnsi="Calibri" w:cs="Calibri"/>
          <w:sz w:val="20"/>
          <w:szCs w:val="20"/>
        </w:rPr>
        <w:t xml:space="preserve"> </w:t>
      </w:r>
      <w:r>
        <w:rPr>
          <w:rFonts w:ascii="Calibri" w:hAnsi="Calibri" w:cs="Calibri"/>
          <w:sz w:val="20"/>
          <w:szCs w:val="20"/>
        </w:rPr>
        <w:t>CEMAC</w:t>
      </w:r>
      <w:r w:rsidR="009D0597">
        <w:rPr>
          <w:rFonts w:ascii="Calibri" w:hAnsi="Calibri" w:cs="Calibri"/>
          <w:sz w:val="20"/>
          <w:szCs w:val="20"/>
        </w:rPr>
        <w:t xml:space="preserve">. </w:t>
      </w:r>
      <w:r w:rsidRPr="007516FB">
        <w:rPr>
          <w:rFonts w:ascii="Calibri" w:hAnsi="Calibri" w:cs="Calibri"/>
          <w:sz w:val="20"/>
          <w:szCs w:val="20"/>
        </w:rPr>
        <w:t xml:space="preserve"> Ce tiers est-il un établissement financier ou bien ses principales activités commerciales n’ont-elles aucun lien avec la fourniture de services financiers</w:t>
      </w:r>
      <w:r>
        <w:rPr>
          <w:rFonts w:ascii="Calibri" w:hAnsi="Calibri" w:cs="Calibri"/>
          <w:sz w:val="20"/>
          <w:szCs w:val="20"/>
        </w:rPr>
        <w:t xml:space="preserve"> </w:t>
      </w:r>
      <w:r w:rsidRPr="007516FB">
        <w:rPr>
          <w:rFonts w:ascii="Calibri" w:hAnsi="Calibri" w:cs="Calibri"/>
          <w:sz w:val="20"/>
          <w:szCs w:val="20"/>
        </w:rPr>
        <w:t xml:space="preserve">? </w:t>
      </w:r>
    </w:p>
    <w:p w14:paraId="443E88C8" w14:textId="77777777" w:rsidR="00C6347D" w:rsidRDefault="00C6347D" w:rsidP="00C6347D">
      <w:pPr>
        <w:pStyle w:val="NormalWeb"/>
        <w:ind w:left="1276"/>
        <w:contextualSpacing/>
        <w:jc w:val="both"/>
        <w:rPr>
          <w:rFonts w:ascii="Calibri" w:hAnsi="Calibri" w:cs="Calibri"/>
          <w:sz w:val="20"/>
          <w:szCs w:val="20"/>
        </w:rPr>
      </w:pPr>
    </w:p>
    <w:p w14:paraId="436D604E" w14:textId="27EED123" w:rsidR="00C6347D" w:rsidRDefault="007516FB" w:rsidP="003035AB">
      <w:pPr>
        <w:pStyle w:val="NormalWeb"/>
        <w:numPr>
          <w:ilvl w:val="0"/>
          <w:numId w:val="37"/>
        </w:numPr>
        <w:ind w:left="1276"/>
        <w:contextualSpacing/>
        <w:jc w:val="both"/>
        <w:rPr>
          <w:rFonts w:ascii="Calibri" w:hAnsi="Calibri" w:cs="Calibri"/>
          <w:sz w:val="20"/>
          <w:szCs w:val="20"/>
        </w:rPr>
      </w:pPr>
      <w:r w:rsidRPr="00C6347D">
        <w:rPr>
          <w:rFonts w:ascii="Calibri" w:hAnsi="Calibri" w:cs="Calibri"/>
          <w:sz w:val="20"/>
          <w:szCs w:val="20"/>
        </w:rPr>
        <w:t>Ce tiers applique-t-il des mesures de vigilance à l’égard de la clientèle, conserve-t</w:t>
      </w:r>
      <w:r w:rsidR="00C6347D" w:rsidRPr="00C6347D">
        <w:rPr>
          <w:rFonts w:ascii="Calibri" w:hAnsi="Calibri" w:cs="Calibri"/>
          <w:sz w:val="20"/>
          <w:szCs w:val="20"/>
        </w:rPr>
        <w:t>-</w:t>
      </w:r>
      <w:r w:rsidRPr="00C6347D">
        <w:rPr>
          <w:rFonts w:ascii="Calibri" w:hAnsi="Calibri" w:cs="Calibri"/>
          <w:sz w:val="20"/>
          <w:szCs w:val="20"/>
        </w:rPr>
        <w:t>il des documents conformément aux</w:t>
      </w:r>
      <w:r w:rsidR="009D0597">
        <w:rPr>
          <w:rFonts w:ascii="Calibri" w:hAnsi="Calibri" w:cs="Calibri"/>
          <w:sz w:val="20"/>
          <w:szCs w:val="20"/>
        </w:rPr>
        <w:t xml:space="preserve"> dispositions applicables en zone CEMAC </w:t>
      </w:r>
      <w:proofErr w:type="gramStart"/>
      <w:r w:rsidR="009D0597">
        <w:rPr>
          <w:rFonts w:ascii="Calibri" w:hAnsi="Calibri" w:cs="Calibri"/>
          <w:sz w:val="20"/>
          <w:szCs w:val="20"/>
        </w:rPr>
        <w:t>?</w:t>
      </w:r>
      <w:r w:rsidRPr="00C6347D">
        <w:rPr>
          <w:rFonts w:ascii="Calibri" w:hAnsi="Calibri" w:cs="Calibri"/>
          <w:sz w:val="20"/>
          <w:szCs w:val="20"/>
        </w:rPr>
        <w:t xml:space="preserve"> ,</w:t>
      </w:r>
      <w:proofErr w:type="gramEnd"/>
      <w:r w:rsidRPr="00C6347D">
        <w:rPr>
          <w:rFonts w:ascii="Calibri" w:hAnsi="Calibri" w:cs="Calibri"/>
          <w:sz w:val="20"/>
          <w:szCs w:val="20"/>
        </w:rPr>
        <w:t xml:space="preserve"> fait-il l’objet d’une surveillance concernant le respect d’obligations comparables en matière de lutte contre le </w:t>
      </w:r>
      <w:r w:rsidR="00C6347D" w:rsidRPr="00C6347D">
        <w:rPr>
          <w:rFonts w:ascii="Calibri" w:hAnsi="Calibri" w:cs="Calibri"/>
          <w:sz w:val="20"/>
          <w:szCs w:val="20"/>
        </w:rPr>
        <w:t xml:space="preserve">blanchiment </w:t>
      </w:r>
      <w:r w:rsidR="004C16EE">
        <w:rPr>
          <w:rFonts w:ascii="Calibri" w:hAnsi="Calibri" w:cs="Calibri"/>
          <w:sz w:val="20"/>
          <w:szCs w:val="20"/>
        </w:rPr>
        <w:t xml:space="preserve">de capitaux </w:t>
      </w:r>
      <w:r w:rsidR="00C6347D" w:rsidRPr="00C6347D">
        <w:rPr>
          <w:rFonts w:ascii="Calibri" w:hAnsi="Calibri" w:cs="Calibri"/>
          <w:sz w:val="20"/>
          <w:szCs w:val="20"/>
        </w:rPr>
        <w:t xml:space="preserve">et financement du terrorisme </w:t>
      </w:r>
      <w:r w:rsidRPr="00C6347D">
        <w:rPr>
          <w:rFonts w:ascii="Calibri" w:hAnsi="Calibri" w:cs="Calibri"/>
          <w:sz w:val="20"/>
          <w:szCs w:val="20"/>
        </w:rPr>
        <w:t>? Existe</w:t>
      </w:r>
      <w:r w:rsidR="00C6347D" w:rsidRPr="00C6347D">
        <w:rPr>
          <w:rFonts w:ascii="Calibri" w:hAnsi="Calibri" w:cs="Calibri"/>
          <w:sz w:val="20"/>
          <w:szCs w:val="20"/>
        </w:rPr>
        <w:t>-</w:t>
      </w:r>
      <w:r w:rsidRPr="00C6347D">
        <w:rPr>
          <w:rFonts w:ascii="Calibri" w:hAnsi="Calibri" w:cs="Calibri"/>
          <w:sz w:val="20"/>
          <w:szCs w:val="20"/>
        </w:rPr>
        <w:t xml:space="preserve">t-il des éléments indiquant que le niveau de conformité du tiers avec la législation ou la réglementation relative à lutte contre le </w:t>
      </w:r>
      <w:r w:rsidR="00C6347D" w:rsidRPr="00C6347D">
        <w:rPr>
          <w:rFonts w:ascii="Calibri" w:hAnsi="Calibri" w:cs="Calibri"/>
          <w:sz w:val="20"/>
          <w:szCs w:val="20"/>
        </w:rPr>
        <w:t xml:space="preserve">blanchiment </w:t>
      </w:r>
      <w:r w:rsidR="004C16EE">
        <w:rPr>
          <w:rFonts w:ascii="Calibri" w:hAnsi="Calibri" w:cs="Calibri"/>
          <w:sz w:val="20"/>
          <w:szCs w:val="20"/>
        </w:rPr>
        <w:t xml:space="preserve">de capitaux </w:t>
      </w:r>
      <w:r w:rsidR="00C6347D" w:rsidRPr="00C6347D">
        <w:rPr>
          <w:rFonts w:ascii="Calibri" w:hAnsi="Calibri" w:cs="Calibri"/>
          <w:sz w:val="20"/>
          <w:szCs w:val="20"/>
        </w:rPr>
        <w:t>et financement du terrorisme</w:t>
      </w:r>
      <w:r w:rsidR="00C6347D">
        <w:rPr>
          <w:rFonts w:ascii="Calibri" w:hAnsi="Calibri" w:cs="Calibri"/>
          <w:sz w:val="20"/>
          <w:szCs w:val="20"/>
        </w:rPr>
        <w:t xml:space="preserve"> </w:t>
      </w:r>
      <w:r w:rsidRPr="00C6347D">
        <w:rPr>
          <w:rFonts w:ascii="Calibri" w:hAnsi="Calibri" w:cs="Calibri"/>
          <w:sz w:val="20"/>
          <w:szCs w:val="20"/>
        </w:rPr>
        <w:t>est inadéquat, par exemple le tiers a-t-il été sanctionné pour non-respect des obligations qui lui incombent en la matière</w:t>
      </w:r>
      <w:r w:rsidR="00C6347D">
        <w:rPr>
          <w:rFonts w:ascii="Calibri" w:hAnsi="Calibri" w:cs="Calibri"/>
          <w:sz w:val="20"/>
          <w:szCs w:val="20"/>
        </w:rPr>
        <w:t xml:space="preserve"> </w:t>
      </w:r>
      <w:r w:rsidRPr="00C6347D">
        <w:rPr>
          <w:rFonts w:ascii="Calibri" w:hAnsi="Calibri" w:cs="Calibri"/>
          <w:sz w:val="20"/>
          <w:szCs w:val="20"/>
        </w:rPr>
        <w:t xml:space="preserve">? </w:t>
      </w:r>
    </w:p>
    <w:p w14:paraId="65A7CFA2" w14:textId="77777777" w:rsidR="00C6347D" w:rsidRDefault="00C6347D" w:rsidP="00C6347D">
      <w:pPr>
        <w:pStyle w:val="NormalWeb"/>
        <w:ind w:left="1276"/>
        <w:contextualSpacing/>
        <w:jc w:val="both"/>
        <w:rPr>
          <w:rFonts w:ascii="Calibri" w:hAnsi="Calibri" w:cs="Calibri"/>
          <w:sz w:val="20"/>
          <w:szCs w:val="20"/>
        </w:rPr>
      </w:pPr>
    </w:p>
    <w:p w14:paraId="0059CE75" w14:textId="4C7200E2" w:rsidR="007516FB" w:rsidRDefault="007516FB" w:rsidP="003035AB">
      <w:pPr>
        <w:pStyle w:val="NormalWeb"/>
        <w:numPr>
          <w:ilvl w:val="0"/>
          <w:numId w:val="37"/>
        </w:numPr>
        <w:ind w:left="1276"/>
        <w:contextualSpacing/>
        <w:jc w:val="both"/>
        <w:rPr>
          <w:rFonts w:ascii="Calibri" w:hAnsi="Calibri" w:cs="Calibri"/>
          <w:sz w:val="20"/>
          <w:szCs w:val="20"/>
        </w:rPr>
      </w:pPr>
      <w:r w:rsidRPr="00C6347D">
        <w:rPr>
          <w:rFonts w:ascii="Calibri" w:hAnsi="Calibri" w:cs="Calibri"/>
          <w:sz w:val="20"/>
          <w:szCs w:val="20"/>
        </w:rPr>
        <w:t xml:space="preserve">Le tiers est-il établi dans un pays ou territoire associé à un risque plus élevé de </w:t>
      </w:r>
      <w:r w:rsidR="00C6347D" w:rsidRPr="00C6347D">
        <w:rPr>
          <w:rFonts w:ascii="Calibri" w:hAnsi="Calibri" w:cs="Calibri"/>
          <w:sz w:val="20"/>
          <w:szCs w:val="20"/>
        </w:rPr>
        <w:t xml:space="preserve">blanchiment </w:t>
      </w:r>
      <w:r w:rsidR="004C16EE">
        <w:rPr>
          <w:rFonts w:ascii="Calibri" w:hAnsi="Calibri" w:cs="Calibri"/>
          <w:sz w:val="20"/>
          <w:szCs w:val="20"/>
        </w:rPr>
        <w:t xml:space="preserve">de capitaux </w:t>
      </w:r>
      <w:r w:rsidR="00C6347D" w:rsidRPr="00C6347D">
        <w:rPr>
          <w:rFonts w:ascii="Calibri" w:hAnsi="Calibri" w:cs="Calibri"/>
          <w:sz w:val="20"/>
          <w:szCs w:val="20"/>
        </w:rPr>
        <w:t xml:space="preserve">et financement du terrorisme ? </w:t>
      </w:r>
      <w:r w:rsidRPr="00C6347D">
        <w:rPr>
          <w:rFonts w:ascii="Calibri" w:hAnsi="Calibri" w:cs="Calibri"/>
          <w:sz w:val="20"/>
          <w:szCs w:val="20"/>
        </w:rPr>
        <w:t xml:space="preserve">Lorsqu’un tiers est installé dans un pays tiers à haut risque que la </w:t>
      </w:r>
      <w:r w:rsidR="00C6347D" w:rsidRPr="00C6347D">
        <w:rPr>
          <w:rFonts w:ascii="Calibri" w:hAnsi="Calibri" w:cs="Calibri"/>
          <w:sz w:val="20"/>
          <w:szCs w:val="20"/>
        </w:rPr>
        <w:t>COSUMAF</w:t>
      </w:r>
      <w:r w:rsidRPr="00C6347D">
        <w:rPr>
          <w:rFonts w:ascii="Calibri" w:hAnsi="Calibri" w:cs="Calibri"/>
          <w:sz w:val="20"/>
          <w:szCs w:val="20"/>
        </w:rPr>
        <w:t xml:space="preserve"> a identifié comme présentant des carences stratégiques, les </w:t>
      </w:r>
      <w:r w:rsidR="00C6347D" w:rsidRPr="00C6347D">
        <w:rPr>
          <w:rFonts w:ascii="Calibri" w:hAnsi="Calibri" w:cs="Calibri"/>
          <w:sz w:val="20"/>
          <w:szCs w:val="20"/>
        </w:rPr>
        <w:t>assujettis</w:t>
      </w:r>
      <w:r w:rsidRPr="00C6347D">
        <w:rPr>
          <w:rFonts w:ascii="Calibri" w:hAnsi="Calibri" w:cs="Calibri"/>
          <w:sz w:val="20"/>
          <w:szCs w:val="20"/>
        </w:rPr>
        <w:t xml:space="preserve"> ne doivent pas avoir recours à cet intermédiaire. </w:t>
      </w:r>
    </w:p>
    <w:p w14:paraId="532BEB2F" w14:textId="77777777" w:rsidR="00C6347D" w:rsidRPr="00C6347D" w:rsidRDefault="00C6347D" w:rsidP="00C6347D">
      <w:pPr>
        <w:pStyle w:val="NormalWeb"/>
        <w:ind w:left="1276"/>
        <w:contextualSpacing/>
        <w:jc w:val="both"/>
        <w:rPr>
          <w:rFonts w:ascii="Calibri" w:hAnsi="Calibri" w:cs="Calibri"/>
          <w:sz w:val="20"/>
          <w:szCs w:val="20"/>
        </w:rPr>
      </w:pPr>
    </w:p>
    <w:p w14:paraId="70612225" w14:textId="0FD9E976" w:rsidR="00C6347D" w:rsidRDefault="00C6347D" w:rsidP="003035AB">
      <w:pPr>
        <w:pStyle w:val="NormalWeb"/>
        <w:numPr>
          <w:ilvl w:val="0"/>
          <w:numId w:val="37"/>
        </w:numPr>
        <w:ind w:left="1276"/>
        <w:contextualSpacing/>
        <w:jc w:val="both"/>
        <w:rPr>
          <w:rFonts w:ascii="Calibri" w:hAnsi="Calibri" w:cs="Calibri"/>
          <w:sz w:val="20"/>
          <w:szCs w:val="20"/>
        </w:rPr>
      </w:pPr>
      <w:r>
        <w:rPr>
          <w:rFonts w:ascii="Calibri" w:hAnsi="Calibri" w:cs="Calibri"/>
          <w:sz w:val="20"/>
          <w:szCs w:val="20"/>
        </w:rPr>
        <w:t>Q</w:t>
      </w:r>
      <w:r w:rsidRPr="00C6347D">
        <w:rPr>
          <w:rFonts w:ascii="Calibri" w:hAnsi="Calibri" w:cs="Calibri"/>
          <w:sz w:val="20"/>
          <w:szCs w:val="20"/>
        </w:rPr>
        <w:t xml:space="preserve">uelles mesures l’établissement a-t-il pris pour </w:t>
      </w:r>
      <w:proofErr w:type="gramStart"/>
      <w:r w:rsidRPr="00C6347D">
        <w:rPr>
          <w:rFonts w:ascii="Calibri" w:hAnsi="Calibri" w:cs="Calibri"/>
          <w:sz w:val="20"/>
          <w:szCs w:val="20"/>
        </w:rPr>
        <w:t>s’assurer:</w:t>
      </w:r>
      <w:proofErr w:type="gramEnd"/>
      <w:r w:rsidRPr="00C6347D">
        <w:rPr>
          <w:rFonts w:ascii="Calibri" w:hAnsi="Calibri" w:cs="Calibri"/>
          <w:sz w:val="20"/>
          <w:szCs w:val="20"/>
        </w:rPr>
        <w:t xml:space="preserve"> </w:t>
      </w:r>
    </w:p>
    <w:p w14:paraId="0868BD7B" w14:textId="77777777" w:rsidR="00C6347D" w:rsidRDefault="00C6347D" w:rsidP="00C6347D">
      <w:pPr>
        <w:pStyle w:val="NormalWeb"/>
        <w:ind w:left="1276"/>
        <w:contextualSpacing/>
        <w:jc w:val="both"/>
        <w:rPr>
          <w:rFonts w:ascii="Calibri" w:hAnsi="Calibri" w:cs="Calibri"/>
          <w:sz w:val="20"/>
          <w:szCs w:val="20"/>
        </w:rPr>
      </w:pPr>
    </w:p>
    <w:p w14:paraId="7045884D" w14:textId="77777777" w:rsidR="00C6347D" w:rsidRDefault="00C6347D" w:rsidP="003035AB">
      <w:pPr>
        <w:pStyle w:val="NormalWeb"/>
        <w:numPr>
          <w:ilvl w:val="0"/>
          <w:numId w:val="16"/>
        </w:numPr>
        <w:contextualSpacing/>
        <w:jc w:val="both"/>
        <w:rPr>
          <w:rFonts w:ascii="Calibri" w:hAnsi="Calibri" w:cs="Calibri"/>
          <w:sz w:val="20"/>
          <w:szCs w:val="20"/>
        </w:rPr>
      </w:pPr>
      <w:r w:rsidRPr="00C6347D">
        <w:rPr>
          <w:rFonts w:ascii="Calibri" w:hAnsi="Calibri" w:cs="Calibri"/>
          <w:sz w:val="20"/>
          <w:szCs w:val="20"/>
        </w:rPr>
        <w:t>que le tiers présente toujours les documents d’identité nécessaires;</w:t>
      </w:r>
    </w:p>
    <w:p w14:paraId="51C50A75" w14:textId="77777777" w:rsidR="00C6347D" w:rsidRDefault="00C6347D" w:rsidP="003035AB">
      <w:pPr>
        <w:pStyle w:val="NormalWeb"/>
        <w:numPr>
          <w:ilvl w:val="0"/>
          <w:numId w:val="16"/>
        </w:numPr>
        <w:contextualSpacing/>
        <w:jc w:val="both"/>
        <w:rPr>
          <w:rFonts w:ascii="Calibri" w:hAnsi="Calibri" w:cs="Calibri"/>
          <w:sz w:val="20"/>
          <w:szCs w:val="20"/>
        </w:rPr>
      </w:pPr>
      <w:r w:rsidRPr="00C6347D">
        <w:rPr>
          <w:rFonts w:ascii="Calibri" w:hAnsi="Calibri" w:cs="Calibri"/>
          <w:sz w:val="20"/>
          <w:szCs w:val="20"/>
        </w:rPr>
        <w:t>que le tiers fournira, immédiatement sur demande des copies pertinentes des données d’identification et de vérification ou des données électroniques visées;</w:t>
      </w:r>
    </w:p>
    <w:p w14:paraId="7B58C8A5" w14:textId="77777777" w:rsidR="00C6347D" w:rsidRDefault="00C6347D" w:rsidP="003035AB">
      <w:pPr>
        <w:pStyle w:val="NormalWeb"/>
        <w:numPr>
          <w:ilvl w:val="0"/>
          <w:numId w:val="16"/>
        </w:numPr>
        <w:contextualSpacing/>
        <w:jc w:val="both"/>
        <w:rPr>
          <w:rFonts w:ascii="Calibri" w:hAnsi="Calibri" w:cs="Calibri"/>
          <w:sz w:val="20"/>
          <w:szCs w:val="20"/>
        </w:rPr>
      </w:pPr>
      <w:r w:rsidRPr="00C6347D">
        <w:rPr>
          <w:rFonts w:ascii="Calibri" w:hAnsi="Calibri" w:cs="Calibri"/>
          <w:sz w:val="20"/>
          <w:szCs w:val="20"/>
        </w:rPr>
        <w:t xml:space="preserve">que la qualité des mesures de vigilance prises par le tiers à l’égard de la clientèle est telle que l’on peut s’y fier; et </w:t>
      </w:r>
    </w:p>
    <w:p w14:paraId="189B1F0F" w14:textId="46B40DA2" w:rsidR="00C6347D" w:rsidRPr="00C6347D" w:rsidRDefault="00C6347D" w:rsidP="003035AB">
      <w:pPr>
        <w:pStyle w:val="NormalWeb"/>
        <w:numPr>
          <w:ilvl w:val="0"/>
          <w:numId w:val="16"/>
        </w:numPr>
        <w:contextualSpacing/>
        <w:jc w:val="both"/>
        <w:rPr>
          <w:rFonts w:ascii="Calibri" w:hAnsi="Calibri" w:cs="Calibri"/>
          <w:sz w:val="20"/>
          <w:szCs w:val="20"/>
        </w:rPr>
      </w:pPr>
      <w:r w:rsidRPr="00C6347D">
        <w:rPr>
          <w:rFonts w:ascii="Calibri" w:hAnsi="Calibri" w:cs="Calibri"/>
          <w:sz w:val="20"/>
          <w:szCs w:val="20"/>
        </w:rPr>
        <w:t xml:space="preserve">que le niveau de vigilance à l’égard de la clientèle appliqué par le tiers est proportionné au risque de </w:t>
      </w:r>
      <w:r>
        <w:rPr>
          <w:rFonts w:ascii="Calibri" w:hAnsi="Calibri" w:cs="Calibri"/>
          <w:sz w:val="20"/>
          <w:szCs w:val="20"/>
        </w:rPr>
        <w:t xml:space="preserve">blanchiment </w:t>
      </w:r>
      <w:r w:rsidR="004C16EE">
        <w:rPr>
          <w:rFonts w:ascii="Calibri" w:hAnsi="Calibri" w:cs="Calibri"/>
          <w:sz w:val="20"/>
          <w:szCs w:val="20"/>
        </w:rPr>
        <w:t xml:space="preserve">de capitaux </w:t>
      </w:r>
      <w:r>
        <w:rPr>
          <w:rFonts w:ascii="Calibri" w:hAnsi="Calibri" w:cs="Calibri"/>
          <w:sz w:val="20"/>
          <w:szCs w:val="20"/>
        </w:rPr>
        <w:t>et de financement du terrorisme</w:t>
      </w:r>
      <w:r w:rsidRPr="00C6347D">
        <w:rPr>
          <w:rFonts w:ascii="Calibri" w:hAnsi="Calibri" w:cs="Calibri"/>
          <w:sz w:val="20"/>
          <w:szCs w:val="20"/>
        </w:rPr>
        <w:t xml:space="preserve"> associé à la relation d’affaires, étant donné que le tiers aura appliqué des mesures de vigilance à l’égard de la clientèle à ses propres fins et, éventuellement, dans un contexte différent? </w:t>
      </w:r>
    </w:p>
    <w:sectPr w:rsidR="00C6347D" w:rsidRPr="00C6347D" w:rsidSect="005A144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10E440" w14:textId="77777777" w:rsidR="002C2468" w:rsidRDefault="002C2468" w:rsidP="00843715">
      <w:r>
        <w:separator/>
      </w:r>
    </w:p>
  </w:endnote>
  <w:endnote w:type="continuationSeparator" w:id="0">
    <w:p w14:paraId="6002952C" w14:textId="77777777" w:rsidR="002C2468" w:rsidRDefault="002C2468"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288059"/>
      <w:docPartObj>
        <w:docPartGallery w:val="Page Numbers (Bottom of Page)"/>
        <w:docPartUnique/>
      </w:docPartObj>
    </w:sdtPr>
    <w:sdtContent>
      <w:p w14:paraId="5904109A" w14:textId="2097777F" w:rsidR="00D84EB1" w:rsidRDefault="00D84EB1">
        <w:pPr>
          <w:pStyle w:val="Pieddepage"/>
          <w:jc w:val="center"/>
        </w:pPr>
        <w:r>
          <w:fldChar w:fldCharType="begin"/>
        </w:r>
        <w:r>
          <w:instrText>PAGE   \* MERGEFORMAT</w:instrText>
        </w:r>
        <w:r>
          <w:fldChar w:fldCharType="separate"/>
        </w:r>
        <w:r w:rsidR="00DA7D38">
          <w:rPr>
            <w:noProof/>
          </w:rPr>
          <w:t>13</w:t>
        </w:r>
        <w:r>
          <w:fldChar w:fldCharType="end"/>
        </w:r>
      </w:p>
    </w:sdtContent>
  </w:sdt>
  <w:p w14:paraId="01D8B4FB" w14:textId="77777777" w:rsidR="00D84EB1" w:rsidRDefault="00D84E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02BB5" w14:textId="77777777" w:rsidR="002C2468" w:rsidRDefault="002C2468" w:rsidP="00843715">
      <w:r>
        <w:separator/>
      </w:r>
    </w:p>
  </w:footnote>
  <w:footnote w:type="continuationSeparator" w:id="0">
    <w:p w14:paraId="07365DE2" w14:textId="77777777" w:rsidR="002C2468" w:rsidRDefault="002C2468"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9.5pt;height:59.5pt" o:bullet="t">
        <v:imagedata r:id="rId1" o:title="Flêche_AMF_blc"/>
      </v:shape>
    </w:pict>
  </w:numPicBullet>
  <w:abstractNum w:abstractNumId="0" w15:restartNumberingAfterBreak="0">
    <w:nsid w:val="00F02363"/>
    <w:multiLevelType w:val="hybridMultilevel"/>
    <w:tmpl w:val="6AFA6964"/>
    <w:lvl w:ilvl="0" w:tplc="49A4A856">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6AC3071"/>
    <w:multiLevelType w:val="hybridMultilevel"/>
    <w:tmpl w:val="06287BC2"/>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5D4CC46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FC1219"/>
    <w:multiLevelType w:val="hybridMultilevel"/>
    <w:tmpl w:val="AFD4DAE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BE3336"/>
    <w:multiLevelType w:val="hybridMultilevel"/>
    <w:tmpl w:val="04860C70"/>
    <w:lvl w:ilvl="0" w:tplc="040C0019">
      <w:start w:val="1"/>
      <w:numFmt w:val="lowerLetter"/>
      <w:lvlText w:val="%1."/>
      <w:lvlJc w:val="left"/>
      <w:pPr>
        <w:ind w:left="1080" w:hanging="360"/>
      </w:pPr>
    </w:lvl>
    <w:lvl w:ilvl="1" w:tplc="49A4A856">
      <w:start w:val="1"/>
      <w:numFmt w:val="lowerRoman"/>
      <w:lvlText w:val="%2."/>
      <w:lvlJc w:val="left"/>
      <w:pPr>
        <w:ind w:left="2160" w:hanging="720"/>
      </w:pPr>
      <w:rPr>
        <w:rFonts w:hint="default"/>
      </w:rPr>
    </w:lvl>
    <w:lvl w:ilvl="2" w:tplc="779AB0DE">
      <w:start w:val="1"/>
      <w:numFmt w:val="decimal"/>
      <w:lvlText w:val="%3."/>
      <w:lvlJc w:val="left"/>
      <w:pPr>
        <w:ind w:left="2700" w:hanging="360"/>
      </w:pPr>
      <w:rPr>
        <w:rFonts w:hint="default"/>
      </w:r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08F95CE1"/>
    <w:multiLevelType w:val="hybridMultilevel"/>
    <w:tmpl w:val="B6B003D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AF34D02"/>
    <w:multiLevelType w:val="hybridMultilevel"/>
    <w:tmpl w:val="06E2599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E87596"/>
    <w:multiLevelType w:val="hybridMultilevel"/>
    <w:tmpl w:val="DF5A251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E492A19"/>
    <w:multiLevelType w:val="hybridMultilevel"/>
    <w:tmpl w:val="7044771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3AA16D7"/>
    <w:multiLevelType w:val="hybridMultilevel"/>
    <w:tmpl w:val="1952CA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3F4367D"/>
    <w:multiLevelType w:val="hybridMultilevel"/>
    <w:tmpl w:val="92DEBA56"/>
    <w:lvl w:ilvl="0" w:tplc="040C0019">
      <w:start w:val="1"/>
      <w:numFmt w:val="lowerLetter"/>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15:restartNumberingAfterBreak="0">
    <w:nsid w:val="15615B70"/>
    <w:multiLevelType w:val="hybridMultilevel"/>
    <w:tmpl w:val="6BCA97F6"/>
    <w:lvl w:ilvl="0" w:tplc="FFFFFFFF">
      <w:start w:val="1"/>
      <w:numFmt w:val="lowerLetter"/>
      <w:lvlText w:val="%1."/>
      <w:lvlJc w:val="left"/>
      <w:pPr>
        <w:ind w:left="720" w:hanging="360"/>
      </w:pPr>
    </w:lvl>
    <w:lvl w:ilvl="1" w:tplc="040C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4F051F"/>
    <w:multiLevelType w:val="hybridMultilevel"/>
    <w:tmpl w:val="64382F0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181938B6"/>
    <w:multiLevelType w:val="hybridMultilevel"/>
    <w:tmpl w:val="9B5E0F18"/>
    <w:lvl w:ilvl="0" w:tplc="040C0019">
      <w:start w:val="1"/>
      <w:numFmt w:val="lowerLetter"/>
      <w:lvlText w:val="%1."/>
      <w:lvlJc w:val="left"/>
      <w:pPr>
        <w:ind w:left="1146" w:hanging="360"/>
      </w:p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5" w15:restartNumberingAfterBreak="0">
    <w:nsid w:val="18A651C7"/>
    <w:multiLevelType w:val="hybridMultilevel"/>
    <w:tmpl w:val="307EB03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86504"/>
    <w:multiLevelType w:val="hybridMultilevel"/>
    <w:tmpl w:val="10EA598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50C6829"/>
    <w:multiLevelType w:val="hybridMultilevel"/>
    <w:tmpl w:val="6DBC20A4"/>
    <w:lvl w:ilvl="0" w:tplc="DFDEE664">
      <w:start w:val="1"/>
      <w:numFmt w:val="decimal"/>
      <w:lvlText w:val="%1."/>
      <w:lvlJc w:val="left"/>
      <w:pPr>
        <w:ind w:left="720" w:hanging="360"/>
      </w:pPr>
      <w:rPr>
        <w:rFonts w:hint="default"/>
      </w:rPr>
    </w:lvl>
    <w:lvl w:ilvl="1" w:tplc="5D68F7B8">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64719A2"/>
    <w:multiLevelType w:val="hybridMultilevel"/>
    <w:tmpl w:val="2AD8E660"/>
    <w:lvl w:ilvl="0" w:tplc="49A4A856">
      <w:start w:val="1"/>
      <w:numFmt w:val="lowerRoman"/>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1" w15:restartNumberingAfterBreak="0">
    <w:nsid w:val="2BB15E27"/>
    <w:multiLevelType w:val="hybridMultilevel"/>
    <w:tmpl w:val="D466D932"/>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EAE02F7"/>
    <w:multiLevelType w:val="hybridMultilevel"/>
    <w:tmpl w:val="B29A4BDE"/>
    <w:lvl w:ilvl="0" w:tplc="040C0019">
      <w:start w:val="1"/>
      <w:numFmt w:val="lowerLetter"/>
      <w:lvlText w:val="%1."/>
      <w:lvlJc w:val="left"/>
      <w:pPr>
        <w:ind w:left="720" w:hanging="360"/>
      </w:pPr>
    </w:lvl>
    <w:lvl w:ilvl="1" w:tplc="65282142">
      <w:start w:val="1"/>
      <w:numFmt w:val="lowerRoman"/>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672CA9"/>
    <w:multiLevelType w:val="hybridMultilevel"/>
    <w:tmpl w:val="4314BC64"/>
    <w:lvl w:ilvl="0" w:tplc="040C0019">
      <w:start w:val="1"/>
      <w:numFmt w:val="lowerLetter"/>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4" w15:restartNumberingAfterBreak="0">
    <w:nsid w:val="408E36D8"/>
    <w:multiLevelType w:val="hybridMultilevel"/>
    <w:tmpl w:val="3A74D7A8"/>
    <w:lvl w:ilvl="0" w:tplc="040C0019">
      <w:start w:val="1"/>
      <w:numFmt w:val="lowerLetter"/>
      <w:lvlText w:val="%1."/>
      <w:lvlJc w:val="left"/>
      <w:pPr>
        <w:ind w:left="720" w:hanging="360"/>
      </w:pPr>
    </w:lvl>
    <w:lvl w:ilvl="1" w:tplc="EC7AA21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4C4A7798"/>
    <w:multiLevelType w:val="hybridMultilevel"/>
    <w:tmpl w:val="3F029220"/>
    <w:lvl w:ilvl="0" w:tplc="040C001B">
      <w:start w:val="1"/>
      <w:numFmt w:val="lowerRoman"/>
      <w:lvlText w:val="%1."/>
      <w:lvlJc w:val="right"/>
      <w:pPr>
        <w:ind w:left="1800" w:hanging="360"/>
      </w:p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7" w15:restartNumberingAfterBreak="0">
    <w:nsid w:val="4F3E47A6"/>
    <w:multiLevelType w:val="hybridMultilevel"/>
    <w:tmpl w:val="BAE694B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8" w15:restartNumberingAfterBreak="0">
    <w:nsid w:val="505B6F00"/>
    <w:multiLevelType w:val="hybridMultilevel"/>
    <w:tmpl w:val="5DF0215E"/>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56500998"/>
    <w:multiLevelType w:val="hybridMultilevel"/>
    <w:tmpl w:val="5C6860D0"/>
    <w:lvl w:ilvl="0" w:tplc="040C0019">
      <w:start w:val="1"/>
      <w:numFmt w:val="lowerLetter"/>
      <w:lvlText w:val="%1."/>
      <w:lvlJc w:val="left"/>
      <w:pPr>
        <w:ind w:left="1211" w:hanging="360"/>
      </w:p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0"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00E96"/>
    <w:multiLevelType w:val="hybridMultilevel"/>
    <w:tmpl w:val="4498C60A"/>
    <w:lvl w:ilvl="0" w:tplc="C032D782">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6C2068F0"/>
    <w:multiLevelType w:val="hybridMultilevel"/>
    <w:tmpl w:val="1C9AAA7E"/>
    <w:lvl w:ilvl="0" w:tplc="DFDEE6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EF90CDB"/>
    <w:multiLevelType w:val="hybridMultilevel"/>
    <w:tmpl w:val="1910EBB2"/>
    <w:lvl w:ilvl="0" w:tplc="441A1E56">
      <w:start w:val="1"/>
      <w:numFmt w:val="decimal"/>
      <w:lvlText w:val="%1."/>
      <w:lvlJc w:val="left"/>
      <w:pPr>
        <w:ind w:left="720" w:hanging="360"/>
      </w:pPr>
      <w:rPr>
        <w:rFonts w:hint="default"/>
      </w:rPr>
    </w:lvl>
    <w:lvl w:ilvl="1" w:tplc="87F432C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FE31980"/>
    <w:multiLevelType w:val="hybridMultilevel"/>
    <w:tmpl w:val="2A763706"/>
    <w:lvl w:ilvl="0" w:tplc="FFFFFFFF">
      <w:start w:val="1"/>
      <w:numFmt w:val="decimal"/>
      <w:lvlText w:val="%1."/>
      <w:lvlJc w:val="left"/>
      <w:pPr>
        <w:ind w:left="720" w:hanging="360"/>
      </w:pPr>
      <w:rPr>
        <w:rFonts w:hint="default"/>
        <w:sz w:val="20"/>
        <w:szCs w:val="2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AB2930"/>
    <w:multiLevelType w:val="hybridMultilevel"/>
    <w:tmpl w:val="87822206"/>
    <w:lvl w:ilvl="0" w:tplc="040C000F">
      <w:start w:val="1"/>
      <w:numFmt w:val="decimal"/>
      <w:lvlText w:val="%1."/>
      <w:lvlJc w:val="left"/>
      <w:pPr>
        <w:ind w:left="720" w:hanging="360"/>
      </w:pPr>
      <w:rPr>
        <w:rFonts w:hint="default"/>
        <w:sz w:val="20"/>
        <w:szCs w:val="20"/>
      </w:rPr>
    </w:lvl>
    <w:lvl w:ilvl="1" w:tplc="72243216">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56C75AE"/>
    <w:multiLevelType w:val="hybridMultilevel"/>
    <w:tmpl w:val="1AA6BAF6"/>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E7DA2992">
      <w:start w:val="1"/>
      <w:numFmt w:val="decimal"/>
      <w:lvlText w:val="%3."/>
      <w:lvlJc w:val="left"/>
      <w:pPr>
        <w:ind w:left="3060" w:hanging="360"/>
      </w:pPr>
      <w:rPr>
        <w:rFonts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165630304">
    <w:abstractNumId w:val="6"/>
  </w:num>
  <w:num w:numId="2" w16cid:durableId="509567657">
    <w:abstractNumId w:val="25"/>
  </w:num>
  <w:num w:numId="3" w16cid:durableId="859659194">
    <w:abstractNumId w:val="38"/>
  </w:num>
  <w:num w:numId="4" w16cid:durableId="1490948437">
    <w:abstractNumId w:val="30"/>
  </w:num>
  <w:num w:numId="5" w16cid:durableId="1432355696">
    <w:abstractNumId w:val="16"/>
  </w:num>
  <w:num w:numId="6" w16cid:durableId="766773142">
    <w:abstractNumId w:val="20"/>
  </w:num>
  <w:num w:numId="7" w16cid:durableId="1490554035">
    <w:abstractNumId w:val="1"/>
    <w:lvlOverride w:ilvl="0">
      <w:startOverride w:val="1"/>
    </w:lvlOverride>
  </w:num>
  <w:num w:numId="8" w16cid:durableId="321587420">
    <w:abstractNumId w:val="37"/>
  </w:num>
  <w:num w:numId="9" w16cid:durableId="2122409646">
    <w:abstractNumId w:val="35"/>
  </w:num>
  <w:num w:numId="10" w16cid:durableId="210263967">
    <w:abstractNumId w:val="28"/>
  </w:num>
  <w:num w:numId="11" w16cid:durableId="1105923525">
    <w:abstractNumId w:val="11"/>
  </w:num>
  <w:num w:numId="12" w16cid:durableId="1189026984">
    <w:abstractNumId w:val="34"/>
  </w:num>
  <w:num w:numId="13" w16cid:durableId="208107999">
    <w:abstractNumId w:val="27"/>
  </w:num>
  <w:num w:numId="14" w16cid:durableId="578101519">
    <w:abstractNumId w:val="4"/>
  </w:num>
  <w:num w:numId="15" w16cid:durableId="1465153424">
    <w:abstractNumId w:val="26"/>
  </w:num>
  <w:num w:numId="16" w16cid:durableId="787427600">
    <w:abstractNumId w:val="31"/>
  </w:num>
  <w:num w:numId="17" w16cid:durableId="1380470559">
    <w:abstractNumId w:val="32"/>
  </w:num>
  <w:num w:numId="18" w16cid:durableId="433332857">
    <w:abstractNumId w:val="18"/>
  </w:num>
  <w:num w:numId="19" w16cid:durableId="1199007517">
    <w:abstractNumId w:val="36"/>
  </w:num>
  <w:num w:numId="20" w16cid:durableId="938679994">
    <w:abstractNumId w:val="7"/>
  </w:num>
  <w:num w:numId="21" w16cid:durableId="2031485116">
    <w:abstractNumId w:val="14"/>
  </w:num>
  <w:num w:numId="22" w16cid:durableId="572470729">
    <w:abstractNumId w:val="23"/>
  </w:num>
  <w:num w:numId="23" w16cid:durableId="883371988">
    <w:abstractNumId w:val="3"/>
  </w:num>
  <w:num w:numId="24" w16cid:durableId="1581909174">
    <w:abstractNumId w:val="8"/>
  </w:num>
  <w:num w:numId="25" w16cid:durableId="709918548">
    <w:abstractNumId w:val="9"/>
  </w:num>
  <w:num w:numId="26" w16cid:durableId="1001543483">
    <w:abstractNumId w:val="12"/>
  </w:num>
  <w:num w:numId="27" w16cid:durableId="1796633421">
    <w:abstractNumId w:val="29"/>
  </w:num>
  <w:num w:numId="28" w16cid:durableId="2116292552">
    <w:abstractNumId w:val="17"/>
  </w:num>
  <w:num w:numId="29" w16cid:durableId="291785152">
    <w:abstractNumId w:val="21"/>
  </w:num>
  <w:num w:numId="30" w16cid:durableId="313461030">
    <w:abstractNumId w:val="24"/>
  </w:num>
  <w:num w:numId="31" w16cid:durableId="1422141023">
    <w:abstractNumId w:val="2"/>
  </w:num>
  <w:num w:numId="32" w16cid:durableId="1363943468">
    <w:abstractNumId w:val="15"/>
  </w:num>
  <w:num w:numId="33" w16cid:durableId="350685891">
    <w:abstractNumId w:val="5"/>
  </w:num>
  <w:num w:numId="34" w16cid:durableId="1447122445">
    <w:abstractNumId w:val="10"/>
  </w:num>
  <w:num w:numId="35" w16cid:durableId="904070055">
    <w:abstractNumId w:val="22"/>
  </w:num>
  <w:num w:numId="36" w16cid:durableId="1427726761">
    <w:abstractNumId w:val="0"/>
  </w:num>
  <w:num w:numId="37" w16cid:durableId="691615525">
    <w:abstractNumId w:val="19"/>
  </w:num>
  <w:num w:numId="38" w16cid:durableId="1552644426">
    <w:abstractNumId w:val="33"/>
  </w:num>
  <w:num w:numId="39" w16cid:durableId="126973404">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005F8"/>
    <w:rsid w:val="0001324A"/>
    <w:rsid w:val="00026E3A"/>
    <w:rsid w:val="00035116"/>
    <w:rsid w:val="000363FC"/>
    <w:rsid w:val="00044EAE"/>
    <w:rsid w:val="00046807"/>
    <w:rsid w:val="000619A5"/>
    <w:rsid w:val="00077D06"/>
    <w:rsid w:val="00090D2A"/>
    <w:rsid w:val="00093EA8"/>
    <w:rsid w:val="000A6AE4"/>
    <w:rsid w:val="000B5751"/>
    <w:rsid w:val="000C51D0"/>
    <w:rsid w:val="000C5C37"/>
    <w:rsid w:val="000E623D"/>
    <w:rsid w:val="000F4257"/>
    <w:rsid w:val="000F4995"/>
    <w:rsid w:val="000F6063"/>
    <w:rsid w:val="00113381"/>
    <w:rsid w:val="00131AAB"/>
    <w:rsid w:val="00133BE6"/>
    <w:rsid w:val="00156F45"/>
    <w:rsid w:val="001574D5"/>
    <w:rsid w:val="00166937"/>
    <w:rsid w:val="00183128"/>
    <w:rsid w:val="0018705C"/>
    <w:rsid w:val="00187E87"/>
    <w:rsid w:val="001A05EB"/>
    <w:rsid w:val="001A2B2C"/>
    <w:rsid w:val="001A37F5"/>
    <w:rsid w:val="001A5708"/>
    <w:rsid w:val="001D6C0C"/>
    <w:rsid w:val="00201FF3"/>
    <w:rsid w:val="00211991"/>
    <w:rsid w:val="002542BD"/>
    <w:rsid w:val="00255CB8"/>
    <w:rsid w:val="00256400"/>
    <w:rsid w:val="002602EA"/>
    <w:rsid w:val="0026484F"/>
    <w:rsid w:val="002823B6"/>
    <w:rsid w:val="002855CD"/>
    <w:rsid w:val="00297F3F"/>
    <w:rsid w:val="002A144D"/>
    <w:rsid w:val="002B7D09"/>
    <w:rsid w:val="002C102B"/>
    <w:rsid w:val="002C2468"/>
    <w:rsid w:val="002E1158"/>
    <w:rsid w:val="002E2DAC"/>
    <w:rsid w:val="002F49F7"/>
    <w:rsid w:val="00303001"/>
    <w:rsid w:val="003035AB"/>
    <w:rsid w:val="0031620A"/>
    <w:rsid w:val="00325C3B"/>
    <w:rsid w:val="0033633E"/>
    <w:rsid w:val="00351999"/>
    <w:rsid w:val="003678E5"/>
    <w:rsid w:val="0037154D"/>
    <w:rsid w:val="00372E06"/>
    <w:rsid w:val="003A5F34"/>
    <w:rsid w:val="003B072E"/>
    <w:rsid w:val="003B5BAD"/>
    <w:rsid w:val="003C5A8C"/>
    <w:rsid w:val="003C7091"/>
    <w:rsid w:val="003D02B2"/>
    <w:rsid w:val="003E04A5"/>
    <w:rsid w:val="003F154B"/>
    <w:rsid w:val="00413B61"/>
    <w:rsid w:val="0042410D"/>
    <w:rsid w:val="004258B8"/>
    <w:rsid w:val="00431047"/>
    <w:rsid w:val="00432B44"/>
    <w:rsid w:val="00464C7C"/>
    <w:rsid w:val="00472955"/>
    <w:rsid w:val="004765F7"/>
    <w:rsid w:val="00477F3F"/>
    <w:rsid w:val="00495F72"/>
    <w:rsid w:val="004A7504"/>
    <w:rsid w:val="004B037D"/>
    <w:rsid w:val="004B1EC1"/>
    <w:rsid w:val="004C0145"/>
    <w:rsid w:val="004C16EE"/>
    <w:rsid w:val="004D68E1"/>
    <w:rsid w:val="004D6E9A"/>
    <w:rsid w:val="004E430C"/>
    <w:rsid w:val="005061CE"/>
    <w:rsid w:val="0054593C"/>
    <w:rsid w:val="00564435"/>
    <w:rsid w:val="005712DE"/>
    <w:rsid w:val="0057761D"/>
    <w:rsid w:val="005A144F"/>
    <w:rsid w:val="005B0B1E"/>
    <w:rsid w:val="005D2021"/>
    <w:rsid w:val="005F0E31"/>
    <w:rsid w:val="006118FD"/>
    <w:rsid w:val="00613A62"/>
    <w:rsid w:val="00621EE1"/>
    <w:rsid w:val="0065326B"/>
    <w:rsid w:val="006538C1"/>
    <w:rsid w:val="006546C2"/>
    <w:rsid w:val="006551A8"/>
    <w:rsid w:val="00671A1D"/>
    <w:rsid w:val="00671BE2"/>
    <w:rsid w:val="0067305B"/>
    <w:rsid w:val="0068299E"/>
    <w:rsid w:val="006B29D2"/>
    <w:rsid w:val="006B6FE6"/>
    <w:rsid w:val="006C2852"/>
    <w:rsid w:val="006D0896"/>
    <w:rsid w:val="006F1D00"/>
    <w:rsid w:val="0070650C"/>
    <w:rsid w:val="00710A40"/>
    <w:rsid w:val="007204B6"/>
    <w:rsid w:val="00726614"/>
    <w:rsid w:val="00727244"/>
    <w:rsid w:val="00727DC3"/>
    <w:rsid w:val="0073788F"/>
    <w:rsid w:val="00746503"/>
    <w:rsid w:val="007516FB"/>
    <w:rsid w:val="00751ABC"/>
    <w:rsid w:val="007625DB"/>
    <w:rsid w:val="00764479"/>
    <w:rsid w:val="00783FA4"/>
    <w:rsid w:val="007978D2"/>
    <w:rsid w:val="007A275C"/>
    <w:rsid w:val="007B430F"/>
    <w:rsid w:val="007C41AC"/>
    <w:rsid w:val="007C67C5"/>
    <w:rsid w:val="007D4CD3"/>
    <w:rsid w:val="007F612F"/>
    <w:rsid w:val="00810E3C"/>
    <w:rsid w:val="00814287"/>
    <w:rsid w:val="00840304"/>
    <w:rsid w:val="0084350A"/>
    <w:rsid w:val="00843715"/>
    <w:rsid w:val="00846810"/>
    <w:rsid w:val="00853E2F"/>
    <w:rsid w:val="00855E2C"/>
    <w:rsid w:val="00860708"/>
    <w:rsid w:val="00861930"/>
    <w:rsid w:val="00862E6D"/>
    <w:rsid w:val="00871C93"/>
    <w:rsid w:val="00876A91"/>
    <w:rsid w:val="00880CFF"/>
    <w:rsid w:val="0088414A"/>
    <w:rsid w:val="008A308A"/>
    <w:rsid w:val="008B4F23"/>
    <w:rsid w:val="008C0737"/>
    <w:rsid w:val="008C51BC"/>
    <w:rsid w:val="008C71DD"/>
    <w:rsid w:val="008E774F"/>
    <w:rsid w:val="008F37E8"/>
    <w:rsid w:val="00912238"/>
    <w:rsid w:val="00913491"/>
    <w:rsid w:val="00955EC7"/>
    <w:rsid w:val="00961171"/>
    <w:rsid w:val="00970B7B"/>
    <w:rsid w:val="00981B89"/>
    <w:rsid w:val="009872F0"/>
    <w:rsid w:val="00991BBC"/>
    <w:rsid w:val="009B11B3"/>
    <w:rsid w:val="009B1E52"/>
    <w:rsid w:val="009C0C14"/>
    <w:rsid w:val="009C0FA2"/>
    <w:rsid w:val="009D0597"/>
    <w:rsid w:val="009D0A2D"/>
    <w:rsid w:val="009D44A8"/>
    <w:rsid w:val="009E26C7"/>
    <w:rsid w:val="00A03FDC"/>
    <w:rsid w:val="00A17341"/>
    <w:rsid w:val="00A3198D"/>
    <w:rsid w:val="00A347B7"/>
    <w:rsid w:val="00A4776D"/>
    <w:rsid w:val="00A52BE6"/>
    <w:rsid w:val="00A850BC"/>
    <w:rsid w:val="00A87357"/>
    <w:rsid w:val="00A95ED7"/>
    <w:rsid w:val="00AA3131"/>
    <w:rsid w:val="00AB1DE7"/>
    <w:rsid w:val="00AB739C"/>
    <w:rsid w:val="00AC4016"/>
    <w:rsid w:val="00AC4D54"/>
    <w:rsid w:val="00AF5385"/>
    <w:rsid w:val="00B1048C"/>
    <w:rsid w:val="00B2646B"/>
    <w:rsid w:val="00B26CCE"/>
    <w:rsid w:val="00B45C7D"/>
    <w:rsid w:val="00B52B26"/>
    <w:rsid w:val="00B62DC3"/>
    <w:rsid w:val="00B676AB"/>
    <w:rsid w:val="00BB4E7D"/>
    <w:rsid w:val="00BB5C8F"/>
    <w:rsid w:val="00BB5E29"/>
    <w:rsid w:val="00BC78D7"/>
    <w:rsid w:val="00BD6E0A"/>
    <w:rsid w:val="00BE0BDA"/>
    <w:rsid w:val="00BF27DA"/>
    <w:rsid w:val="00C00969"/>
    <w:rsid w:val="00C06494"/>
    <w:rsid w:val="00C13F44"/>
    <w:rsid w:val="00C27A23"/>
    <w:rsid w:val="00C370A4"/>
    <w:rsid w:val="00C60C84"/>
    <w:rsid w:val="00C6347D"/>
    <w:rsid w:val="00C6635B"/>
    <w:rsid w:val="00C8167E"/>
    <w:rsid w:val="00C86D49"/>
    <w:rsid w:val="00C9723A"/>
    <w:rsid w:val="00CB0104"/>
    <w:rsid w:val="00CB16F3"/>
    <w:rsid w:val="00CC251F"/>
    <w:rsid w:val="00CD49E1"/>
    <w:rsid w:val="00CD53DF"/>
    <w:rsid w:val="00CD5AEC"/>
    <w:rsid w:val="00CF50D3"/>
    <w:rsid w:val="00D02FAF"/>
    <w:rsid w:val="00D07651"/>
    <w:rsid w:val="00D1542D"/>
    <w:rsid w:val="00D1706F"/>
    <w:rsid w:val="00D52DD0"/>
    <w:rsid w:val="00D66434"/>
    <w:rsid w:val="00D7737B"/>
    <w:rsid w:val="00D845E5"/>
    <w:rsid w:val="00D84EB1"/>
    <w:rsid w:val="00DA002B"/>
    <w:rsid w:val="00DA1EF7"/>
    <w:rsid w:val="00DA7D38"/>
    <w:rsid w:val="00DB4BB3"/>
    <w:rsid w:val="00DB6A30"/>
    <w:rsid w:val="00DC1AAD"/>
    <w:rsid w:val="00DF3185"/>
    <w:rsid w:val="00E108C3"/>
    <w:rsid w:val="00E176F5"/>
    <w:rsid w:val="00E31FED"/>
    <w:rsid w:val="00E442B6"/>
    <w:rsid w:val="00E6293F"/>
    <w:rsid w:val="00E76DEA"/>
    <w:rsid w:val="00E7745C"/>
    <w:rsid w:val="00E835FC"/>
    <w:rsid w:val="00E91487"/>
    <w:rsid w:val="00E971A8"/>
    <w:rsid w:val="00EA6590"/>
    <w:rsid w:val="00EB499A"/>
    <w:rsid w:val="00ED6269"/>
    <w:rsid w:val="00EE0C7A"/>
    <w:rsid w:val="00EE51AB"/>
    <w:rsid w:val="00EF03F8"/>
    <w:rsid w:val="00EF212E"/>
    <w:rsid w:val="00EF5818"/>
    <w:rsid w:val="00EF5E4D"/>
    <w:rsid w:val="00F03B47"/>
    <w:rsid w:val="00F254EA"/>
    <w:rsid w:val="00F37E09"/>
    <w:rsid w:val="00F50404"/>
    <w:rsid w:val="00F57BB3"/>
    <w:rsid w:val="00F60C42"/>
    <w:rsid w:val="00F74AEE"/>
    <w:rsid w:val="00F803A8"/>
    <w:rsid w:val="00F85489"/>
    <w:rsid w:val="00FB0AB8"/>
    <w:rsid w:val="00FB0BDC"/>
    <w:rsid w:val="00FB2B0A"/>
    <w:rsid w:val="00FB3C54"/>
    <w:rsid w:val="00FB59EA"/>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8"/>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paragraph" w:customStyle="1" w:styleId="tbl-txt">
    <w:name w:val="tbl-txt"/>
    <w:basedOn w:val="Normal"/>
    <w:rsid w:val="00AC4D54"/>
    <w:pPr>
      <w:spacing w:before="100" w:beforeAutospacing="1" w:after="100" w:afterAutospacing="1"/>
    </w:pPr>
  </w:style>
  <w:style w:type="paragraph" w:customStyle="1" w:styleId="Normal4">
    <w:name w:val="Normal4"/>
    <w:basedOn w:val="Normal"/>
    <w:rsid w:val="00AC4D54"/>
    <w:pPr>
      <w:spacing w:before="100" w:beforeAutospacing="1" w:after="100" w:afterAutospacing="1"/>
    </w:pPr>
  </w:style>
  <w:style w:type="paragraph" w:customStyle="1" w:styleId="ti-grseq-1">
    <w:name w:val="ti-grseq-1"/>
    <w:basedOn w:val="Normal"/>
    <w:rsid w:val="00AC4D54"/>
    <w:pPr>
      <w:spacing w:before="100" w:beforeAutospacing="1" w:after="100" w:afterAutospacing="1"/>
    </w:pPr>
  </w:style>
  <w:style w:type="paragraph" w:customStyle="1" w:styleId="Normal5">
    <w:name w:val="Normal5"/>
    <w:basedOn w:val="Normal"/>
    <w:rsid w:val="00AC4D54"/>
    <w:pPr>
      <w:spacing w:before="100" w:beforeAutospacing="1" w:after="100" w:afterAutospacing="1"/>
    </w:pPr>
  </w:style>
  <w:style w:type="paragraph" w:customStyle="1" w:styleId="Normal6">
    <w:name w:val="Normal6"/>
    <w:basedOn w:val="Normal"/>
    <w:rsid w:val="006B6FE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821607">
      <w:bodyDiv w:val="1"/>
      <w:marLeft w:val="0"/>
      <w:marRight w:val="0"/>
      <w:marTop w:val="0"/>
      <w:marBottom w:val="0"/>
      <w:divBdr>
        <w:top w:val="none" w:sz="0" w:space="0" w:color="auto"/>
        <w:left w:val="none" w:sz="0" w:space="0" w:color="auto"/>
        <w:bottom w:val="none" w:sz="0" w:space="0" w:color="auto"/>
        <w:right w:val="none" w:sz="0" w:space="0" w:color="auto"/>
      </w:divBdr>
      <w:divsChild>
        <w:div w:id="839930878">
          <w:marLeft w:val="0"/>
          <w:marRight w:val="0"/>
          <w:marTop w:val="0"/>
          <w:marBottom w:val="0"/>
          <w:divBdr>
            <w:top w:val="none" w:sz="0" w:space="0" w:color="auto"/>
            <w:left w:val="none" w:sz="0" w:space="0" w:color="auto"/>
            <w:bottom w:val="none" w:sz="0" w:space="0" w:color="auto"/>
            <w:right w:val="none" w:sz="0" w:space="0" w:color="auto"/>
          </w:divBdr>
          <w:divsChild>
            <w:div w:id="14404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5458</Words>
  <Characters>31112</Characters>
  <Application>Microsoft Office Word</Application>
  <DocSecurity>0</DocSecurity>
  <Lines>259</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Ghislaine MAVOUNGOU MASSOUTA</cp:lastModifiedBy>
  <cp:revision>3</cp:revision>
  <dcterms:created xsi:type="dcterms:W3CDTF">2024-09-16T07:22:00Z</dcterms:created>
  <dcterms:modified xsi:type="dcterms:W3CDTF">2024-09-16T07:22:00Z</dcterms:modified>
</cp:coreProperties>
</file>