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3B5F8EC2"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A70563">
        <w:rPr>
          <w:rFonts w:ascii="Helvetica" w:hAnsi="Helvetica"/>
          <w:sz w:val="28"/>
          <w:szCs w:val="28"/>
        </w:rPr>
        <w:t>4</w:t>
      </w:r>
    </w:p>
    <w:p w14:paraId="58CA1ED9" w14:textId="648BB027" w:rsidR="00880CFF" w:rsidRPr="00C9723A" w:rsidRDefault="00C42479" w:rsidP="00880CFF">
      <w:pPr>
        <w:pStyle w:val="NormalWeb"/>
        <w:jc w:val="center"/>
        <w:rPr>
          <w:sz w:val="28"/>
          <w:szCs w:val="28"/>
        </w:rPr>
      </w:pPr>
      <w:r w:rsidRPr="00C42479">
        <w:rPr>
          <w:rFonts w:ascii="Helvetica" w:hAnsi="Helvetica"/>
          <w:sz w:val="28"/>
          <w:szCs w:val="28"/>
        </w:rPr>
        <w:t xml:space="preserve"> </w:t>
      </w:r>
      <w:r w:rsidR="00A70563">
        <w:rPr>
          <w:rFonts w:ascii="Helvetica" w:hAnsi="Helvetica"/>
          <w:sz w:val="28"/>
          <w:szCs w:val="28"/>
        </w:rPr>
        <w:t xml:space="preserve">RELATIVE AUX </w:t>
      </w:r>
      <w:r w:rsidRPr="00C42479">
        <w:rPr>
          <w:rFonts w:ascii="Helvetica" w:hAnsi="Helvetica"/>
          <w:sz w:val="28"/>
          <w:szCs w:val="28"/>
        </w:rPr>
        <w:t xml:space="preserve">OPERATIONS PRESENTANT UN RISQUE ELEVE DE BLANCHIMENT DE CAPITAUX OU DE FINANCEMENT DU TERRORISME </w:t>
      </w:r>
    </w:p>
    <w:p w14:paraId="20D34039" w14:textId="5D0E439F" w:rsidR="00EF5E4D" w:rsidRPr="00C9723A" w:rsidRDefault="00EF5E4D" w:rsidP="00EF5E4D">
      <w:pPr>
        <w:pStyle w:val="NormalWeb"/>
        <w:jc w:val="center"/>
        <w:rPr>
          <w:sz w:val="28"/>
          <w:szCs w:val="28"/>
        </w:rPr>
      </w:pP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54D22948" w:rsidR="00EF5E4D" w:rsidRPr="004765F7" w:rsidRDefault="00DA5AD9"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5DF1B7A9"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DA5AD9">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Pr="004765F7">
        <w:rPr>
          <w:rFonts w:ascii="Helvetica" w:hAnsi="Helvetica"/>
          <w:sz w:val="20"/>
          <w:szCs w:val="20"/>
        </w:rPr>
        <w:t xml:space="preserv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472A42CE"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A70563">
        <w:rPr>
          <w:rFonts w:ascii="Helvetica" w:hAnsi="Helvetica"/>
          <w:sz w:val="20"/>
          <w:szCs w:val="20"/>
        </w:rPr>
        <w:t>°01/22/</w:t>
      </w:r>
      <w:r w:rsidRPr="004765F7">
        <w:rPr>
          <w:rFonts w:ascii="Helvetica" w:hAnsi="Helvetica"/>
          <w:sz w:val="20"/>
          <w:szCs w:val="20"/>
        </w:rPr>
        <w:t>CEMAC</w:t>
      </w:r>
      <w:r w:rsidR="00A70563">
        <w:rPr>
          <w:rFonts w:ascii="Helvetica" w:hAnsi="Helvetica"/>
          <w:sz w:val="20"/>
          <w:szCs w:val="20"/>
        </w:rPr>
        <w:t>/</w:t>
      </w:r>
      <w:r w:rsidRPr="004765F7">
        <w:rPr>
          <w:rFonts w:ascii="Helvetica" w:hAnsi="Helvetica"/>
          <w:sz w:val="20"/>
          <w:szCs w:val="20"/>
        </w:rPr>
        <w:t>UMAC</w:t>
      </w:r>
      <w:r w:rsidR="00A70563">
        <w:rPr>
          <w:rFonts w:ascii="Helvetica" w:hAnsi="Helvetica"/>
          <w:sz w:val="20"/>
          <w:szCs w:val="20"/>
        </w:rPr>
        <w:t>/CM/COSUMAF</w:t>
      </w:r>
      <w:r w:rsidRPr="004765F7">
        <w:rPr>
          <w:rFonts w:ascii="Helvetica" w:hAnsi="Helvetica"/>
          <w:sz w:val="20"/>
          <w:szCs w:val="20"/>
        </w:rPr>
        <w:t xml:space="preserve"> du</w:t>
      </w:r>
      <w:r w:rsidR="00A70563">
        <w:rPr>
          <w:rFonts w:ascii="Helvetica" w:hAnsi="Helvetica"/>
          <w:sz w:val="20"/>
          <w:szCs w:val="20"/>
        </w:rPr>
        <w:t xml:space="preserve"> 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r w:rsidR="00A70563">
        <w:rPr>
          <w:rFonts w:ascii="Helvetica" w:hAnsi="Helvetica"/>
          <w:sz w:val="20"/>
          <w:szCs w:val="20"/>
        </w:rPr>
        <w:t xml:space="preserve"> et</w:t>
      </w:r>
      <w:r w:rsidRPr="004765F7">
        <w:rPr>
          <w:rFonts w:ascii="Helvetica" w:hAnsi="Helvetica"/>
          <w:sz w:val="20"/>
          <w:szCs w:val="20"/>
        </w:rPr>
        <w:t xml:space="preserve"> Fonctionnement du Marché Financier de </w:t>
      </w:r>
      <w:r w:rsidR="0031620A">
        <w:rPr>
          <w:rFonts w:ascii="Helvetica" w:hAnsi="Helvetica"/>
          <w:sz w:val="20"/>
          <w:szCs w:val="20"/>
        </w:rPr>
        <w:t>l</w:t>
      </w:r>
      <w:r w:rsidRPr="004765F7">
        <w:rPr>
          <w:rFonts w:ascii="Helvetica" w:hAnsi="Helvetica"/>
          <w:sz w:val="20"/>
          <w:szCs w:val="20"/>
        </w:rPr>
        <w:t xml:space="preserve">'Afrique </w:t>
      </w:r>
      <w:proofErr w:type="gramStart"/>
      <w:r w:rsidRPr="004765F7">
        <w:rPr>
          <w:rFonts w:ascii="Helvetica" w:hAnsi="Helvetica"/>
          <w:sz w:val="20"/>
          <w:szCs w:val="20"/>
        </w:rPr>
        <w:t>Centrale</w:t>
      </w:r>
      <w:proofErr w:type="gramEnd"/>
      <w:r w:rsidR="00A70563">
        <w:rPr>
          <w:rFonts w:ascii="Helvetica" w:hAnsi="Helvetica"/>
          <w:sz w:val="20"/>
          <w:szCs w:val="20"/>
        </w:rPr>
        <w:t> ;</w:t>
      </w:r>
    </w:p>
    <w:p w14:paraId="3F39EA8E" w14:textId="35CB31F0"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00A70563">
        <w:rPr>
          <w:rFonts w:ascii="Helvetica" w:hAnsi="Helvetica"/>
          <w:sz w:val="20"/>
          <w:szCs w:val="20"/>
        </w:rPr>
        <w:t> ;</w:t>
      </w:r>
    </w:p>
    <w:p w14:paraId="2BE8285F" w14:textId="4F479B54"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A5AD9">
        <w:rPr>
          <w:rFonts w:ascii="Helvetica" w:hAnsi="Helvetica"/>
          <w:sz w:val="20"/>
          <w:szCs w:val="20"/>
        </w:rPr>
        <w:t>30 septembre 2024 à Libreville</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1A22EBF1" w14:textId="7312826F" w:rsidR="00117D65" w:rsidRDefault="00A70563"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Pr>
          <w:rFonts w:ascii="Calibri" w:hAnsi="Calibri" w:cs="Calibri"/>
          <w:sz w:val="20"/>
          <w:szCs w:val="20"/>
        </w:rPr>
        <w:t xml:space="preserve"> est prise en application des dispositions de l’article 14 du Règlement n°01/22/CEMAC/UMAC/CM/COSUMAF du 21 juillet 2022. Elle a pour objet de préciser les opérations présentant un risque élevé de blanchiment de capitaux et de financement du terrorisme en raison du pays ou du territoire d’origine</w:t>
      </w:r>
      <w:r w:rsidR="00B5703E">
        <w:rPr>
          <w:rFonts w:ascii="Calibri" w:hAnsi="Calibri" w:cs="Calibri"/>
          <w:sz w:val="20"/>
          <w:szCs w:val="20"/>
        </w:rPr>
        <w:t xml:space="preserve"> ou de destination des fonds, de la nature des opérations en cause ou des structures juridiques impliquées dans ces opérations. Elle</w:t>
      </w:r>
      <w:r w:rsidR="007A275C">
        <w:rPr>
          <w:rFonts w:ascii="Calibri" w:hAnsi="Calibri" w:cs="Calibri"/>
          <w:sz w:val="20"/>
          <w:szCs w:val="20"/>
        </w:rPr>
        <w:t xml:space="preserve"> </w:t>
      </w:r>
      <w:r w:rsidR="007A275C" w:rsidRPr="00880CFF">
        <w:rPr>
          <w:rFonts w:ascii="Calibri" w:hAnsi="Calibri" w:cs="Calibri"/>
          <w:sz w:val="20"/>
          <w:szCs w:val="20"/>
        </w:rPr>
        <w:t>s’applique</w:t>
      </w:r>
      <w:r w:rsidR="007A275C">
        <w:rPr>
          <w:rFonts w:ascii="Calibri" w:hAnsi="Calibri" w:cs="Calibri"/>
          <w:sz w:val="20"/>
          <w:szCs w:val="20"/>
        </w:rPr>
        <w:t xml:space="preserve"> </w:t>
      </w:r>
      <w:r w:rsidR="00880CFF">
        <w:rPr>
          <w:rFonts w:ascii="Calibri" w:hAnsi="Calibri" w:cs="Calibri"/>
          <w:sz w:val="20"/>
          <w:szCs w:val="20"/>
        </w:rPr>
        <w:t xml:space="preserve">aux </w:t>
      </w:r>
      <w:r w:rsidR="00880CFF" w:rsidRPr="00880CFF">
        <w:rPr>
          <w:rFonts w:ascii="Calibri" w:hAnsi="Calibri" w:cs="Calibri"/>
          <w:sz w:val="20"/>
          <w:szCs w:val="20"/>
        </w:rPr>
        <w:t>personnes,</w:t>
      </w:r>
      <w:r>
        <w:rPr>
          <w:rFonts w:ascii="Calibri" w:hAnsi="Calibri" w:cs="Calibri"/>
          <w:sz w:val="20"/>
          <w:szCs w:val="20"/>
        </w:rPr>
        <w:t xml:space="preserve"> structures ou</w:t>
      </w:r>
      <w:r w:rsidR="00880CFF" w:rsidRPr="00880CFF">
        <w:rPr>
          <w:rFonts w:ascii="Calibri" w:hAnsi="Calibri" w:cs="Calibri"/>
          <w:sz w:val="20"/>
          <w:szCs w:val="20"/>
        </w:rPr>
        <w:t xml:space="preserve"> organismes soumis au contrôle de la COSUMAF</w:t>
      </w:r>
      <w:r>
        <w:rPr>
          <w:rFonts w:ascii="Calibri" w:hAnsi="Calibri" w:cs="Calibri"/>
          <w:sz w:val="20"/>
          <w:szCs w:val="20"/>
        </w:rPr>
        <w:t>.</w:t>
      </w:r>
      <w:r w:rsidR="00764479">
        <w:rPr>
          <w:rFonts w:ascii="Calibri" w:hAnsi="Calibri" w:cs="Calibri"/>
          <w:sz w:val="20"/>
          <w:szCs w:val="20"/>
        </w:rPr>
        <w:t xml:space="preserve"> </w:t>
      </w:r>
    </w:p>
    <w:p w14:paraId="5BF418A1" w14:textId="6AFD8376" w:rsidR="00117D65" w:rsidRPr="00117D65" w:rsidRDefault="00117D65" w:rsidP="00117D65">
      <w:pPr>
        <w:pStyle w:val="NormalWeb"/>
        <w:jc w:val="both"/>
        <w:rPr>
          <w:rFonts w:ascii="Calibri" w:hAnsi="Calibri" w:cs="Calibri"/>
          <w:b/>
          <w:bCs/>
          <w:sz w:val="36"/>
          <w:szCs w:val="36"/>
        </w:rPr>
      </w:pPr>
      <w:r w:rsidRPr="00117D65">
        <w:rPr>
          <w:rFonts w:ascii="Calibri" w:hAnsi="Calibri" w:cs="Calibri"/>
          <w:b/>
          <w:bCs/>
          <w:sz w:val="36"/>
          <w:szCs w:val="36"/>
        </w:rPr>
        <w:t xml:space="preserve">TITRE I </w:t>
      </w:r>
      <w:r>
        <w:rPr>
          <w:rFonts w:ascii="Calibri" w:hAnsi="Calibri" w:cs="Calibri"/>
          <w:b/>
          <w:bCs/>
          <w:sz w:val="36"/>
          <w:szCs w:val="36"/>
        </w:rPr>
        <w:t>–</w:t>
      </w:r>
      <w:r w:rsidRPr="00117D65">
        <w:rPr>
          <w:rFonts w:ascii="Calibri" w:hAnsi="Calibri" w:cs="Calibri"/>
          <w:b/>
          <w:bCs/>
          <w:sz w:val="36"/>
          <w:szCs w:val="36"/>
        </w:rPr>
        <w:t xml:space="preserve"> </w:t>
      </w:r>
      <w:r w:rsidR="007F3200">
        <w:rPr>
          <w:rFonts w:ascii="Calibri" w:hAnsi="Calibri" w:cs="Calibri"/>
          <w:b/>
          <w:bCs/>
          <w:sz w:val="36"/>
          <w:szCs w:val="36"/>
        </w:rPr>
        <w:t>CONSEILLERS EN INVESTISSEMENT</w:t>
      </w:r>
      <w:r w:rsidR="00A22E71">
        <w:rPr>
          <w:rFonts w:ascii="Calibri" w:hAnsi="Calibri" w:cs="Calibri"/>
          <w:b/>
          <w:bCs/>
          <w:sz w:val="36"/>
          <w:szCs w:val="36"/>
        </w:rPr>
        <w:t>S</w:t>
      </w:r>
      <w:r w:rsidR="007F3200">
        <w:rPr>
          <w:rFonts w:ascii="Calibri" w:hAnsi="Calibri" w:cs="Calibri"/>
          <w:b/>
          <w:bCs/>
          <w:sz w:val="36"/>
          <w:szCs w:val="36"/>
        </w:rPr>
        <w:t xml:space="preserve"> FINANCIERS ET EN FINA</w:t>
      </w:r>
      <w:r w:rsidR="00B5703E">
        <w:rPr>
          <w:rFonts w:ascii="Calibri" w:hAnsi="Calibri" w:cs="Calibri"/>
          <w:b/>
          <w:bCs/>
          <w:sz w:val="36"/>
          <w:szCs w:val="36"/>
        </w:rPr>
        <w:t>N</w:t>
      </w:r>
      <w:r w:rsidR="007F3200">
        <w:rPr>
          <w:rFonts w:ascii="Calibri" w:hAnsi="Calibri" w:cs="Calibri"/>
          <w:b/>
          <w:bCs/>
          <w:sz w:val="36"/>
          <w:szCs w:val="36"/>
        </w:rPr>
        <w:t>CEMENT PARTICIPATIF</w:t>
      </w:r>
    </w:p>
    <w:p w14:paraId="54BFE58E" w14:textId="0C4F57B2" w:rsidR="007F3200" w:rsidRPr="00AC4D54" w:rsidRDefault="007F3200" w:rsidP="007F3200">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2</w:t>
      </w:r>
      <w:r w:rsidRPr="00ED6269">
        <w:rPr>
          <w:rFonts w:ascii="Trebuchet MS" w:hAnsi="Trebuchet MS"/>
          <w:b/>
          <w:bCs/>
        </w:rPr>
        <w:t xml:space="preserve"> </w:t>
      </w:r>
      <w:r>
        <w:rPr>
          <w:rFonts w:ascii="Trebuchet MS" w:hAnsi="Trebuchet MS"/>
          <w:b/>
          <w:bCs/>
        </w:rPr>
        <w:t xml:space="preserve">– FACTEURS DE RISQUES LIES AUX PRODUITS, AUX SERVICES ET AUX TRANSACTIONS </w:t>
      </w:r>
    </w:p>
    <w:p w14:paraId="67717ADC" w14:textId="548D15D8" w:rsidR="007F3200" w:rsidRDefault="007F3200" w:rsidP="007F3200">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B5703E">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5C2CE12D" w14:textId="40C75C61" w:rsid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es clients demandent d’importantes sommes en espèces ou d’autres réserves physiques de valeur, telles que des métaux précieux</w:t>
      </w:r>
      <w:r>
        <w:rPr>
          <w:rFonts w:ascii="Calibri" w:hAnsi="Calibri" w:cs="Calibri"/>
          <w:sz w:val="20"/>
          <w:szCs w:val="20"/>
        </w:rPr>
        <w:t xml:space="preserve"> </w:t>
      </w:r>
      <w:r w:rsidRPr="007F3200">
        <w:rPr>
          <w:rFonts w:ascii="Calibri" w:hAnsi="Calibri" w:cs="Calibri"/>
          <w:sz w:val="20"/>
          <w:szCs w:val="20"/>
        </w:rPr>
        <w:t xml:space="preserve">; </w:t>
      </w:r>
    </w:p>
    <w:p w14:paraId="1B7A92C8" w14:textId="2F2CD037" w:rsid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es transactions d’un montant très élevé</w:t>
      </w:r>
      <w:r>
        <w:rPr>
          <w:rFonts w:ascii="Calibri" w:hAnsi="Calibri" w:cs="Calibri"/>
          <w:sz w:val="20"/>
          <w:szCs w:val="20"/>
        </w:rPr>
        <w:t xml:space="preserve"> </w:t>
      </w:r>
      <w:r w:rsidRPr="007F3200">
        <w:rPr>
          <w:rFonts w:ascii="Calibri" w:hAnsi="Calibri" w:cs="Calibri"/>
          <w:sz w:val="20"/>
          <w:szCs w:val="20"/>
        </w:rPr>
        <w:t xml:space="preserve">; </w:t>
      </w:r>
    </w:p>
    <w:p w14:paraId="782D8EED"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5EC3D841" w14:textId="653C87D3" w:rsid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 xml:space="preserve">es arrangements financiers impliquant des pays ou territoires associés à un risque plus élevé de </w:t>
      </w:r>
      <w:r>
        <w:rPr>
          <w:rFonts w:ascii="Calibri" w:hAnsi="Calibri" w:cs="Calibri"/>
          <w:sz w:val="20"/>
          <w:szCs w:val="20"/>
        </w:rPr>
        <w:t xml:space="preserve">blanchiment de capitaux et du financement du terrorisme </w:t>
      </w:r>
      <w:r w:rsidRPr="007F3200">
        <w:rPr>
          <w:rFonts w:ascii="Calibri" w:hAnsi="Calibri" w:cs="Calibri"/>
          <w:sz w:val="20"/>
          <w:szCs w:val="20"/>
        </w:rPr>
        <w:t>;</w:t>
      </w:r>
    </w:p>
    <w:p w14:paraId="568E6105"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01DDF3B2" w14:textId="2C501BAC" w:rsid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es prêts garantis par la valeur de biens situés dans d’autres pays ou territoires, en particulier dans des pays ou territoires où il est difficile de déterminer si le client peut légitimement mettre en œuvre cette garantie, ou lorsque l’identité des parties garantissant le prêt est difficile à vérifier</w:t>
      </w:r>
      <w:r>
        <w:rPr>
          <w:rFonts w:ascii="Calibri" w:hAnsi="Calibri" w:cs="Calibri"/>
          <w:sz w:val="20"/>
          <w:szCs w:val="20"/>
        </w:rPr>
        <w:t xml:space="preserve"> </w:t>
      </w:r>
      <w:r w:rsidRPr="007F3200">
        <w:rPr>
          <w:rFonts w:ascii="Calibri" w:hAnsi="Calibri" w:cs="Calibri"/>
          <w:sz w:val="20"/>
          <w:szCs w:val="20"/>
        </w:rPr>
        <w:t>;</w:t>
      </w:r>
    </w:p>
    <w:p w14:paraId="70790B31"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546238DF" w14:textId="1842698F" w:rsid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’utilisation de structures commerciales complexes, telles que les fiducies/trusts ou les véhicules d’investissement privés, en particulier lorsque l’identité du bénéficiaire effectif en dernier ressort pourrait ne pas être claire</w:t>
      </w:r>
      <w:r>
        <w:rPr>
          <w:rFonts w:ascii="Calibri" w:hAnsi="Calibri" w:cs="Calibri"/>
          <w:sz w:val="20"/>
          <w:szCs w:val="20"/>
        </w:rPr>
        <w:t xml:space="preserve"> </w:t>
      </w:r>
      <w:r w:rsidRPr="007F3200">
        <w:rPr>
          <w:rFonts w:ascii="Calibri" w:hAnsi="Calibri" w:cs="Calibri"/>
          <w:sz w:val="20"/>
          <w:szCs w:val="20"/>
        </w:rPr>
        <w:t xml:space="preserve">; </w:t>
      </w:r>
    </w:p>
    <w:p w14:paraId="68A3852C"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314B8890" w14:textId="77777777" w:rsid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 xml:space="preserve">es activités commerciales exercées dans plusieurs pays, en particulier lorsqu’elles impliquent plusieurs prestataires de services financiers ; </w:t>
      </w:r>
    </w:p>
    <w:p w14:paraId="7E79B78F"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2A57A21C" w14:textId="08D20869" w:rsidR="007F3200" w:rsidRPr="007F3200" w:rsidRDefault="007F3200" w:rsidP="007F3200">
      <w:pPr>
        <w:pStyle w:val="Paragraphedeliste"/>
        <w:numPr>
          <w:ilvl w:val="0"/>
          <w:numId w:val="91"/>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7F3200">
        <w:rPr>
          <w:rFonts w:ascii="Calibri" w:hAnsi="Calibri" w:cs="Calibri"/>
          <w:sz w:val="20"/>
          <w:szCs w:val="20"/>
        </w:rPr>
        <w:t xml:space="preserve">es arrangements transfrontaliers lorsque les actifs sont déposés ou gérés dans un autre établissement financier appartenant au même groupe financier ou extérieur au groupe, en particulier lorsque l’autre établissement financier est installé dans un pays ou territoire associé à un risque plus élevé de </w:t>
      </w:r>
      <w:r>
        <w:rPr>
          <w:rFonts w:ascii="Calibri" w:hAnsi="Calibri" w:cs="Calibri"/>
          <w:sz w:val="20"/>
          <w:szCs w:val="20"/>
        </w:rPr>
        <w:t>blanchiment de capitaux et du financement du terrorisme</w:t>
      </w:r>
      <w:r w:rsidRPr="007F3200">
        <w:rPr>
          <w:rFonts w:ascii="Calibri" w:hAnsi="Calibri" w:cs="Calibri"/>
          <w:sz w:val="20"/>
          <w:szCs w:val="20"/>
        </w:rPr>
        <w:t xml:space="preserve">. Les établissements devraient accorder une attention particulière aux pays et territoires présentant des niveaux d’infractions sous-jacentes plus élevés, un dispositif de lutte contre le </w:t>
      </w:r>
      <w:r>
        <w:rPr>
          <w:rFonts w:ascii="Calibri" w:hAnsi="Calibri" w:cs="Calibri"/>
          <w:sz w:val="20"/>
          <w:szCs w:val="20"/>
        </w:rPr>
        <w:t>blanchiment de capitaux et du financement du terrorisme</w:t>
      </w:r>
      <w:r w:rsidRPr="007F3200">
        <w:rPr>
          <w:rFonts w:ascii="Calibri" w:hAnsi="Calibri" w:cs="Calibri"/>
          <w:sz w:val="20"/>
          <w:szCs w:val="20"/>
        </w:rPr>
        <w:t xml:space="preserve"> ou des normes de transparence fiscale faibles.</w:t>
      </w:r>
    </w:p>
    <w:p w14:paraId="33248598" w14:textId="77777777" w:rsidR="007F3200" w:rsidRPr="00337811" w:rsidRDefault="007F3200" w:rsidP="007F3200">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3</w:t>
      </w:r>
      <w:r w:rsidRPr="00ED6269">
        <w:rPr>
          <w:rFonts w:ascii="Trebuchet MS" w:hAnsi="Trebuchet MS"/>
          <w:b/>
          <w:bCs/>
        </w:rPr>
        <w:t xml:space="preserve"> </w:t>
      </w:r>
      <w:r>
        <w:rPr>
          <w:rFonts w:ascii="Trebuchet MS" w:hAnsi="Trebuchet MS"/>
          <w:b/>
          <w:bCs/>
        </w:rPr>
        <w:t>– FACTEURS DE RISQUES LIES AUX CLIENTS</w:t>
      </w:r>
    </w:p>
    <w:p w14:paraId="1B25F535" w14:textId="57F8D97F" w:rsidR="007F3200" w:rsidRDefault="007F3200" w:rsidP="007F3200">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 xml:space="preserve">suivant </w:t>
      </w:r>
      <w:r w:rsidRPr="00337811">
        <w:rPr>
          <w:rFonts w:ascii="Calibri" w:hAnsi="Calibri" w:cs="Calibri"/>
          <w:sz w:val="20"/>
          <w:szCs w:val="20"/>
        </w:rPr>
        <w:t>peuvent présenter un risque élevé de blanchiment de capitaux et de financement du terrorisme :</w:t>
      </w:r>
    </w:p>
    <w:p w14:paraId="790E026E" w14:textId="4B062B34" w:rsidR="007F3200" w:rsidRDefault="007F3200" w:rsidP="007F3200">
      <w:pPr>
        <w:pStyle w:val="Paragraphedeliste"/>
        <w:numPr>
          <w:ilvl w:val="0"/>
          <w:numId w:val="92"/>
        </w:numPr>
        <w:spacing w:before="100" w:beforeAutospacing="1" w:after="100" w:afterAutospacing="1"/>
        <w:jc w:val="both"/>
        <w:rPr>
          <w:rFonts w:ascii="Calibri" w:hAnsi="Calibri" w:cs="Calibri"/>
          <w:sz w:val="20"/>
          <w:szCs w:val="20"/>
        </w:rPr>
      </w:pPr>
      <w:r w:rsidRPr="007F3200">
        <w:rPr>
          <w:rFonts w:ascii="Calibri" w:hAnsi="Calibri" w:cs="Calibri"/>
          <w:sz w:val="20"/>
          <w:szCs w:val="20"/>
        </w:rPr>
        <w:t xml:space="preserve">Les clients disposant de revenus et/ou d’un patrimoine issu de secteurs à risque élevé tels que l’armement, les industries extractives, la construction, les jeux d’argent et de hasard ou la sous-traitance d’activités militaires au secteur privé. </w:t>
      </w:r>
    </w:p>
    <w:p w14:paraId="370C769C"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2E014E42" w14:textId="77777777" w:rsidR="007F3200" w:rsidRDefault="007F3200" w:rsidP="007F3200">
      <w:pPr>
        <w:pStyle w:val="Paragraphedeliste"/>
        <w:numPr>
          <w:ilvl w:val="0"/>
          <w:numId w:val="92"/>
        </w:numPr>
        <w:spacing w:before="100" w:beforeAutospacing="1" w:after="100" w:afterAutospacing="1"/>
        <w:jc w:val="both"/>
        <w:rPr>
          <w:rFonts w:ascii="Calibri" w:hAnsi="Calibri" w:cs="Calibri"/>
          <w:sz w:val="20"/>
          <w:szCs w:val="20"/>
        </w:rPr>
      </w:pPr>
      <w:r w:rsidRPr="007F3200">
        <w:rPr>
          <w:rFonts w:ascii="Calibri" w:hAnsi="Calibri" w:cs="Calibri"/>
          <w:sz w:val="20"/>
          <w:szCs w:val="20"/>
        </w:rPr>
        <w:t xml:space="preserve">Les clients qui ont fait l’objet d’allégations d’infractions crédibles. </w:t>
      </w:r>
    </w:p>
    <w:p w14:paraId="1855BEE8"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1AD21DA8" w14:textId="77777777" w:rsidR="007F3200" w:rsidRDefault="007F3200" w:rsidP="007F3200">
      <w:pPr>
        <w:pStyle w:val="Paragraphedeliste"/>
        <w:numPr>
          <w:ilvl w:val="0"/>
          <w:numId w:val="92"/>
        </w:numPr>
        <w:spacing w:before="100" w:beforeAutospacing="1" w:after="100" w:afterAutospacing="1"/>
        <w:jc w:val="both"/>
        <w:rPr>
          <w:rFonts w:ascii="Calibri" w:hAnsi="Calibri" w:cs="Calibri"/>
          <w:sz w:val="20"/>
          <w:szCs w:val="20"/>
        </w:rPr>
      </w:pPr>
      <w:r w:rsidRPr="007F3200">
        <w:rPr>
          <w:rFonts w:ascii="Calibri" w:hAnsi="Calibri" w:cs="Calibri"/>
          <w:sz w:val="20"/>
          <w:szCs w:val="20"/>
        </w:rPr>
        <w:t xml:space="preserve">Les clients qui exigent un niveau de confidentialité ou de discrétion inhabituellement élevé. </w:t>
      </w:r>
    </w:p>
    <w:p w14:paraId="6CC5E0E2"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04A7DA60" w14:textId="77777777" w:rsidR="007F3200" w:rsidRDefault="007F3200" w:rsidP="007F3200">
      <w:pPr>
        <w:pStyle w:val="Paragraphedeliste"/>
        <w:numPr>
          <w:ilvl w:val="0"/>
          <w:numId w:val="92"/>
        </w:numPr>
        <w:spacing w:before="100" w:beforeAutospacing="1" w:after="100" w:afterAutospacing="1"/>
        <w:jc w:val="both"/>
        <w:rPr>
          <w:rFonts w:ascii="Calibri" w:hAnsi="Calibri" w:cs="Calibri"/>
          <w:sz w:val="20"/>
          <w:szCs w:val="20"/>
        </w:rPr>
      </w:pPr>
      <w:r w:rsidRPr="007F3200">
        <w:rPr>
          <w:rFonts w:ascii="Calibri" w:hAnsi="Calibri" w:cs="Calibri"/>
          <w:sz w:val="20"/>
          <w:szCs w:val="20"/>
        </w:rPr>
        <w:t xml:space="preserve">Les clients dont le comportement en matière de dépenses et de transactions rend difficile l’établissement d’un type de comportement «normal» ou attendu. </w:t>
      </w:r>
    </w:p>
    <w:p w14:paraId="3275E76D" w14:textId="77777777" w:rsidR="007F3200" w:rsidRDefault="007F3200" w:rsidP="007F3200">
      <w:pPr>
        <w:pStyle w:val="Paragraphedeliste"/>
        <w:spacing w:before="100" w:beforeAutospacing="1" w:after="100" w:afterAutospacing="1"/>
        <w:jc w:val="both"/>
        <w:rPr>
          <w:rFonts w:ascii="Calibri" w:hAnsi="Calibri" w:cs="Calibri"/>
          <w:sz w:val="20"/>
          <w:szCs w:val="20"/>
        </w:rPr>
      </w:pPr>
    </w:p>
    <w:p w14:paraId="59BC6492" w14:textId="38920515" w:rsidR="006B0D06" w:rsidRDefault="007F3200" w:rsidP="007F3200">
      <w:pPr>
        <w:pStyle w:val="Paragraphedeliste"/>
        <w:numPr>
          <w:ilvl w:val="0"/>
          <w:numId w:val="92"/>
        </w:numPr>
        <w:spacing w:before="100" w:beforeAutospacing="1" w:after="100" w:afterAutospacing="1"/>
        <w:jc w:val="both"/>
        <w:rPr>
          <w:rFonts w:ascii="Calibri" w:hAnsi="Calibri" w:cs="Calibri"/>
          <w:sz w:val="20"/>
          <w:szCs w:val="20"/>
        </w:rPr>
      </w:pPr>
      <w:r w:rsidRPr="007F3200">
        <w:rPr>
          <w:rFonts w:ascii="Calibri" w:hAnsi="Calibri" w:cs="Calibri"/>
          <w:sz w:val="20"/>
          <w:szCs w:val="20"/>
        </w:rPr>
        <w:t xml:space="preserve">Les clients très fortunés et influents, y compris les clients qui jouissent d’une grande notoriété publique, les clients </w:t>
      </w:r>
      <w:r w:rsidR="006B0D06" w:rsidRPr="007F3200">
        <w:rPr>
          <w:rFonts w:ascii="Calibri" w:hAnsi="Calibri" w:cs="Calibri"/>
          <w:sz w:val="20"/>
          <w:szCs w:val="20"/>
        </w:rPr>
        <w:t>non-résidents</w:t>
      </w:r>
      <w:r w:rsidRPr="007F3200">
        <w:rPr>
          <w:rFonts w:ascii="Calibri" w:hAnsi="Calibri" w:cs="Calibri"/>
          <w:sz w:val="20"/>
          <w:szCs w:val="20"/>
        </w:rPr>
        <w:t xml:space="preserve"> et les </w:t>
      </w:r>
      <w:r w:rsidR="006B0D06">
        <w:rPr>
          <w:rFonts w:ascii="Calibri" w:hAnsi="Calibri" w:cs="Calibri"/>
          <w:sz w:val="20"/>
          <w:szCs w:val="20"/>
        </w:rPr>
        <w:t>personnes politiquement exposée</w:t>
      </w:r>
      <w:r w:rsidRPr="007F3200">
        <w:rPr>
          <w:rFonts w:ascii="Calibri" w:hAnsi="Calibri" w:cs="Calibri"/>
          <w:sz w:val="20"/>
          <w:szCs w:val="20"/>
        </w:rPr>
        <w:t xml:space="preserve">. Lorsqu’un client ou le bénéficiaire effectif d’un client est une </w:t>
      </w:r>
      <w:r w:rsidR="006B0D06">
        <w:rPr>
          <w:rFonts w:ascii="Calibri" w:hAnsi="Calibri" w:cs="Calibri"/>
          <w:sz w:val="20"/>
          <w:szCs w:val="20"/>
        </w:rPr>
        <w:t>personne politiquement exposée</w:t>
      </w:r>
      <w:r w:rsidRPr="007F3200">
        <w:rPr>
          <w:rFonts w:ascii="Calibri" w:hAnsi="Calibri" w:cs="Calibri"/>
          <w:sz w:val="20"/>
          <w:szCs w:val="20"/>
        </w:rPr>
        <w:t xml:space="preserve">, les </w:t>
      </w:r>
      <w:r w:rsidR="006B0D06">
        <w:rPr>
          <w:rFonts w:ascii="Calibri" w:hAnsi="Calibri" w:cs="Calibri"/>
          <w:sz w:val="20"/>
          <w:szCs w:val="20"/>
        </w:rPr>
        <w:t xml:space="preserve">assujettis </w:t>
      </w:r>
      <w:r w:rsidRPr="007F3200">
        <w:rPr>
          <w:rFonts w:ascii="Calibri" w:hAnsi="Calibri" w:cs="Calibri"/>
          <w:sz w:val="20"/>
          <w:szCs w:val="20"/>
        </w:rPr>
        <w:t>doivent toujours appliquer des mesures de vigilance renforcées à l’égard de la clientèle.</w:t>
      </w:r>
    </w:p>
    <w:p w14:paraId="132CCBC5" w14:textId="77777777" w:rsidR="006B0D06" w:rsidRDefault="007F3200" w:rsidP="006B0D06">
      <w:pPr>
        <w:pStyle w:val="Paragraphedeliste"/>
        <w:spacing w:before="100" w:beforeAutospacing="1" w:after="100" w:afterAutospacing="1"/>
        <w:jc w:val="both"/>
        <w:rPr>
          <w:rFonts w:ascii="Calibri" w:hAnsi="Calibri" w:cs="Calibri"/>
          <w:sz w:val="20"/>
          <w:szCs w:val="20"/>
        </w:rPr>
      </w:pPr>
      <w:r w:rsidRPr="007F3200">
        <w:rPr>
          <w:rFonts w:ascii="Calibri" w:hAnsi="Calibri" w:cs="Calibri"/>
          <w:sz w:val="20"/>
          <w:szCs w:val="20"/>
        </w:rPr>
        <w:t xml:space="preserve"> </w:t>
      </w:r>
    </w:p>
    <w:p w14:paraId="61F28FEE" w14:textId="5ABA9338" w:rsidR="007F3200" w:rsidRPr="007F3200" w:rsidRDefault="007F3200" w:rsidP="007F3200">
      <w:pPr>
        <w:pStyle w:val="Paragraphedeliste"/>
        <w:numPr>
          <w:ilvl w:val="0"/>
          <w:numId w:val="92"/>
        </w:numPr>
        <w:spacing w:before="100" w:beforeAutospacing="1" w:after="100" w:afterAutospacing="1"/>
        <w:jc w:val="both"/>
        <w:rPr>
          <w:rFonts w:ascii="Calibri" w:hAnsi="Calibri" w:cs="Calibri"/>
          <w:sz w:val="20"/>
          <w:szCs w:val="20"/>
        </w:rPr>
      </w:pPr>
      <w:r w:rsidRPr="007F3200">
        <w:rPr>
          <w:rFonts w:ascii="Calibri" w:hAnsi="Calibri" w:cs="Calibri"/>
          <w:sz w:val="20"/>
          <w:szCs w:val="20"/>
        </w:rPr>
        <w:t>Le client demande à l’</w:t>
      </w:r>
      <w:r w:rsidR="006B0D06">
        <w:rPr>
          <w:rFonts w:ascii="Calibri" w:hAnsi="Calibri" w:cs="Calibri"/>
          <w:sz w:val="20"/>
          <w:szCs w:val="20"/>
        </w:rPr>
        <w:t xml:space="preserve">assujetti </w:t>
      </w:r>
      <w:r w:rsidRPr="007F3200">
        <w:rPr>
          <w:rFonts w:ascii="Calibri" w:hAnsi="Calibri" w:cs="Calibri"/>
          <w:sz w:val="20"/>
          <w:szCs w:val="20"/>
        </w:rPr>
        <w:t>de l’aider à obtenir un produit ou service d’un tiers sans logique économique ou commerciale claire.</w:t>
      </w:r>
    </w:p>
    <w:p w14:paraId="1E4EA3C5" w14:textId="726A54E2" w:rsidR="006B0D06" w:rsidRPr="00337811" w:rsidRDefault="006B0D06" w:rsidP="006B0D06">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FACTEURS DE RISQUES LIES AUX PAYS OU ZONES GEOGRAPHIQUES</w:t>
      </w:r>
    </w:p>
    <w:p w14:paraId="6DE44680" w14:textId="77777777" w:rsidR="006B0D06" w:rsidRDefault="006B0D06" w:rsidP="006B0D06">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 xml:space="preserve">suivant </w:t>
      </w:r>
      <w:r w:rsidRPr="00337811">
        <w:rPr>
          <w:rFonts w:ascii="Calibri" w:hAnsi="Calibri" w:cs="Calibri"/>
          <w:sz w:val="20"/>
          <w:szCs w:val="20"/>
        </w:rPr>
        <w:t>peuvent présenter un risque élevé de blanchiment de capitaux et de financement du terrorisme :</w:t>
      </w:r>
    </w:p>
    <w:p w14:paraId="3F351634" w14:textId="77777777" w:rsidR="006B0D06" w:rsidRDefault="006B0D06" w:rsidP="006B0D06">
      <w:pPr>
        <w:pStyle w:val="Paragraphedeliste"/>
        <w:numPr>
          <w:ilvl w:val="0"/>
          <w:numId w:val="93"/>
        </w:numPr>
        <w:spacing w:before="100" w:beforeAutospacing="1" w:after="100" w:afterAutospacing="1"/>
        <w:jc w:val="both"/>
        <w:rPr>
          <w:rFonts w:ascii="Calibri" w:hAnsi="Calibri" w:cs="Calibri"/>
          <w:sz w:val="20"/>
          <w:szCs w:val="20"/>
        </w:rPr>
      </w:pPr>
      <w:r w:rsidRPr="006B0D06">
        <w:rPr>
          <w:rFonts w:ascii="Calibri" w:hAnsi="Calibri" w:cs="Calibri"/>
          <w:sz w:val="20"/>
          <w:szCs w:val="20"/>
        </w:rPr>
        <w:t xml:space="preserve">Les activités commerciales sont exercées dans des pays ayant une culture du secret bancaire ou ne respectant pas les normes internationales en matière de transparence fiscale. </w:t>
      </w:r>
    </w:p>
    <w:p w14:paraId="3AF8B39E" w14:textId="77777777" w:rsidR="006B0D06" w:rsidRDefault="006B0D06" w:rsidP="006B0D06">
      <w:pPr>
        <w:pStyle w:val="Paragraphedeliste"/>
        <w:spacing w:before="100" w:beforeAutospacing="1" w:after="100" w:afterAutospacing="1"/>
        <w:jc w:val="both"/>
        <w:rPr>
          <w:rFonts w:ascii="Calibri" w:hAnsi="Calibri" w:cs="Calibri"/>
          <w:sz w:val="20"/>
          <w:szCs w:val="20"/>
        </w:rPr>
      </w:pPr>
    </w:p>
    <w:p w14:paraId="432B9E74" w14:textId="3334579C" w:rsidR="006B0D06" w:rsidRDefault="006B0D06" w:rsidP="006B0D06">
      <w:pPr>
        <w:pStyle w:val="Paragraphedeliste"/>
        <w:numPr>
          <w:ilvl w:val="0"/>
          <w:numId w:val="93"/>
        </w:numPr>
        <w:spacing w:before="100" w:beforeAutospacing="1" w:after="100" w:afterAutospacing="1"/>
        <w:jc w:val="both"/>
        <w:rPr>
          <w:rFonts w:ascii="Calibri" w:hAnsi="Calibri" w:cs="Calibri"/>
          <w:sz w:val="20"/>
          <w:szCs w:val="20"/>
        </w:rPr>
      </w:pPr>
      <w:r w:rsidRPr="006B0D06">
        <w:rPr>
          <w:rFonts w:ascii="Calibri" w:hAnsi="Calibri" w:cs="Calibri"/>
          <w:sz w:val="20"/>
          <w:szCs w:val="20"/>
        </w:rPr>
        <w:t xml:space="preserve">Le client vit dans un pays ou territoire associé à un risque plus élevé de </w:t>
      </w:r>
      <w:r>
        <w:rPr>
          <w:rFonts w:ascii="Calibri" w:hAnsi="Calibri" w:cs="Calibri"/>
          <w:sz w:val="20"/>
          <w:szCs w:val="20"/>
        </w:rPr>
        <w:t xml:space="preserve">blanchiment de capitaux et du financement du terrorisme </w:t>
      </w:r>
      <w:r w:rsidRPr="006B0D06">
        <w:rPr>
          <w:rFonts w:ascii="Calibri" w:hAnsi="Calibri" w:cs="Calibri"/>
          <w:sz w:val="20"/>
          <w:szCs w:val="20"/>
        </w:rPr>
        <w:t>ou ses fonds proviennent d’une activité exercée dans un tel pays ou territoire.</w:t>
      </w:r>
    </w:p>
    <w:p w14:paraId="6ECDA1A0" w14:textId="77777777" w:rsidR="002379AC" w:rsidRPr="006B0D06" w:rsidRDefault="002379AC" w:rsidP="002379AC">
      <w:pPr>
        <w:pStyle w:val="Paragraphedeliste"/>
        <w:spacing w:before="100" w:beforeAutospacing="1" w:after="100" w:afterAutospacing="1"/>
        <w:jc w:val="both"/>
        <w:rPr>
          <w:rFonts w:ascii="Calibri" w:hAnsi="Calibri" w:cs="Calibri"/>
          <w:sz w:val="20"/>
          <w:szCs w:val="20"/>
        </w:rPr>
      </w:pPr>
    </w:p>
    <w:p w14:paraId="00B910F0" w14:textId="6E80B812" w:rsidR="002379AC" w:rsidRPr="00117D65" w:rsidRDefault="002379AC" w:rsidP="002379AC">
      <w:pPr>
        <w:pStyle w:val="NormalWeb"/>
        <w:jc w:val="both"/>
        <w:rPr>
          <w:rFonts w:ascii="Calibri" w:hAnsi="Calibri" w:cs="Calibri"/>
          <w:b/>
          <w:bCs/>
          <w:sz w:val="36"/>
          <w:szCs w:val="36"/>
        </w:rPr>
      </w:pPr>
      <w:r w:rsidRPr="00117D65">
        <w:rPr>
          <w:rFonts w:ascii="Calibri" w:hAnsi="Calibri" w:cs="Calibri"/>
          <w:b/>
          <w:bCs/>
          <w:sz w:val="36"/>
          <w:szCs w:val="36"/>
        </w:rPr>
        <w:t>TITRE I</w:t>
      </w:r>
      <w:r>
        <w:rPr>
          <w:rFonts w:ascii="Calibri" w:hAnsi="Calibri" w:cs="Calibri"/>
          <w:b/>
          <w:bCs/>
          <w:sz w:val="36"/>
          <w:szCs w:val="36"/>
        </w:rPr>
        <w:t>I</w:t>
      </w:r>
      <w:r w:rsidRPr="00117D65">
        <w:rPr>
          <w:rFonts w:ascii="Calibri" w:hAnsi="Calibri" w:cs="Calibri"/>
          <w:b/>
          <w:bCs/>
          <w:sz w:val="36"/>
          <w:szCs w:val="36"/>
        </w:rPr>
        <w:t xml:space="preserve"> </w:t>
      </w:r>
      <w:r>
        <w:rPr>
          <w:rFonts w:ascii="Calibri" w:hAnsi="Calibri" w:cs="Calibri"/>
          <w:b/>
          <w:bCs/>
          <w:sz w:val="36"/>
          <w:szCs w:val="36"/>
        </w:rPr>
        <w:t>–</w:t>
      </w:r>
      <w:r w:rsidRPr="00117D65">
        <w:rPr>
          <w:rFonts w:ascii="Calibri" w:hAnsi="Calibri" w:cs="Calibri"/>
          <w:b/>
          <w:bCs/>
          <w:sz w:val="36"/>
          <w:szCs w:val="36"/>
        </w:rPr>
        <w:t xml:space="preserve"> </w:t>
      </w:r>
      <w:r w:rsidR="00DE75DD">
        <w:rPr>
          <w:rFonts w:ascii="Calibri" w:hAnsi="Calibri" w:cs="Calibri"/>
          <w:b/>
          <w:bCs/>
          <w:sz w:val="36"/>
          <w:szCs w:val="36"/>
        </w:rPr>
        <w:t xml:space="preserve">AUTRES </w:t>
      </w:r>
      <w:r>
        <w:rPr>
          <w:rFonts w:ascii="Calibri" w:hAnsi="Calibri" w:cs="Calibri"/>
          <w:b/>
          <w:bCs/>
          <w:sz w:val="36"/>
          <w:szCs w:val="36"/>
        </w:rPr>
        <w:t xml:space="preserve">INTERMEDIAIRES FINANCIERS </w:t>
      </w:r>
    </w:p>
    <w:p w14:paraId="56CB6A8D" w14:textId="01EE7EAE" w:rsidR="002379AC" w:rsidRPr="00AC4D54" w:rsidRDefault="002379AC" w:rsidP="002379AC">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5</w:t>
      </w:r>
      <w:r w:rsidRPr="00ED6269">
        <w:rPr>
          <w:rFonts w:ascii="Trebuchet MS" w:hAnsi="Trebuchet MS"/>
          <w:b/>
          <w:bCs/>
        </w:rPr>
        <w:t xml:space="preserve"> </w:t>
      </w:r>
      <w:r>
        <w:rPr>
          <w:rFonts w:ascii="Trebuchet MS" w:hAnsi="Trebuchet MS"/>
          <w:b/>
          <w:bCs/>
        </w:rPr>
        <w:t xml:space="preserve">– FACTEURS DE RISQUES LIES AUX PRODUITS, AUX SERVICES ET AUX TRANSACTIONS </w:t>
      </w:r>
    </w:p>
    <w:p w14:paraId="53BFA3E9" w14:textId="4FBFBE59" w:rsidR="002379AC" w:rsidRDefault="002379AC" w:rsidP="002379AC">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AA09A9">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23C01B92" w14:textId="4D8041A9" w:rsidR="002379AC" w:rsidRDefault="002379AC" w:rsidP="002379AC">
      <w:pPr>
        <w:pStyle w:val="Paragraphedeliste"/>
        <w:numPr>
          <w:ilvl w:val="0"/>
          <w:numId w:val="94"/>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 montant inhabituellement élevé des transactions, par rapport au profil du client</w:t>
      </w:r>
      <w:r>
        <w:rPr>
          <w:rFonts w:ascii="Calibri" w:hAnsi="Calibri" w:cs="Calibri"/>
          <w:sz w:val="20"/>
          <w:szCs w:val="20"/>
        </w:rPr>
        <w:t xml:space="preserve"> </w:t>
      </w:r>
      <w:r w:rsidRPr="002379AC">
        <w:rPr>
          <w:rFonts w:ascii="Calibri" w:hAnsi="Calibri" w:cs="Calibri"/>
          <w:sz w:val="20"/>
          <w:szCs w:val="20"/>
        </w:rPr>
        <w:t xml:space="preserve">; </w:t>
      </w:r>
    </w:p>
    <w:p w14:paraId="26A58B83" w14:textId="77777777" w:rsidR="002379AC" w:rsidRDefault="002379AC" w:rsidP="002379AC">
      <w:pPr>
        <w:pStyle w:val="Paragraphedeliste"/>
        <w:spacing w:before="100" w:beforeAutospacing="1" w:after="100" w:afterAutospacing="1"/>
        <w:jc w:val="both"/>
        <w:rPr>
          <w:rFonts w:ascii="Calibri" w:hAnsi="Calibri" w:cs="Calibri"/>
          <w:sz w:val="20"/>
          <w:szCs w:val="20"/>
        </w:rPr>
      </w:pPr>
    </w:p>
    <w:p w14:paraId="76CD6C76" w14:textId="4C63D685" w:rsidR="002379AC" w:rsidRDefault="002379AC" w:rsidP="002379AC">
      <w:pPr>
        <w:pStyle w:val="Paragraphedeliste"/>
        <w:numPr>
          <w:ilvl w:val="0"/>
          <w:numId w:val="94"/>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es modalités de règlement ne sont pas standard ou semblent irrégulières</w:t>
      </w:r>
      <w:r>
        <w:rPr>
          <w:rFonts w:ascii="Calibri" w:hAnsi="Calibri" w:cs="Calibri"/>
          <w:sz w:val="20"/>
          <w:szCs w:val="20"/>
        </w:rPr>
        <w:t xml:space="preserve"> </w:t>
      </w:r>
      <w:r w:rsidRPr="002379AC">
        <w:rPr>
          <w:rFonts w:ascii="Calibri" w:hAnsi="Calibri" w:cs="Calibri"/>
          <w:sz w:val="20"/>
          <w:szCs w:val="20"/>
        </w:rPr>
        <w:t xml:space="preserve">; </w:t>
      </w:r>
    </w:p>
    <w:p w14:paraId="07F85A7F" w14:textId="77777777" w:rsidR="002379AC" w:rsidRDefault="002379AC" w:rsidP="002379AC">
      <w:pPr>
        <w:pStyle w:val="Paragraphedeliste"/>
        <w:spacing w:before="100" w:beforeAutospacing="1" w:after="100" w:afterAutospacing="1"/>
        <w:jc w:val="both"/>
        <w:rPr>
          <w:rFonts w:ascii="Calibri" w:hAnsi="Calibri" w:cs="Calibri"/>
          <w:sz w:val="20"/>
          <w:szCs w:val="20"/>
        </w:rPr>
      </w:pPr>
    </w:p>
    <w:p w14:paraId="708D1B35" w14:textId="709FF08B" w:rsidR="002379AC" w:rsidRDefault="002379AC" w:rsidP="002379AC">
      <w:pPr>
        <w:pStyle w:val="Paragraphedeliste"/>
        <w:numPr>
          <w:ilvl w:val="0"/>
          <w:numId w:val="94"/>
        </w:numPr>
        <w:spacing w:before="100" w:beforeAutospacing="1" w:after="100" w:afterAutospacing="1"/>
        <w:jc w:val="both"/>
        <w:rPr>
          <w:rFonts w:ascii="Calibri" w:hAnsi="Calibri" w:cs="Calibri"/>
          <w:sz w:val="20"/>
          <w:szCs w:val="20"/>
        </w:rPr>
      </w:pPr>
      <w:r>
        <w:rPr>
          <w:rFonts w:ascii="Calibri" w:hAnsi="Calibri" w:cs="Calibri"/>
          <w:sz w:val="20"/>
          <w:szCs w:val="20"/>
        </w:rPr>
        <w:t>C</w:t>
      </w:r>
      <w:r w:rsidRPr="002379AC">
        <w:rPr>
          <w:rFonts w:ascii="Calibri" w:hAnsi="Calibri" w:cs="Calibri"/>
          <w:sz w:val="20"/>
          <w:szCs w:val="20"/>
        </w:rPr>
        <w:t>ertaines opérations de trading miroir ou certaines transactions portant sur des valeurs mobilières utilisées à des fins de conversion monétaire semblent inhabituelles ou n’ont pas de finalité commerciale ou économique apparente</w:t>
      </w:r>
      <w:r>
        <w:rPr>
          <w:rFonts w:ascii="Calibri" w:hAnsi="Calibri" w:cs="Calibri"/>
          <w:sz w:val="20"/>
          <w:szCs w:val="20"/>
        </w:rPr>
        <w:t xml:space="preserve"> </w:t>
      </w:r>
      <w:r w:rsidRPr="002379AC">
        <w:rPr>
          <w:rFonts w:ascii="Calibri" w:hAnsi="Calibri" w:cs="Calibri"/>
          <w:sz w:val="20"/>
          <w:szCs w:val="20"/>
        </w:rPr>
        <w:t xml:space="preserve">; </w:t>
      </w:r>
    </w:p>
    <w:p w14:paraId="39930FCB" w14:textId="77777777" w:rsidR="002379AC" w:rsidRDefault="002379AC" w:rsidP="002379AC">
      <w:pPr>
        <w:pStyle w:val="Paragraphedeliste"/>
        <w:spacing w:before="100" w:beforeAutospacing="1" w:after="100" w:afterAutospacing="1"/>
        <w:jc w:val="both"/>
        <w:rPr>
          <w:rFonts w:ascii="Calibri" w:hAnsi="Calibri" w:cs="Calibri"/>
          <w:sz w:val="20"/>
          <w:szCs w:val="20"/>
        </w:rPr>
      </w:pPr>
    </w:p>
    <w:p w14:paraId="1AA92627" w14:textId="772665A3" w:rsidR="00A22E71" w:rsidRDefault="002379AC" w:rsidP="00CD6FE3">
      <w:pPr>
        <w:pStyle w:val="Paragraphedeliste"/>
        <w:numPr>
          <w:ilvl w:val="0"/>
          <w:numId w:val="94"/>
        </w:numPr>
        <w:spacing w:before="100" w:beforeAutospacing="1" w:after="100" w:afterAutospacing="1"/>
        <w:jc w:val="both"/>
        <w:rPr>
          <w:rFonts w:ascii="Trebuchet MS" w:hAnsi="Trebuchet MS"/>
          <w:b/>
          <w:bCs/>
        </w:rPr>
      </w:pPr>
      <w:r w:rsidRPr="00DE75DD">
        <w:rPr>
          <w:rFonts w:ascii="Calibri" w:hAnsi="Calibri" w:cs="Calibri"/>
          <w:sz w:val="20"/>
          <w:szCs w:val="20"/>
        </w:rPr>
        <w:t xml:space="preserve">Le produit ou service est structuré d’une manière qui peut compliquer l’identification des clients </w:t>
      </w:r>
    </w:p>
    <w:p w14:paraId="66296960" w14:textId="77777777" w:rsidR="00A22E71" w:rsidRDefault="00A22E71" w:rsidP="00CD6FE3">
      <w:pPr>
        <w:pStyle w:val="Paragraphedeliste"/>
        <w:spacing w:before="100" w:beforeAutospacing="1" w:after="100" w:afterAutospacing="1"/>
        <w:jc w:val="both"/>
        <w:rPr>
          <w:rFonts w:ascii="Trebuchet MS" w:hAnsi="Trebuchet MS"/>
          <w:b/>
          <w:bCs/>
        </w:rPr>
      </w:pPr>
    </w:p>
    <w:p w14:paraId="1B582EA5" w14:textId="23BE4D76" w:rsidR="002379AC" w:rsidRPr="00DE75DD" w:rsidRDefault="002379AC" w:rsidP="00CD6FE3">
      <w:pPr>
        <w:pStyle w:val="Paragraphedeliste"/>
        <w:spacing w:before="100" w:beforeAutospacing="1" w:after="100" w:afterAutospacing="1"/>
        <w:jc w:val="both"/>
        <w:rPr>
          <w:rFonts w:ascii="Trebuchet MS" w:hAnsi="Trebuchet MS"/>
          <w:b/>
          <w:bCs/>
        </w:rPr>
      </w:pPr>
      <w:r w:rsidRPr="00DE75DD">
        <w:rPr>
          <w:rFonts w:ascii="Trebuchet MS" w:hAnsi="Trebuchet MS"/>
          <w:b/>
          <w:bCs/>
        </w:rPr>
        <w:t>ARTICLE 6 – FACTEURS DE RISQUES LIES AUX CLIENTS</w:t>
      </w:r>
    </w:p>
    <w:p w14:paraId="7C0CAF75" w14:textId="059DF9FE" w:rsidR="002379AC" w:rsidRDefault="002379AC" w:rsidP="002379AC">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AA09A9">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737A88D7" w14:textId="77777777" w:rsidR="002379AC" w:rsidRDefault="002379AC" w:rsidP="002379AC">
      <w:pPr>
        <w:pStyle w:val="Paragraphedeliste"/>
        <w:numPr>
          <w:ilvl w:val="0"/>
          <w:numId w:val="95"/>
        </w:numPr>
        <w:spacing w:before="100" w:beforeAutospacing="1" w:after="100" w:afterAutospacing="1"/>
        <w:jc w:val="both"/>
        <w:rPr>
          <w:rFonts w:ascii="Calibri" w:hAnsi="Calibri" w:cs="Calibri"/>
          <w:sz w:val="20"/>
          <w:szCs w:val="20"/>
        </w:rPr>
      </w:pPr>
      <w:r w:rsidRPr="002379AC">
        <w:rPr>
          <w:rFonts w:ascii="Calibri" w:hAnsi="Calibri" w:cs="Calibri"/>
          <w:sz w:val="20"/>
          <w:szCs w:val="20"/>
        </w:rPr>
        <w:t>Le comportement du client</w:t>
      </w:r>
      <w:r>
        <w:rPr>
          <w:rFonts w:ascii="Calibri" w:hAnsi="Calibri" w:cs="Calibri"/>
          <w:sz w:val="20"/>
          <w:szCs w:val="20"/>
        </w:rPr>
        <w:t xml:space="preserve"> : </w:t>
      </w:r>
    </w:p>
    <w:p w14:paraId="656DE83E" w14:textId="77777777" w:rsidR="002379AC" w:rsidRDefault="002379AC" w:rsidP="002379AC">
      <w:pPr>
        <w:pStyle w:val="Paragraphedeliste"/>
        <w:spacing w:before="100" w:beforeAutospacing="1" w:after="100" w:afterAutospacing="1"/>
        <w:jc w:val="both"/>
        <w:rPr>
          <w:rFonts w:ascii="Calibri" w:hAnsi="Calibri" w:cs="Calibri"/>
          <w:sz w:val="20"/>
          <w:szCs w:val="20"/>
        </w:rPr>
      </w:pPr>
    </w:p>
    <w:p w14:paraId="0393BA3C" w14:textId="62A0D7EC"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es raisons qui sous-tendent l’investissement ne comportent pas de finalité économique évidente</w:t>
      </w:r>
      <w:r>
        <w:rPr>
          <w:rFonts w:ascii="Calibri" w:hAnsi="Calibri" w:cs="Calibri"/>
          <w:sz w:val="20"/>
          <w:szCs w:val="20"/>
        </w:rPr>
        <w:t xml:space="preserve"> </w:t>
      </w:r>
      <w:r w:rsidRPr="002379AC">
        <w:rPr>
          <w:rFonts w:ascii="Calibri" w:hAnsi="Calibri" w:cs="Calibri"/>
          <w:sz w:val="20"/>
          <w:szCs w:val="20"/>
        </w:rPr>
        <w:t xml:space="preserve">; </w:t>
      </w:r>
    </w:p>
    <w:p w14:paraId="09C1CC8C"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02859E25" w14:textId="4071A3AC"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 client demande le rachat ou le remboursement d’un placement à long terme dans un délai court après l’investissement initial ou avant la date de remboursement, sans justification claire, en particulier lorsque cela entraîne une perte financière ou le paiement de frais de transaction élevés</w:t>
      </w:r>
      <w:r>
        <w:rPr>
          <w:rFonts w:ascii="Calibri" w:hAnsi="Calibri" w:cs="Calibri"/>
          <w:sz w:val="20"/>
          <w:szCs w:val="20"/>
        </w:rPr>
        <w:t xml:space="preserve"> </w:t>
      </w:r>
      <w:r w:rsidRPr="002379AC">
        <w:rPr>
          <w:rFonts w:ascii="Calibri" w:hAnsi="Calibri" w:cs="Calibri"/>
          <w:sz w:val="20"/>
          <w:szCs w:val="20"/>
        </w:rPr>
        <w:t xml:space="preserve">; </w:t>
      </w:r>
    </w:p>
    <w:p w14:paraId="265D5686"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0A2AEF96" w14:textId="51122711"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 client demande l’achat et la vente répétés d’actions dans un délai court, sans stratégie ni logique économique évidentes</w:t>
      </w:r>
      <w:r>
        <w:rPr>
          <w:rFonts w:ascii="Calibri" w:hAnsi="Calibri" w:cs="Calibri"/>
          <w:sz w:val="20"/>
          <w:szCs w:val="20"/>
        </w:rPr>
        <w:t xml:space="preserve"> </w:t>
      </w:r>
      <w:r w:rsidRPr="002379AC">
        <w:rPr>
          <w:rFonts w:ascii="Calibri" w:hAnsi="Calibri" w:cs="Calibri"/>
          <w:sz w:val="20"/>
          <w:szCs w:val="20"/>
        </w:rPr>
        <w:t xml:space="preserve">; </w:t>
      </w:r>
    </w:p>
    <w:p w14:paraId="31DDD897"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3D36332B" w14:textId="7B005818"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 client n’est pas disposé à fournir des informations sur les mesures de vigilance à l’égard du client et du bénéficiaire effectif</w:t>
      </w:r>
      <w:r>
        <w:rPr>
          <w:rFonts w:ascii="Calibri" w:hAnsi="Calibri" w:cs="Calibri"/>
          <w:sz w:val="20"/>
          <w:szCs w:val="20"/>
        </w:rPr>
        <w:t xml:space="preserve"> </w:t>
      </w:r>
      <w:r w:rsidRPr="002379AC">
        <w:rPr>
          <w:rFonts w:ascii="Calibri" w:hAnsi="Calibri" w:cs="Calibri"/>
          <w:sz w:val="20"/>
          <w:szCs w:val="20"/>
        </w:rPr>
        <w:t xml:space="preserve">; </w:t>
      </w:r>
    </w:p>
    <w:p w14:paraId="6D2D3969"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60979B6A" w14:textId="4232AFF2"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D</w:t>
      </w:r>
      <w:r w:rsidRPr="002379AC">
        <w:rPr>
          <w:rFonts w:ascii="Calibri" w:hAnsi="Calibri" w:cs="Calibri"/>
          <w:sz w:val="20"/>
          <w:szCs w:val="20"/>
        </w:rPr>
        <w:t>es modifications fréquentes sont apportées aux informations dans le cadre des mesures de vigilance à l’égard de la clientèle ou aux informations de paiement</w:t>
      </w:r>
      <w:r>
        <w:rPr>
          <w:rFonts w:ascii="Calibri" w:hAnsi="Calibri" w:cs="Calibri"/>
          <w:sz w:val="20"/>
          <w:szCs w:val="20"/>
        </w:rPr>
        <w:t xml:space="preserve"> </w:t>
      </w:r>
      <w:r w:rsidRPr="002379AC">
        <w:rPr>
          <w:rFonts w:ascii="Calibri" w:hAnsi="Calibri" w:cs="Calibri"/>
          <w:sz w:val="20"/>
          <w:szCs w:val="20"/>
        </w:rPr>
        <w:t xml:space="preserve">; </w:t>
      </w:r>
    </w:p>
    <w:p w14:paraId="240F2E4E"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706110E9" w14:textId="0F7A2B13"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 client transfère des fonds dont le montant dépasse celui requis pour l’investissement et demande le remboursement du trop-payé</w:t>
      </w:r>
      <w:r>
        <w:rPr>
          <w:rFonts w:ascii="Calibri" w:hAnsi="Calibri" w:cs="Calibri"/>
          <w:sz w:val="20"/>
          <w:szCs w:val="20"/>
        </w:rPr>
        <w:t xml:space="preserve"> </w:t>
      </w:r>
      <w:r w:rsidRPr="002379AC">
        <w:rPr>
          <w:rFonts w:ascii="Calibri" w:hAnsi="Calibri" w:cs="Calibri"/>
          <w:sz w:val="20"/>
          <w:szCs w:val="20"/>
        </w:rPr>
        <w:t xml:space="preserve">; </w:t>
      </w:r>
    </w:p>
    <w:p w14:paraId="68F01B46"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6BB83403" w14:textId="179C4E07"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es circonstances dans lesquelles le client fait usage de la période de réflexion font naître un soupçon</w:t>
      </w:r>
      <w:r>
        <w:rPr>
          <w:rFonts w:ascii="Calibri" w:hAnsi="Calibri" w:cs="Calibri"/>
          <w:sz w:val="20"/>
          <w:szCs w:val="20"/>
        </w:rPr>
        <w:t xml:space="preserve"> </w:t>
      </w:r>
      <w:r w:rsidRPr="002379AC">
        <w:rPr>
          <w:rFonts w:ascii="Calibri" w:hAnsi="Calibri" w:cs="Calibri"/>
          <w:sz w:val="20"/>
          <w:szCs w:val="20"/>
        </w:rPr>
        <w:t xml:space="preserve">; </w:t>
      </w:r>
    </w:p>
    <w:p w14:paraId="4BFAAB07"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5C90552D" w14:textId="6104FE4A"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e client utilise plusieurs comptes sans notification préalable, notamment lorsque ces comptes sont détenus dans plusieurs pays ou territoires ou dans des pays ou territoires à haut risque</w:t>
      </w:r>
      <w:r>
        <w:rPr>
          <w:rFonts w:ascii="Calibri" w:hAnsi="Calibri" w:cs="Calibri"/>
          <w:sz w:val="20"/>
          <w:szCs w:val="20"/>
        </w:rPr>
        <w:t xml:space="preserve"> </w:t>
      </w:r>
      <w:r w:rsidRPr="002379AC">
        <w:rPr>
          <w:rFonts w:ascii="Calibri" w:hAnsi="Calibri" w:cs="Calibri"/>
          <w:sz w:val="20"/>
          <w:szCs w:val="20"/>
        </w:rPr>
        <w:t>;</w:t>
      </w:r>
    </w:p>
    <w:p w14:paraId="05AFC03F"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1C73BD20" w14:textId="64380DA7" w:rsidR="002379AC" w:rsidRDefault="002379AC" w:rsidP="002379AC">
      <w:pPr>
        <w:pStyle w:val="Paragraphedeliste"/>
        <w:numPr>
          <w:ilvl w:val="0"/>
          <w:numId w:val="9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2379AC">
        <w:rPr>
          <w:rFonts w:ascii="Calibri" w:hAnsi="Calibri" w:cs="Calibri"/>
          <w:sz w:val="20"/>
          <w:szCs w:val="20"/>
        </w:rPr>
        <w:t xml:space="preserve">e client souhaite structurer la relation de façon à avoir recours à plusieurs parties, par exemple des entreprises apparentes (nominee companies), dans différents pays ou territoires, en particulier lorsque ces pays ou territoires sont associés à un risque plus élevé de </w:t>
      </w:r>
      <w:r>
        <w:rPr>
          <w:rFonts w:ascii="Calibri" w:hAnsi="Calibri" w:cs="Calibri"/>
          <w:sz w:val="20"/>
          <w:szCs w:val="20"/>
        </w:rPr>
        <w:t>blanchiment de capitaux et du financement du terrorisme</w:t>
      </w:r>
      <w:r w:rsidRPr="002379AC">
        <w:rPr>
          <w:rFonts w:ascii="Calibri" w:hAnsi="Calibri" w:cs="Calibri"/>
          <w:sz w:val="20"/>
          <w:szCs w:val="20"/>
        </w:rPr>
        <w:t xml:space="preserve">. </w:t>
      </w:r>
    </w:p>
    <w:p w14:paraId="59E70E7D" w14:textId="77777777" w:rsidR="002379AC" w:rsidRDefault="002379AC" w:rsidP="002379AC">
      <w:pPr>
        <w:pStyle w:val="Paragraphedeliste"/>
        <w:spacing w:before="100" w:beforeAutospacing="1" w:after="100" w:afterAutospacing="1"/>
        <w:ind w:left="1440"/>
        <w:jc w:val="both"/>
        <w:rPr>
          <w:rFonts w:ascii="Calibri" w:hAnsi="Calibri" w:cs="Calibri"/>
          <w:sz w:val="20"/>
          <w:szCs w:val="20"/>
        </w:rPr>
      </w:pPr>
    </w:p>
    <w:p w14:paraId="4CCECFF3" w14:textId="25CE46E2" w:rsidR="002379AC" w:rsidRDefault="002379AC" w:rsidP="002379AC">
      <w:pPr>
        <w:pStyle w:val="Paragraphedeliste"/>
        <w:numPr>
          <w:ilvl w:val="0"/>
          <w:numId w:val="95"/>
        </w:numPr>
        <w:spacing w:before="100" w:beforeAutospacing="1" w:after="100" w:afterAutospacing="1"/>
        <w:jc w:val="both"/>
        <w:rPr>
          <w:rFonts w:ascii="Calibri" w:hAnsi="Calibri" w:cs="Calibri"/>
          <w:sz w:val="20"/>
          <w:szCs w:val="20"/>
        </w:rPr>
      </w:pPr>
      <w:r w:rsidRPr="002379AC">
        <w:rPr>
          <w:rFonts w:ascii="Calibri" w:hAnsi="Calibri" w:cs="Calibri"/>
          <w:sz w:val="20"/>
          <w:szCs w:val="20"/>
        </w:rPr>
        <w:t>La nature du client</w:t>
      </w:r>
      <w:r>
        <w:rPr>
          <w:rFonts w:ascii="Calibri" w:hAnsi="Calibri" w:cs="Calibri"/>
          <w:sz w:val="20"/>
          <w:szCs w:val="20"/>
        </w:rPr>
        <w:t xml:space="preserve"> </w:t>
      </w:r>
      <w:r w:rsidRPr="002379AC">
        <w:rPr>
          <w:rFonts w:ascii="Calibri" w:hAnsi="Calibri" w:cs="Calibri"/>
          <w:sz w:val="20"/>
          <w:szCs w:val="20"/>
        </w:rPr>
        <w:t xml:space="preserve">: </w:t>
      </w:r>
    </w:p>
    <w:p w14:paraId="5F8C560E" w14:textId="77777777" w:rsidR="002379AC" w:rsidRDefault="002379AC" w:rsidP="002379AC">
      <w:pPr>
        <w:pStyle w:val="Paragraphedeliste"/>
        <w:spacing w:before="100" w:beforeAutospacing="1" w:after="100" w:afterAutospacing="1"/>
        <w:jc w:val="both"/>
        <w:rPr>
          <w:rFonts w:ascii="Calibri" w:hAnsi="Calibri" w:cs="Calibri"/>
          <w:sz w:val="20"/>
          <w:szCs w:val="20"/>
        </w:rPr>
      </w:pPr>
    </w:p>
    <w:p w14:paraId="53E4AED5" w14:textId="17160E63" w:rsidR="00ED06A0" w:rsidRDefault="00ED06A0" w:rsidP="00ED06A0">
      <w:pPr>
        <w:pStyle w:val="Paragraphedeliste"/>
        <w:numPr>
          <w:ilvl w:val="0"/>
          <w:numId w:val="97"/>
        </w:numPr>
        <w:spacing w:before="100" w:beforeAutospacing="1" w:after="100" w:afterAutospacing="1"/>
        <w:ind w:left="1418"/>
        <w:jc w:val="both"/>
        <w:rPr>
          <w:rFonts w:ascii="Calibri" w:hAnsi="Calibri" w:cs="Calibri"/>
          <w:sz w:val="20"/>
          <w:szCs w:val="20"/>
        </w:rPr>
      </w:pPr>
      <w:r>
        <w:rPr>
          <w:rFonts w:ascii="Calibri" w:hAnsi="Calibri" w:cs="Calibri"/>
          <w:sz w:val="20"/>
          <w:szCs w:val="20"/>
        </w:rPr>
        <w:t>L</w:t>
      </w:r>
      <w:r w:rsidR="002379AC" w:rsidRPr="002379AC">
        <w:rPr>
          <w:rFonts w:ascii="Calibri" w:hAnsi="Calibri" w:cs="Calibri"/>
          <w:sz w:val="20"/>
          <w:szCs w:val="20"/>
        </w:rPr>
        <w:t xml:space="preserve">e client est une entreprise, une fiducie/un trust ou tout autre type de construction juridique ayant une structure ou des fonctions semblables à celles des fiducies/trusts, établi dans un pays ou territoire associé à un risque plus élevé de </w:t>
      </w:r>
      <w:r w:rsidR="002379AC">
        <w:rPr>
          <w:rFonts w:ascii="Calibri" w:hAnsi="Calibri" w:cs="Calibri"/>
          <w:sz w:val="20"/>
          <w:szCs w:val="20"/>
        </w:rPr>
        <w:t>blanchiment de capitaux et d</w:t>
      </w:r>
      <w:r w:rsidR="00AA09A9">
        <w:rPr>
          <w:rFonts w:ascii="Calibri" w:hAnsi="Calibri" w:cs="Calibri"/>
          <w:sz w:val="20"/>
          <w:szCs w:val="20"/>
        </w:rPr>
        <w:t>e</w:t>
      </w:r>
      <w:r w:rsidR="002379AC">
        <w:rPr>
          <w:rFonts w:ascii="Calibri" w:hAnsi="Calibri" w:cs="Calibri"/>
          <w:sz w:val="20"/>
          <w:szCs w:val="20"/>
        </w:rPr>
        <w:t xml:space="preserve"> financement du terrorisme</w:t>
      </w:r>
      <w:r>
        <w:rPr>
          <w:rFonts w:ascii="Calibri" w:hAnsi="Calibri" w:cs="Calibri"/>
          <w:sz w:val="20"/>
          <w:szCs w:val="20"/>
        </w:rPr>
        <w:t> ;</w:t>
      </w:r>
    </w:p>
    <w:p w14:paraId="0F4CDEA7" w14:textId="77777777" w:rsidR="00ED06A0" w:rsidRDefault="00ED06A0" w:rsidP="00ED06A0">
      <w:pPr>
        <w:pStyle w:val="Paragraphedeliste"/>
        <w:spacing w:before="100" w:beforeAutospacing="1" w:after="100" w:afterAutospacing="1"/>
        <w:ind w:left="1418"/>
        <w:jc w:val="both"/>
        <w:rPr>
          <w:rFonts w:ascii="Calibri" w:hAnsi="Calibri" w:cs="Calibri"/>
          <w:sz w:val="20"/>
          <w:szCs w:val="20"/>
        </w:rPr>
      </w:pPr>
    </w:p>
    <w:p w14:paraId="6C424C37" w14:textId="6E35E55C" w:rsidR="00ED06A0" w:rsidRDefault="00ED06A0" w:rsidP="00ED06A0">
      <w:pPr>
        <w:pStyle w:val="Paragraphedeliste"/>
        <w:numPr>
          <w:ilvl w:val="0"/>
          <w:numId w:val="97"/>
        </w:numPr>
        <w:spacing w:before="100" w:beforeAutospacing="1" w:after="100" w:afterAutospacing="1"/>
        <w:ind w:left="1418"/>
        <w:jc w:val="both"/>
        <w:rPr>
          <w:rFonts w:ascii="Calibri" w:hAnsi="Calibri" w:cs="Calibri"/>
          <w:sz w:val="20"/>
          <w:szCs w:val="20"/>
        </w:rPr>
      </w:pPr>
      <w:r>
        <w:rPr>
          <w:rFonts w:ascii="Calibri" w:hAnsi="Calibri" w:cs="Calibri"/>
          <w:sz w:val="20"/>
          <w:szCs w:val="20"/>
        </w:rPr>
        <w:t>L</w:t>
      </w:r>
      <w:r w:rsidRPr="00ED06A0">
        <w:rPr>
          <w:rFonts w:ascii="Calibri" w:hAnsi="Calibri" w:cs="Calibri"/>
          <w:sz w:val="20"/>
          <w:szCs w:val="20"/>
        </w:rPr>
        <w:t>e client est un véhicule d’investissement qui prend peu ou pas de mesures de vigilance à l’égard de ses propres clients</w:t>
      </w:r>
      <w:r>
        <w:rPr>
          <w:rFonts w:ascii="Calibri" w:hAnsi="Calibri" w:cs="Calibri"/>
          <w:sz w:val="20"/>
          <w:szCs w:val="20"/>
        </w:rPr>
        <w:t xml:space="preserve"> </w:t>
      </w:r>
      <w:r w:rsidRPr="00ED06A0">
        <w:rPr>
          <w:rFonts w:ascii="Calibri" w:hAnsi="Calibri" w:cs="Calibri"/>
          <w:sz w:val="20"/>
          <w:szCs w:val="20"/>
        </w:rPr>
        <w:t xml:space="preserve">; </w:t>
      </w:r>
    </w:p>
    <w:p w14:paraId="3E0F5B7F" w14:textId="77777777" w:rsidR="00ED06A0" w:rsidRDefault="00ED06A0" w:rsidP="00ED06A0">
      <w:pPr>
        <w:pStyle w:val="Paragraphedeliste"/>
        <w:spacing w:before="100" w:beforeAutospacing="1" w:after="100" w:afterAutospacing="1"/>
        <w:ind w:left="1418"/>
        <w:jc w:val="both"/>
        <w:rPr>
          <w:rFonts w:ascii="Calibri" w:hAnsi="Calibri" w:cs="Calibri"/>
          <w:sz w:val="20"/>
          <w:szCs w:val="20"/>
        </w:rPr>
      </w:pPr>
    </w:p>
    <w:p w14:paraId="54E911A1" w14:textId="77777777" w:rsidR="00ED06A0" w:rsidRDefault="00ED06A0" w:rsidP="00ED06A0">
      <w:pPr>
        <w:pStyle w:val="Paragraphedeliste"/>
        <w:numPr>
          <w:ilvl w:val="0"/>
          <w:numId w:val="97"/>
        </w:numPr>
        <w:spacing w:before="100" w:beforeAutospacing="1" w:after="100" w:afterAutospacing="1"/>
        <w:ind w:left="1418"/>
        <w:jc w:val="both"/>
        <w:rPr>
          <w:rFonts w:ascii="Calibri" w:hAnsi="Calibri" w:cs="Calibri"/>
          <w:sz w:val="20"/>
          <w:szCs w:val="20"/>
        </w:rPr>
      </w:pPr>
      <w:r>
        <w:rPr>
          <w:rFonts w:ascii="Calibri" w:hAnsi="Calibri" w:cs="Calibri"/>
          <w:sz w:val="20"/>
          <w:szCs w:val="20"/>
        </w:rPr>
        <w:t>L</w:t>
      </w:r>
      <w:r w:rsidRPr="00ED06A0">
        <w:rPr>
          <w:rFonts w:ascii="Calibri" w:hAnsi="Calibri" w:cs="Calibri"/>
          <w:sz w:val="20"/>
          <w:szCs w:val="20"/>
        </w:rPr>
        <w:t xml:space="preserve">e client est un véhicule d’investissement tiers non réglementé ; </w:t>
      </w:r>
    </w:p>
    <w:p w14:paraId="61632559" w14:textId="77777777" w:rsidR="00ED06A0" w:rsidRDefault="00ED06A0" w:rsidP="00ED06A0">
      <w:pPr>
        <w:pStyle w:val="Paragraphedeliste"/>
        <w:spacing w:before="100" w:beforeAutospacing="1" w:after="100" w:afterAutospacing="1"/>
        <w:ind w:left="1418"/>
        <w:jc w:val="both"/>
        <w:rPr>
          <w:rFonts w:ascii="Calibri" w:hAnsi="Calibri" w:cs="Calibri"/>
          <w:sz w:val="20"/>
          <w:szCs w:val="20"/>
        </w:rPr>
      </w:pPr>
    </w:p>
    <w:p w14:paraId="5FD604C2" w14:textId="68706C9E" w:rsidR="00ED06A0" w:rsidRDefault="00ED06A0" w:rsidP="00ED06A0">
      <w:pPr>
        <w:pStyle w:val="Paragraphedeliste"/>
        <w:numPr>
          <w:ilvl w:val="0"/>
          <w:numId w:val="97"/>
        </w:numPr>
        <w:spacing w:before="100" w:beforeAutospacing="1" w:after="100" w:afterAutospacing="1"/>
        <w:ind w:left="1418"/>
        <w:jc w:val="both"/>
        <w:rPr>
          <w:rFonts w:ascii="Calibri" w:hAnsi="Calibri" w:cs="Calibri"/>
          <w:sz w:val="20"/>
          <w:szCs w:val="20"/>
        </w:rPr>
      </w:pPr>
      <w:r>
        <w:rPr>
          <w:rFonts w:ascii="Calibri" w:hAnsi="Calibri" w:cs="Calibri"/>
          <w:sz w:val="20"/>
          <w:szCs w:val="20"/>
        </w:rPr>
        <w:t>L</w:t>
      </w:r>
      <w:r w:rsidRPr="00ED06A0">
        <w:rPr>
          <w:rFonts w:ascii="Calibri" w:hAnsi="Calibri" w:cs="Calibri"/>
          <w:sz w:val="20"/>
          <w:szCs w:val="20"/>
        </w:rPr>
        <w:t>a structure de propriété et de contrôle du client est opaque</w:t>
      </w:r>
      <w:r>
        <w:rPr>
          <w:rFonts w:ascii="Calibri" w:hAnsi="Calibri" w:cs="Calibri"/>
          <w:sz w:val="20"/>
          <w:szCs w:val="20"/>
        </w:rPr>
        <w:t xml:space="preserve"> </w:t>
      </w:r>
      <w:r w:rsidRPr="00ED06A0">
        <w:rPr>
          <w:rFonts w:ascii="Calibri" w:hAnsi="Calibri" w:cs="Calibri"/>
          <w:sz w:val="20"/>
          <w:szCs w:val="20"/>
        </w:rPr>
        <w:t xml:space="preserve">; </w:t>
      </w:r>
    </w:p>
    <w:p w14:paraId="70B19A11" w14:textId="77777777" w:rsidR="00ED06A0" w:rsidRDefault="00ED06A0" w:rsidP="00ED06A0">
      <w:pPr>
        <w:pStyle w:val="Paragraphedeliste"/>
        <w:spacing w:before="100" w:beforeAutospacing="1" w:after="100" w:afterAutospacing="1"/>
        <w:ind w:left="1418"/>
        <w:jc w:val="both"/>
        <w:rPr>
          <w:rFonts w:ascii="Calibri" w:hAnsi="Calibri" w:cs="Calibri"/>
          <w:sz w:val="20"/>
          <w:szCs w:val="20"/>
        </w:rPr>
      </w:pPr>
    </w:p>
    <w:p w14:paraId="2198A711" w14:textId="3E642D87" w:rsidR="00ED06A0" w:rsidRDefault="00ED06A0" w:rsidP="00ED06A0">
      <w:pPr>
        <w:pStyle w:val="Paragraphedeliste"/>
        <w:numPr>
          <w:ilvl w:val="0"/>
          <w:numId w:val="97"/>
        </w:numPr>
        <w:spacing w:before="100" w:beforeAutospacing="1" w:after="100" w:afterAutospacing="1"/>
        <w:ind w:left="1418"/>
        <w:jc w:val="both"/>
        <w:rPr>
          <w:rFonts w:ascii="Calibri" w:hAnsi="Calibri" w:cs="Calibri"/>
          <w:sz w:val="20"/>
          <w:szCs w:val="20"/>
        </w:rPr>
      </w:pPr>
      <w:r>
        <w:rPr>
          <w:rFonts w:ascii="Calibri" w:hAnsi="Calibri" w:cs="Calibri"/>
          <w:sz w:val="20"/>
          <w:szCs w:val="20"/>
        </w:rPr>
        <w:t>L</w:t>
      </w:r>
      <w:r w:rsidRPr="00ED06A0">
        <w:rPr>
          <w:rFonts w:ascii="Calibri" w:hAnsi="Calibri" w:cs="Calibri"/>
          <w:sz w:val="20"/>
          <w:szCs w:val="20"/>
        </w:rPr>
        <w:t xml:space="preserve">e client ou le bénéficiaire effectif est une </w:t>
      </w:r>
      <w:r>
        <w:rPr>
          <w:rFonts w:ascii="Calibri" w:hAnsi="Calibri" w:cs="Calibri"/>
          <w:sz w:val="20"/>
          <w:szCs w:val="20"/>
        </w:rPr>
        <w:t>personne politiquement exposée</w:t>
      </w:r>
      <w:r w:rsidRPr="00ED06A0">
        <w:rPr>
          <w:rFonts w:ascii="Calibri" w:hAnsi="Calibri" w:cs="Calibri"/>
          <w:sz w:val="20"/>
          <w:szCs w:val="20"/>
        </w:rPr>
        <w:t xml:space="preserve"> ou occupe une autre fonction importante qui pourrait lui permettre d’abuser de sa position à des fins d’enrichissement personnel</w:t>
      </w:r>
      <w:r>
        <w:rPr>
          <w:rFonts w:ascii="Calibri" w:hAnsi="Calibri" w:cs="Calibri"/>
          <w:sz w:val="20"/>
          <w:szCs w:val="20"/>
        </w:rPr>
        <w:t xml:space="preserve"> </w:t>
      </w:r>
      <w:r w:rsidRPr="00ED06A0">
        <w:rPr>
          <w:rFonts w:ascii="Calibri" w:hAnsi="Calibri" w:cs="Calibri"/>
          <w:sz w:val="20"/>
          <w:szCs w:val="20"/>
        </w:rPr>
        <w:t>;</w:t>
      </w:r>
    </w:p>
    <w:p w14:paraId="4C0021BA" w14:textId="77777777" w:rsidR="00ED06A0" w:rsidRDefault="00ED06A0" w:rsidP="00ED06A0">
      <w:pPr>
        <w:pStyle w:val="Paragraphedeliste"/>
        <w:spacing w:before="100" w:beforeAutospacing="1" w:after="100" w:afterAutospacing="1"/>
        <w:ind w:left="1418"/>
        <w:jc w:val="both"/>
        <w:rPr>
          <w:rFonts w:ascii="Calibri" w:hAnsi="Calibri" w:cs="Calibri"/>
          <w:sz w:val="20"/>
          <w:szCs w:val="20"/>
        </w:rPr>
      </w:pPr>
    </w:p>
    <w:p w14:paraId="48269E28" w14:textId="77777777" w:rsidR="00ED06A0" w:rsidRDefault="00ED06A0" w:rsidP="00ED06A0">
      <w:pPr>
        <w:pStyle w:val="Paragraphedeliste"/>
        <w:numPr>
          <w:ilvl w:val="0"/>
          <w:numId w:val="97"/>
        </w:numPr>
        <w:spacing w:before="100" w:beforeAutospacing="1" w:after="100" w:afterAutospacing="1"/>
        <w:ind w:left="1418"/>
        <w:jc w:val="both"/>
        <w:rPr>
          <w:rFonts w:ascii="Calibri" w:hAnsi="Calibri" w:cs="Calibri"/>
          <w:sz w:val="20"/>
          <w:szCs w:val="20"/>
        </w:rPr>
      </w:pPr>
      <w:r>
        <w:rPr>
          <w:rFonts w:ascii="Calibri" w:hAnsi="Calibri" w:cs="Calibri"/>
          <w:sz w:val="20"/>
          <w:szCs w:val="20"/>
        </w:rPr>
        <w:t>L</w:t>
      </w:r>
      <w:r w:rsidRPr="00ED06A0">
        <w:rPr>
          <w:rFonts w:ascii="Calibri" w:hAnsi="Calibri" w:cs="Calibri"/>
          <w:sz w:val="20"/>
          <w:szCs w:val="20"/>
        </w:rPr>
        <w:t xml:space="preserve">e client est une entreprise apparente non réglementée dont les actionnaires ne sont pas connus. </w:t>
      </w:r>
    </w:p>
    <w:p w14:paraId="05EAF5F0" w14:textId="77777777" w:rsidR="00ED06A0" w:rsidRDefault="00ED06A0" w:rsidP="00ED06A0">
      <w:pPr>
        <w:pStyle w:val="Paragraphedeliste"/>
        <w:spacing w:before="100" w:beforeAutospacing="1" w:after="100" w:afterAutospacing="1"/>
        <w:ind w:left="1418"/>
        <w:jc w:val="both"/>
        <w:rPr>
          <w:rFonts w:ascii="Calibri" w:hAnsi="Calibri" w:cs="Calibri"/>
          <w:sz w:val="20"/>
          <w:szCs w:val="20"/>
        </w:rPr>
      </w:pPr>
    </w:p>
    <w:p w14:paraId="3697E1D6" w14:textId="243359CE" w:rsidR="00ED06A0" w:rsidRDefault="00ED06A0" w:rsidP="00ED06A0">
      <w:pPr>
        <w:pStyle w:val="Paragraphedeliste"/>
        <w:numPr>
          <w:ilvl w:val="0"/>
          <w:numId w:val="95"/>
        </w:numPr>
        <w:spacing w:before="100" w:beforeAutospacing="1" w:after="100" w:afterAutospacing="1"/>
        <w:jc w:val="both"/>
        <w:rPr>
          <w:rFonts w:ascii="Calibri" w:hAnsi="Calibri" w:cs="Calibri"/>
          <w:sz w:val="20"/>
          <w:szCs w:val="20"/>
        </w:rPr>
      </w:pPr>
      <w:r w:rsidRPr="00ED06A0">
        <w:rPr>
          <w:rFonts w:ascii="Calibri" w:hAnsi="Calibri" w:cs="Calibri"/>
          <w:sz w:val="20"/>
          <w:szCs w:val="20"/>
        </w:rPr>
        <w:t>Les activités du client</w:t>
      </w:r>
      <w:r>
        <w:rPr>
          <w:rFonts w:ascii="Calibri" w:hAnsi="Calibri" w:cs="Calibri"/>
          <w:sz w:val="20"/>
          <w:szCs w:val="20"/>
        </w:rPr>
        <w:t xml:space="preserve"> </w:t>
      </w:r>
      <w:r w:rsidRPr="00ED06A0">
        <w:rPr>
          <w:rFonts w:ascii="Calibri" w:hAnsi="Calibri" w:cs="Calibri"/>
          <w:sz w:val="20"/>
          <w:szCs w:val="20"/>
        </w:rPr>
        <w:t xml:space="preserve">: </w:t>
      </w:r>
    </w:p>
    <w:p w14:paraId="7EA85C5B" w14:textId="77777777" w:rsidR="00ED06A0" w:rsidRDefault="00ED06A0" w:rsidP="00ED06A0">
      <w:pPr>
        <w:pStyle w:val="Paragraphedeliste"/>
        <w:spacing w:before="100" w:beforeAutospacing="1" w:after="100" w:afterAutospacing="1"/>
        <w:jc w:val="both"/>
        <w:rPr>
          <w:rFonts w:ascii="Calibri" w:hAnsi="Calibri" w:cs="Calibri"/>
          <w:sz w:val="20"/>
          <w:szCs w:val="20"/>
        </w:rPr>
      </w:pPr>
    </w:p>
    <w:p w14:paraId="2CCD722B" w14:textId="2E3CD29F" w:rsidR="00ED06A0" w:rsidRDefault="00ED06A0" w:rsidP="00ED06A0">
      <w:pPr>
        <w:pStyle w:val="Paragraphedeliste"/>
        <w:numPr>
          <w:ilvl w:val="0"/>
          <w:numId w:val="98"/>
        </w:numPr>
        <w:spacing w:before="100" w:beforeAutospacing="1" w:after="100" w:afterAutospacing="1"/>
        <w:jc w:val="both"/>
        <w:rPr>
          <w:rFonts w:ascii="Calibri" w:hAnsi="Calibri" w:cs="Calibri"/>
          <w:sz w:val="20"/>
          <w:szCs w:val="20"/>
        </w:rPr>
      </w:pPr>
      <w:r>
        <w:rPr>
          <w:rFonts w:ascii="Calibri" w:hAnsi="Calibri" w:cs="Calibri"/>
          <w:sz w:val="20"/>
          <w:szCs w:val="20"/>
        </w:rPr>
        <w:t>S</w:t>
      </w:r>
      <w:r w:rsidRPr="00ED06A0">
        <w:rPr>
          <w:rFonts w:ascii="Calibri" w:hAnsi="Calibri" w:cs="Calibri"/>
          <w:sz w:val="20"/>
          <w:szCs w:val="20"/>
        </w:rPr>
        <w:t>es fonds proviennent d’activités exercées dans des secteurs qui sont associés à un risque plus élevé de criminalité financière</w:t>
      </w:r>
      <w:r>
        <w:rPr>
          <w:rFonts w:ascii="Calibri" w:hAnsi="Calibri" w:cs="Calibri"/>
          <w:sz w:val="20"/>
          <w:szCs w:val="20"/>
        </w:rPr>
        <w:t xml:space="preserve">. Au titre de ce paragraphe, sont considérés comme secteurs associés à un risque plus élevé de criminalité financière les secteurs suivants : </w:t>
      </w:r>
    </w:p>
    <w:p w14:paraId="4C657B50" w14:textId="77777777" w:rsidR="00ED06A0" w:rsidRDefault="00ED06A0" w:rsidP="00ED06A0">
      <w:pPr>
        <w:pStyle w:val="Paragraphedeliste"/>
        <w:spacing w:before="100" w:beforeAutospacing="1" w:after="100" w:afterAutospacing="1"/>
        <w:ind w:left="1440"/>
        <w:jc w:val="both"/>
        <w:rPr>
          <w:rFonts w:ascii="Calibri" w:hAnsi="Calibri" w:cs="Calibri"/>
          <w:sz w:val="20"/>
          <w:szCs w:val="20"/>
        </w:rPr>
      </w:pPr>
    </w:p>
    <w:p w14:paraId="1F0E91A8" w14:textId="77777777" w:rsidR="00ED06A0" w:rsidRDefault="00ED06A0" w:rsidP="00ED06A0">
      <w:pPr>
        <w:pStyle w:val="Paragraphedeliste"/>
        <w:numPr>
          <w:ilvl w:val="0"/>
          <w:numId w:val="99"/>
        </w:numPr>
        <w:spacing w:before="100" w:beforeAutospacing="1" w:after="100" w:afterAutospacing="1"/>
        <w:jc w:val="both"/>
        <w:rPr>
          <w:rFonts w:ascii="Calibri" w:hAnsi="Calibri" w:cs="Calibri"/>
          <w:sz w:val="20"/>
          <w:szCs w:val="20"/>
        </w:rPr>
      </w:pPr>
      <w:r w:rsidRPr="00ED06A0">
        <w:rPr>
          <w:rFonts w:ascii="Calibri" w:hAnsi="Calibri" w:cs="Calibri"/>
          <w:sz w:val="20"/>
          <w:szCs w:val="20"/>
        </w:rPr>
        <w:t xml:space="preserve"> la construction, </w:t>
      </w:r>
    </w:p>
    <w:p w14:paraId="695A8900" w14:textId="77777777" w:rsidR="00ED06A0" w:rsidRDefault="00ED06A0" w:rsidP="00ED06A0">
      <w:pPr>
        <w:pStyle w:val="Paragraphedeliste"/>
        <w:numPr>
          <w:ilvl w:val="0"/>
          <w:numId w:val="99"/>
        </w:numPr>
        <w:spacing w:before="100" w:beforeAutospacing="1" w:after="100" w:afterAutospacing="1"/>
        <w:jc w:val="both"/>
        <w:rPr>
          <w:rFonts w:ascii="Calibri" w:hAnsi="Calibri" w:cs="Calibri"/>
          <w:sz w:val="20"/>
          <w:szCs w:val="20"/>
        </w:rPr>
      </w:pPr>
      <w:r w:rsidRPr="00ED06A0">
        <w:rPr>
          <w:rFonts w:ascii="Calibri" w:hAnsi="Calibri" w:cs="Calibri"/>
          <w:sz w:val="20"/>
          <w:szCs w:val="20"/>
        </w:rPr>
        <w:lastRenderedPageBreak/>
        <w:t xml:space="preserve">les produits pharmaceutiques et les soins de santé, </w:t>
      </w:r>
    </w:p>
    <w:p w14:paraId="208A0A46" w14:textId="77777777" w:rsidR="00ED06A0" w:rsidRDefault="00ED06A0" w:rsidP="00ED06A0">
      <w:pPr>
        <w:pStyle w:val="Paragraphedeliste"/>
        <w:numPr>
          <w:ilvl w:val="0"/>
          <w:numId w:val="99"/>
        </w:numPr>
        <w:spacing w:before="100" w:beforeAutospacing="1" w:after="100" w:afterAutospacing="1"/>
        <w:jc w:val="both"/>
        <w:rPr>
          <w:rFonts w:ascii="Calibri" w:hAnsi="Calibri" w:cs="Calibri"/>
          <w:sz w:val="20"/>
          <w:szCs w:val="20"/>
        </w:rPr>
      </w:pPr>
      <w:r w:rsidRPr="00ED06A0">
        <w:rPr>
          <w:rFonts w:ascii="Calibri" w:hAnsi="Calibri" w:cs="Calibri"/>
          <w:sz w:val="20"/>
          <w:szCs w:val="20"/>
        </w:rPr>
        <w:t xml:space="preserve">le commerce des armes et la défense, </w:t>
      </w:r>
    </w:p>
    <w:p w14:paraId="7C756302" w14:textId="77777777" w:rsidR="00ED06A0" w:rsidRDefault="00ED06A0" w:rsidP="00ED06A0">
      <w:pPr>
        <w:pStyle w:val="Paragraphedeliste"/>
        <w:numPr>
          <w:ilvl w:val="0"/>
          <w:numId w:val="99"/>
        </w:numPr>
        <w:spacing w:before="100" w:beforeAutospacing="1" w:after="100" w:afterAutospacing="1"/>
        <w:jc w:val="both"/>
        <w:rPr>
          <w:rFonts w:ascii="Calibri" w:hAnsi="Calibri" w:cs="Calibri"/>
          <w:sz w:val="20"/>
          <w:szCs w:val="20"/>
        </w:rPr>
      </w:pPr>
      <w:r w:rsidRPr="00ED06A0">
        <w:rPr>
          <w:rFonts w:ascii="Calibri" w:hAnsi="Calibri" w:cs="Calibri"/>
          <w:sz w:val="20"/>
          <w:szCs w:val="20"/>
        </w:rPr>
        <w:t>les industries extractives</w:t>
      </w:r>
      <w:r>
        <w:rPr>
          <w:rFonts w:ascii="Calibri" w:hAnsi="Calibri" w:cs="Calibri"/>
          <w:sz w:val="20"/>
          <w:szCs w:val="20"/>
        </w:rPr>
        <w:t> ;</w:t>
      </w:r>
      <w:r w:rsidRPr="00ED06A0">
        <w:rPr>
          <w:rFonts w:ascii="Calibri" w:hAnsi="Calibri" w:cs="Calibri"/>
          <w:sz w:val="20"/>
          <w:szCs w:val="20"/>
        </w:rPr>
        <w:t xml:space="preserve"> ou </w:t>
      </w:r>
    </w:p>
    <w:p w14:paraId="5E0B6BA7" w14:textId="320171BE" w:rsidR="00ED06A0" w:rsidRPr="00ED06A0" w:rsidRDefault="00ED06A0" w:rsidP="00ED06A0">
      <w:pPr>
        <w:pStyle w:val="Paragraphedeliste"/>
        <w:numPr>
          <w:ilvl w:val="0"/>
          <w:numId w:val="99"/>
        </w:numPr>
        <w:spacing w:before="100" w:beforeAutospacing="1" w:after="100" w:afterAutospacing="1"/>
        <w:jc w:val="both"/>
        <w:rPr>
          <w:rFonts w:ascii="Calibri" w:hAnsi="Calibri" w:cs="Calibri"/>
          <w:sz w:val="20"/>
          <w:szCs w:val="20"/>
        </w:rPr>
      </w:pPr>
      <w:r w:rsidRPr="00ED06A0">
        <w:rPr>
          <w:rFonts w:ascii="Calibri" w:hAnsi="Calibri" w:cs="Calibri"/>
          <w:sz w:val="20"/>
          <w:szCs w:val="20"/>
        </w:rPr>
        <w:t>les marchés publics</w:t>
      </w:r>
      <w:r>
        <w:rPr>
          <w:rFonts w:ascii="Calibri" w:hAnsi="Calibri" w:cs="Calibri"/>
          <w:sz w:val="20"/>
          <w:szCs w:val="20"/>
        </w:rPr>
        <w:t>.</w:t>
      </w:r>
    </w:p>
    <w:p w14:paraId="2DEE5198" w14:textId="0A824747" w:rsidR="00ED06A0" w:rsidRDefault="00ED06A0" w:rsidP="00ED06A0">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7</w:t>
      </w:r>
      <w:r w:rsidRPr="00ED6269">
        <w:rPr>
          <w:rFonts w:ascii="Trebuchet MS" w:hAnsi="Trebuchet MS"/>
          <w:b/>
          <w:bCs/>
        </w:rPr>
        <w:t xml:space="preserve"> </w:t>
      </w:r>
      <w:r>
        <w:rPr>
          <w:rFonts w:ascii="Trebuchet MS" w:hAnsi="Trebuchet MS"/>
          <w:b/>
          <w:bCs/>
        </w:rPr>
        <w:t>– FACTEURS DE RISQUES LIES AUX CANAUX DE DISTRIBUTION</w:t>
      </w:r>
    </w:p>
    <w:p w14:paraId="6639C439" w14:textId="6AEAAC53" w:rsidR="00ED06A0" w:rsidRDefault="00ED06A0" w:rsidP="00ED06A0">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AA09A9">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26FEAFB6" w14:textId="27C69BB3" w:rsidR="00ED06A0" w:rsidRDefault="00ED06A0" w:rsidP="005856F9">
      <w:pPr>
        <w:pStyle w:val="NormalWeb"/>
        <w:numPr>
          <w:ilvl w:val="0"/>
          <w:numId w:val="100"/>
        </w:numPr>
        <w:ind w:left="714" w:hanging="357"/>
        <w:contextualSpacing/>
        <w:jc w:val="both"/>
        <w:rPr>
          <w:rFonts w:ascii="Calibri" w:hAnsi="Calibri" w:cs="Calibri"/>
          <w:sz w:val="20"/>
          <w:szCs w:val="20"/>
        </w:rPr>
      </w:pPr>
      <w:r w:rsidRPr="00ED06A0">
        <w:rPr>
          <w:rFonts w:ascii="Calibri" w:hAnsi="Calibri" w:cs="Calibri"/>
          <w:sz w:val="20"/>
          <w:szCs w:val="20"/>
        </w:rPr>
        <w:t>La chaîne de réception et de transmission des ordres est complexe.</w:t>
      </w:r>
    </w:p>
    <w:p w14:paraId="3DC91FE2" w14:textId="77777777" w:rsidR="005856F9" w:rsidRPr="00ED06A0" w:rsidRDefault="005856F9" w:rsidP="005856F9">
      <w:pPr>
        <w:pStyle w:val="NormalWeb"/>
        <w:ind w:left="714"/>
        <w:contextualSpacing/>
        <w:jc w:val="both"/>
        <w:rPr>
          <w:rFonts w:ascii="Calibri" w:hAnsi="Calibri" w:cs="Calibri"/>
          <w:sz w:val="20"/>
          <w:szCs w:val="20"/>
        </w:rPr>
      </w:pPr>
    </w:p>
    <w:p w14:paraId="57739F63" w14:textId="77777777" w:rsidR="00ED06A0" w:rsidRDefault="00ED06A0" w:rsidP="005856F9">
      <w:pPr>
        <w:pStyle w:val="NormalWeb"/>
        <w:numPr>
          <w:ilvl w:val="0"/>
          <w:numId w:val="100"/>
        </w:numPr>
        <w:ind w:left="714" w:hanging="357"/>
        <w:contextualSpacing/>
        <w:jc w:val="both"/>
        <w:rPr>
          <w:rFonts w:ascii="Calibri" w:hAnsi="Calibri" w:cs="Calibri"/>
          <w:sz w:val="20"/>
          <w:szCs w:val="20"/>
        </w:rPr>
      </w:pPr>
      <w:r w:rsidRPr="00ED06A0">
        <w:rPr>
          <w:rFonts w:ascii="Calibri" w:hAnsi="Calibri" w:cs="Calibri"/>
          <w:sz w:val="20"/>
          <w:szCs w:val="20"/>
        </w:rPr>
        <w:t xml:space="preserve">La chaîne de distribution des produits d’investissement est complexe. </w:t>
      </w:r>
    </w:p>
    <w:p w14:paraId="2DD26D38" w14:textId="77777777" w:rsidR="005856F9" w:rsidRDefault="005856F9" w:rsidP="005856F9">
      <w:pPr>
        <w:pStyle w:val="NormalWeb"/>
        <w:ind w:left="714"/>
        <w:contextualSpacing/>
        <w:jc w:val="both"/>
        <w:rPr>
          <w:rFonts w:ascii="Calibri" w:hAnsi="Calibri" w:cs="Calibri"/>
          <w:sz w:val="20"/>
          <w:szCs w:val="20"/>
        </w:rPr>
      </w:pPr>
    </w:p>
    <w:p w14:paraId="5505E9CF" w14:textId="474306C7" w:rsidR="005856F9" w:rsidRDefault="00ED06A0" w:rsidP="005856F9">
      <w:pPr>
        <w:pStyle w:val="NormalWeb"/>
        <w:numPr>
          <w:ilvl w:val="0"/>
          <w:numId w:val="100"/>
        </w:numPr>
        <w:ind w:left="714" w:hanging="357"/>
        <w:contextualSpacing/>
        <w:jc w:val="both"/>
        <w:rPr>
          <w:rFonts w:ascii="Calibri" w:hAnsi="Calibri" w:cs="Calibri"/>
          <w:sz w:val="20"/>
          <w:szCs w:val="20"/>
        </w:rPr>
      </w:pPr>
      <w:r w:rsidRPr="00ED06A0">
        <w:rPr>
          <w:rFonts w:ascii="Calibri" w:hAnsi="Calibri" w:cs="Calibri"/>
          <w:sz w:val="20"/>
          <w:szCs w:val="20"/>
        </w:rPr>
        <w:t>La plate-forme de négociation compte des membres ou des participants situés dans des pays ou territoires à haut risque</w:t>
      </w:r>
    </w:p>
    <w:p w14:paraId="35DDB668" w14:textId="77777777" w:rsidR="005856F9" w:rsidRPr="005856F9" w:rsidRDefault="005856F9" w:rsidP="005856F9">
      <w:pPr>
        <w:pStyle w:val="NormalWeb"/>
        <w:ind w:left="714"/>
        <w:contextualSpacing/>
        <w:jc w:val="both"/>
        <w:rPr>
          <w:rFonts w:ascii="Calibri" w:hAnsi="Calibri" w:cs="Calibri"/>
          <w:sz w:val="20"/>
          <w:szCs w:val="20"/>
        </w:rPr>
      </w:pPr>
    </w:p>
    <w:p w14:paraId="3F1D89DA" w14:textId="44329C4B"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8</w:t>
      </w:r>
      <w:r w:rsidRPr="00ED6269">
        <w:rPr>
          <w:rFonts w:ascii="Trebuchet MS" w:hAnsi="Trebuchet MS"/>
          <w:b/>
          <w:bCs/>
        </w:rPr>
        <w:t xml:space="preserve"> </w:t>
      </w:r>
      <w:r>
        <w:rPr>
          <w:rFonts w:ascii="Trebuchet MS" w:hAnsi="Trebuchet MS"/>
          <w:b/>
          <w:bCs/>
        </w:rPr>
        <w:t xml:space="preserve">– FACTEURS DE RISQUES LIES </w:t>
      </w:r>
      <w:r w:rsidR="00AA09A9">
        <w:rPr>
          <w:rFonts w:ascii="Trebuchet MS" w:hAnsi="Trebuchet MS"/>
          <w:b/>
          <w:bCs/>
        </w:rPr>
        <w:t xml:space="preserve">AU </w:t>
      </w:r>
      <w:r>
        <w:rPr>
          <w:rFonts w:ascii="Trebuchet MS" w:hAnsi="Trebuchet MS"/>
          <w:b/>
          <w:bCs/>
        </w:rPr>
        <w:t>PAYS OU</w:t>
      </w:r>
      <w:r w:rsidR="00AA09A9">
        <w:rPr>
          <w:rFonts w:ascii="Trebuchet MS" w:hAnsi="Trebuchet MS"/>
          <w:b/>
          <w:bCs/>
        </w:rPr>
        <w:t xml:space="preserve"> </w:t>
      </w:r>
      <w:proofErr w:type="spellStart"/>
      <w:r w:rsidR="00AA09A9">
        <w:rPr>
          <w:rFonts w:ascii="Trebuchet MS" w:hAnsi="Trebuchet MS"/>
          <w:b/>
          <w:bCs/>
        </w:rPr>
        <w:t>A</w:t>
      </w:r>
      <w:proofErr w:type="spellEnd"/>
      <w:r w:rsidR="00AA09A9">
        <w:rPr>
          <w:rFonts w:ascii="Trebuchet MS" w:hAnsi="Trebuchet MS"/>
          <w:b/>
          <w:bCs/>
        </w:rPr>
        <w:t xml:space="preserve"> LA</w:t>
      </w:r>
      <w:r>
        <w:rPr>
          <w:rFonts w:ascii="Trebuchet MS" w:hAnsi="Trebuchet MS"/>
          <w:b/>
          <w:bCs/>
        </w:rPr>
        <w:t xml:space="preserve"> ZONE GEOGRAPHIQUE</w:t>
      </w:r>
    </w:p>
    <w:p w14:paraId="211769A9" w14:textId="636F4B99" w:rsidR="005856F9" w:rsidRDefault="005856F9" w:rsidP="005856F9">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AA09A9">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79E1D273" w14:textId="2044E5FB" w:rsidR="005856F9" w:rsidRDefault="005856F9" w:rsidP="005856F9">
      <w:pPr>
        <w:pStyle w:val="NormalWeb"/>
        <w:numPr>
          <w:ilvl w:val="0"/>
          <w:numId w:val="101"/>
        </w:numPr>
        <w:contextualSpacing/>
        <w:jc w:val="both"/>
        <w:rPr>
          <w:rFonts w:ascii="Calibri" w:hAnsi="Calibri" w:cs="Calibri"/>
          <w:sz w:val="20"/>
          <w:szCs w:val="20"/>
        </w:rPr>
      </w:pPr>
      <w:r w:rsidRPr="005856F9">
        <w:rPr>
          <w:rFonts w:ascii="Calibri" w:hAnsi="Calibri" w:cs="Calibri"/>
          <w:sz w:val="20"/>
          <w:szCs w:val="20"/>
        </w:rPr>
        <w:t xml:space="preserve">L’investisseur ou son dépositaire est installé dans un pays ou territoire associé à un risque plus élevé de </w:t>
      </w:r>
      <w:r>
        <w:rPr>
          <w:rFonts w:ascii="Calibri" w:hAnsi="Calibri" w:cs="Calibri"/>
          <w:sz w:val="20"/>
          <w:szCs w:val="20"/>
        </w:rPr>
        <w:t>blanchiment de capitaux et du financement du terrorisme</w:t>
      </w:r>
    </w:p>
    <w:p w14:paraId="0908AE37" w14:textId="77777777" w:rsidR="005856F9" w:rsidRDefault="005856F9" w:rsidP="005856F9">
      <w:pPr>
        <w:pStyle w:val="NormalWeb"/>
        <w:ind w:left="720"/>
        <w:contextualSpacing/>
        <w:jc w:val="both"/>
        <w:rPr>
          <w:rFonts w:ascii="Calibri" w:hAnsi="Calibri" w:cs="Calibri"/>
          <w:sz w:val="20"/>
          <w:szCs w:val="20"/>
        </w:rPr>
      </w:pPr>
    </w:p>
    <w:p w14:paraId="421F04DF" w14:textId="74E6D676" w:rsidR="00117D65" w:rsidRDefault="005856F9" w:rsidP="005856F9">
      <w:pPr>
        <w:pStyle w:val="NormalWeb"/>
        <w:numPr>
          <w:ilvl w:val="0"/>
          <w:numId w:val="101"/>
        </w:numPr>
        <w:contextualSpacing/>
        <w:jc w:val="both"/>
        <w:rPr>
          <w:rFonts w:ascii="Calibri" w:hAnsi="Calibri" w:cs="Calibri"/>
          <w:sz w:val="20"/>
          <w:szCs w:val="20"/>
        </w:rPr>
      </w:pPr>
      <w:r w:rsidRPr="005856F9">
        <w:rPr>
          <w:rFonts w:ascii="Calibri" w:hAnsi="Calibri" w:cs="Calibri"/>
          <w:sz w:val="20"/>
          <w:szCs w:val="20"/>
        </w:rPr>
        <w:t xml:space="preserve">Les fonds proviennent d’un pays ou territoire associé à un risque plus élevé de </w:t>
      </w:r>
      <w:r>
        <w:rPr>
          <w:rFonts w:ascii="Calibri" w:hAnsi="Calibri" w:cs="Calibri"/>
          <w:sz w:val="20"/>
          <w:szCs w:val="20"/>
        </w:rPr>
        <w:t>blanchiment de capitaux et du financement du terrorisme</w:t>
      </w:r>
      <w:r w:rsidRPr="005856F9">
        <w:rPr>
          <w:rFonts w:ascii="Calibri" w:hAnsi="Calibri" w:cs="Calibri"/>
          <w:sz w:val="20"/>
          <w:szCs w:val="20"/>
        </w:rPr>
        <w:t>.</w:t>
      </w:r>
    </w:p>
    <w:p w14:paraId="189B1F0F" w14:textId="00BE9AF4" w:rsidR="00C6347D" w:rsidRDefault="00C6347D" w:rsidP="005856F9">
      <w:pPr>
        <w:pStyle w:val="NormalWeb"/>
        <w:contextualSpacing/>
        <w:jc w:val="both"/>
        <w:rPr>
          <w:rFonts w:ascii="Calibri" w:hAnsi="Calibri" w:cs="Calibri"/>
          <w:sz w:val="20"/>
          <w:szCs w:val="20"/>
        </w:rPr>
      </w:pPr>
    </w:p>
    <w:p w14:paraId="67185652" w14:textId="66BED067" w:rsidR="005856F9" w:rsidRPr="00117D65" w:rsidRDefault="005856F9" w:rsidP="005856F9">
      <w:pPr>
        <w:pStyle w:val="NormalWeb"/>
        <w:jc w:val="both"/>
        <w:rPr>
          <w:rFonts w:ascii="Calibri" w:hAnsi="Calibri" w:cs="Calibri"/>
          <w:b/>
          <w:bCs/>
          <w:sz w:val="36"/>
          <w:szCs w:val="36"/>
        </w:rPr>
      </w:pPr>
      <w:r w:rsidRPr="00117D65">
        <w:rPr>
          <w:rFonts w:ascii="Calibri" w:hAnsi="Calibri" w:cs="Calibri"/>
          <w:b/>
          <w:bCs/>
          <w:sz w:val="36"/>
          <w:szCs w:val="36"/>
        </w:rPr>
        <w:t>TITRE I</w:t>
      </w:r>
      <w:r>
        <w:rPr>
          <w:rFonts w:ascii="Calibri" w:hAnsi="Calibri" w:cs="Calibri"/>
          <w:b/>
          <w:bCs/>
          <w:sz w:val="36"/>
          <w:szCs w:val="36"/>
        </w:rPr>
        <w:t>II</w:t>
      </w:r>
      <w:r w:rsidRPr="00117D65">
        <w:rPr>
          <w:rFonts w:ascii="Calibri" w:hAnsi="Calibri" w:cs="Calibri"/>
          <w:b/>
          <w:bCs/>
          <w:sz w:val="36"/>
          <w:szCs w:val="36"/>
        </w:rPr>
        <w:t xml:space="preserve"> </w:t>
      </w:r>
      <w:r>
        <w:rPr>
          <w:rFonts w:ascii="Calibri" w:hAnsi="Calibri" w:cs="Calibri"/>
          <w:b/>
          <w:bCs/>
          <w:sz w:val="36"/>
          <w:szCs w:val="36"/>
        </w:rPr>
        <w:t>–</w:t>
      </w:r>
      <w:r w:rsidRPr="00117D65">
        <w:rPr>
          <w:rFonts w:ascii="Calibri" w:hAnsi="Calibri" w:cs="Calibri"/>
          <w:b/>
          <w:bCs/>
          <w:sz w:val="36"/>
          <w:szCs w:val="36"/>
        </w:rPr>
        <w:t xml:space="preserve"> </w:t>
      </w:r>
      <w:r>
        <w:rPr>
          <w:rFonts w:ascii="Calibri" w:hAnsi="Calibri" w:cs="Calibri"/>
          <w:b/>
          <w:bCs/>
          <w:sz w:val="36"/>
          <w:szCs w:val="36"/>
        </w:rPr>
        <w:t>O</w:t>
      </w:r>
      <w:r w:rsidRPr="005856F9">
        <w:rPr>
          <w:rFonts w:ascii="Calibri" w:hAnsi="Calibri" w:cs="Calibri"/>
          <w:b/>
          <w:bCs/>
          <w:sz w:val="36"/>
          <w:szCs w:val="36"/>
        </w:rPr>
        <w:t>rganismes de placement collectif, les sociétés de gestion et leurs dépositaires</w:t>
      </w:r>
      <w:r w:rsidRPr="00AC7729">
        <w:rPr>
          <w:rFonts w:asciiTheme="minorHAnsi" w:hAnsiTheme="minorHAnsi" w:cstheme="minorHAnsi"/>
          <w:bCs/>
          <w:color w:val="000000"/>
        </w:rPr>
        <w:t> </w:t>
      </w:r>
    </w:p>
    <w:p w14:paraId="08D4FD61" w14:textId="71462026"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9</w:t>
      </w:r>
      <w:r w:rsidRPr="00ED6269">
        <w:rPr>
          <w:rFonts w:ascii="Trebuchet MS" w:hAnsi="Trebuchet MS"/>
          <w:b/>
          <w:bCs/>
        </w:rPr>
        <w:t xml:space="preserve"> </w:t>
      </w:r>
      <w:r>
        <w:rPr>
          <w:rFonts w:ascii="Trebuchet MS" w:hAnsi="Trebuchet MS"/>
          <w:b/>
          <w:bCs/>
        </w:rPr>
        <w:t xml:space="preserve">– FACTEURS DE RISQUES LIES AUX PRODUITS, AUX SERVICES ET AUX TRANSACTIONS </w:t>
      </w:r>
    </w:p>
    <w:p w14:paraId="4D72841A" w14:textId="3D58810C" w:rsidR="008D3710" w:rsidRDefault="008D3710" w:rsidP="008D3710">
      <w:pPr>
        <w:pStyle w:val="Paragraphedeliste"/>
        <w:numPr>
          <w:ilvl w:val="0"/>
          <w:numId w:val="103"/>
        </w:numPr>
        <w:spacing w:before="100" w:beforeAutospacing="1" w:after="100" w:afterAutospacing="1"/>
        <w:ind w:left="567"/>
        <w:jc w:val="both"/>
        <w:rPr>
          <w:rFonts w:ascii="Calibri" w:hAnsi="Calibri" w:cs="Calibri"/>
          <w:sz w:val="20"/>
          <w:szCs w:val="20"/>
        </w:rPr>
      </w:pPr>
      <w:r w:rsidRPr="008D3710">
        <w:rPr>
          <w:rFonts w:ascii="Calibri" w:hAnsi="Calibri" w:cs="Calibri"/>
          <w:sz w:val="20"/>
          <w:szCs w:val="20"/>
        </w:rPr>
        <w:t>Les facteurs de risque suivant</w:t>
      </w:r>
      <w:r w:rsidR="00A61654">
        <w:rPr>
          <w:rFonts w:ascii="Calibri" w:hAnsi="Calibri" w:cs="Calibri"/>
          <w:sz w:val="20"/>
          <w:szCs w:val="20"/>
        </w:rPr>
        <w:t>s</w:t>
      </w:r>
      <w:r w:rsidRPr="008D3710">
        <w:rPr>
          <w:rFonts w:ascii="Calibri" w:hAnsi="Calibri" w:cs="Calibri"/>
          <w:sz w:val="20"/>
          <w:szCs w:val="20"/>
        </w:rPr>
        <w:t xml:space="preserve"> peuvent présenter un risque élevé de blanchiment de capitaux et de financement du terrorisme</w:t>
      </w:r>
      <w:r>
        <w:rPr>
          <w:rFonts w:ascii="Calibri" w:hAnsi="Calibri" w:cs="Calibri"/>
          <w:sz w:val="20"/>
          <w:szCs w:val="20"/>
        </w:rPr>
        <w:t xml:space="preserve"> associé au fonds </w:t>
      </w:r>
      <w:r w:rsidRPr="008D3710">
        <w:rPr>
          <w:rFonts w:ascii="Calibri" w:hAnsi="Calibri" w:cs="Calibri"/>
          <w:sz w:val="20"/>
          <w:szCs w:val="20"/>
        </w:rPr>
        <w:t>:</w:t>
      </w:r>
    </w:p>
    <w:p w14:paraId="4CCE5EEF" w14:textId="77777777" w:rsidR="008D3710" w:rsidRPr="008D3710" w:rsidRDefault="008D3710" w:rsidP="008D3710">
      <w:pPr>
        <w:pStyle w:val="Paragraphedeliste"/>
        <w:spacing w:before="100" w:beforeAutospacing="1" w:after="100" w:afterAutospacing="1"/>
        <w:ind w:left="567"/>
        <w:jc w:val="both"/>
        <w:rPr>
          <w:rFonts w:ascii="Calibri" w:hAnsi="Calibri" w:cs="Calibri"/>
          <w:sz w:val="20"/>
          <w:szCs w:val="20"/>
        </w:rPr>
      </w:pPr>
    </w:p>
    <w:p w14:paraId="316E4276" w14:textId="77777777" w:rsidR="008D3710" w:rsidRDefault="008D3710" w:rsidP="008D3710">
      <w:pPr>
        <w:pStyle w:val="Paragraphedeliste"/>
        <w:numPr>
          <w:ilvl w:val="0"/>
          <w:numId w:val="102"/>
        </w:numPr>
        <w:spacing w:before="100" w:beforeAutospacing="1" w:after="100" w:afterAutospacing="1"/>
        <w:ind w:left="1134"/>
        <w:jc w:val="both"/>
        <w:rPr>
          <w:rFonts w:ascii="Calibri" w:hAnsi="Calibri" w:cs="Calibri"/>
          <w:sz w:val="20"/>
          <w:szCs w:val="20"/>
        </w:rPr>
      </w:pPr>
      <w:r w:rsidRPr="008D3710">
        <w:rPr>
          <w:rFonts w:ascii="Calibri" w:hAnsi="Calibri" w:cs="Calibri"/>
          <w:sz w:val="20"/>
          <w:szCs w:val="20"/>
        </w:rPr>
        <w:t>Le fonds s’adresse à un nombre limité d’individus ou de «family offices»</w:t>
      </w:r>
      <w:r>
        <w:rPr>
          <w:rFonts w:ascii="Calibri" w:hAnsi="Calibri" w:cs="Calibri"/>
          <w:sz w:val="20"/>
          <w:szCs w:val="20"/>
        </w:rPr>
        <w:t> ;</w:t>
      </w:r>
    </w:p>
    <w:p w14:paraId="1CEA8AAD" w14:textId="77777777" w:rsidR="008D3710" w:rsidRDefault="008D3710" w:rsidP="008D3710">
      <w:pPr>
        <w:pStyle w:val="Paragraphedeliste"/>
        <w:spacing w:before="100" w:beforeAutospacing="1" w:after="100" w:afterAutospacing="1"/>
        <w:ind w:left="1134"/>
        <w:jc w:val="both"/>
        <w:rPr>
          <w:rFonts w:ascii="Calibri" w:hAnsi="Calibri" w:cs="Calibri"/>
          <w:sz w:val="20"/>
          <w:szCs w:val="20"/>
        </w:rPr>
      </w:pPr>
    </w:p>
    <w:p w14:paraId="267E7BE1" w14:textId="77777777" w:rsidR="008D3710" w:rsidRDefault="008D3710" w:rsidP="008D3710">
      <w:pPr>
        <w:pStyle w:val="Paragraphedeliste"/>
        <w:numPr>
          <w:ilvl w:val="0"/>
          <w:numId w:val="102"/>
        </w:numPr>
        <w:spacing w:before="100" w:beforeAutospacing="1" w:after="100" w:afterAutospacing="1"/>
        <w:ind w:left="1134"/>
        <w:jc w:val="both"/>
        <w:rPr>
          <w:rFonts w:ascii="Calibri" w:hAnsi="Calibri" w:cs="Calibri"/>
          <w:sz w:val="20"/>
          <w:szCs w:val="20"/>
        </w:rPr>
      </w:pPr>
      <w:r w:rsidRPr="008D3710">
        <w:rPr>
          <w:rFonts w:ascii="Calibri" w:hAnsi="Calibri" w:cs="Calibri"/>
          <w:sz w:val="20"/>
          <w:szCs w:val="20"/>
        </w:rPr>
        <w:t>L’investisseur peut souscrire au fonds puis rapidement racheter l’investissement sans s’exposer à des frais administratifs importants.</w:t>
      </w:r>
    </w:p>
    <w:p w14:paraId="3F10F4B8" w14:textId="77777777" w:rsidR="008D3710" w:rsidRDefault="008D3710" w:rsidP="008D3710">
      <w:pPr>
        <w:pStyle w:val="Paragraphedeliste"/>
        <w:spacing w:before="100" w:beforeAutospacing="1" w:after="100" w:afterAutospacing="1"/>
        <w:ind w:left="1134"/>
        <w:jc w:val="both"/>
        <w:rPr>
          <w:rFonts w:ascii="Calibri" w:hAnsi="Calibri" w:cs="Calibri"/>
          <w:sz w:val="20"/>
          <w:szCs w:val="20"/>
        </w:rPr>
      </w:pPr>
    </w:p>
    <w:p w14:paraId="54C7D93A" w14:textId="77777777" w:rsidR="008D3710" w:rsidRPr="00CD6FE3" w:rsidRDefault="008D3710" w:rsidP="008D3710">
      <w:pPr>
        <w:pStyle w:val="Paragraphedeliste"/>
        <w:numPr>
          <w:ilvl w:val="0"/>
          <w:numId w:val="102"/>
        </w:numPr>
        <w:spacing w:before="100" w:beforeAutospacing="1" w:after="100" w:afterAutospacing="1"/>
        <w:ind w:left="1134"/>
        <w:jc w:val="both"/>
        <w:rPr>
          <w:rFonts w:ascii="Calibri" w:hAnsi="Calibri" w:cs="Calibri"/>
          <w:sz w:val="20"/>
          <w:szCs w:val="20"/>
        </w:rPr>
      </w:pPr>
      <w:r w:rsidRPr="00CD6FE3">
        <w:rPr>
          <w:rFonts w:ascii="Calibri" w:hAnsi="Calibri" w:cs="Calibri"/>
          <w:sz w:val="20"/>
          <w:szCs w:val="20"/>
        </w:rPr>
        <w:t>Les parts ou les actions du fonds peuvent être négociées sans que le fonds ou le gestionnaire du fonds en ait été informé au moment de l’opération.</w:t>
      </w:r>
    </w:p>
    <w:p w14:paraId="298BA913" w14:textId="77777777" w:rsidR="008D3710" w:rsidRDefault="008D3710" w:rsidP="008D3710">
      <w:pPr>
        <w:pStyle w:val="Paragraphedeliste"/>
        <w:spacing w:before="100" w:beforeAutospacing="1" w:after="100" w:afterAutospacing="1"/>
        <w:ind w:left="1134"/>
        <w:jc w:val="both"/>
        <w:rPr>
          <w:rFonts w:ascii="Calibri" w:hAnsi="Calibri" w:cs="Calibri"/>
          <w:sz w:val="20"/>
          <w:szCs w:val="20"/>
        </w:rPr>
      </w:pPr>
    </w:p>
    <w:p w14:paraId="0FC9D80F" w14:textId="11E56CCD" w:rsidR="008D3710" w:rsidRDefault="008D3710" w:rsidP="008D3710">
      <w:pPr>
        <w:pStyle w:val="Paragraphedeliste"/>
        <w:numPr>
          <w:ilvl w:val="0"/>
          <w:numId w:val="102"/>
        </w:numPr>
        <w:spacing w:before="100" w:beforeAutospacing="1" w:after="100" w:afterAutospacing="1"/>
        <w:ind w:left="1134"/>
        <w:jc w:val="both"/>
        <w:rPr>
          <w:rFonts w:ascii="Calibri" w:hAnsi="Calibri" w:cs="Calibri"/>
          <w:sz w:val="20"/>
          <w:szCs w:val="20"/>
        </w:rPr>
      </w:pPr>
      <w:r w:rsidRPr="008D3710">
        <w:rPr>
          <w:rFonts w:ascii="Calibri" w:hAnsi="Calibri" w:cs="Calibri"/>
          <w:sz w:val="20"/>
          <w:szCs w:val="20"/>
        </w:rPr>
        <w:t>Les informations sur l’investisseur sont réparties entre plusieurs acteurs.</w:t>
      </w:r>
    </w:p>
    <w:p w14:paraId="259DFEEC" w14:textId="77777777" w:rsidR="008D3710" w:rsidRDefault="008D3710" w:rsidP="008D3710">
      <w:pPr>
        <w:pStyle w:val="Paragraphedeliste"/>
        <w:spacing w:before="100" w:beforeAutospacing="1" w:after="100" w:afterAutospacing="1"/>
        <w:ind w:left="1134"/>
        <w:jc w:val="both"/>
        <w:rPr>
          <w:rFonts w:ascii="Calibri" w:hAnsi="Calibri" w:cs="Calibri"/>
          <w:sz w:val="20"/>
          <w:szCs w:val="20"/>
        </w:rPr>
      </w:pPr>
    </w:p>
    <w:p w14:paraId="7238A644" w14:textId="1BB60545" w:rsidR="008D3710" w:rsidRDefault="008D3710" w:rsidP="008D3710">
      <w:pPr>
        <w:pStyle w:val="Paragraphedeliste"/>
        <w:numPr>
          <w:ilvl w:val="0"/>
          <w:numId w:val="103"/>
        </w:numPr>
        <w:spacing w:before="100" w:beforeAutospacing="1" w:after="100" w:afterAutospacing="1"/>
        <w:ind w:left="567"/>
        <w:jc w:val="both"/>
        <w:rPr>
          <w:rFonts w:ascii="Calibri" w:hAnsi="Calibri" w:cs="Calibri"/>
          <w:sz w:val="20"/>
          <w:szCs w:val="20"/>
        </w:rPr>
      </w:pPr>
      <w:r w:rsidRPr="008D3710">
        <w:rPr>
          <w:rFonts w:ascii="Calibri" w:hAnsi="Calibri" w:cs="Calibri"/>
          <w:sz w:val="20"/>
          <w:szCs w:val="20"/>
        </w:rPr>
        <w:t>Les facteurs de risque suivant</w:t>
      </w:r>
      <w:r w:rsidR="00A61654">
        <w:rPr>
          <w:rFonts w:ascii="Calibri" w:hAnsi="Calibri" w:cs="Calibri"/>
          <w:sz w:val="20"/>
          <w:szCs w:val="20"/>
        </w:rPr>
        <w:t>s</w:t>
      </w:r>
      <w:r w:rsidRPr="008D3710">
        <w:rPr>
          <w:rFonts w:ascii="Calibri" w:hAnsi="Calibri" w:cs="Calibri"/>
          <w:sz w:val="20"/>
          <w:szCs w:val="20"/>
        </w:rPr>
        <w:t xml:space="preserve"> peuvent présenter un risque élevé de blanchiment de capitaux et de financement du terrorisme</w:t>
      </w:r>
      <w:r>
        <w:rPr>
          <w:rFonts w:ascii="Calibri" w:hAnsi="Calibri" w:cs="Calibri"/>
          <w:sz w:val="20"/>
          <w:szCs w:val="20"/>
        </w:rPr>
        <w:t xml:space="preserve"> lié à la souscription </w:t>
      </w:r>
      <w:r w:rsidRPr="008D3710">
        <w:rPr>
          <w:rFonts w:ascii="Calibri" w:hAnsi="Calibri" w:cs="Calibri"/>
          <w:sz w:val="20"/>
          <w:szCs w:val="20"/>
        </w:rPr>
        <w:t>:</w:t>
      </w:r>
    </w:p>
    <w:p w14:paraId="076DFAA7" w14:textId="77777777" w:rsidR="008D3710" w:rsidRPr="008D3710" w:rsidRDefault="008D3710" w:rsidP="008D3710">
      <w:pPr>
        <w:pStyle w:val="Paragraphedeliste"/>
        <w:spacing w:before="100" w:beforeAutospacing="1" w:after="100" w:afterAutospacing="1"/>
        <w:ind w:left="567"/>
        <w:jc w:val="both"/>
        <w:rPr>
          <w:rFonts w:ascii="Calibri" w:hAnsi="Calibri" w:cs="Calibri"/>
          <w:sz w:val="20"/>
          <w:szCs w:val="20"/>
        </w:rPr>
      </w:pPr>
    </w:p>
    <w:p w14:paraId="40A00EA4" w14:textId="77777777" w:rsidR="008D3710" w:rsidRDefault="008D3710" w:rsidP="008D3710">
      <w:pPr>
        <w:pStyle w:val="Paragraphedeliste"/>
        <w:numPr>
          <w:ilvl w:val="0"/>
          <w:numId w:val="105"/>
        </w:numPr>
        <w:spacing w:before="100" w:beforeAutospacing="1" w:after="100" w:afterAutospacing="1"/>
        <w:jc w:val="both"/>
        <w:rPr>
          <w:rFonts w:ascii="Calibri" w:hAnsi="Calibri" w:cs="Calibri"/>
          <w:sz w:val="20"/>
          <w:szCs w:val="20"/>
        </w:rPr>
      </w:pPr>
      <w:r w:rsidRPr="008D3710">
        <w:rPr>
          <w:rFonts w:ascii="Calibri" w:hAnsi="Calibri" w:cs="Calibri"/>
          <w:sz w:val="20"/>
          <w:szCs w:val="20"/>
        </w:rPr>
        <w:t xml:space="preserve">La souscription concerne des comptes ou des tiers situés dans plusieurs pays ou territoires, en particulier lorsque ceux-ci sont associés à un risque élevé de </w:t>
      </w:r>
      <w:r>
        <w:rPr>
          <w:rFonts w:ascii="Calibri" w:hAnsi="Calibri" w:cs="Calibri"/>
          <w:sz w:val="20"/>
          <w:szCs w:val="20"/>
        </w:rPr>
        <w:t>blanchiment de capitaux et du financement du terrorisme</w:t>
      </w:r>
      <w:r w:rsidRPr="008D3710">
        <w:rPr>
          <w:rFonts w:ascii="Calibri" w:hAnsi="Calibri" w:cs="Calibri"/>
          <w:sz w:val="20"/>
          <w:szCs w:val="20"/>
        </w:rPr>
        <w:t xml:space="preserve">. </w:t>
      </w:r>
    </w:p>
    <w:p w14:paraId="615D0099" w14:textId="77777777" w:rsidR="008D3710" w:rsidRDefault="008D3710" w:rsidP="008D3710">
      <w:pPr>
        <w:pStyle w:val="Paragraphedeliste"/>
        <w:spacing w:before="100" w:beforeAutospacing="1" w:after="100" w:afterAutospacing="1"/>
        <w:jc w:val="both"/>
        <w:rPr>
          <w:rFonts w:ascii="Calibri" w:hAnsi="Calibri" w:cs="Calibri"/>
          <w:sz w:val="20"/>
          <w:szCs w:val="20"/>
        </w:rPr>
      </w:pPr>
    </w:p>
    <w:p w14:paraId="5EFDDD3F" w14:textId="47ECEA90" w:rsidR="008D3710" w:rsidRPr="008D3710" w:rsidRDefault="008D3710" w:rsidP="008D3710">
      <w:pPr>
        <w:pStyle w:val="Paragraphedeliste"/>
        <w:numPr>
          <w:ilvl w:val="0"/>
          <w:numId w:val="105"/>
        </w:numPr>
        <w:spacing w:before="100" w:beforeAutospacing="1" w:after="100" w:afterAutospacing="1"/>
        <w:jc w:val="both"/>
        <w:rPr>
          <w:rFonts w:ascii="Calibri" w:hAnsi="Calibri" w:cs="Calibri"/>
          <w:sz w:val="20"/>
          <w:szCs w:val="20"/>
        </w:rPr>
      </w:pPr>
      <w:r w:rsidRPr="008D3710">
        <w:rPr>
          <w:rFonts w:ascii="Calibri" w:hAnsi="Calibri" w:cs="Calibri"/>
          <w:sz w:val="20"/>
          <w:szCs w:val="20"/>
        </w:rPr>
        <w:lastRenderedPageBreak/>
        <w:t>La souscription fait intervenir des souscripteurs ou bénéficiaires tiers, en particulier lorsque cela n’est pas prévu</w:t>
      </w:r>
      <w:r>
        <w:rPr>
          <w:rFonts w:ascii="Calibri" w:hAnsi="Calibri" w:cs="Calibri"/>
          <w:sz w:val="20"/>
          <w:szCs w:val="20"/>
        </w:rPr>
        <w:t>.</w:t>
      </w:r>
    </w:p>
    <w:p w14:paraId="501D9EDE" w14:textId="697E1EFF"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10</w:t>
      </w:r>
      <w:r w:rsidRPr="00ED6269">
        <w:rPr>
          <w:rFonts w:ascii="Trebuchet MS" w:hAnsi="Trebuchet MS"/>
          <w:b/>
          <w:bCs/>
        </w:rPr>
        <w:t xml:space="preserve"> </w:t>
      </w:r>
      <w:r>
        <w:rPr>
          <w:rFonts w:ascii="Trebuchet MS" w:hAnsi="Trebuchet MS"/>
          <w:b/>
          <w:bCs/>
        </w:rPr>
        <w:t>– FACTEURS DE RISQUES LIES AUX CLIENTS</w:t>
      </w:r>
    </w:p>
    <w:p w14:paraId="7CFA0E44" w14:textId="0DB4D0B6" w:rsidR="008D3710" w:rsidRPr="008D3710" w:rsidRDefault="008D3710" w:rsidP="008D3710">
      <w:pPr>
        <w:spacing w:before="100" w:beforeAutospacing="1" w:after="100" w:afterAutospacing="1"/>
        <w:jc w:val="both"/>
        <w:rPr>
          <w:rFonts w:ascii="Calibri" w:hAnsi="Calibri" w:cs="Calibri"/>
          <w:sz w:val="20"/>
          <w:szCs w:val="20"/>
        </w:rPr>
      </w:pPr>
      <w:r>
        <w:rPr>
          <w:rFonts w:ascii="Calibri" w:hAnsi="Calibri" w:cs="Calibri"/>
          <w:sz w:val="20"/>
          <w:szCs w:val="20"/>
        </w:rPr>
        <w:t xml:space="preserve">Un comportement du client inhabituel peut </w:t>
      </w:r>
      <w:r w:rsidRPr="00337811">
        <w:rPr>
          <w:rFonts w:ascii="Calibri" w:hAnsi="Calibri" w:cs="Calibri"/>
          <w:sz w:val="20"/>
          <w:szCs w:val="20"/>
        </w:rPr>
        <w:t>présenter un risque élevé de blanchiment de capitaux et de financement du terrorisme</w:t>
      </w:r>
      <w:r>
        <w:rPr>
          <w:rFonts w:ascii="Calibri" w:hAnsi="Calibri" w:cs="Calibri"/>
          <w:sz w:val="20"/>
          <w:szCs w:val="20"/>
        </w:rPr>
        <w:t xml:space="preserve">. Ce </w:t>
      </w:r>
      <w:r w:rsidRPr="008D3710">
        <w:rPr>
          <w:rFonts w:ascii="Calibri" w:hAnsi="Calibri" w:cs="Calibri"/>
          <w:sz w:val="20"/>
          <w:szCs w:val="20"/>
        </w:rPr>
        <w:t xml:space="preserve">comportement </w:t>
      </w:r>
      <w:r>
        <w:rPr>
          <w:rFonts w:ascii="Calibri" w:hAnsi="Calibri" w:cs="Calibri"/>
          <w:sz w:val="20"/>
          <w:szCs w:val="20"/>
        </w:rPr>
        <w:t xml:space="preserve">peut prendre les formes suivantes : </w:t>
      </w:r>
      <w:r w:rsidRPr="008D3710">
        <w:rPr>
          <w:rFonts w:ascii="Calibri" w:hAnsi="Calibri" w:cs="Calibri"/>
          <w:sz w:val="20"/>
          <w:szCs w:val="20"/>
        </w:rPr>
        <w:t xml:space="preserve"> </w:t>
      </w:r>
    </w:p>
    <w:p w14:paraId="344C3D91" w14:textId="2C3E0D1A" w:rsidR="008D3710" w:rsidRDefault="008D3710" w:rsidP="0029434D">
      <w:pPr>
        <w:pStyle w:val="NormalWeb"/>
        <w:numPr>
          <w:ilvl w:val="0"/>
          <w:numId w:val="107"/>
        </w:numPr>
        <w:contextualSpacing/>
        <w:jc w:val="both"/>
        <w:rPr>
          <w:rFonts w:ascii="Calibri" w:hAnsi="Calibri" w:cs="Calibri"/>
          <w:sz w:val="20"/>
          <w:szCs w:val="20"/>
        </w:rPr>
      </w:pPr>
      <w:r>
        <w:rPr>
          <w:rFonts w:ascii="Calibri" w:hAnsi="Calibri" w:cs="Calibri"/>
          <w:sz w:val="20"/>
          <w:szCs w:val="20"/>
        </w:rPr>
        <w:t>L</w:t>
      </w:r>
      <w:r w:rsidRPr="008D3710">
        <w:rPr>
          <w:rFonts w:ascii="Calibri" w:hAnsi="Calibri" w:cs="Calibri"/>
          <w:sz w:val="20"/>
          <w:szCs w:val="20"/>
        </w:rPr>
        <w:t>es raisons qui sous-tendent l’investissement ne répondent pas à une stratégie ou à une finalité économique évidente, ou le client effectue des investissements qui ne correspondent pas à sa situation financière globale, lorsque ces éléments sont connus du fonds ou du gestionnaire du fonds.</w:t>
      </w:r>
    </w:p>
    <w:p w14:paraId="5B3C106B" w14:textId="77777777" w:rsidR="0029434D" w:rsidRPr="008D3710" w:rsidRDefault="0029434D" w:rsidP="0029434D">
      <w:pPr>
        <w:pStyle w:val="NormalWeb"/>
        <w:ind w:left="720"/>
        <w:contextualSpacing/>
        <w:jc w:val="both"/>
        <w:rPr>
          <w:rFonts w:ascii="Calibri" w:hAnsi="Calibri" w:cs="Calibri"/>
          <w:sz w:val="20"/>
          <w:szCs w:val="20"/>
        </w:rPr>
      </w:pPr>
    </w:p>
    <w:p w14:paraId="389AF26A" w14:textId="77777777" w:rsidR="008D3710" w:rsidRDefault="008D3710" w:rsidP="0029434D">
      <w:pPr>
        <w:pStyle w:val="NormalWeb"/>
        <w:numPr>
          <w:ilvl w:val="0"/>
          <w:numId w:val="107"/>
        </w:numPr>
        <w:contextualSpacing/>
        <w:jc w:val="both"/>
        <w:rPr>
          <w:rFonts w:ascii="Calibri" w:hAnsi="Calibri" w:cs="Calibri"/>
          <w:sz w:val="20"/>
          <w:szCs w:val="20"/>
        </w:rPr>
      </w:pPr>
      <w:r w:rsidRPr="008D3710">
        <w:rPr>
          <w:rFonts w:ascii="Calibri" w:hAnsi="Calibri" w:cs="Calibri"/>
          <w:sz w:val="20"/>
          <w:szCs w:val="20"/>
        </w:rPr>
        <w:t>Le client demande l’achat et/ou la vente à répétition de parts ou d’actions peu de temps après l’investissement initial ou avant la date de remboursement, sans stratégie ou logique claire, en particulier lorsque cela entraîne une perte financière ou le paiement de frais de transaction élevés.</w:t>
      </w:r>
    </w:p>
    <w:p w14:paraId="2B7ABBA4" w14:textId="77777777" w:rsidR="0029434D" w:rsidRDefault="0029434D" w:rsidP="0029434D">
      <w:pPr>
        <w:pStyle w:val="NormalWeb"/>
        <w:ind w:left="720"/>
        <w:contextualSpacing/>
        <w:jc w:val="both"/>
        <w:rPr>
          <w:rFonts w:ascii="Calibri" w:hAnsi="Calibri" w:cs="Calibri"/>
          <w:sz w:val="20"/>
          <w:szCs w:val="20"/>
        </w:rPr>
      </w:pPr>
    </w:p>
    <w:p w14:paraId="4336BFEC" w14:textId="77777777" w:rsidR="008D3710" w:rsidRDefault="008D3710" w:rsidP="0029434D">
      <w:pPr>
        <w:pStyle w:val="NormalWeb"/>
        <w:numPr>
          <w:ilvl w:val="0"/>
          <w:numId w:val="107"/>
        </w:numPr>
        <w:contextualSpacing/>
        <w:jc w:val="both"/>
        <w:rPr>
          <w:rFonts w:ascii="Calibri" w:hAnsi="Calibri" w:cs="Calibri"/>
          <w:sz w:val="20"/>
          <w:szCs w:val="20"/>
        </w:rPr>
      </w:pPr>
      <w:r w:rsidRPr="008D3710">
        <w:rPr>
          <w:rFonts w:ascii="Calibri" w:hAnsi="Calibri" w:cs="Calibri"/>
          <w:sz w:val="20"/>
          <w:szCs w:val="20"/>
        </w:rPr>
        <w:t>Le client transfère des fonds dont le montant dépasse celui requis pour l’investissement et demande le remboursement du trop-payé.</w:t>
      </w:r>
    </w:p>
    <w:p w14:paraId="464754F9" w14:textId="77777777" w:rsidR="0029434D" w:rsidRDefault="0029434D" w:rsidP="0029434D">
      <w:pPr>
        <w:pStyle w:val="NormalWeb"/>
        <w:ind w:left="720"/>
        <w:contextualSpacing/>
        <w:jc w:val="both"/>
        <w:rPr>
          <w:rFonts w:ascii="Calibri" w:hAnsi="Calibri" w:cs="Calibri"/>
          <w:sz w:val="20"/>
          <w:szCs w:val="20"/>
        </w:rPr>
      </w:pPr>
    </w:p>
    <w:p w14:paraId="627D56BD" w14:textId="77777777" w:rsidR="0029434D" w:rsidRDefault="008D3710" w:rsidP="0029434D">
      <w:pPr>
        <w:pStyle w:val="NormalWeb"/>
        <w:numPr>
          <w:ilvl w:val="0"/>
          <w:numId w:val="107"/>
        </w:numPr>
        <w:contextualSpacing/>
        <w:jc w:val="both"/>
        <w:rPr>
          <w:rFonts w:ascii="Calibri" w:hAnsi="Calibri" w:cs="Calibri"/>
          <w:sz w:val="20"/>
          <w:szCs w:val="20"/>
        </w:rPr>
      </w:pPr>
      <w:r w:rsidRPr="008D3710">
        <w:rPr>
          <w:rFonts w:ascii="Calibri" w:hAnsi="Calibri" w:cs="Calibri"/>
          <w:sz w:val="20"/>
          <w:szCs w:val="20"/>
        </w:rPr>
        <w:t xml:space="preserve">Le client utilise plusieurs comptes sans notification préalable, notamment lorsque ces comptes sont détenus dans plusieurs pays ou territoires ou dans des pays ou territoires associés à un risque plus élevé de BC/FT. </w:t>
      </w:r>
    </w:p>
    <w:p w14:paraId="21128DAB" w14:textId="77777777" w:rsidR="0029434D" w:rsidRDefault="0029434D" w:rsidP="0029434D">
      <w:pPr>
        <w:pStyle w:val="NormalWeb"/>
        <w:ind w:left="720"/>
        <w:contextualSpacing/>
        <w:jc w:val="both"/>
        <w:rPr>
          <w:rFonts w:ascii="Calibri" w:hAnsi="Calibri" w:cs="Calibri"/>
          <w:sz w:val="20"/>
          <w:szCs w:val="20"/>
        </w:rPr>
      </w:pPr>
    </w:p>
    <w:p w14:paraId="5A3B2D74" w14:textId="2F188184" w:rsidR="0029434D" w:rsidRDefault="008D3710" w:rsidP="0029434D">
      <w:pPr>
        <w:pStyle w:val="NormalWeb"/>
        <w:numPr>
          <w:ilvl w:val="0"/>
          <w:numId w:val="107"/>
        </w:numPr>
        <w:contextualSpacing/>
        <w:jc w:val="both"/>
        <w:rPr>
          <w:rFonts w:ascii="Calibri" w:hAnsi="Calibri" w:cs="Calibri"/>
          <w:sz w:val="20"/>
          <w:szCs w:val="20"/>
        </w:rPr>
      </w:pPr>
      <w:r w:rsidRPr="0029434D">
        <w:rPr>
          <w:rFonts w:ascii="Calibri" w:hAnsi="Calibri" w:cs="Calibri"/>
          <w:sz w:val="20"/>
          <w:szCs w:val="20"/>
        </w:rPr>
        <w:t xml:space="preserve">Le client souhaite structurer la relation de façon à avoir recours à plusieurs parties, par exemple des entreprises apparentes non réglementées, dans différents pays ou territoires, en particulier lorsque ces pays ou territoires sont associés à un risque plus élevé de </w:t>
      </w:r>
      <w:r w:rsidR="0029434D">
        <w:rPr>
          <w:rFonts w:ascii="Calibri" w:hAnsi="Calibri" w:cs="Calibri"/>
          <w:sz w:val="20"/>
          <w:szCs w:val="20"/>
        </w:rPr>
        <w:t>blanchiment de capitaux et du financement du terrorisme</w:t>
      </w:r>
      <w:r w:rsidRPr="0029434D">
        <w:rPr>
          <w:rFonts w:ascii="Calibri" w:hAnsi="Calibri" w:cs="Calibri"/>
          <w:sz w:val="20"/>
          <w:szCs w:val="20"/>
        </w:rPr>
        <w:t xml:space="preserve">. </w:t>
      </w:r>
    </w:p>
    <w:p w14:paraId="109610B7" w14:textId="77777777" w:rsidR="0029434D" w:rsidRDefault="0029434D" w:rsidP="0029434D">
      <w:pPr>
        <w:pStyle w:val="NormalWeb"/>
        <w:ind w:left="720"/>
        <w:contextualSpacing/>
        <w:jc w:val="both"/>
        <w:rPr>
          <w:rFonts w:ascii="Calibri" w:hAnsi="Calibri" w:cs="Calibri"/>
          <w:sz w:val="20"/>
          <w:szCs w:val="20"/>
        </w:rPr>
      </w:pPr>
    </w:p>
    <w:p w14:paraId="3C1A4A3C" w14:textId="2B4BA8C3" w:rsidR="008D3710" w:rsidRDefault="008D3710" w:rsidP="0029434D">
      <w:pPr>
        <w:pStyle w:val="NormalWeb"/>
        <w:numPr>
          <w:ilvl w:val="0"/>
          <w:numId w:val="107"/>
        </w:numPr>
        <w:contextualSpacing/>
        <w:jc w:val="both"/>
        <w:rPr>
          <w:rFonts w:ascii="Calibri" w:hAnsi="Calibri" w:cs="Calibri"/>
          <w:sz w:val="20"/>
          <w:szCs w:val="20"/>
        </w:rPr>
      </w:pPr>
      <w:r w:rsidRPr="0029434D">
        <w:rPr>
          <w:rFonts w:ascii="Calibri" w:hAnsi="Calibri" w:cs="Calibri"/>
          <w:sz w:val="20"/>
          <w:szCs w:val="20"/>
        </w:rPr>
        <w:t>Le client modifie subitement le lieu de règlement sans raison, par exemple en modifiant le pays de résidence du client.</w:t>
      </w:r>
    </w:p>
    <w:p w14:paraId="19D6F7ED" w14:textId="77777777" w:rsidR="0029434D" w:rsidRPr="0029434D" w:rsidRDefault="0029434D" w:rsidP="0029434D">
      <w:pPr>
        <w:pStyle w:val="NormalWeb"/>
        <w:ind w:left="720"/>
        <w:contextualSpacing/>
        <w:jc w:val="both"/>
        <w:rPr>
          <w:rFonts w:ascii="Calibri" w:hAnsi="Calibri" w:cs="Calibri"/>
          <w:sz w:val="20"/>
          <w:szCs w:val="20"/>
        </w:rPr>
      </w:pPr>
    </w:p>
    <w:p w14:paraId="785B76AD" w14:textId="4D88DEBE"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11</w:t>
      </w:r>
      <w:r w:rsidRPr="00ED6269">
        <w:rPr>
          <w:rFonts w:ascii="Trebuchet MS" w:hAnsi="Trebuchet MS"/>
          <w:b/>
          <w:bCs/>
        </w:rPr>
        <w:t xml:space="preserve"> </w:t>
      </w:r>
      <w:r>
        <w:rPr>
          <w:rFonts w:ascii="Trebuchet MS" w:hAnsi="Trebuchet MS"/>
          <w:b/>
          <w:bCs/>
        </w:rPr>
        <w:t>– FACTEURS DE RISQUES LIES AUX CANAUX DE DISTRIBUTION</w:t>
      </w:r>
    </w:p>
    <w:p w14:paraId="61DA7B3B" w14:textId="7550764C" w:rsidR="0029434D" w:rsidRDefault="0029434D" w:rsidP="0029434D">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A61654">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62C16DEE" w14:textId="48473383" w:rsidR="0029434D" w:rsidRDefault="0029434D" w:rsidP="0029434D">
      <w:pPr>
        <w:pStyle w:val="NormalWeb"/>
        <w:numPr>
          <w:ilvl w:val="0"/>
          <w:numId w:val="108"/>
        </w:numPr>
        <w:contextualSpacing/>
        <w:jc w:val="both"/>
        <w:rPr>
          <w:rFonts w:ascii="Calibri" w:hAnsi="Calibri" w:cs="Calibri"/>
          <w:sz w:val="20"/>
          <w:szCs w:val="20"/>
        </w:rPr>
      </w:pPr>
      <w:r>
        <w:rPr>
          <w:rFonts w:ascii="Calibri" w:hAnsi="Calibri" w:cs="Calibri"/>
          <w:sz w:val="20"/>
          <w:szCs w:val="20"/>
        </w:rPr>
        <w:t>D</w:t>
      </w:r>
      <w:r w:rsidRPr="0029434D">
        <w:rPr>
          <w:rFonts w:ascii="Calibri" w:hAnsi="Calibri" w:cs="Calibri"/>
          <w:sz w:val="20"/>
          <w:szCs w:val="20"/>
        </w:rPr>
        <w:t>es canaux de distribution complexes qui limitent la capacité du fonds à surveiller ses relations d’affaires et à contrôler les transactions</w:t>
      </w:r>
      <w:r>
        <w:rPr>
          <w:rFonts w:ascii="Calibri" w:hAnsi="Calibri" w:cs="Calibri"/>
          <w:sz w:val="20"/>
          <w:szCs w:val="20"/>
        </w:rPr>
        <w:t xml:space="preserve"> </w:t>
      </w:r>
      <w:r w:rsidRPr="0029434D">
        <w:rPr>
          <w:rFonts w:ascii="Calibri" w:hAnsi="Calibri" w:cs="Calibri"/>
          <w:sz w:val="20"/>
          <w:szCs w:val="20"/>
        </w:rPr>
        <w:t>;</w:t>
      </w:r>
    </w:p>
    <w:p w14:paraId="261B3DF5" w14:textId="77777777" w:rsidR="0029434D" w:rsidRDefault="0029434D" w:rsidP="0029434D">
      <w:pPr>
        <w:pStyle w:val="NormalWeb"/>
        <w:ind w:left="720"/>
        <w:contextualSpacing/>
        <w:jc w:val="both"/>
        <w:rPr>
          <w:rFonts w:ascii="Calibri" w:hAnsi="Calibri" w:cs="Calibri"/>
          <w:sz w:val="20"/>
          <w:szCs w:val="20"/>
        </w:rPr>
      </w:pPr>
    </w:p>
    <w:p w14:paraId="29634F00" w14:textId="64A2C927" w:rsidR="0029434D" w:rsidRDefault="0029434D" w:rsidP="0029434D">
      <w:pPr>
        <w:pStyle w:val="NormalWeb"/>
        <w:numPr>
          <w:ilvl w:val="0"/>
          <w:numId w:val="108"/>
        </w:numPr>
        <w:contextualSpacing/>
        <w:jc w:val="both"/>
        <w:rPr>
          <w:rFonts w:ascii="Calibri" w:hAnsi="Calibri" w:cs="Calibri"/>
          <w:sz w:val="20"/>
          <w:szCs w:val="20"/>
        </w:rPr>
      </w:pPr>
      <w:r>
        <w:rPr>
          <w:rFonts w:ascii="Calibri" w:hAnsi="Calibri" w:cs="Calibri"/>
          <w:sz w:val="20"/>
          <w:szCs w:val="20"/>
        </w:rPr>
        <w:t>L</w:t>
      </w:r>
      <w:r w:rsidRPr="0029434D">
        <w:rPr>
          <w:rFonts w:ascii="Calibri" w:hAnsi="Calibri" w:cs="Calibri"/>
          <w:sz w:val="20"/>
          <w:szCs w:val="20"/>
        </w:rPr>
        <w:t xml:space="preserve">e distributeur est implanté dans un pays ou territoire associé à un risque plus élevé de </w:t>
      </w:r>
      <w:r>
        <w:rPr>
          <w:rFonts w:ascii="Calibri" w:hAnsi="Calibri" w:cs="Calibri"/>
          <w:sz w:val="20"/>
          <w:szCs w:val="20"/>
        </w:rPr>
        <w:t>blanchiment de capitaux et du financement du terrorisme.</w:t>
      </w:r>
    </w:p>
    <w:p w14:paraId="1FD42D53" w14:textId="77777777" w:rsidR="0029434D" w:rsidRPr="0029434D" w:rsidRDefault="0029434D" w:rsidP="0029434D">
      <w:pPr>
        <w:pStyle w:val="NormalWeb"/>
        <w:ind w:left="720"/>
        <w:contextualSpacing/>
        <w:jc w:val="both"/>
        <w:rPr>
          <w:rFonts w:ascii="Calibri" w:hAnsi="Calibri" w:cs="Calibri"/>
          <w:sz w:val="20"/>
          <w:szCs w:val="20"/>
        </w:rPr>
      </w:pPr>
    </w:p>
    <w:p w14:paraId="4EE42854" w14:textId="540BCA30"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12</w:t>
      </w:r>
      <w:r w:rsidRPr="00ED6269">
        <w:rPr>
          <w:rFonts w:ascii="Trebuchet MS" w:hAnsi="Trebuchet MS"/>
          <w:b/>
          <w:bCs/>
        </w:rPr>
        <w:t xml:space="preserve"> </w:t>
      </w:r>
      <w:r>
        <w:rPr>
          <w:rFonts w:ascii="Trebuchet MS" w:hAnsi="Trebuchet MS"/>
          <w:b/>
          <w:bCs/>
        </w:rPr>
        <w:t xml:space="preserve">– FACTEURS DE RISQUES LIES </w:t>
      </w:r>
      <w:r w:rsidR="00AE2F7B">
        <w:rPr>
          <w:rFonts w:ascii="Trebuchet MS" w:hAnsi="Trebuchet MS"/>
          <w:b/>
          <w:bCs/>
        </w:rPr>
        <w:t xml:space="preserve">AU </w:t>
      </w:r>
      <w:r>
        <w:rPr>
          <w:rFonts w:ascii="Trebuchet MS" w:hAnsi="Trebuchet MS"/>
          <w:b/>
          <w:bCs/>
        </w:rPr>
        <w:t>PAYS OU</w:t>
      </w:r>
      <w:r w:rsidR="00AE2F7B">
        <w:rPr>
          <w:rFonts w:ascii="Trebuchet MS" w:hAnsi="Trebuchet MS"/>
          <w:b/>
          <w:bCs/>
        </w:rPr>
        <w:t xml:space="preserve"> </w:t>
      </w:r>
      <w:proofErr w:type="spellStart"/>
      <w:r w:rsidR="00AE2F7B">
        <w:rPr>
          <w:rFonts w:ascii="Trebuchet MS" w:hAnsi="Trebuchet MS"/>
          <w:b/>
          <w:bCs/>
        </w:rPr>
        <w:t>A</w:t>
      </w:r>
      <w:proofErr w:type="spellEnd"/>
      <w:r w:rsidR="00AE2F7B">
        <w:rPr>
          <w:rFonts w:ascii="Trebuchet MS" w:hAnsi="Trebuchet MS"/>
          <w:b/>
          <w:bCs/>
        </w:rPr>
        <w:t xml:space="preserve"> LA</w:t>
      </w:r>
      <w:r>
        <w:rPr>
          <w:rFonts w:ascii="Trebuchet MS" w:hAnsi="Trebuchet MS"/>
          <w:b/>
          <w:bCs/>
        </w:rPr>
        <w:t xml:space="preserve"> ZONE GEOGRAPHIQUE</w:t>
      </w:r>
    </w:p>
    <w:p w14:paraId="37B5DD94" w14:textId="7D869F5D" w:rsidR="0029434D" w:rsidRPr="0029434D" w:rsidRDefault="0029434D" w:rsidP="0029434D">
      <w:pPr>
        <w:spacing w:before="100" w:beforeAutospacing="1" w:after="100" w:afterAutospacing="1"/>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AE2F7B">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00BFD730" w14:textId="77777777" w:rsidR="0029434D" w:rsidRDefault="0029434D" w:rsidP="0029434D">
      <w:pPr>
        <w:pStyle w:val="NormalWeb"/>
        <w:numPr>
          <w:ilvl w:val="0"/>
          <w:numId w:val="109"/>
        </w:numPr>
        <w:contextualSpacing/>
        <w:jc w:val="both"/>
        <w:rPr>
          <w:rFonts w:ascii="Calibri" w:hAnsi="Calibri" w:cs="Calibri"/>
          <w:sz w:val="20"/>
          <w:szCs w:val="20"/>
        </w:rPr>
      </w:pPr>
      <w:r w:rsidRPr="0029434D">
        <w:rPr>
          <w:rFonts w:ascii="Calibri" w:hAnsi="Calibri" w:cs="Calibri"/>
          <w:sz w:val="20"/>
          <w:szCs w:val="20"/>
        </w:rPr>
        <w:t xml:space="preserve">Les fonds des clients ou des bénéficiaires effectifs ont été générés dans des pays ou territoires associés à un risque plus élevé de </w:t>
      </w:r>
      <w:r w:rsidRPr="00337811">
        <w:rPr>
          <w:rFonts w:ascii="Calibri" w:hAnsi="Calibri" w:cs="Calibri"/>
          <w:sz w:val="20"/>
          <w:szCs w:val="20"/>
        </w:rPr>
        <w:t>blanchiment de capitaux et de financement du terrorisme</w:t>
      </w:r>
      <w:r w:rsidRPr="0029434D">
        <w:rPr>
          <w:rFonts w:ascii="Calibri" w:hAnsi="Calibri" w:cs="Calibri"/>
          <w:sz w:val="20"/>
          <w:szCs w:val="20"/>
        </w:rPr>
        <w:t xml:space="preserve">, en particulier dans des pays ou territoires associés à des niveaux plus élevés d’infractions sous-jacentes au blanchiment de capitaux. </w:t>
      </w:r>
    </w:p>
    <w:p w14:paraId="74F3057E" w14:textId="77777777" w:rsidR="0029434D" w:rsidRDefault="0029434D" w:rsidP="0029434D">
      <w:pPr>
        <w:pStyle w:val="NormalWeb"/>
        <w:ind w:left="720"/>
        <w:contextualSpacing/>
        <w:jc w:val="both"/>
        <w:rPr>
          <w:rFonts w:ascii="Calibri" w:hAnsi="Calibri" w:cs="Calibri"/>
          <w:sz w:val="20"/>
          <w:szCs w:val="20"/>
        </w:rPr>
      </w:pPr>
    </w:p>
    <w:p w14:paraId="1FEB7F36" w14:textId="60548BCC" w:rsidR="0029434D" w:rsidRPr="0047705C" w:rsidRDefault="0029434D" w:rsidP="0047705C">
      <w:pPr>
        <w:pStyle w:val="NormalWeb"/>
        <w:numPr>
          <w:ilvl w:val="0"/>
          <w:numId w:val="109"/>
        </w:numPr>
        <w:contextualSpacing/>
        <w:jc w:val="both"/>
        <w:rPr>
          <w:rFonts w:ascii="Calibri" w:hAnsi="Calibri" w:cs="Calibri"/>
          <w:sz w:val="20"/>
          <w:szCs w:val="20"/>
        </w:rPr>
      </w:pPr>
      <w:r w:rsidRPr="0029434D">
        <w:rPr>
          <w:rFonts w:ascii="Calibri" w:hAnsi="Calibri" w:cs="Calibri"/>
          <w:sz w:val="20"/>
          <w:szCs w:val="20"/>
        </w:rPr>
        <w:t xml:space="preserve">Le client demande que son investissement soit remboursé sur un compte ouvert auprès d’un établissement de crédit situé dans un pays ou territoire associé à un risque plus élevé de </w:t>
      </w:r>
      <w:r>
        <w:rPr>
          <w:rFonts w:ascii="Calibri" w:hAnsi="Calibri" w:cs="Calibri"/>
          <w:sz w:val="20"/>
          <w:szCs w:val="20"/>
        </w:rPr>
        <w:t>blanchiment de capitaux et de financement du terrorisme</w:t>
      </w:r>
      <w:r w:rsidRPr="0029434D">
        <w:rPr>
          <w:rFonts w:ascii="Calibri" w:hAnsi="Calibri" w:cs="Calibri"/>
          <w:sz w:val="20"/>
          <w:szCs w:val="20"/>
        </w:rPr>
        <w:t>.</w:t>
      </w:r>
    </w:p>
    <w:p w14:paraId="01141DF9" w14:textId="77777777" w:rsidR="008B7267" w:rsidRDefault="008B7267" w:rsidP="005856F9">
      <w:pPr>
        <w:pStyle w:val="NormalWeb"/>
        <w:jc w:val="both"/>
        <w:rPr>
          <w:rFonts w:ascii="Trebuchet MS" w:hAnsi="Trebuchet MS"/>
          <w:b/>
          <w:bCs/>
        </w:rPr>
      </w:pPr>
    </w:p>
    <w:p w14:paraId="3EC215D5" w14:textId="557EB0FC" w:rsidR="008B7267" w:rsidRPr="008B7267" w:rsidRDefault="008B7267" w:rsidP="005856F9">
      <w:pPr>
        <w:pStyle w:val="NormalWeb"/>
        <w:jc w:val="both"/>
        <w:rPr>
          <w:rFonts w:ascii="Calibri" w:hAnsi="Calibri" w:cs="Calibri"/>
          <w:b/>
          <w:bCs/>
          <w:sz w:val="36"/>
          <w:szCs w:val="36"/>
        </w:rPr>
      </w:pPr>
      <w:r w:rsidRPr="00117D65">
        <w:rPr>
          <w:rFonts w:ascii="Calibri" w:hAnsi="Calibri" w:cs="Calibri"/>
          <w:b/>
          <w:bCs/>
          <w:sz w:val="36"/>
          <w:szCs w:val="36"/>
        </w:rPr>
        <w:t>TITRE I</w:t>
      </w:r>
      <w:r>
        <w:rPr>
          <w:rFonts w:ascii="Calibri" w:hAnsi="Calibri" w:cs="Calibri"/>
          <w:b/>
          <w:bCs/>
          <w:sz w:val="36"/>
          <w:szCs w:val="36"/>
        </w:rPr>
        <w:t>V</w:t>
      </w:r>
      <w:r w:rsidRPr="00117D65">
        <w:rPr>
          <w:rFonts w:ascii="Calibri" w:hAnsi="Calibri" w:cs="Calibri"/>
          <w:b/>
          <w:bCs/>
          <w:sz w:val="36"/>
          <w:szCs w:val="36"/>
        </w:rPr>
        <w:t xml:space="preserve"> </w:t>
      </w:r>
      <w:r>
        <w:rPr>
          <w:rFonts w:ascii="Calibri" w:hAnsi="Calibri" w:cs="Calibri"/>
          <w:b/>
          <w:bCs/>
          <w:sz w:val="36"/>
          <w:szCs w:val="36"/>
        </w:rPr>
        <w:t>–</w:t>
      </w:r>
      <w:r w:rsidRPr="00117D65">
        <w:rPr>
          <w:rFonts w:ascii="Calibri" w:hAnsi="Calibri" w:cs="Calibri"/>
          <w:b/>
          <w:bCs/>
          <w:sz w:val="36"/>
          <w:szCs w:val="36"/>
        </w:rPr>
        <w:t xml:space="preserve"> </w:t>
      </w:r>
      <w:r>
        <w:rPr>
          <w:rFonts w:ascii="Calibri" w:hAnsi="Calibri" w:cs="Calibri"/>
          <w:b/>
          <w:bCs/>
          <w:sz w:val="36"/>
          <w:szCs w:val="36"/>
        </w:rPr>
        <w:t>Plates-formes de financement participatif</w:t>
      </w:r>
      <w:r w:rsidRPr="00AC7729">
        <w:rPr>
          <w:rFonts w:asciiTheme="minorHAnsi" w:hAnsiTheme="minorHAnsi" w:cstheme="minorHAnsi"/>
          <w:bCs/>
          <w:color w:val="000000"/>
        </w:rPr>
        <w:t> </w:t>
      </w:r>
    </w:p>
    <w:p w14:paraId="56B32C9D" w14:textId="4CC40198"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sidR="008B7267">
        <w:rPr>
          <w:rFonts w:ascii="Trebuchet MS" w:hAnsi="Trebuchet MS"/>
          <w:b/>
          <w:bCs/>
        </w:rPr>
        <w:t>13</w:t>
      </w:r>
      <w:r w:rsidRPr="00ED6269">
        <w:rPr>
          <w:rFonts w:ascii="Trebuchet MS" w:hAnsi="Trebuchet MS"/>
          <w:b/>
          <w:bCs/>
        </w:rPr>
        <w:t xml:space="preserve"> </w:t>
      </w:r>
      <w:r>
        <w:rPr>
          <w:rFonts w:ascii="Trebuchet MS" w:hAnsi="Trebuchet MS"/>
          <w:b/>
          <w:bCs/>
        </w:rPr>
        <w:t xml:space="preserve">– FACTEURS DE RISQUES LIES AUX PRODUITS, AUX SERVICES ET AUX TRANSACTIONS </w:t>
      </w:r>
    </w:p>
    <w:p w14:paraId="77858886" w14:textId="0120E82B" w:rsidR="008B7267" w:rsidRDefault="008B7267" w:rsidP="005856F9">
      <w:pPr>
        <w:pStyle w:val="NormalWeb"/>
        <w:jc w:val="both"/>
        <w:rPr>
          <w:rFonts w:ascii="Calibri" w:hAnsi="Calibri" w:cs="Calibri"/>
          <w:sz w:val="20"/>
          <w:szCs w:val="20"/>
        </w:rPr>
      </w:pPr>
      <w:r w:rsidRPr="008D3710">
        <w:rPr>
          <w:rFonts w:ascii="Calibri" w:hAnsi="Calibri" w:cs="Calibri"/>
          <w:sz w:val="20"/>
          <w:szCs w:val="20"/>
        </w:rPr>
        <w:t>Les facteurs de risque suivant</w:t>
      </w:r>
      <w:r w:rsidR="00AE2F7B">
        <w:rPr>
          <w:rFonts w:ascii="Calibri" w:hAnsi="Calibri" w:cs="Calibri"/>
          <w:sz w:val="20"/>
          <w:szCs w:val="20"/>
        </w:rPr>
        <w:t>s</w:t>
      </w:r>
      <w:r w:rsidRPr="008D3710">
        <w:rPr>
          <w:rFonts w:ascii="Calibri" w:hAnsi="Calibri" w:cs="Calibri"/>
          <w:sz w:val="20"/>
          <w:szCs w:val="20"/>
        </w:rPr>
        <w:t xml:space="preserve"> peuvent présenter un risque élevé de blanchiment de capitaux et de financement du terrorisme</w:t>
      </w:r>
      <w:r>
        <w:rPr>
          <w:rFonts w:ascii="Calibri" w:hAnsi="Calibri" w:cs="Calibri"/>
          <w:sz w:val="20"/>
          <w:szCs w:val="20"/>
        </w:rPr>
        <w:t> :</w:t>
      </w:r>
    </w:p>
    <w:p w14:paraId="33502C24" w14:textId="6E73A138" w:rsidR="008B7267" w:rsidRDefault="00CD6FE3" w:rsidP="008B7267">
      <w:pPr>
        <w:pStyle w:val="NormalWeb"/>
        <w:numPr>
          <w:ilvl w:val="0"/>
          <w:numId w:val="110"/>
        </w:numPr>
        <w:contextualSpacing/>
        <w:jc w:val="both"/>
        <w:rPr>
          <w:rFonts w:ascii="Calibri" w:hAnsi="Calibri" w:cs="Calibri"/>
          <w:sz w:val="20"/>
          <w:szCs w:val="20"/>
        </w:rPr>
      </w:pPr>
      <w:r>
        <w:rPr>
          <w:rFonts w:ascii="Calibri" w:hAnsi="Calibri" w:cs="Calibri"/>
          <w:sz w:val="20"/>
          <w:szCs w:val="20"/>
        </w:rPr>
        <w:t>L</w:t>
      </w:r>
      <w:r w:rsidRPr="008B7267">
        <w:rPr>
          <w:rFonts w:ascii="Calibri" w:hAnsi="Calibri" w:cs="Calibri"/>
          <w:sz w:val="20"/>
          <w:szCs w:val="20"/>
        </w:rPr>
        <w:t>e Conseiller</w:t>
      </w:r>
      <w:r w:rsidR="00AE2F7B">
        <w:rPr>
          <w:rFonts w:ascii="Calibri" w:hAnsi="Calibri" w:cs="Calibri"/>
          <w:sz w:val="20"/>
          <w:szCs w:val="20"/>
        </w:rPr>
        <w:t xml:space="preserve"> en </w:t>
      </w:r>
      <w:r w:rsidR="008B7267" w:rsidRPr="008B7267">
        <w:rPr>
          <w:rFonts w:ascii="Calibri" w:hAnsi="Calibri" w:cs="Calibri"/>
          <w:sz w:val="20"/>
          <w:szCs w:val="20"/>
        </w:rPr>
        <w:t>financement participatif collecte des fonds par l’intermédiaire de la plate-forme de financement participatif, mais permet une transmission ultérieure de ces fonds. Il s’agit de modèles d’entreprise selon lesquels</w:t>
      </w:r>
      <w:r w:rsidR="008B7267">
        <w:rPr>
          <w:rFonts w:ascii="Calibri" w:hAnsi="Calibri" w:cs="Calibri"/>
          <w:sz w:val="20"/>
          <w:szCs w:val="20"/>
        </w:rPr>
        <w:t xml:space="preserve"> </w:t>
      </w:r>
      <w:r w:rsidR="008B7267" w:rsidRPr="008B7267">
        <w:rPr>
          <w:rFonts w:ascii="Calibri" w:hAnsi="Calibri" w:cs="Calibri"/>
          <w:sz w:val="20"/>
          <w:szCs w:val="20"/>
        </w:rPr>
        <w:t xml:space="preserve">: </w:t>
      </w:r>
    </w:p>
    <w:p w14:paraId="23C05603" w14:textId="77777777" w:rsidR="008B7267" w:rsidRDefault="008B7267" w:rsidP="008B7267">
      <w:pPr>
        <w:pStyle w:val="NormalWeb"/>
        <w:ind w:left="720"/>
        <w:contextualSpacing/>
        <w:jc w:val="both"/>
        <w:rPr>
          <w:rFonts w:ascii="Calibri" w:hAnsi="Calibri" w:cs="Calibri"/>
          <w:sz w:val="20"/>
          <w:szCs w:val="20"/>
        </w:rPr>
      </w:pPr>
    </w:p>
    <w:p w14:paraId="1B942B40" w14:textId="6CE824F3" w:rsidR="008B7267" w:rsidRDefault="008B7267" w:rsidP="008B7267">
      <w:pPr>
        <w:pStyle w:val="NormalWeb"/>
        <w:numPr>
          <w:ilvl w:val="0"/>
          <w:numId w:val="111"/>
        </w:numPr>
        <w:contextualSpacing/>
        <w:jc w:val="both"/>
        <w:rPr>
          <w:rFonts w:ascii="Calibri" w:hAnsi="Calibri" w:cs="Calibri"/>
          <w:sz w:val="20"/>
          <w:szCs w:val="20"/>
        </w:rPr>
      </w:pPr>
      <w:r>
        <w:rPr>
          <w:rFonts w:ascii="Calibri" w:hAnsi="Calibri" w:cs="Calibri"/>
          <w:sz w:val="20"/>
          <w:szCs w:val="20"/>
        </w:rPr>
        <w:t>L</w:t>
      </w:r>
      <w:r w:rsidRPr="008B7267">
        <w:rPr>
          <w:rFonts w:ascii="Calibri" w:hAnsi="Calibri" w:cs="Calibri"/>
          <w:sz w:val="20"/>
          <w:szCs w:val="20"/>
        </w:rPr>
        <w:t>’argent est collecté pour un projet indéterminé et, par conséquent, détenu sur le compte de l’investisseur jusqu’à ce que le projet soit déterminé</w:t>
      </w:r>
      <w:r>
        <w:rPr>
          <w:rFonts w:ascii="Calibri" w:hAnsi="Calibri" w:cs="Calibri"/>
          <w:sz w:val="20"/>
          <w:szCs w:val="20"/>
        </w:rPr>
        <w:t xml:space="preserve"> </w:t>
      </w:r>
      <w:r w:rsidRPr="008B7267">
        <w:rPr>
          <w:rFonts w:ascii="Calibri" w:hAnsi="Calibri" w:cs="Calibri"/>
          <w:sz w:val="20"/>
          <w:szCs w:val="20"/>
        </w:rPr>
        <w:t>; ou</w:t>
      </w:r>
    </w:p>
    <w:p w14:paraId="6520CA66" w14:textId="77777777" w:rsidR="008B7267" w:rsidRDefault="008B7267" w:rsidP="008B7267">
      <w:pPr>
        <w:pStyle w:val="NormalWeb"/>
        <w:ind w:left="1440"/>
        <w:contextualSpacing/>
        <w:jc w:val="both"/>
        <w:rPr>
          <w:rFonts w:ascii="Calibri" w:hAnsi="Calibri" w:cs="Calibri"/>
          <w:sz w:val="20"/>
          <w:szCs w:val="20"/>
        </w:rPr>
      </w:pPr>
    </w:p>
    <w:p w14:paraId="6E3B69B3" w14:textId="3DF4A198" w:rsidR="008B7267" w:rsidRDefault="008B7267" w:rsidP="008B7267">
      <w:pPr>
        <w:pStyle w:val="NormalWeb"/>
        <w:numPr>
          <w:ilvl w:val="0"/>
          <w:numId w:val="111"/>
        </w:numPr>
        <w:contextualSpacing/>
        <w:jc w:val="both"/>
        <w:rPr>
          <w:rFonts w:ascii="Calibri" w:hAnsi="Calibri" w:cs="Calibri"/>
          <w:sz w:val="20"/>
          <w:szCs w:val="20"/>
        </w:rPr>
      </w:pPr>
      <w:r>
        <w:rPr>
          <w:rFonts w:ascii="Calibri" w:hAnsi="Calibri" w:cs="Calibri"/>
          <w:sz w:val="20"/>
          <w:szCs w:val="20"/>
        </w:rPr>
        <w:t>L</w:t>
      </w:r>
      <w:r w:rsidRPr="008B7267">
        <w:rPr>
          <w:rFonts w:ascii="Calibri" w:hAnsi="Calibri" w:cs="Calibri"/>
          <w:sz w:val="20"/>
          <w:szCs w:val="20"/>
        </w:rPr>
        <w:t xml:space="preserve">’argent est collecté mais peut être restitué aux investisseurs lorsque l’objectif de la collecte de fonds n’est pas atteint ou lorsque le porteur du projet n’a pas reçu l’argent. </w:t>
      </w:r>
    </w:p>
    <w:p w14:paraId="20DD8005" w14:textId="77777777" w:rsidR="008B7267" w:rsidRDefault="008B7267" w:rsidP="008B7267">
      <w:pPr>
        <w:pStyle w:val="NormalWeb"/>
        <w:ind w:left="1440"/>
        <w:contextualSpacing/>
        <w:jc w:val="both"/>
        <w:rPr>
          <w:rFonts w:ascii="Calibri" w:hAnsi="Calibri" w:cs="Calibri"/>
          <w:sz w:val="20"/>
          <w:szCs w:val="20"/>
        </w:rPr>
      </w:pPr>
    </w:p>
    <w:p w14:paraId="5290F510" w14:textId="6724B825"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Le Conseiller</w:t>
      </w:r>
      <w:r w:rsidR="00AE2F7B">
        <w:rPr>
          <w:rFonts w:ascii="Calibri" w:hAnsi="Calibri" w:cs="Calibri"/>
          <w:sz w:val="20"/>
          <w:szCs w:val="20"/>
        </w:rPr>
        <w:t xml:space="preserve"> en </w:t>
      </w:r>
      <w:r w:rsidR="008B7267" w:rsidRPr="008B7267">
        <w:rPr>
          <w:rFonts w:ascii="Calibri" w:hAnsi="Calibri" w:cs="Calibri"/>
          <w:sz w:val="20"/>
          <w:szCs w:val="20"/>
        </w:rPr>
        <w:t xml:space="preserve">financement participatif autorise le remboursement anticipé des investissements et des prêts ou la revente des investissements ou des prêts sur les marchés secondaires. </w:t>
      </w:r>
    </w:p>
    <w:p w14:paraId="3754A44F" w14:textId="77777777" w:rsidR="008B7267" w:rsidRDefault="008B7267" w:rsidP="008B7267">
      <w:pPr>
        <w:pStyle w:val="NormalWeb"/>
        <w:ind w:left="720"/>
        <w:contextualSpacing/>
        <w:jc w:val="both"/>
        <w:rPr>
          <w:rFonts w:ascii="Calibri" w:hAnsi="Calibri" w:cs="Calibri"/>
          <w:sz w:val="20"/>
          <w:szCs w:val="20"/>
        </w:rPr>
      </w:pPr>
    </w:p>
    <w:p w14:paraId="773483B2" w14:textId="1A325FF7" w:rsidR="008B7267" w:rsidRDefault="008B7267"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sidR="00CD6FE3">
        <w:rPr>
          <w:rFonts w:ascii="Calibri" w:hAnsi="Calibri" w:cs="Calibri"/>
          <w:sz w:val="20"/>
          <w:szCs w:val="20"/>
        </w:rPr>
        <w:t xml:space="preserve">Conseiller </w:t>
      </w:r>
      <w:r w:rsidR="00CD6FE3" w:rsidRPr="008B7267">
        <w:rPr>
          <w:rFonts w:ascii="Calibri" w:hAnsi="Calibri" w:cs="Calibri"/>
          <w:sz w:val="20"/>
          <w:szCs w:val="20"/>
        </w:rPr>
        <w:t>en</w:t>
      </w:r>
      <w:r w:rsidR="00D14017">
        <w:rPr>
          <w:rFonts w:ascii="Calibri" w:hAnsi="Calibri" w:cs="Calibri"/>
          <w:sz w:val="20"/>
          <w:szCs w:val="20"/>
        </w:rPr>
        <w:t xml:space="preserve"> </w:t>
      </w:r>
      <w:r w:rsidRPr="008B7267">
        <w:rPr>
          <w:rFonts w:ascii="Calibri" w:hAnsi="Calibri" w:cs="Calibri"/>
          <w:sz w:val="20"/>
          <w:szCs w:val="20"/>
        </w:rPr>
        <w:t>financement participatif n’impose aucune restriction quant à la taille, au volume ou à la valeur des transactions, au chargement ou au remboursement traités par l’intermédiaire de la plate-forme de financement participatif, ni au montant des fonds à conserver sur les comptes des investisseurs de détail.</w:t>
      </w:r>
    </w:p>
    <w:p w14:paraId="759E7291" w14:textId="77777777" w:rsidR="008B7267" w:rsidRDefault="008B7267" w:rsidP="008B7267">
      <w:pPr>
        <w:pStyle w:val="NormalWeb"/>
        <w:ind w:left="720"/>
        <w:contextualSpacing/>
        <w:jc w:val="both"/>
        <w:rPr>
          <w:rFonts w:ascii="Calibri" w:hAnsi="Calibri" w:cs="Calibri"/>
          <w:sz w:val="20"/>
          <w:szCs w:val="20"/>
        </w:rPr>
      </w:pPr>
    </w:p>
    <w:p w14:paraId="6F9ECBA5" w14:textId="7C172723"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Pr>
          <w:rFonts w:ascii="Calibri" w:hAnsi="Calibri" w:cs="Calibri"/>
          <w:sz w:val="20"/>
          <w:szCs w:val="20"/>
        </w:rPr>
        <w:t>Conseiller</w:t>
      </w:r>
      <w:r w:rsidR="00D14017">
        <w:rPr>
          <w:rFonts w:ascii="Calibri" w:hAnsi="Calibri" w:cs="Calibri"/>
          <w:sz w:val="20"/>
          <w:szCs w:val="20"/>
        </w:rPr>
        <w:t xml:space="preserve"> </w:t>
      </w:r>
      <w:r>
        <w:rPr>
          <w:rFonts w:ascii="Calibri" w:hAnsi="Calibri" w:cs="Calibri"/>
          <w:sz w:val="20"/>
          <w:szCs w:val="20"/>
        </w:rPr>
        <w:t xml:space="preserve">en </w:t>
      </w:r>
      <w:r w:rsidRPr="008B7267">
        <w:rPr>
          <w:rFonts w:ascii="Calibri" w:hAnsi="Calibri" w:cs="Calibri"/>
          <w:sz w:val="20"/>
          <w:szCs w:val="20"/>
        </w:rPr>
        <w:t>financement</w:t>
      </w:r>
      <w:r w:rsidR="008B7267" w:rsidRPr="008B7267">
        <w:rPr>
          <w:rFonts w:ascii="Calibri" w:hAnsi="Calibri" w:cs="Calibri"/>
          <w:sz w:val="20"/>
          <w:szCs w:val="20"/>
        </w:rPr>
        <w:t xml:space="preserve"> participatif permet aux investisseurs d’effectuer un paiement au porteur de projet par l’intermédiaire de la plateforme de financement participatif, au moyen d’instruments qui ne relèvent pas du champ d’application d’un quelconque régime réglementaire ou qui sont régis par des obligations en matière de lutte contre le blanchiment de capitaux et le financement du terrorisme moins strictes que celles prévues</w:t>
      </w:r>
      <w:r w:rsidR="00D14017">
        <w:rPr>
          <w:rFonts w:ascii="Calibri" w:hAnsi="Calibri" w:cs="Calibri"/>
          <w:sz w:val="20"/>
          <w:szCs w:val="20"/>
        </w:rPr>
        <w:t xml:space="preserve"> dans le règlement général de la COSUMAF.</w:t>
      </w:r>
      <w:r w:rsidR="008B7267">
        <w:rPr>
          <w:rFonts w:ascii="Calibri" w:hAnsi="Calibri" w:cs="Calibri"/>
          <w:sz w:val="20"/>
          <w:szCs w:val="20"/>
        </w:rPr>
        <w:t xml:space="preserve"> </w:t>
      </w:r>
    </w:p>
    <w:p w14:paraId="621B1B2B" w14:textId="77777777" w:rsidR="008B7267" w:rsidRDefault="008B7267" w:rsidP="008B7267">
      <w:pPr>
        <w:pStyle w:val="NormalWeb"/>
        <w:ind w:left="720"/>
        <w:contextualSpacing/>
        <w:jc w:val="both"/>
        <w:rPr>
          <w:rFonts w:ascii="Calibri" w:hAnsi="Calibri" w:cs="Calibri"/>
          <w:sz w:val="20"/>
          <w:szCs w:val="20"/>
        </w:rPr>
      </w:pPr>
    </w:p>
    <w:p w14:paraId="1F0C93B0" w14:textId="0989DED3"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Pr>
          <w:rFonts w:ascii="Calibri" w:hAnsi="Calibri" w:cs="Calibri"/>
          <w:sz w:val="20"/>
          <w:szCs w:val="20"/>
        </w:rPr>
        <w:t>Conseiller</w:t>
      </w:r>
      <w:r w:rsidR="00D14017">
        <w:rPr>
          <w:rFonts w:ascii="Calibri" w:hAnsi="Calibri" w:cs="Calibri"/>
          <w:sz w:val="20"/>
          <w:szCs w:val="20"/>
        </w:rPr>
        <w:t xml:space="preserve"> en</w:t>
      </w:r>
      <w:r w:rsidR="008B7267" w:rsidRPr="008B7267">
        <w:rPr>
          <w:rFonts w:ascii="Calibri" w:hAnsi="Calibri" w:cs="Calibri"/>
          <w:sz w:val="20"/>
          <w:szCs w:val="20"/>
        </w:rPr>
        <w:t xml:space="preserve"> financement participatif accepte sur sa plate-forme les investissements en espèces ou autorise les retraits d’espèces par des investisseurs qui sont des personnes physiques ou des entités juridiques non réglementées.</w:t>
      </w:r>
    </w:p>
    <w:p w14:paraId="1F8C17E2" w14:textId="77777777" w:rsidR="008B7267" w:rsidRDefault="008B7267" w:rsidP="008B7267">
      <w:pPr>
        <w:pStyle w:val="NormalWeb"/>
        <w:ind w:left="720"/>
        <w:contextualSpacing/>
        <w:jc w:val="both"/>
        <w:rPr>
          <w:rFonts w:ascii="Calibri" w:hAnsi="Calibri" w:cs="Calibri"/>
          <w:sz w:val="20"/>
          <w:szCs w:val="20"/>
        </w:rPr>
      </w:pPr>
    </w:p>
    <w:p w14:paraId="2CE5D3E5" w14:textId="4DFC83FF"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Pr>
          <w:rFonts w:ascii="Calibri" w:hAnsi="Calibri" w:cs="Calibri"/>
          <w:sz w:val="20"/>
          <w:szCs w:val="20"/>
        </w:rPr>
        <w:t>Conseiller</w:t>
      </w:r>
      <w:r w:rsidR="00D14017">
        <w:rPr>
          <w:rFonts w:ascii="Calibri" w:hAnsi="Calibri" w:cs="Calibri"/>
          <w:sz w:val="20"/>
          <w:szCs w:val="20"/>
        </w:rPr>
        <w:t xml:space="preserve"> en</w:t>
      </w:r>
      <w:r w:rsidR="008B7267" w:rsidRPr="008B7267">
        <w:rPr>
          <w:rFonts w:ascii="Calibri" w:hAnsi="Calibri" w:cs="Calibri"/>
          <w:sz w:val="20"/>
          <w:szCs w:val="20"/>
        </w:rPr>
        <w:t xml:space="preserve"> financement participatif prévoit un levier financier, un remboursement privilégié ou un rendement garanti pour les investisseurs ou les prêteurs. </w:t>
      </w:r>
    </w:p>
    <w:p w14:paraId="532E8CB6" w14:textId="77777777" w:rsidR="008B7267" w:rsidRDefault="008B7267" w:rsidP="008B7267">
      <w:pPr>
        <w:pStyle w:val="NormalWeb"/>
        <w:ind w:left="720"/>
        <w:contextualSpacing/>
        <w:jc w:val="both"/>
        <w:rPr>
          <w:rFonts w:ascii="Calibri" w:hAnsi="Calibri" w:cs="Calibri"/>
          <w:sz w:val="20"/>
          <w:szCs w:val="20"/>
        </w:rPr>
      </w:pPr>
    </w:p>
    <w:p w14:paraId="76A12709" w14:textId="73F4D933"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Pr>
          <w:rFonts w:ascii="Calibri" w:hAnsi="Calibri" w:cs="Calibri"/>
          <w:sz w:val="20"/>
          <w:szCs w:val="20"/>
        </w:rPr>
        <w:t>Conseiller</w:t>
      </w:r>
      <w:r w:rsidR="00D14017">
        <w:rPr>
          <w:rFonts w:ascii="Calibri" w:hAnsi="Calibri" w:cs="Calibri"/>
          <w:sz w:val="20"/>
          <w:szCs w:val="20"/>
        </w:rPr>
        <w:t xml:space="preserve"> en</w:t>
      </w:r>
      <w:r w:rsidR="008B7267" w:rsidRPr="008B7267">
        <w:rPr>
          <w:rFonts w:ascii="Calibri" w:hAnsi="Calibri" w:cs="Calibri"/>
          <w:sz w:val="20"/>
          <w:szCs w:val="20"/>
        </w:rPr>
        <w:t xml:space="preserve"> financement participatif ne confirme pas son intention de racheter les valeurs mobilières et ne prévoit aucun délai de rachat.</w:t>
      </w:r>
    </w:p>
    <w:p w14:paraId="138D67AF" w14:textId="77777777" w:rsidR="008B7267" w:rsidRDefault="008B7267" w:rsidP="008B7267">
      <w:pPr>
        <w:pStyle w:val="NormalWeb"/>
        <w:ind w:left="720"/>
        <w:contextualSpacing/>
        <w:jc w:val="both"/>
        <w:rPr>
          <w:rFonts w:ascii="Calibri" w:hAnsi="Calibri" w:cs="Calibri"/>
          <w:sz w:val="20"/>
          <w:szCs w:val="20"/>
        </w:rPr>
      </w:pPr>
    </w:p>
    <w:p w14:paraId="6632F91E" w14:textId="77777777" w:rsidR="008B7267" w:rsidRDefault="008B7267"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En ce qui concerne les instruments autres que les capitaux propres, le taux d’intérêt nominal, la date à partir de laquelle les intérêts deviennent exigibles, les dates d’exigibilité des paiements d’intérêts, la date d’échéance et le rendement applicable ne sont pas précisés.</w:t>
      </w:r>
    </w:p>
    <w:p w14:paraId="2BF5EB19" w14:textId="7F9DA9F0"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Pr>
          <w:rFonts w:ascii="Calibri" w:hAnsi="Calibri" w:cs="Calibri"/>
          <w:sz w:val="20"/>
          <w:szCs w:val="20"/>
        </w:rPr>
        <w:t>Conseiller</w:t>
      </w:r>
      <w:r w:rsidR="00D14017">
        <w:rPr>
          <w:rFonts w:ascii="Calibri" w:hAnsi="Calibri" w:cs="Calibri"/>
          <w:sz w:val="20"/>
          <w:szCs w:val="20"/>
        </w:rPr>
        <w:t xml:space="preserve"> en</w:t>
      </w:r>
      <w:r w:rsidR="008B7267" w:rsidRPr="008B7267">
        <w:rPr>
          <w:rFonts w:ascii="Calibri" w:hAnsi="Calibri" w:cs="Calibri"/>
          <w:sz w:val="20"/>
          <w:szCs w:val="20"/>
        </w:rPr>
        <w:t xml:space="preserve"> financement participatif autorise les paiements en monnaies virtuelles sur la plate-forme de financement participatif. </w:t>
      </w:r>
    </w:p>
    <w:p w14:paraId="4D7314E2" w14:textId="77777777" w:rsidR="008B7267" w:rsidRDefault="008B7267" w:rsidP="008B7267">
      <w:pPr>
        <w:pStyle w:val="NormalWeb"/>
        <w:ind w:left="720"/>
        <w:contextualSpacing/>
        <w:jc w:val="both"/>
        <w:rPr>
          <w:rFonts w:ascii="Calibri" w:hAnsi="Calibri" w:cs="Calibri"/>
          <w:sz w:val="20"/>
          <w:szCs w:val="20"/>
        </w:rPr>
      </w:pPr>
    </w:p>
    <w:p w14:paraId="73781BC8" w14:textId="4C31AD86"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t xml:space="preserve">Le </w:t>
      </w:r>
      <w:r>
        <w:rPr>
          <w:rFonts w:ascii="Calibri" w:hAnsi="Calibri" w:cs="Calibri"/>
          <w:sz w:val="20"/>
          <w:szCs w:val="20"/>
        </w:rPr>
        <w:t>Conseiller</w:t>
      </w:r>
      <w:r w:rsidR="00D14017">
        <w:rPr>
          <w:rFonts w:ascii="Calibri" w:hAnsi="Calibri" w:cs="Calibri"/>
          <w:sz w:val="20"/>
          <w:szCs w:val="20"/>
        </w:rPr>
        <w:t xml:space="preserve"> en</w:t>
      </w:r>
      <w:r w:rsidR="008B7267" w:rsidRPr="008B7267">
        <w:rPr>
          <w:rFonts w:ascii="Calibri" w:hAnsi="Calibri" w:cs="Calibri"/>
          <w:sz w:val="20"/>
          <w:szCs w:val="20"/>
        </w:rPr>
        <w:t xml:space="preserve"> financement participatif permet aux investisseurs et aux porteurs de projets de conserver plusieurs comptes sur la plate-forme de</w:t>
      </w:r>
      <w:r w:rsidR="008B7267" w:rsidRPr="008B7267">
        <w:t xml:space="preserve"> </w:t>
      </w:r>
      <w:r w:rsidR="008B7267" w:rsidRPr="008B7267">
        <w:rPr>
          <w:rFonts w:ascii="Calibri" w:hAnsi="Calibri" w:cs="Calibri"/>
          <w:sz w:val="20"/>
          <w:szCs w:val="20"/>
        </w:rPr>
        <w:t xml:space="preserve">financement participatif alors qu’ils ne sont pas liés à des projets de financement participatif particuliers. </w:t>
      </w:r>
    </w:p>
    <w:p w14:paraId="02EC1A5E" w14:textId="77777777" w:rsidR="008B7267" w:rsidRDefault="008B7267" w:rsidP="008B7267">
      <w:pPr>
        <w:pStyle w:val="NormalWeb"/>
        <w:ind w:left="720"/>
        <w:contextualSpacing/>
        <w:jc w:val="both"/>
        <w:rPr>
          <w:rFonts w:ascii="Calibri" w:hAnsi="Calibri" w:cs="Calibri"/>
          <w:sz w:val="20"/>
          <w:szCs w:val="20"/>
        </w:rPr>
      </w:pPr>
    </w:p>
    <w:p w14:paraId="71511F1F" w14:textId="22C4CE1F" w:rsidR="008B7267" w:rsidRDefault="00CD6FE3" w:rsidP="008B7267">
      <w:pPr>
        <w:pStyle w:val="NormalWeb"/>
        <w:numPr>
          <w:ilvl w:val="0"/>
          <w:numId w:val="110"/>
        </w:numPr>
        <w:contextualSpacing/>
        <w:jc w:val="both"/>
        <w:rPr>
          <w:rFonts w:ascii="Calibri" w:hAnsi="Calibri" w:cs="Calibri"/>
          <w:sz w:val="20"/>
          <w:szCs w:val="20"/>
        </w:rPr>
      </w:pPr>
      <w:r w:rsidRPr="008B7267">
        <w:rPr>
          <w:rFonts w:ascii="Calibri" w:hAnsi="Calibri" w:cs="Calibri"/>
          <w:sz w:val="20"/>
          <w:szCs w:val="20"/>
        </w:rPr>
        <w:lastRenderedPageBreak/>
        <w:t xml:space="preserve">Le </w:t>
      </w:r>
      <w:r>
        <w:rPr>
          <w:rFonts w:ascii="Calibri" w:hAnsi="Calibri" w:cs="Calibri"/>
          <w:sz w:val="20"/>
          <w:szCs w:val="20"/>
        </w:rPr>
        <w:t>Conseiller</w:t>
      </w:r>
      <w:r w:rsidR="00D14017">
        <w:rPr>
          <w:rFonts w:ascii="Calibri" w:hAnsi="Calibri" w:cs="Calibri"/>
          <w:sz w:val="20"/>
          <w:szCs w:val="20"/>
        </w:rPr>
        <w:t xml:space="preserve"> en</w:t>
      </w:r>
      <w:r w:rsidR="008B7267" w:rsidRPr="008B7267">
        <w:rPr>
          <w:rFonts w:ascii="Calibri" w:hAnsi="Calibri" w:cs="Calibri"/>
          <w:sz w:val="20"/>
          <w:szCs w:val="20"/>
        </w:rPr>
        <w:t xml:space="preserve"> financement participatif autorise les transferts entre investisseurs ou entre porteurs de projets sur la plate-forme de financement participatif.</w:t>
      </w:r>
    </w:p>
    <w:p w14:paraId="19A912CA" w14:textId="77777777" w:rsidR="008B7267" w:rsidRDefault="008B7267" w:rsidP="008B7267">
      <w:pPr>
        <w:pStyle w:val="NormalWeb"/>
        <w:contextualSpacing/>
        <w:jc w:val="both"/>
        <w:rPr>
          <w:rFonts w:ascii="Calibri" w:hAnsi="Calibri" w:cs="Calibri"/>
          <w:sz w:val="20"/>
          <w:szCs w:val="20"/>
        </w:rPr>
      </w:pPr>
    </w:p>
    <w:p w14:paraId="41079F11" w14:textId="77777777" w:rsidR="008B7267" w:rsidRPr="008B7267" w:rsidRDefault="008B7267" w:rsidP="008B7267">
      <w:pPr>
        <w:pStyle w:val="NormalWeb"/>
        <w:contextualSpacing/>
        <w:jc w:val="both"/>
        <w:rPr>
          <w:rFonts w:ascii="Calibri" w:hAnsi="Calibri" w:cs="Calibri"/>
          <w:sz w:val="20"/>
          <w:szCs w:val="20"/>
        </w:rPr>
      </w:pPr>
    </w:p>
    <w:p w14:paraId="32C35AC7" w14:textId="78E4425B"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sidR="008B7267">
        <w:rPr>
          <w:rFonts w:ascii="Trebuchet MS" w:hAnsi="Trebuchet MS"/>
          <w:b/>
          <w:bCs/>
        </w:rPr>
        <w:t>14</w:t>
      </w:r>
      <w:r w:rsidRPr="00ED6269">
        <w:rPr>
          <w:rFonts w:ascii="Trebuchet MS" w:hAnsi="Trebuchet MS"/>
          <w:b/>
          <w:bCs/>
        </w:rPr>
        <w:t xml:space="preserve"> </w:t>
      </w:r>
      <w:r>
        <w:rPr>
          <w:rFonts w:ascii="Trebuchet MS" w:hAnsi="Trebuchet MS"/>
          <w:b/>
          <w:bCs/>
        </w:rPr>
        <w:t>– FACTEURS DE RISQUES LIES AUX CLIENTS</w:t>
      </w:r>
    </w:p>
    <w:p w14:paraId="6EDD78C3" w14:textId="108D6F96" w:rsidR="008B7267" w:rsidRDefault="008B7267" w:rsidP="008B7267">
      <w:pPr>
        <w:pStyle w:val="NormalWeb"/>
        <w:jc w:val="both"/>
        <w:rPr>
          <w:rFonts w:ascii="Calibri" w:hAnsi="Calibri" w:cs="Calibri"/>
          <w:sz w:val="20"/>
          <w:szCs w:val="20"/>
        </w:rPr>
      </w:pPr>
      <w:r w:rsidRPr="008D3710">
        <w:rPr>
          <w:rFonts w:ascii="Calibri" w:hAnsi="Calibri" w:cs="Calibri"/>
          <w:sz w:val="20"/>
          <w:szCs w:val="20"/>
        </w:rPr>
        <w:t>Les facteurs de risque suivant</w:t>
      </w:r>
      <w:r w:rsidR="00B401A7">
        <w:rPr>
          <w:rFonts w:ascii="Calibri" w:hAnsi="Calibri" w:cs="Calibri"/>
          <w:sz w:val="20"/>
          <w:szCs w:val="20"/>
        </w:rPr>
        <w:t>s</w:t>
      </w:r>
      <w:r w:rsidRPr="008D3710">
        <w:rPr>
          <w:rFonts w:ascii="Calibri" w:hAnsi="Calibri" w:cs="Calibri"/>
          <w:sz w:val="20"/>
          <w:szCs w:val="20"/>
        </w:rPr>
        <w:t xml:space="preserve"> peuvent présenter un risque élevé de blanchiment de capitaux et de financement du terrorisme</w:t>
      </w:r>
      <w:r>
        <w:rPr>
          <w:rFonts w:ascii="Calibri" w:hAnsi="Calibri" w:cs="Calibri"/>
          <w:sz w:val="20"/>
          <w:szCs w:val="20"/>
        </w:rPr>
        <w:t> :</w:t>
      </w:r>
    </w:p>
    <w:p w14:paraId="7BB4A355" w14:textId="77777777" w:rsidR="008B7267" w:rsidRDefault="008B7267" w:rsidP="008B7267">
      <w:pPr>
        <w:pStyle w:val="NormalWeb"/>
        <w:numPr>
          <w:ilvl w:val="0"/>
          <w:numId w:val="113"/>
        </w:numPr>
        <w:jc w:val="both"/>
        <w:rPr>
          <w:rFonts w:ascii="Calibri" w:hAnsi="Calibri" w:cs="Calibri"/>
          <w:sz w:val="20"/>
          <w:szCs w:val="20"/>
        </w:rPr>
      </w:pPr>
      <w:r w:rsidRPr="008B7267">
        <w:rPr>
          <w:rFonts w:ascii="Calibri" w:hAnsi="Calibri" w:cs="Calibri"/>
          <w:sz w:val="20"/>
          <w:szCs w:val="20"/>
        </w:rPr>
        <w:t>Le type ou le comportement du client est inhabituel</w:t>
      </w:r>
      <w:r>
        <w:rPr>
          <w:rFonts w:ascii="Calibri" w:hAnsi="Calibri" w:cs="Calibri"/>
          <w:sz w:val="20"/>
          <w:szCs w:val="20"/>
        </w:rPr>
        <w:t xml:space="preserve"> </w:t>
      </w:r>
      <w:r w:rsidRPr="008B7267">
        <w:rPr>
          <w:rFonts w:ascii="Calibri" w:hAnsi="Calibri" w:cs="Calibri"/>
          <w:sz w:val="20"/>
          <w:szCs w:val="20"/>
        </w:rPr>
        <w:t xml:space="preserve">: </w:t>
      </w:r>
    </w:p>
    <w:p w14:paraId="0BE9EF53" w14:textId="77777777"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 xml:space="preserve">Les raisons qui sous-tendent l’investissement ou le prêt ne comportent pas de finalité économique évidente. </w:t>
      </w:r>
    </w:p>
    <w:p w14:paraId="6B40F362" w14:textId="77777777" w:rsidR="0047705C" w:rsidRDefault="0047705C" w:rsidP="0047705C">
      <w:pPr>
        <w:pStyle w:val="NormalWeb"/>
        <w:ind w:left="1434"/>
        <w:contextualSpacing/>
        <w:jc w:val="both"/>
        <w:rPr>
          <w:rFonts w:ascii="Calibri" w:hAnsi="Calibri" w:cs="Calibri"/>
          <w:sz w:val="20"/>
          <w:szCs w:val="20"/>
        </w:rPr>
      </w:pPr>
    </w:p>
    <w:p w14:paraId="6F58A214" w14:textId="35A9F7BE"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 xml:space="preserve">L’investisseur demande le remboursement d’un investissement dans un bref délai après l’investissement initial. </w:t>
      </w:r>
    </w:p>
    <w:p w14:paraId="038951F8" w14:textId="77777777" w:rsidR="0047705C" w:rsidRPr="008B7267" w:rsidRDefault="0047705C" w:rsidP="0047705C">
      <w:pPr>
        <w:pStyle w:val="NormalWeb"/>
        <w:ind w:left="1434"/>
        <w:contextualSpacing/>
        <w:jc w:val="both"/>
        <w:rPr>
          <w:rFonts w:ascii="Calibri" w:hAnsi="Calibri" w:cs="Calibri"/>
          <w:sz w:val="20"/>
          <w:szCs w:val="20"/>
        </w:rPr>
      </w:pPr>
    </w:p>
    <w:p w14:paraId="31A7B0D2" w14:textId="77777777"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L’investisseur demande des conditions privilégiées ou un rendement de l’investissement fixe.</w:t>
      </w:r>
    </w:p>
    <w:p w14:paraId="57A7B8FF" w14:textId="77777777" w:rsidR="0047705C" w:rsidRDefault="0047705C" w:rsidP="0047705C">
      <w:pPr>
        <w:pStyle w:val="NormalWeb"/>
        <w:ind w:left="1434"/>
        <w:contextualSpacing/>
        <w:jc w:val="both"/>
        <w:rPr>
          <w:rFonts w:ascii="Calibri" w:hAnsi="Calibri" w:cs="Calibri"/>
          <w:sz w:val="20"/>
          <w:szCs w:val="20"/>
        </w:rPr>
      </w:pPr>
    </w:p>
    <w:p w14:paraId="08AC3159" w14:textId="02BD425E"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 xml:space="preserve">L’investisseur ou le porteur de projet transfère sur la plateforme des fonds dont le montant dépasse celui nécessaire pour le projet ou le prêt, et demande ensuite le remboursement du trop-payé. </w:t>
      </w:r>
    </w:p>
    <w:p w14:paraId="7FCF93C3" w14:textId="77777777" w:rsidR="0047705C" w:rsidRDefault="0047705C" w:rsidP="0047705C">
      <w:pPr>
        <w:pStyle w:val="NormalWeb"/>
        <w:ind w:left="1434"/>
        <w:contextualSpacing/>
        <w:jc w:val="both"/>
        <w:rPr>
          <w:rFonts w:ascii="Calibri" w:hAnsi="Calibri" w:cs="Calibri"/>
          <w:sz w:val="20"/>
          <w:szCs w:val="20"/>
        </w:rPr>
      </w:pPr>
    </w:p>
    <w:p w14:paraId="4D374D50" w14:textId="77777777"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 xml:space="preserve">L’investisseur ou le porteur de projet est une personne physique ou morale associée à des niveaux plus élevés de risque de blanchiment de capitaux. </w:t>
      </w:r>
    </w:p>
    <w:p w14:paraId="05598C5E" w14:textId="77777777" w:rsidR="0047705C" w:rsidRDefault="0047705C" w:rsidP="0047705C">
      <w:pPr>
        <w:pStyle w:val="NormalWeb"/>
        <w:ind w:left="1434"/>
        <w:contextualSpacing/>
        <w:jc w:val="both"/>
        <w:rPr>
          <w:rFonts w:ascii="Calibri" w:hAnsi="Calibri" w:cs="Calibri"/>
          <w:sz w:val="20"/>
          <w:szCs w:val="20"/>
        </w:rPr>
      </w:pPr>
    </w:p>
    <w:p w14:paraId="63C8E320" w14:textId="77777777"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 xml:space="preserve">Le porteur du projet accélère, de manière inattendue et sans explication raisonnable, l’échéancier de rachat/remboursement convenu, soit par des paiements forfaitaires, soit par résiliation anticipée. </w:t>
      </w:r>
    </w:p>
    <w:p w14:paraId="014E0A54" w14:textId="77777777" w:rsidR="0047705C" w:rsidRDefault="0047705C" w:rsidP="0047705C">
      <w:pPr>
        <w:pStyle w:val="NormalWeb"/>
        <w:contextualSpacing/>
        <w:jc w:val="both"/>
        <w:rPr>
          <w:rFonts w:ascii="Calibri" w:hAnsi="Calibri" w:cs="Calibri"/>
          <w:sz w:val="20"/>
          <w:szCs w:val="20"/>
        </w:rPr>
      </w:pPr>
    </w:p>
    <w:p w14:paraId="5FF0BE11" w14:textId="77777777" w:rsidR="0047705C"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Le porteur du projet semble réticent à</w:t>
      </w:r>
      <w:r w:rsidR="0047705C">
        <w:rPr>
          <w:rFonts w:ascii="Calibri" w:hAnsi="Calibri" w:cs="Calibri"/>
          <w:sz w:val="20"/>
          <w:szCs w:val="20"/>
        </w:rPr>
        <w:t xml:space="preserve"> </w:t>
      </w:r>
      <w:r w:rsidRPr="008B7267">
        <w:rPr>
          <w:rFonts w:ascii="Calibri" w:hAnsi="Calibri" w:cs="Calibri"/>
          <w:sz w:val="20"/>
          <w:szCs w:val="20"/>
        </w:rPr>
        <w:t>fournir des informations sur le projet ou l’initiative nécessitant un financement participatif.</w:t>
      </w:r>
    </w:p>
    <w:p w14:paraId="185624DD" w14:textId="1F74D3DE" w:rsidR="008B7267" w:rsidRDefault="008B7267" w:rsidP="0047705C">
      <w:pPr>
        <w:pStyle w:val="NormalWeb"/>
        <w:ind w:left="1434"/>
        <w:contextualSpacing/>
        <w:jc w:val="both"/>
        <w:rPr>
          <w:rFonts w:ascii="Calibri" w:hAnsi="Calibri" w:cs="Calibri"/>
          <w:sz w:val="20"/>
          <w:szCs w:val="20"/>
        </w:rPr>
      </w:pPr>
      <w:r w:rsidRPr="008B7267">
        <w:rPr>
          <w:rFonts w:ascii="Calibri" w:hAnsi="Calibri" w:cs="Calibri"/>
          <w:sz w:val="20"/>
          <w:szCs w:val="20"/>
        </w:rPr>
        <w:t xml:space="preserve"> </w:t>
      </w:r>
    </w:p>
    <w:p w14:paraId="7649E033" w14:textId="2A18B2B8" w:rsidR="0047705C"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 xml:space="preserve">L’origine des fonds destinés à l’investissement n’est pas claire et l’investisseur est réticent à fournir ces informations à la demande </w:t>
      </w:r>
      <w:r w:rsidR="00CD6FE3" w:rsidRPr="008B7267">
        <w:rPr>
          <w:rFonts w:ascii="Calibri" w:hAnsi="Calibri" w:cs="Calibri"/>
          <w:sz w:val="20"/>
          <w:szCs w:val="20"/>
        </w:rPr>
        <w:t xml:space="preserve">du </w:t>
      </w:r>
      <w:r w:rsidR="00CD6FE3">
        <w:rPr>
          <w:rFonts w:ascii="Calibri" w:hAnsi="Calibri" w:cs="Calibri"/>
          <w:sz w:val="20"/>
          <w:szCs w:val="20"/>
        </w:rPr>
        <w:t>Conseiller</w:t>
      </w:r>
      <w:r w:rsidR="00B401A7">
        <w:rPr>
          <w:rFonts w:ascii="Calibri" w:hAnsi="Calibri" w:cs="Calibri"/>
          <w:sz w:val="20"/>
          <w:szCs w:val="20"/>
        </w:rPr>
        <w:t xml:space="preserve"> en</w:t>
      </w:r>
      <w:r w:rsidRPr="008B7267">
        <w:rPr>
          <w:rFonts w:ascii="Calibri" w:hAnsi="Calibri" w:cs="Calibri"/>
          <w:sz w:val="20"/>
          <w:szCs w:val="20"/>
        </w:rPr>
        <w:t xml:space="preserve"> financement participatif. Le niveau des actifs investis dépasse le volume estimé des avoirs liquides de l’investisseur. Les fonds investis sont empruntés. </w:t>
      </w:r>
    </w:p>
    <w:p w14:paraId="0FB4F1D9" w14:textId="77777777" w:rsidR="0047705C" w:rsidRDefault="0047705C" w:rsidP="0047705C">
      <w:pPr>
        <w:pStyle w:val="NormalWeb"/>
        <w:ind w:left="1434"/>
        <w:contextualSpacing/>
        <w:jc w:val="both"/>
        <w:rPr>
          <w:rFonts w:ascii="Calibri" w:hAnsi="Calibri" w:cs="Calibri"/>
          <w:sz w:val="20"/>
          <w:szCs w:val="20"/>
        </w:rPr>
      </w:pPr>
    </w:p>
    <w:p w14:paraId="5DA71BAC" w14:textId="4CBC7E66" w:rsidR="008B7267" w:rsidRDefault="008B7267" w:rsidP="0047705C">
      <w:pPr>
        <w:pStyle w:val="NormalWeb"/>
        <w:numPr>
          <w:ilvl w:val="0"/>
          <w:numId w:val="114"/>
        </w:numPr>
        <w:ind w:left="1434" w:hanging="357"/>
        <w:contextualSpacing/>
        <w:jc w:val="both"/>
        <w:rPr>
          <w:rFonts w:ascii="Calibri" w:hAnsi="Calibri" w:cs="Calibri"/>
          <w:sz w:val="20"/>
          <w:szCs w:val="20"/>
        </w:rPr>
      </w:pPr>
      <w:r w:rsidRPr="008B7267">
        <w:rPr>
          <w:rFonts w:ascii="Calibri" w:hAnsi="Calibri" w:cs="Calibri"/>
          <w:sz w:val="20"/>
          <w:szCs w:val="20"/>
        </w:rPr>
        <w:t>L’investisseur ne réside pas dans le pays de la plate-forme de financement participatif ou n’a pas d’autres liens avec ce pays ni avec l’objet de l’investissement.</w:t>
      </w:r>
    </w:p>
    <w:p w14:paraId="1090E076" w14:textId="77777777" w:rsidR="0047705C" w:rsidRDefault="0047705C" w:rsidP="0047705C">
      <w:pPr>
        <w:pStyle w:val="NormalWeb"/>
        <w:ind w:left="1434"/>
        <w:contextualSpacing/>
        <w:jc w:val="both"/>
        <w:rPr>
          <w:rFonts w:ascii="Calibri" w:hAnsi="Calibri" w:cs="Calibri"/>
          <w:sz w:val="20"/>
          <w:szCs w:val="20"/>
        </w:rPr>
      </w:pPr>
    </w:p>
    <w:p w14:paraId="2493F929" w14:textId="433E758A" w:rsidR="0047705C" w:rsidRDefault="0047705C" w:rsidP="0047705C">
      <w:pPr>
        <w:pStyle w:val="NormalWeb"/>
        <w:numPr>
          <w:ilvl w:val="0"/>
          <w:numId w:val="114"/>
        </w:numPr>
        <w:ind w:left="1434" w:hanging="357"/>
        <w:contextualSpacing/>
        <w:jc w:val="both"/>
        <w:rPr>
          <w:rFonts w:ascii="Calibri" w:hAnsi="Calibri" w:cs="Calibri"/>
          <w:sz w:val="20"/>
          <w:szCs w:val="20"/>
        </w:rPr>
      </w:pPr>
      <w:r w:rsidRPr="0047705C">
        <w:rPr>
          <w:rFonts w:ascii="Calibri" w:hAnsi="Calibri" w:cs="Calibri"/>
          <w:sz w:val="20"/>
          <w:szCs w:val="20"/>
        </w:rPr>
        <w:t xml:space="preserve">L’investisseur ou le porteur de projet est une </w:t>
      </w:r>
      <w:r>
        <w:rPr>
          <w:rFonts w:ascii="Calibri" w:hAnsi="Calibri" w:cs="Calibri"/>
          <w:sz w:val="20"/>
          <w:szCs w:val="20"/>
        </w:rPr>
        <w:t>personne politiquement exposée</w:t>
      </w:r>
      <w:r w:rsidRPr="0047705C">
        <w:rPr>
          <w:rFonts w:ascii="Calibri" w:hAnsi="Calibri" w:cs="Calibri"/>
          <w:sz w:val="20"/>
          <w:szCs w:val="20"/>
        </w:rPr>
        <w:t>. L’investisseur refuse de</w:t>
      </w:r>
      <w:r w:rsidR="00B401A7">
        <w:rPr>
          <w:rFonts w:ascii="Calibri" w:hAnsi="Calibri" w:cs="Calibri"/>
          <w:sz w:val="20"/>
          <w:szCs w:val="20"/>
        </w:rPr>
        <w:t xml:space="preserve"> répondre aux</w:t>
      </w:r>
      <w:r w:rsidRPr="0047705C">
        <w:rPr>
          <w:rFonts w:ascii="Calibri" w:hAnsi="Calibri" w:cs="Calibri"/>
          <w:sz w:val="20"/>
          <w:szCs w:val="20"/>
        </w:rPr>
        <w:t xml:space="preserve"> mesures de vigilance</w:t>
      </w:r>
      <w:r w:rsidR="00B401A7">
        <w:rPr>
          <w:rFonts w:ascii="Calibri" w:hAnsi="Calibri" w:cs="Calibri"/>
          <w:sz w:val="20"/>
          <w:szCs w:val="20"/>
        </w:rPr>
        <w:t xml:space="preserve"> requises</w:t>
      </w:r>
      <w:r w:rsidRPr="0047705C">
        <w:rPr>
          <w:rFonts w:ascii="Calibri" w:hAnsi="Calibri" w:cs="Calibri"/>
          <w:sz w:val="20"/>
          <w:szCs w:val="20"/>
        </w:rPr>
        <w:t xml:space="preserve"> à l’égard de la clientèle. </w:t>
      </w:r>
    </w:p>
    <w:p w14:paraId="66301CD0" w14:textId="77777777" w:rsidR="0047705C" w:rsidRDefault="0047705C" w:rsidP="0047705C">
      <w:pPr>
        <w:pStyle w:val="NormalWeb"/>
        <w:contextualSpacing/>
        <w:jc w:val="both"/>
        <w:rPr>
          <w:rFonts w:ascii="Calibri" w:hAnsi="Calibri" w:cs="Calibri"/>
          <w:sz w:val="20"/>
          <w:szCs w:val="20"/>
        </w:rPr>
      </w:pPr>
    </w:p>
    <w:p w14:paraId="313DE74A" w14:textId="77777777" w:rsidR="0047705C" w:rsidRDefault="0047705C" w:rsidP="0047705C">
      <w:pPr>
        <w:pStyle w:val="NormalWeb"/>
        <w:numPr>
          <w:ilvl w:val="0"/>
          <w:numId w:val="113"/>
        </w:numPr>
        <w:contextualSpacing/>
        <w:jc w:val="both"/>
        <w:rPr>
          <w:rFonts w:ascii="Calibri" w:hAnsi="Calibri" w:cs="Calibri"/>
          <w:sz w:val="20"/>
          <w:szCs w:val="20"/>
        </w:rPr>
      </w:pPr>
      <w:r w:rsidRPr="0047705C">
        <w:rPr>
          <w:rFonts w:ascii="Calibri" w:hAnsi="Calibri" w:cs="Calibri"/>
          <w:sz w:val="20"/>
          <w:szCs w:val="20"/>
        </w:rPr>
        <w:t xml:space="preserve">L’investisseur ou le porteur de projet transfère de la monnaie virtuelle. </w:t>
      </w:r>
    </w:p>
    <w:p w14:paraId="421C6470" w14:textId="77777777" w:rsidR="0047705C" w:rsidRDefault="0047705C" w:rsidP="0047705C">
      <w:pPr>
        <w:pStyle w:val="NormalWeb"/>
        <w:ind w:left="720"/>
        <w:contextualSpacing/>
        <w:jc w:val="both"/>
        <w:rPr>
          <w:rFonts w:ascii="Calibri" w:hAnsi="Calibri" w:cs="Calibri"/>
          <w:sz w:val="20"/>
          <w:szCs w:val="20"/>
        </w:rPr>
      </w:pPr>
    </w:p>
    <w:p w14:paraId="54EA0C65" w14:textId="77777777" w:rsidR="0047705C" w:rsidRDefault="0047705C" w:rsidP="0047705C">
      <w:pPr>
        <w:pStyle w:val="NormalWeb"/>
        <w:numPr>
          <w:ilvl w:val="0"/>
          <w:numId w:val="113"/>
        </w:numPr>
        <w:contextualSpacing/>
        <w:jc w:val="both"/>
        <w:rPr>
          <w:rFonts w:ascii="Calibri" w:hAnsi="Calibri" w:cs="Calibri"/>
          <w:sz w:val="20"/>
          <w:szCs w:val="20"/>
        </w:rPr>
      </w:pPr>
      <w:r w:rsidRPr="0047705C">
        <w:rPr>
          <w:rFonts w:ascii="Calibri" w:hAnsi="Calibri" w:cs="Calibri"/>
          <w:sz w:val="20"/>
          <w:szCs w:val="20"/>
        </w:rPr>
        <w:t xml:space="preserve">L’investisseur ou le porteur de projet ont fait l’objet de commentaires négatifs dans les actualités. </w:t>
      </w:r>
    </w:p>
    <w:p w14:paraId="590B096C" w14:textId="77777777" w:rsidR="0047705C" w:rsidRDefault="0047705C" w:rsidP="0047705C">
      <w:pPr>
        <w:pStyle w:val="NormalWeb"/>
        <w:ind w:left="720"/>
        <w:contextualSpacing/>
        <w:jc w:val="both"/>
        <w:rPr>
          <w:rFonts w:ascii="Calibri" w:hAnsi="Calibri" w:cs="Calibri"/>
          <w:sz w:val="20"/>
          <w:szCs w:val="20"/>
        </w:rPr>
      </w:pPr>
    </w:p>
    <w:p w14:paraId="47B69229" w14:textId="1BD7F41E" w:rsidR="0047705C" w:rsidRDefault="0047705C" w:rsidP="0047705C">
      <w:pPr>
        <w:pStyle w:val="NormalWeb"/>
        <w:numPr>
          <w:ilvl w:val="0"/>
          <w:numId w:val="113"/>
        </w:numPr>
        <w:contextualSpacing/>
        <w:jc w:val="both"/>
        <w:rPr>
          <w:rFonts w:ascii="Calibri" w:hAnsi="Calibri" w:cs="Calibri"/>
          <w:sz w:val="20"/>
          <w:szCs w:val="20"/>
        </w:rPr>
      </w:pPr>
      <w:r w:rsidRPr="0047705C">
        <w:rPr>
          <w:rFonts w:ascii="Calibri" w:hAnsi="Calibri" w:cs="Calibri"/>
          <w:sz w:val="20"/>
          <w:szCs w:val="20"/>
        </w:rPr>
        <w:t>L’investisseur ou le porteur de projet font l’objet de sanctions.</w:t>
      </w:r>
    </w:p>
    <w:p w14:paraId="09440BF5" w14:textId="77777777" w:rsidR="0047705C" w:rsidRDefault="0047705C" w:rsidP="0047705C">
      <w:pPr>
        <w:pStyle w:val="NormalWeb"/>
        <w:contextualSpacing/>
        <w:jc w:val="both"/>
        <w:rPr>
          <w:rFonts w:ascii="Calibri" w:hAnsi="Calibri" w:cs="Calibri"/>
          <w:sz w:val="20"/>
          <w:szCs w:val="20"/>
        </w:rPr>
      </w:pPr>
    </w:p>
    <w:p w14:paraId="0BE40822" w14:textId="77777777" w:rsidR="0047705C" w:rsidRDefault="0047705C" w:rsidP="0047705C">
      <w:pPr>
        <w:pStyle w:val="NormalWeb"/>
        <w:contextualSpacing/>
        <w:jc w:val="both"/>
        <w:rPr>
          <w:rFonts w:ascii="Calibri" w:hAnsi="Calibri" w:cs="Calibri"/>
          <w:sz w:val="20"/>
          <w:szCs w:val="20"/>
        </w:rPr>
      </w:pPr>
    </w:p>
    <w:p w14:paraId="69478B37" w14:textId="77777777" w:rsidR="0047705C" w:rsidRPr="008B7267" w:rsidRDefault="0047705C" w:rsidP="0047705C">
      <w:pPr>
        <w:pStyle w:val="NormalWeb"/>
        <w:ind w:left="1434"/>
        <w:contextualSpacing/>
        <w:jc w:val="both"/>
        <w:rPr>
          <w:rFonts w:ascii="Calibri" w:hAnsi="Calibri" w:cs="Calibri"/>
          <w:sz w:val="20"/>
          <w:szCs w:val="20"/>
        </w:rPr>
      </w:pPr>
    </w:p>
    <w:p w14:paraId="0B7E52AC" w14:textId="1A491798" w:rsidR="005856F9" w:rsidRDefault="005856F9" w:rsidP="005856F9">
      <w:pPr>
        <w:pStyle w:val="NormalWeb"/>
        <w:jc w:val="both"/>
        <w:rPr>
          <w:rFonts w:ascii="Trebuchet MS" w:hAnsi="Trebuchet MS"/>
          <w:b/>
          <w:bCs/>
        </w:rPr>
      </w:pPr>
      <w:r w:rsidRPr="00ED6269">
        <w:rPr>
          <w:rFonts w:ascii="Trebuchet MS" w:hAnsi="Trebuchet MS"/>
          <w:b/>
          <w:bCs/>
        </w:rPr>
        <w:t xml:space="preserve">ARTICLE </w:t>
      </w:r>
      <w:r w:rsidR="008B7267">
        <w:rPr>
          <w:rFonts w:ascii="Trebuchet MS" w:hAnsi="Trebuchet MS"/>
          <w:b/>
          <w:bCs/>
        </w:rPr>
        <w:t>15</w:t>
      </w:r>
      <w:r w:rsidRPr="00ED6269">
        <w:rPr>
          <w:rFonts w:ascii="Trebuchet MS" w:hAnsi="Trebuchet MS"/>
          <w:b/>
          <w:bCs/>
        </w:rPr>
        <w:t xml:space="preserve"> </w:t>
      </w:r>
      <w:r>
        <w:rPr>
          <w:rFonts w:ascii="Trebuchet MS" w:hAnsi="Trebuchet MS"/>
          <w:b/>
          <w:bCs/>
        </w:rPr>
        <w:t>– FACTEURS DE RISQUES LIES AUX CANAUX DE DISTRIBUTION</w:t>
      </w:r>
    </w:p>
    <w:p w14:paraId="1DDBE7C2" w14:textId="0250FB77" w:rsidR="0047705C" w:rsidRDefault="0047705C" w:rsidP="0047705C">
      <w:pPr>
        <w:spacing w:before="100" w:beforeAutospacing="1" w:after="100" w:afterAutospacing="1"/>
        <w:contextualSpacing/>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B401A7">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609B6576" w14:textId="4D4EF2EC" w:rsidR="0047705C" w:rsidRDefault="00CD6FE3" w:rsidP="0047705C">
      <w:pPr>
        <w:pStyle w:val="NormalWeb"/>
        <w:numPr>
          <w:ilvl w:val="0"/>
          <w:numId w:val="115"/>
        </w:numPr>
        <w:contextualSpacing/>
        <w:jc w:val="both"/>
        <w:rPr>
          <w:rFonts w:ascii="Calibri" w:hAnsi="Calibri" w:cs="Calibri"/>
          <w:sz w:val="20"/>
          <w:szCs w:val="20"/>
        </w:rPr>
      </w:pPr>
      <w:r w:rsidRPr="0047705C">
        <w:rPr>
          <w:rFonts w:ascii="Calibri" w:hAnsi="Calibri" w:cs="Calibri"/>
          <w:sz w:val="20"/>
          <w:szCs w:val="20"/>
        </w:rPr>
        <w:lastRenderedPageBreak/>
        <w:t xml:space="preserve">Le </w:t>
      </w:r>
      <w:r>
        <w:rPr>
          <w:rFonts w:ascii="Calibri" w:hAnsi="Calibri" w:cs="Calibri"/>
          <w:sz w:val="20"/>
          <w:szCs w:val="20"/>
        </w:rPr>
        <w:t>Conseiller</w:t>
      </w:r>
      <w:r w:rsidR="00B401A7">
        <w:rPr>
          <w:rFonts w:ascii="Calibri" w:hAnsi="Calibri" w:cs="Calibri"/>
          <w:sz w:val="20"/>
          <w:szCs w:val="20"/>
        </w:rPr>
        <w:t xml:space="preserve"> en</w:t>
      </w:r>
      <w:r w:rsidR="0047705C" w:rsidRPr="0047705C">
        <w:rPr>
          <w:rFonts w:ascii="Calibri" w:hAnsi="Calibri" w:cs="Calibri"/>
          <w:sz w:val="20"/>
          <w:szCs w:val="20"/>
        </w:rPr>
        <w:t xml:space="preserve"> financement participatif exploite la plate-forme de financement participatif entièrement en ligne sans garanties adéquates, telles que l’identification électronique d’une personne utilisant une signature électronique ou un autre moyen d’identification électronique</w:t>
      </w:r>
      <w:r w:rsidR="0047705C">
        <w:rPr>
          <w:rFonts w:ascii="Calibri" w:hAnsi="Calibri" w:cs="Calibri"/>
          <w:sz w:val="20"/>
          <w:szCs w:val="20"/>
        </w:rPr>
        <w:t>.</w:t>
      </w:r>
    </w:p>
    <w:p w14:paraId="491183CB" w14:textId="77777777" w:rsidR="0047705C" w:rsidRDefault="0047705C" w:rsidP="0047705C">
      <w:pPr>
        <w:pStyle w:val="NormalWeb"/>
        <w:ind w:left="720"/>
        <w:contextualSpacing/>
        <w:jc w:val="both"/>
        <w:rPr>
          <w:rFonts w:ascii="Calibri" w:hAnsi="Calibri" w:cs="Calibri"/>
          <w:sz w:val="20"/>
          <w:szCs w:val="20"/>
        </w:rPr>
      </w:pPr>
    </w:p>
    <w:p w14:paraId="1E5A8F7F" w14:textId="77777777" w:rsidR="0047705C" w:rsidRDefault="0047705C" w:rsidP="0047705C">
      <w:pPr>
        <w:pStyle w:val="NormalWeb"/>
        <w:numPr>
          <w:ilvl w:val="0"/>
          <w:numId w:val="115"/>
        </w:numPr>
        <w:contextualSpacing/>
        <w:jc w:val="both"/>
        <w:rPr>
          <w:rFonts w:ascii="Calibri" w:hAnsi="Calibri" w:cs="Calibri"/>
          <w:sz w:val="20"/>
          <w:szCs w:val="20"/>
        </w:rPr>
      </w:pPr>
      <w:r w:rsidRPr="0047705C">
        <w:rPr>
          <w:rFonts w:ascii="Calibri" w:hAnsi="Calibri" w:cs="Calibri"/>
          <w:sz w:val="20"/>
          <w:szCs w:val="20"/>
        </w:rPr>
        <w:t>Les clients intègrent la plate-forme de financement participatif à distance, sans aucune garantie.</w:t>
      </w:r>
    </w:p>
    <w:p w14:paraId="085154EE" w14:textId="77777777" w:rsidR="0047705C" w:rsidRDefault="0047705C" w:rsidP="0047705C">
      <w:pPr>
        <w:pStyle w:val="NormalWeb"/>
        <w:ind w:left="720"/>
        <w:contextualSpacing/>
        <w:jc w:val="both"/>
        <w:rPr>
          <w:rFonts w:ascii="Calibri" w:hAnsi="Calibri" w:cs="Calibri"/>
          <w:sz w:val="20"/>
          <w:szCs w:val="20"/>
        </w:rPr>
      </w:pPr>
    </w:p>
    <w:p w14:paraId="0D3FCFF1" w14:textId="1BBE7BF3" w:rsidR="0047705C" w:rsidRPr="0047705C" w:rsidRDefault="00CD6FE3" w:rsidP="0047705C">
      <w:pPr>
        <w:pStyle w:val="NormalWeb"/>
        <w:numPr>
          <w:ilvl w:val="0"/>
          <w:numId w:val="115"/>
        </w:numPr>
        <w:contextualSpacing/>
        <w:jc w:val="both"/>
        <w:rPr>
          <w:rFonts w:ascii="Trebuchet MS" w:hAnsi="Trebuchet MS"/>
          <w:b/>
          <w:bCs/>
        </w:rPr>
      </w:pPr>
      <w:r w:rsidRPr="0047705C">
        <w:rPr>
          <w:rFonts w:ascii="Calibri" w:hAnsi="Calibri" w:cs="Calibri"/>
          <w:sz w:val="20"/>
          <w:szCs w:val="20"/>
        </w:rPr>
        <w:t xml:space="preserve">Le </w:t>
      </w:r>
      <w:r>
        <w:rPr>
          <w:rFonts w:ascii="Calibri" w:hAnsi="Calibri" w:cs="Calibri"/>
          <w:sz w:val="20"/>
          <w:szCs w:val="20"/>
        </w:rPr>
        <w:t>Conseiller</w:t>
      </w:r>
      <w:r w:rsidR="00B401A7">
        <w:rPr>
          <w:rFonts w:ascii="Calibri" w:hAnsi="Calibri" w:cs="Calibri"/>
          <w:sz w:val="20"/>
          <w:szCs w:val="20"/>
        </w:rPr>
        <w:t xml:space="preserve"> en</w:t>
      </w:r>
      <w:r w:rsidR="0047705C" w:rsidRPr="0047705C">
        <w:rPr>
          <w:rFonts w:ascii="Calibri" w:hAnsi="Calibri" w:cs="Calibri"/>
          <w:sz w:val="20"/>
          <w:szCs w:val="20"/>
        </w:rPr>
        <w:t xml:space="preserve"> financement participatif n’est assujetti à aucun régime réglementaire et, par conséquent, les mesures qui seraient normalement mises en place pour détecter et éviter une possible utilisation de la plate-forme de financement participatif à des fins de blanchiment de capitaux et du financement du terrorisme pourraient ne pas l’être. </w:t>
      </w:r>
    </w:p>
    <w:p w14:paraId="0E8CE077" w14:textId="77777777" w:rsidR="0047705C" w:rsidRPr="0047705C" w:rsidRDefault="0047705C" w:rsidP="0047705C">
      <w:pPr>
        <w:pStyle w:val="NormalWeb"/>
        <w:ind w:left="720"/>
        <w:contextualSpacing/>
        <w:jc w:val="both"/>
        <w:rPr>
          <w:rFonts w:ascii="Trebuchet MS" w:hAnsi="Trebuchet MS"/>
          <w:b/>
          <w:bCs/>
        </w:rPr>
      </w:pPr>
    </w:p>
    <w:p w14:paraId="083643D0" w14:textId="1DE299A7" w:rsidR="005856F9" w:rsidRPr="0047705C" w:rsidRDefault="005856F9" w:rsidP="0047705C">
      <w:pPr>
        <w:pStyle w:val="NormalWeb"/>
        <w:ind w:left="360"/>
        <w:jc w:val="both"/>
        <w:rPr>
          <w:rFonts w:ascii="Trebuchet MS" w:hAnsi="Trebuchet MS"/>
          <w:b/>
          <w:bCs/>
        </w:rPr>
      </w:pPr>
      <w:r w:rsidRPr="0047705C">
        <w:rPr>
          <w:rFonts w:ascii="Trebuchet MS" w:hAnsi="Trebuchet MS"/>
          <w:b/>
          <w:bCs/>
        </w:rPr>
        <w:t xml:space="preserve">ARTICLE </w:t>
      </w:r>
      <w:r w:rsidR="008B7267" w:rsidRPr="0047705C">
        <w:rPr>
          <w:rFonts w:ascii="Trebuchet MS" w:hAnsi="Trebuchet MS"/>
          <w:b/>
          <w:bCs/>
        </w:rPr>
        <w:t>16</w:t>
      </w:r>
      <w:r w:rsidRPr="0047705C">
        <w:rPr>
          <w:rFonts w:ascii="Trebuchet MS" w:hAnsi="Trebuchet MS"/>
          <w:b/>
          <w:bCs/>
        </w:rPr>
        <w:t xml:space="preserve"> – FACTEURS DE RISQUES LIES </w:t>
      </w:r>
      <w:r w:rsidR="00B401A7">
        <w:rPr>
          <w:rFonts w:ascii="Trebuchet MS" w:hAnsi="Trebuchet MS"/>
          <w:b/>
          <w:bCs/>
        </w:rPr>
        <w:t xml:space="preserve">AU </w:t>
      </w:r>
      <w:r w:rsidRPr="0047705C">
        <w:rPr>
          <w:rFonts w:ascii="Trebuchet MS" w:hAnsi="Trebuchet MS"/>
          <w:b/>
          <w:bCs/>
        </w:rPr>
        <w:t>PAYS OU</w:t>
      </w:r>
      <w:r w:rsidR="00B401A7">
        <w:rPr>
          <w:rFonts w:ascii="Trebuchet MS" w:hAnsi="Trebuchet MS"/>
          <w:b/>
          <w:bCs/>
        </w:rPr>
        <w:t xml:space="preserve"> </w:t>
      </w:r>
      <w:proofErr w:type="spellStart"/>
      <w:r w:rsidR="00B401A7">
        <w:rPr>
          <w:rFonts w:ascii="Trebuchet MS" w:hAnsi="Trebuchet MS"/>
          <w:b/>
          <w:bCs/>
        </w:rPr>
        <w:t>A</w:t>
      </w:r>
      <w:proofErr w:type="spellEnd"/>
      <w:r w:rsidR="00B401A7">
        <w:rPr>
          <w:rFonts w:ascii="Trebuchet MS" w:hAnsi="Trebuchet MS"/>
          <w:b/>
          <w:bCs/>
        </w:rPr>
        <w:t xml:space="preserve"> LA</w:t>
      </w:r>
      <w:r w:rsidRPr="0047705C">
        <w:rPr>
          <w:rFonts w:ascii="Trebuchet MS" w:hAnsi="Trebuchet MS"/>
          <w:b/>
          <w:bCs/>
        </w:rPr>
        <w:t xml:space="preserve"> ZONE GEOGRAPHIQUE</w:t>
      </w:r>
    </w:p>
    <w:p w14:paraId="1EDA52C6" w14:textId="2024CA32" w:rsidR="0047705C" w:rsidRDefault="0047705C" w:rsidP="0047705C">
      <w:pPr>
        <w:spacing w:before="100" w:beforeAutospacing="1" w:after="100" w:afterAutospacing="1"/>
        <w:contextualSpacing/>
        <w:jc w:val="both"/>
        <w:rPr>
          <w:rFonts w:ascii="Calibri" w:hAnsi="Calibri" w:cs="Calibri"/>
          <w:sz w:val="20"/>
          <w:szCs w:val="20"/>
        </w:rPr>
      </w:pPr>
      <w:r w:rsidRPr="00337811">
        <w:rPr>
          <w:rFonts w:ascii="Calibri" w:hAnsi="Calibri" w:cs="Calibri"/>
          <w:sz w:val="20"/>
          <w:szCs w:val="20"/>
        </w:rPr>
        <w:t xml:space="preserve">Les facteurs de risque </w:t>
      </w:r>
      <w:r>
        <w:rPr>
          <w:rFonts w:ascii="Calibri" w:hAnsi="Calibri" w:cs="Calibri"/>
          <w:sz w:val="20"/>
          <w:szCs w:val="20"/>
        </w:rPr>
        <w:t>suivant</w:t>
      </w:r>
      <w:r w:rsidR="00B401A7">
        <w:rPr>
          <w:rFonts w:ascii="Calibri" w:hAnsi="Calibri" w:cs="Calibri"/>
          <w:sz w:val="20"/>
          <w:szCs w:val="20"/>
        </w:rPr>
        <w:t>s</w:t>
      </w:r>
      <w:r>
        <w:rPr>
          <w:rFonts w:ascii="Calibri" w:hAnsi="Calibri" w:cs="Calibri"/>
          <w:sz w:val="20"/>
          <w:szCs w:val="20"/>
        </w:rPr>
        <w:t xml:space="preserve"> </w:t>
      </w:r>
      <w:r w:rsidRPr="00337811">
        <w:rPr>
          <w:rFonts w:ascii="Calibri" w:hAnsi="Calibri" w:cs="Calibri"/>
          <w:sz w:val="20"/>
          <w:szCs w:val="20"/>
        </w:rPr>
        <w:t>peuvent présenter un risque élevé de blanchiment de capitaux et de financement du terrorisme :</w:t>
      </w:r>
    </w:p>
    <w:p w14:paraId="52A69707" w14:textId="7D246244" w:rsidR="0047705C" w:rsidRDefault="00CD6FE3" w:rsidP="0047705C">
      <w:pPr>
        <w:pStyle w:val="NormalWeb"/>
        <w:numPr>
          <w:ilvl w:val="0"/>
          <w:numId w:val="117"/>
        </w:numPr>
        <w:contextualSpacing/>
        <w:jc w:val="both"/>
        <w:rPr>
          <w:rFonts w:ascii="Calibri" w:hAnsi="Calibri" w:cs="Calibri"/>
          <w:sz w:val="20"/>
          <w:szCs w:val="20"/>
        </w:rPr>
      </w:pPr>
      <w:r w:rsidRPr="0047705C">
        <w:rPr>
          <w:rFonts w:ascii="Calibri" w:hAnsi="Calibri" w:cs="Calibri"/>
          <w:sz w:val="20"/>
          <w:szCs w:val="20"/>
        </w:rPr>
        <w:t xml:space="preserve">Le </w:t>
      </w:r>
      <w:r>
        <w:rPr>
          <w:rFonts w:ascii="Calibri" w:hAnsi="Calibri" w:cs="Calibri"/>
          <w:sz w:val="20"/>
          <w:szCs w:val="20"/>
        </w:rPr>
        <w:t>Conseiller</w:t>
      </w:r>
      <w:r w:rsidR="003C27AA">
        <w:rPr>
          <w:rFonts w:ascii="Calibri" w:hAnsi="Calibri" w:cs="Calibri"/>
          <w:sz w:val="20"/>
          <w:szCs w:val="20"/>
        </w:rPr>
        <w:t xml:space="preserve"> en</w:t>
      </w:r>
      <w:r w:rsidR="0047705C" w:rsidRPr="0047705C">
        <w:rPr>
          <w:rFonts w:ascii="Calibri" w:hAnsi="Calibri" w:cs="Calibri"/>
          <w:sz w:val="20"/>
          <w:szCs w:val="20"/>
        </w:rPr>
        <w:t xml:space="preserve"> financement participatif exerce ses activités à l’échelle mondiale, en mettant en relation les investisseurs, les porteurs de projets et les projets de différents pays ou territoires. </w:t>
      </w:r>
    </w:p>
    <w:p w14:paraId="0BCFD00D" w14:textId="77777777" w:rsidR="0047705C" w:rsidRDefault="0047705C" w:rsidP="0047705C">
      <w:pPr>
        <w:pStyle w:val="NormalWeb"/>
        <w:contextualSpacing/>
        <w:jc w:val="both"/>
        <w:rPr>
          <w:rFonts w:ascii="Calibri" w:hAnsi="Calibri" w:cs="Calibri"/>
          <w:sz w:val="20"/>
          <w:szCs w:val="20"/>
        </w:rPr>
      </w:pPr>
    </w:p>
    <w:p w14:paraId="568091D7" w14:textId="0AC601DC" w:rsidR="0047705C" w:rsidRDefault="0047705C" w:rsidP="0047705C">
      <w:pPr>
        <w:pStyle w:val="NormalWeb"/>
        <w:numPr>
          <w:ilvl w:val="0"/>
          <w:numId w:val="117"/>
        </w:numPr>
        <w:contextualSpacing/>
        <w:jc w:val="both"/>
        <w:rPr>
          <w:rFonts w:ascii="Calibri" w:hAnsi="Calibri" w:cs="Calibri"/>
          <w:sz w:val="20"/>
          <w:szCs w:val="20"/>
        </w:rPr>
      </w:pPr>
      <w:r w:rsidRPr="0047705C">
        <w:rPr>
          <w:rFonts w:ascii="Calibri" w:hAnsi="Calibri" w:cs="Calibri"/>
          <w:sz w:val="20"/>
          <w:szCs w:val="20"/>
        </w:rPr>
        <w:t xml:space="preserve">Les fonds proviennent de liens personnels ou commerciaux avec un pays ou territoire considéré par des sources crédibles comme présentant des niveaux importants de corruption ou d’autres activités criminelles, telles que le terrorisme, le blanchiment de capitaux, la production et la vente de drogues illicites, ou d’autres infractions sous-jacentes. </w:t>
      </w:r>
    </w:p>
    <w:p w14:paraId="75A477CE" w14:textId="77777777" w:rsidR="0047705C" w:rsidRDefault="0047705C" w:rsidP="0047705C">
      <w:pPr>
        <w:pStyle w:val="NormalWeb"/>
        <w:contextualSpacing/>
        <w:jc w:val="both"/>
        <w:rPr>
          <w:rFonts w:ascii="Calibri" w:hAnsi="Calibri" w:cs="Calibri"/>
          <w:sz w:val="20"/>
          <w:szCs w:val="20"/>
        </w:rPr>
      </w:pPr>
    </w:p>
    <w:p w14:paraId="10855B9D" w14:textId="7F9BDB26" w:rsidR="005856F9" w:rsidRDefault="0047705C" w:rsidP="0047705C">
      <w:pPr>
        <w:pStyle w:val="NormalWeb"/>
        <w:numPr>
          <w:ilvl w:val="0"/>
          <w:numId w:val="117"/>
        </w:numPr>
        <w:contextualSpacing/>
        <w:jc w:val="both"/>
        <w:rPr>
          <w:rFonts w:ascii="Calibri" w:hAnsi="Calibri" w:cs="Calibri"/>
          <w:sz w:val="20"/>
          <w:szCs w:val="20"/>
        </w:rPr>
      </w:pPr>
      <w:r w:rsidRPr="0047705C">
        <w:rPr>
          <w:rFonts w:ascii="Calibri" w:hAnsi="Calibri" w:cs="Calibri"/>
          <w:sz w:val="20"/>
          <w:szCs w:val="20"/>
        </w:rPr>
        <w:t xml:space="preserve">Le porteur de projet ou l’investisseur, ou leurs bénéficiaires effectifs respectifs, le cas échéant, sont établis dans un pays ou territoire associé à des risques de </w:t>
      </w:r>
      <w:r>
        <w:rPr>
          <w:rFonts w:ascii="Calibri" w:hAnsi="Calibri" w:cs="Calibri"/>
          <w:sz w:val="20"/>
          <w:szCs w:val="20"/>
        </w:rPr>
        <w:t>blanchiment de capitaux et du financement du terrorisme</w:t>
      </w:r>
      <w:r w:rsidRPr="0047705C">
        <w:rPr>
          <w:rFonts w:ascii="Calibri" w:hAnsi="Calibri" w:cs="Calibri"/>
          <w:sz w:val="20"/>
          <w:szCs w:val="20"/>
        </w:rPr>
        <w:t xml:space="preserve"> plus élevés, ou dans un pays ou territoire ne disposant pas d’un système de surveillance efficace en matière de lutte contre le </w:t>
      </w:r>
      <w:r>
        <w:rPr>
          <w:rFonts w:ascii="Calibri" w:hAnsi="Calibri" w:cs="Calibri"/>
          <w:sz w:val="20"/>
          <w:szCs w:val="20"/>
        </w:rPr>
        <w:t>blanchiment de capitaux et du financement du terrorisme</w:t>
      </w:r>
      <w:r w:rsidRPr="0047705C">
        <w:rPr>
          <w:rFonts w:ascii="Calibri" w:hAnsi="Calibri" w:cs="Calibri"/>
          <w:sz w:val="20"/>
          <w:szCs w:val="20"/>
        </w:rPr>
        <w:t xml:space="preserve">. </w:t>
      </w:r>
      <w:r w:rsidR="00CD6FE3" w:rsidRPr="0047705C">
        <w:rPr>
          <w:rFonts w:ascii="Calibri" w:hAnsi="Calibri" w:cs="Calibri"/>
          <w:sz w:val="20"/>
          <w:szCs w:val="20"/>
        </w:rPr>
        <w:t xml:space="preserve">Les </w:t>
      </w:r>
      <w:r w:rsidR="00CD6FE3">
        <w:rPr>
          <w:rFonts w:ascii="Calibri" w:hAnsi="Calibri" w:cs="Calibri"/>
          <w:sz w:val="20"/>
          <w:szCs w:val="20"/>
        </w:rPr>
        <w:t>Conseillers</w:t>
      </w:r>
      <w:r w:rsidR="003C27AA">
        <w:rPr>
          <w:rFonts w:ascii="Calibri" w:hAnsi="Calibri" w:cs="Calibri"/>
          <w:sz w:val="20"/>
          <w:szCs w:val="20"/>
        </w:rPr>
        <w:t xml:space="preserve"> en</w:t>
      </w:r>
      <w:r w:rsidRPr="0047705C">
        <w:rPr>
          <w:rFonts w:ascii="Calibri" w:hAnsi="Calibri" w:cs="Calibri"/>
          <w:sz w:val="20"/>
          <w:szCs w:val="20"/>
        </w:rPr>
        <w:t xml:space="preserve"> financement participatif</w:t>
      </w:r>
      <w:r>
        <w:rPr>
          <w:rFonts w:ascii="Calibri" w:hAnsi="Calibri" w:cs="Calibri"/>
          <w:sz w:val="20"/>
          <w:szCs w:val="20"/>
        </w:rPr>
        <w:t xml:space="preserve"> </w:t>
      </w:r>
      <w:r w:rsidRPr="0047705C">
        <w:rPr>
          <w:rFonts w:ascii="Calibri" w:hAnsi="Calibri" w:cs="Calibri"/>
          <w:sz w:val="20"/>
          <w:szCs w:val="20"/>
        </w:rPr>
        <w:t>accorde</w:t>
      </w:r>
      <w:r>
        <w:rPr>
          <w:rFonts w:ascii="Calibri" w:hAnsi="Calibri" w:cs="Calibri"/>
          <w:sz w:val="20"/>
          <w:szCs w:val="20"/>
        </w:rPr>
        <w:t>nt</w:t>
      </w:r>
      <w:r w:rsidRPr="0047705C">
        <w:rPr>
          <w:rFonts w:ascii="Calibri" w:hAnsi="Calibri" w:cs="Calibri"/>
          <w:sz w:val="20"/>
          <w:szCs w:val="20"/>
        </w:rPr>
        <w:t xml:space="preserve"> une attention particulière aux pays ou territoires connus pour financer ou soutenir des activités terroristes ou dans lesquels opèrent des groupes connus pour commettre des infractions terroristes, ainsi qu’aux pays ou territoires soumis à des sanctions financières, à des embargos ou à des mesures liées au terrorisme, au financement du terrorisme ou à la prolifération</w:t>
      </w:r>
      <w:r w:rsidR="003C27AA">
        <w:rPr>
          <w:rFonts w:ascii="Calibri" w:hAnsi="Calibri" w:cs="Calibri"/>
          <w:sz w:val="20"/>
          <w:szCs w:val="20"/>
        </w:rPr>
        <w:t>.</w:t>
      </w:r>
      <w:r w:rsidRPr="0047705C">
        <w:rPr>
          <w:rFonts w:ascii="Calibri" w:hAnsi="Calibri" w:cs="Calibri"/>
          <w:sz w:val="20"/>
          <w:szCs w:val="20"/>
        </w:rPr>
        <w:t xml:space="preserve"> </w:t>
      </w:r>
    </w:p>
    <w:p w14:paraId="6FFF890F" w14:textId="77777777" w:rsidR="00A22E71" w:rsidRDefault="00A22E71" w:rsidP="00CD6FE3">
      <w:pPr>
        <w:pStyle w:val="NormalWeb"/>
        <w:ind w:left="720"/>
        <w:contextualSpacing/>
        <w:jc w:val="both"/>
        <w:rPr>
          <w:rFonts w:ascii="Calibri" w:hAnsi="Calibri" w:cs="Calibri"/>
          <w:sz w:val="20"/>
          <w:szCs w:val="20"/>
        </w:rPr>
      </w:pPr>
    </w:p>
    <w:p w14:paraId="444F5A4A" w14:textId="63DD250A" w:rsidR="00A22E71" w:rsidRPr="00AC4D54" w:rsidRDefault="00A22E71" w:rsidP="00A22E71">
      <w:pPr>
        <w:pStyle w:val="NormalWeb"/>
        <w:jc w:val="both"/>
        <w:rPr>
          <w:rFonts w:ascii="Trebuchet MS" w:hAnsi="Trebuchet MS"/>
          <w:b/>
          <w:bCs/>
        </w:rPr>
      </w:pPr>
      <w:r w:rsidRPr="00ED6269">
        <w:rPr>
          <w:rFonts w:ascii="Trebuchet MS" w:hAnsi="Trebuchet MS"/>
          <w:b/>
          <w:bCs/>
        </w:rPr>
        <w:t>ARTICLE</w:t>
      </w:r>
      <w:r>
        <w:rPr>
          <w:rFonts w:ascii="Trebuchet MS" w:hAnsi="Trebuchet MS"/>
          <w:b/>
          <w:bCs/>
        </w:rPr>
        <w:t xml:space="preserve"> 17 – ENTREE EN VIGUEUR</w:t>
      </w:r>
    </w:p>
    <w:p w14:paraId="3347B335" w14:textId="77777777" w:rsidR="00A22E71" w:rsidRDefault="00A22E71" w:rsidP="00A22E71">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60B2C86D" w14:textId="77777777" w:rsidR="00A22E71" w:rsidRDefault="00A22E71" w:rsidP="00A22E71">
      <w:pPr>
        <w:pStyle w:val="Normal6"/>
        <w:shd w:val="clear" w:color="auto" w:fill="FFFFFF"/>
        <w:spacing w:before="120"/>
        <w:jc w:val="both"/>
        <w:rPr>
          <w:rFonts w:asciiTheme="minorHAnsi" w:hAnsiTheme="minorHAnsi" w:cstheme="minorHAnsi"/>
          <w:sz w:val="20"/>
          <w:szCs w:val="20"/>
        </w:rPr>
      </w:pPr>
    </w:p>
    <w:p w14:paraId="45BFE513" w14:textId="77777777" w:rsidR="00A22E71" w:rsidRDefault="00A22E71" w:rsidP="00A22E71">
      <w:pPr>
        <w:pStyle w:val="Normal6"/>
        <w:shd w:val="clear" w:color="auto" w:fill="FFFFFF"/>
        <w:spacing w:before="120"/>
        <w:jc w:val="both"/>
        <w:rPr>
          <w:rFonts w:asciiTheme="minorHAnsi" w:hAnsiTheme="minorHAnsi" w:cstheme="minorHAnsi"/>
          <w:sz w:val="20"/>
          <w:szCs w:val="20"/>
        </w:rPr>
      </w:pPr>
    </w:p>
    <w:p w14:paraId="6DC3DDD2" w14:textId="77777777" w:rsidR="00A22E71" w:rsidRDefault="00A22E71" w:rsidP="00A22E71">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Fait à Libreville, le xxx 2024</w:t>
      </w:r>
    </w:p>
    <w:p w14:paraId="0E21ABEA" w14:textId="77777777" w:rsidR="00A22E71" w:rsidRDefault="00A22E71" w:rsidP="00A22E71">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p>
    <w:p w14:paraId="3CCCF5C4" w14:textId="77777777" w:rsidR="00A22E71" w:rsidRDefault="00A22E71" w:rsidP="00A22E71">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p>
    <w:p w14:paraId="1DFD3E2A" w14:textId="77777777" w:rsidR="00A22E71" w:rsidRDefault="00A22E71" w:rsidP="00A22E71">
      <w:pPr>
        <w:pStyle w:val="Normal6"/>
        <w:shd w:val="clear" w:color="auto" w:fill="FFFFFF"/>
        <w:spacing w:before="120" w:beforeAutospacing="0" w:after="0" w:afterAutospacing="0"/>
        <w:jc w:val="both"/>
        <w:rPr>
          <w:rFonts w:asciiTheme="minorHAnsi" w:hAnsiTheme="minorHAnsi" w:cstheme="minorHAnsi"/>
          <w:sz w:val="20"/>
          <w:szCs w:val="20"/>
        </w:rPr>
      </w:pPr>
    </w:p>
    <w:p w14:paraId="1746A28F" w14:textId="77777777" w:rsidR="00A22E71" w:rsidRDefault="00A22E71" w:rsidP="00A22E71">
      <w:pPr>
        <w:pStyle w:val="Normal6"/>
        <w:shd w:val="clear" w:color="auto" w:fill="FFFFFF"/>
        <w:spacing w:before="120" w:beforeAutospacing="0" w:after="0" w:afterAutospacing="0"/>
        <w:jc w:val="both"/>
        <w:rPr>
          <w:rFonts w:asciiTheme="minorHAnsi" w:hAnsiTheme="minorHAnsi" w:cstheme="minorHAnsi"/>
          <w:sz w:val="20"/>
          <w:szCs w:val="20"/>
        </w:rPr>
      </w:pPr>
    </w:p>
    <w:p w14:paraId="0BD6FE80" w14:textId="77777777" w:rsidR="00A22E71" w:rsidRDefault="00A22E71" w:rsidP="00A22E71">
      <w:pPr>
        <w:pStyle w:val="Normal6"/>
        <w:shd w:val="clear" w:color="auto" w:fill="FFFFFF"/>
        <w:spacing w:before="120" w:beforeAutospacing="0" w:after="0" w:afterAutospacing="0"/>
        <w:jc w:val="both"/>
        <w:rPr>
          <w:rFonts w:asciiTheme="minorHAnsi" w:hAnsiTheme="minorHAnsi" w:cstheme="minorHAnsi"/>
          <w:sz w:val="20"/>
          <w:szCs w:val="20"/>
        </w:rPr>
      </w:pPr>
    </w:p>
    <w:p w14:paraId="51EE30F7" w14:textId="77777777" w:rsidR="00A22E71" w:rsidRPr="00AC052E" w:rsidRDefault="00A22E71" w:rsidP="00A22E71">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p>
    <w:p w14:paraId="7E2DF650" w14:textId="77777777" w:rsidR="00A22E71" w:rsidRPr="00C6347D" w:rsidRDefault="00A22E71" w:rsidP="00CD6FE3">
      <w:pPr>
        <w:pStyle w:val="NormalWeb"/>
        <w:contextualSpacing/>
        <w:jc w:val="both"/>
        <w:rPr>
          <w:rFonts w:ascii="Calibri" w:hAnsi="Calibri" w:cs="Calibri"/>
          <w:sz w:val="20"/>
          <w:szCs w:val="20"/>
        </w:rPr>
      </w:pPr>
    </w:p>
    <w:sectPr w:rsidR="00A22E71" w:rsidRPr="00C6347D"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7150" w14:textId="77777777" w:rsidR="006959C5" w:rsidRDefault="006959C5" w:rsidP="00843715">
      <w:r>
        <w:separator/>
      </w:r>
    </w:p>
  </w:endnote>
  <w:endnote w:type="continuationSeparator" w:id="0">
    <w:p w14:paraId="2BBF026A" w14:textId="77777777" w:rsidR="006959C5" w:rsidRDefault="006959C5"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454470"/>
      <w:docPartObj>
        <w:docPartGallery w:val="Page Numbers (Bottom of Page)"/>
        <w:docPartUnique/>
      </w:docPartObj>
    </w:sdtPr>
    <w:sdtEndPr/>
    <w:sdtContent>
      <w:p w14:paraId="139B0DFE" w14:textId="18D3C18B" w:rsidR="00DA5AD9" w:rsidRDefault="00DA5AD9">
        <w:pPr>
          <w:pStyle w:val="Pieddepage"/>
          <w:jc w:val="center"/>
        </w:pPr>
        <w:r>
          <w:fldChar w:fldCharType="begin"/>
        </w:r>
        <w:r>
          <w:instrText>PAGE   \* MERGEFORMAT</w:instrText>
        </w:r>
        <w:r>
          <w:fldChar w:fldCharType="separate"/>
        </w:r>
        <w:r w:rsidR="00A22E71">
          <w:rPr>
            <w:noProof/>
          </w:rPr>
          <w:t>10</w:t>
        </w:r>
        <w:r>
          <w:fldChar w:fldCharType="end"/>
        </w:r>
      </w:p>
    </w:sdtContent>
  </w:sdt>
  <w:p w14:paraId="1EDB1CD5" w14:textId="77777777" w:rsidR="00DA5AD9" w:rsidRDefault="00DA5A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664D" w14:textId="77777777" w:rsidR="006959C5" w:rsidRDefault="006959C5" w:rsidP="00843715">
      <w:r>
        <w:separator/>
      </w:r>
    </w:p>
  </w:footnote>
  <w:footnote w:type="continuationSeparator" w:id="0">
    <w:p w14:paraId="1E8B899B" w14:textId="77777777" w:rsidR="006959C5" w:rsidRDefault="006959C5"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59.5pt" o:bullet="t">
        <v:imagedata r:id="rId1" o:title="Flêche_AMF_blc"/>
      </v:shape>
    </w:pict>
  </w:numPicBullet>
  <w:abstractNum w:abstractNumId="0" w15:restartNumberingAfterBreak="0">
    <w:nsid w:val="00F02363"/>
    <w:multiLevelType w:val="hybridMultilevel"/>
    <w:tmpl w:val="6AFA6964"/>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1CE5ABC"/>
    <w:multiLevelType w:val="hybridMultilevel"/>
    <w:tmpl w:val="134A4322"/>
    <w:lvl w:ilvl="0" w:tplc="04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5541D"/>
    <w:multiLevelType w:val="hybridMultilevel"/>
    <w:tmpl w:val="E8C8E02C"/>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27FA5"/>
    <w:multiLevelType w:val="hybridMultilevel"/>
    <w:tmpl w:val="3DC63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AC3071"/>
    <w:multiLevelType w:val="hybridMultilevel"/>
    <w:tmpl w:val="06287BC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5D4CC46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FC1219"/>
    <w:multiLevelType w:val="hybridMultilevel"/>
    <w:tmpl w:val="AFD4DAE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73525A2"/>
    <w:multiLevelType w:val="hybridMultilevel"/>
    <w:tmpl w:val="3146B418"/>
    <w:lvl w:ilvl="0" w:tplc="040C000F">
      <w:start w:val="1"/>
      <w:numFmt w:val="decimal"/>
      <w:lvlText w:val="%1."/>
      <w:lvlJc w:val="left"/>
      <w:pPr>
        <w:ind w:left="720" w:hanging="360"/>
      </w:pPr>
      <w:rPr>
        <w:rFonts w:hint="default"/>
      </w:rPr>
    </w:lvl>
    <w:lvl w:ilvl="1" w:tplc="9A4E0F5A">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BE3336"/>
    <w:multiLevelType w:val="hybridMultilevel"/>
    <w:tmpl w:val="04860C70"/>
    <w:lvl w:ilvl="0" w:tplc="040C0019">
      <w:start w:val="1"/>
      <w:numFmt w:val="lowerLetter"/>
      <w:lvlText w:val="%1."/>
      <w:lvlJc w:val="left"/>
      <w:pPr>
        <w:ind w:left="1080" w:hanging="360"/>
      </w:pPr>
    </w:lvl>
    <w:lvl w:ilvl="1" w:tplc="49A4A856">
      <w:start w:val="1"/>
      <w:numFmt w:val="lowerRoman"/>
      <w:lvlText w:val="%2."/>
      <w:lvlJc w:val="left"/>
      <w:pPr>
        <w:ind w:left="2160" w:hanging="720"/>
      </w:pPr>
      <w:rPr>
        <w:rFonts w:hint="default"/>
      </w:rPr>
    </w:lvl>
    <w:lvl w:ilvl="2" w:tplc="779AB0DE">
      <w:start w:val="1"/>
      <w:numFmt w:val="decimal"/>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8F95CE1"/>
    <w:multiLevelType w:val="hybridMultilevel"/>
    <w:tmpl w:val="B6B003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F34D02"/>
    <w:multiLevelType w:val="hybridMultilevel"/>
    <w:tmpl w:val="06E2599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E87596"/>
    <w:multiLevelType w:val="hybridMultilevel"/>
    <w:tmpl w:val="DF5A25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492A19"/>
    <w:multiLevelType w:val="hybridMultilevel"/>
    <w:tmpl w:val="7044771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CD0996"/>
    <w:multiLevelType w:val="hybridMultilevel"/>
    <w:tmpl w:val="64C658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E17AD6"/>
    <w:multiLevelType w:val="multilevel"/>
    <w:tmpl w:val="0B8C67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14A05DE"/>
    <w:multiLevelType w:val="hybridMultilevel"/>
    <w:tmpl w:val="9CD2D3C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5A4C75"/>
    <w:multiLevelType w:val="hybridMultilevel"/>
    <w:tmpl w:val="FE722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AA16D7"/>
    <w:multiLevelType w:val="hybridMultilevel"/>
    <w:tmpl w:val="1952CA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F4367D"/>
    <w:multiLevelType w:val="hybridMultilevel"/>
    <w:tmpl w:val="92DEBA5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0" w15:restartNumberingAfterBreak="0">
    <w:nsid w:val="14D26D33"/>
    <w:multiLevelType w:val="hybridMultilevel"/>
    <w:tmpl w:val="2A4AA94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5615B70"/>
    <w:multiLevelType w:val="hybridMultilevel"/>
    <w:tmpl w:val="6BCA97F6"/>
    <w:lvl w:ilvl="0" w:tplc="FFFFFFFF">
      <w:start w:val="1"/>
      <w:numFmt w:val="lowerLetter"/>
      <w:lvlText w:val="%1."/>
      <w:lvlJc w:val="left"/>
      <w:pPr>
        <w:ind w:left="720" w:hanging="360"/>
      </w:pPr>
    </w:lvl>
    <w:lvl w:ilvl="1" w:tplc="040C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4F051F"/>
    <w:multiLevelType w:val="hybridMultilevel"/>
    <w:tmpl w:val="64382F0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181938B6"/>
    <w:multiLevelType w:val="hybridMultilevel"/>
    <w:tmpl w:val="9B5E0F18"/>
    <w:lvl w:ilvl="0" w:tplc="040C0019">
      <w:start w:val="1"/>
      <w:numFmt w:val="lowerLetter"/>
      <w:lvlText w:val="%1."/>
      <w:lvlJc w:val="lef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4" w15:restartNumberingAfterBreak="0">
    <w:nsid w:val="18A651C7"/>
    <w:multiLevelType w:val="hybridMultilevel"/>
    <w:tmpl w:val="307EB0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AB67B85"/>
    <w:multiLevelType w:val="hybridMultilevel"/>
    <w:tmpl w:val="DB9EFCB8"/>
    <w:lvl w:ilvl="0" w:tplc="49A4A856">
      <w:start w:val="1"/>
      <w:numFmt w:val="lowerRoman"/>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1BFF3DDD"/>
    <w:multiLevelType w:val="hybridMultilevel"/>
    <w:tmpl w:val="3A88FA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5E098E"/>
    <w:multiLevelType w:val="hybridMultilevel"/>
    <w:tmpl w:val="7D30F90C"/>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EBB20D3"/>
    <w:multiLevelType w:val="hybridMultilevel"/>
    <w:tmpl w:val="4C2491F6"/>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6D1EF9"/>
    <w:multiLevelType w:val="hybridMultilevel"/>
    <w:tmpl w:val="E9CA6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1AE3C8E"/>
    <w:multiLevelType w:val="hybridMultilevel"/>
    <w:tmpl w:val="CAC0C12E"/>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4A16899"/>
    <w:multiLevelType w:val="hybridMultilevel"/>
    <w:tmpl w:val="2B8852A6"/>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3" w15:restartNumberingAfterBreak="0">
    <w:nsid w:val="24F86504"/>
    <w:multiLevelType w:val="hybridMultilevel"/>
    <w:tmpl w:val="10EA598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50C6829"/>
    <w:multiLevelType w:val="hybridMultilevel"/>
    <w:tmpl w:val="6DBC20A4"/>
    <w:lvl w:ilvl="0" w:tplc="DFDEE664">
      <w:start w:val="1"/>
      <w:numFmt w:val="decimal"/>
      <w:lvlText w:val="%1."/>
      <w:lvlJc w:val="left"/>
      <w:pPr>
        <w:ind w:left="720" w:hanging="360"/>
      </w:pPr>
      <w:rPr>
        <w:rFonts w:hint="default"/>
      </w:rPr>
    </w:lvl>
    <w:lvl w:ilvl="1" w:tplc="5D68F7B8">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5795A64"/>
    <w:multiLevelType w:val="hybridMultilevel"/>
    <w:tmpl w:val="B55AF2A4"/>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5C666F6"/>
    <w:multiLevelType w:val="hybridMultilevel"/>
    <w:tmpl w:val="A4A6DF68"/>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4719A2"/>
    <w:multiLevelType w:val="hybridMultilevel"/>
    <w:tmpl w:val="2AD8E660"/>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8660B16"/>
    <w:multiLevelType w:val="hybridMultilevel"/>
    <w:tmpl w:val="174041BC"/>
    <w:lvl w:ilvl="0" w:tplc="17BE21A2">
      <w:start w:val="1"/>
      <w:numFmt w:val="lowerLetter"/>
      <w:lvlText w:val="%1)"/>
      <w:lvlJc w:val="left"/>
      <w:pPr>
        <w:ind w:left="720" w:hanging="360"/>
      </w:pPr>
      <w:rPr>
        <w:rFonts w:asciiTheme="minorHAnsi" w:hAnsiTheme="minorHAnsi" w:cs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0" w15:restartNumberingAfterBreak="0">
    <w:nsid w:val="29196FA5"/>
    <w:multiLevelType w:val="hybridMultilevel"/>
    <w:tmpl w:val="51C8CD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B15E27"/>
    <w:multiLevelType w:val="hybridMultilevel"/>
    <w:tmpl w:val="D466D93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C295B55"/>
    <w:multiLevelType w:val="hybridMultilevel"/>
    <w:tmpl w:val="24CC3218"/>
    <w:lvl w:ilvl="0" w:tplc="9E04A3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C2B29B8"/>
    <w:multiLevelType w:val="hybridMultilevel"/>
    <w:tmpl w:val="BCBE7F54"/>
    <w:lvl w:ilvl="0" w:tplc="F04630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EAE02F7"/>
    <w:multiLevelType w:val="hybridMultilevel"/>
    <w:tmpl w:val="B29A4BDE"/>
    <w:lvl w:ilvl="0" w:tplc="040C0019">
      <w:start w:val="1"/>
      <w:numFmt w:val="lowerLetter"/>
      <w:lvlText w:val="%1."/>
      <w:lvlJc w:val="left"/>
      <w:pPr>
        <w:ind w:left="720" w:hanging="360"/>
      </w:pPr>
    </w:lvl>
    <w:lvl w:ilvl="1" w:tplc="652821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03B7BEC"/>
    <w:multiLevelType w:val="hybridMultilevel"/>
    <w:tmpl w:val="2DB03150"/>
    <w:lvl w:ilvl="0" w:tplc="1E42375C">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312D4736"/>
    <w:multiLevelType w:val="hybridMultilevel"/>
    <w:tmpl w:val="9C863AD6"/>
    <w:lvl w:ilvl="0" w:tplc="80F0E188">
      <w:start w:val="1"/>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7" w15:restartNumberingAfterBreak="0">
    <w:nsid w:val="31E26ED9"/>
    <w:multiLevelType w:val="hybridMultilevel"/>
    <w:tmpl w:val="75ACAF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269154F"/>
    <w:multiLevelType w:val="hybridMultilevel"/>
    <w:tmpl w:val="814846CC"/>
    <w:lvl w:ilvl="0" w:tplc="2D268A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2EE7EEF"/>
    <w:multiLevelType w:val="hybridMultilevel"/>
    <w:tmpl w:val="A7FE5B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312004E"/>
    <w:multiLevelType w:val="hybridMultilevel"/>
    <w:tmpl w:val="A790F1C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15:restartNumberingAfterBreak="0">
    <w:nsid w:val="34265A45"/>
    <w:multiLevelType w:val="hybridMultilevel"/>
    <w:tmpl w:val="A36852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FD638F"/>
    <w:multiLevelType w:val="hybridMultilevel"/>
    <w:tmpl w:val="7194A5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8426AC8"/>
    <w:multiLevelType w:val="hybridMultilevel"/>
    <w:tmpl w:val="B23A0BA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A8957DE"/>
    <w:multiLevelType w:val="hybridMultilevel"/>
    <w:tmpl w:val="3E5806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6" w15:restartNumberingAfterBreak="0">
    <w:nsid w:val="3B672CA9"/>
    <w:multiLevelType w:val="hybridMultilevel"/>
    <w:tmpl w:val="4314BC64"/>
    <w:lvl w:ilvl="0" w:tplc="040C0019">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7" w15:restartNumberingAfterBreak="0">
    <w:nsid w:val="3CA12756"/>
    <w:multiLevelType w:val="hybridMultilevel"/>
    <w:tmpl w:val="8AC8B9FE"/>
    <w:lvl w:ilvl="0" w:tplc="49A4A856">
      <w:start w:val="1"/>
      <w:numFmt w:val="lowerRoman"/>
      <w:lvlText w:val="%1."/>
      <w:lvlJc w:val="left"/>
      <w:pPr>
        <w:ind w:left="216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D095253"/>
    <w:multiLevelType w:val="hybridMultilevel"/>
    <w:tmpl w:val="FD08E15A"/>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D471E9E"/>
    <w:multiLevelType w:val="hybridMultilevel"/>
    <w:tmpl w:val="4E661E9C"/>
    <w:lvl w:ilvl="0" w:tplc="9AB81A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E1E3464"/>
    <w:multiLevelType w:val="hybridMultilevel"/>
    <w:tmpl w:val="C960EB5E"/>
    <w:lvl w:ilvl="0" w:tplc="B5BA41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F962197"/>
    <w:multiLevelType w:val="hybridMultilevel"/>
    <w:tmpl w:val="BC52264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2" w15:restartNumberingAfterBreak="0">
    <w:nsid w:val="40414488"/>
    <w:multiLevelType w:val="hybridMultilevel"/>
    <w:tmpl w:val="9CD65A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08E36D8"/>
    <w:multiLevelType w:val="hybridMultilevel"/>
    <w:tmpl w:val="3A74D7A8"/>
    <w:lvl w:ilvl="0" w:tplc="040C0019">
      <w:start w:val="1"/>
      <w:numFmt w:val="lowerLetter"/>
      <w:lvlText w:val="%1."/>
      <w:lvlJc w:val="left"/>
      <w:pPr>
        <w:ind w:left="720" w:hanging="360"/>
      </w:pPr>
    </w:lvl>
    <w:lvl w:ilvl="1" w:tplc="EC7AA21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1133378"/>
    <w:multiLevelType w:val="hybridMultilevel"/>
    <w:tmpl w:val="ECF415EA"/>
    <w:lvl w:ilvl="0" w:tplc="6DEC65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1D30974"/>
    <w:multiLevelType w:val="hybridMultilevel"/>
    <w:tmpl w:val="A46892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9D52ABE"/>
    <w:multiLevelType w:val="hybridMultilevel"/>
    <w:tmpl w:val="03B0C9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AB307FA"/>
    <w:multiLevelType w:val="hybridMultilevel"/>
    <w:tmpl w:val="F6628F66"/>
    <w:lvl w:ilvl="0" w:tplc="72B27A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9" w15:restartNumberingAfterBreak="0">
    <w:nsid w:val="4B373AFB"/>
    <w:multiLevelType w:val="hybridMultilevel"/>
    <w:tmpl w:val="9E7C998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BB94EFF"/>
    <w:multiLevelType w:val="hybridMultilevel"/>
    <w:tmpl w:val="8A880D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C4A7798"/>
    <w:multiLevelType w:val="hybridMultilevel"/>
    <w:tmpl w:val="3F029220"/>
    <w:lvl w:ilvl="0" w:tplc="040C001B">
      <w:start w:val="1"/>
      <w:numFmt w:val="lowerRoman"/>
      <w:lvlText w:val="%1."/>
      <w:lvlJc w:val="righ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2" w15:restartNumberingAfterBreak="0">
    <w:nsid w:val="4DC7105F"/>
    <w:multiLevelType w:val="hybridMultilevel"/>
    <w:tmpl w:val="978A20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4" w15:restartNumberingAfterBreak="0">
    <w:nsid w:val="4E9C7047"/>
    <w:multiLevelType w:val="hybridMultilevel"/>
    <w:tmpl w:val="31C00278"/>
    <w:lvl w:ilvl="0" w:tplc="04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EBD7165"/>
    <w:multiLevelType w:val="hybridMultilevel"/>
    <w:tmpl w:val="9E7C998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6" w15:restartNumberingAfterBreak="0">
    <w:nsid w:val="4F3E47A6"/>
    <w:multiLevelType w:val="hybridMultilevel"/>
    <w:tmpl w:val="BAE694B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7" w15:restartNumberingAfterBreak="0">
    <w:nsid w:val="505B6F00"/>
    <w:multiLevelType w:val="hybridMultilevel"/>
    <w:tmpl w:val="5DF0215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8" w15:restartNumberingAfterBreak="0">
    <w:nsid w:val="51AF5AA8"/>
    <w:multiLevelType w:val="hybridMultilevel"/>
    <w:tmpl w:val="51EE8CE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9" w15:restartNumberingAfterBreak="0">
    <w:nsid w:val="52AF4BA5"/>
    <w:multiLevelType w:val="hybridMultilevel"/>
    <w:tmpl w:val="674C5886"/>
    <w:lvl w:ilvl="0" w:tplc="17BE21A2">
      <w:start w:val="1"/>
      <w:numFmt w:val="lowerLetter"/>
      <w:lvlText w:val="%1)"/>
      <w:lvlJc w:val="left"/>
      <w:pPr>
        <w:ind w:left="720" w:hanging="360"/>
      </w:pPr>
      <w:rPr>
        <w:rFonts w:asciiTheme="minorHAnsi" w:hAnsiTheme="minorHAnsi" w:cs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3244AD2"/>
    <w:multiLevelType w:val="hybridMultilevel"/>
    <w:tmpl w:val="4C584E86"/>
    <w:lvl w:ilvl="0" w:tplc="F04630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3356ED0"/>
    <w:multiLevelType w:val="hybridMultilevel"/>
    <w:tmpl w:val="FD42990E"/>
    <w:lvl w:ilvl="0" w:tplc="25EA0A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34241DB"/>
    <w:multiLevelType w:val="hybridMultilevel"/>
    <w:tmpl w:val="94B21594"/>
    <w:lvl w:ilvl="0" w:tplc="FFFFFFFF">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54D3769A"/>
    <w:multiLevelType w:val="hybridMultilevel"/>
    <w:tmpl w:val="6BC02B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56120EE"/>
    <w:multiLevelType w:val="hybridMultilevel"/>
    <w:tmpl w:val="12583D4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638725C"/>
    <w:multiLevelType w:val="hybridMultilevel"/>
    <w:tmpl w:val="9530D966"/>
    <w:lvl w:ilvl="0" w:tplc="AEEE582A">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86" w15:restartNumberingAfterBreak="0">
    <w:nsid w:val="56500998"/>
    <w:multiLevelType w:val="hybridMultilevel"/>
    <w:tmpl w:val="5C6860D0"/>
    <w:lvl w:ilvl="0" w:tplc="040C0019">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7"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09327EE"/>
    <w:multiLevelType w:val="hybridMultilevel"/>
    <w:tmpl w:val="8782220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0986447"/>
    <w:multiLevelType w:val="hybridMultilevel"/>
    <w:tmpl w:val="603EA0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2802668"/>
    <w:multiLevelType w:val="hybridMultilevel"/>
    <w:tmpl w:val="1CA442DE"/>
    <w:lvl w:ilvl="0" w:tplc="49A4A856">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4002FB0"/>
    <w:multiLevelType w:val="hybridMultilevel"/>
    <w:tmpl w:val="39D611AE"/>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2" w15:restartNumberingAfterBreak="0">
    <w:nsid w:val="66FF1F09"/>
    <w:multiLevelType w:val="hybridMultilevel"/>
    <w:tmpl w:val="66A41E50"/>
    <w:lvl w:ilvl="0" w:tplc="62689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75745A2"/>
    <w:multiLevelType w:val="hybridMultilevel"/>
    <w:tmpl w:val="51C8CD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E00E96"/>
    <w:multiLevelType w:val="hybridMultilevel"/>
    <w:tmpl w:val="4498C60A"/>
    <w:lvl w:ilvl="0" w:tplc="C032D782">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5" w15:restartNumberingAfterBreak="0">
    <w:nsid w:val="6AD81D04"/>
    <w:multiLevelType w:val="hybridMultilevel"/>
    <w:tmpl w:val="D8A6E10E"/>
    <w:lvl w:ilvl="0" w:tplc="040C000F">
      <w:start w:val="1"/>
      <w:numFmt w:val="decimal"/>
      <w:lvlText w:val="%1."/>
      <w:lvlJc w:val="left"/>
      <w:pPr>
        <w:ind w:left="72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6" w15:restartNumberingAfterBreak="0">
    <w:nsid w:val="6C2068F0"/>
    <w:multiLevelType w:val="hybridMultilevel"/>
    <w:tmpl w:val="1C9AAA7E"/>
    <w:lvl w:ilvl="0" w:tplc="DFDEE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6CD27D13"/>
    <w:multiLevelType w:val="hybridMultilevel"/>
    <w:tmpl w:val="3F086E30"/>
    <w:lvl w:ilvl="0" w:tplc="B8EA61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8" w15:restartNumberingAfterBreak="0">
    <w:nsid w:val="6E31145C"/>
    <w:multiLevelType w:val="hybridMultilevel"/>
    <w:tmpl w:val="017C4C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F90CDB"/>
    <w:multiLevelType w:val="hybridMultilevel"/>
    <w:tmpl w:val="1910EBB2"/>
    <w:lvl w:ilvl="0" w:tplc="441A1E56">
      <w:start w:val="1"/>
      <w:numFmt w:val="decimal"/>
      <w:lvlText w:val="%1."/>
      <w:lvlJc w:val="left"/>
      <w:pPr>
        <w:ind w:left="720" w:hanging="360"/>
      </w:pPr>
      <w:rPr>
        <w:rFonts w:hint="default"/>
      </w:rPr>
    </w:lvl>
    <w:lvl w:ilvl="1" w:tplc="87F432C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F446082"/>
    <w:multiLevelType w:val="hybridMultilevel"/>
    <w:tmpl w:val="CE1EDCD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FE31980"/>
    <w:multiLevelType w:val="hybridMultilevel"/>
    <w:tmpl w:val="2A76370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2630558"/>
    <w:multiLevelType w:val="hybridMultilevel"/>
    <w:tmpl w:val="4424ABA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3AB2930"/>
    <w:multiLevelType w:val="hybridMultilevel"/>
    <w:tmpl w:val="87822206"/>
    <w:lvl w:ilvl="0" w:tplc="040C000F">
      <w:start w:val="1"/>
      <w:numFmt w:val="decimal"/>
      <w:lvlText w:val="%1."/>
      <w:lvlJc w:val="left"/>
      <w:pPr>
        <w:ind w:left="720" w:hanging="360"/>
      </w:pPr>
      <w:rPr>
        <w:rFonts w:hint="default"/>
        <w:sz w:val="20"/>
        <w:szCs w:val="20"/>
      </w:rPr>
    </w:lvl>
    <w:lvl w:ilvl="1" w:tplc="7224321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4203489"/>
    <w:multiLevelType w:val="hybridMultilevel"/>
    <w:tmpl w:val="3822CE1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6" w15:restartNumberingAfterBreak="0">
    <w:nsid w:val="756C75AE"/>
    <w:multiLevelType w:val="hybridMultilevel"/>
    <w:tmpl w:val="1AA6BAF6"/>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E7DA2992">
      <w:start w:val="1"/>
      <w:numFmt w:val="decimal"/>
      <w:lvlText w:val="%3."/>
      <w:lvlJc w:val="left"/>
      <w:pPr>
        <w:ind w:left="3060" w:hanging="360"/>
      </w:pPr>
      <w:rPr>
        <w:rFonts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7" w15:restartNumberingAfterBreak="0">
    <w:nsid w:val="758712CB"/>
    <w:multiLevelType w:val="hybridMultilevel"/>
    <w:tmpl w:val="6DFA801A"/>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8" w15:restartNumberingAfterBreak="0">
    <w:nsid w:val="76A578DD"/>
    <w:multiLevelType w:val="hybridMultilevel"/>
    <w:tmpl w:val="020CF34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0" w15:restartNumberingAfterBreak="0">
    <w:nsid w:val="77B65F35"/>
    <w:multiLevelType w:val="hybridMultilevel"/>
    <w:tmpl w:val="64C6583E"/>
    <w:lvl w:ilvl="0" w:tplc="04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6C7746"/>
    <w:multiLevelType w:val="hybridMultilevel"/>
    <w:tmpl w:val="14462E3E"/>
    <w:lvl w:ilvl="0" w:tplc="1102DD86">
      <w:start w:val="2"/>
      <w:numFmt w:val="bullet"/>
      <w:lvlText w:val="-"/>
      <w:lvlJc w:val="left"/>
      <w:pPr>
        <w:ind w:left="720" w:hanging="360"/>
      </w:pPr>
      <w:rPr>
        <w:rFonts w:ascii="SymbolMT" w:eastAsia="Times New Roman" w:hAnsi="SymbolMT" w:cs="Times New Roman" w:hint="default"/>
        <w:color w:val="9933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AF14A0C"/>
    <w:multiLevelType w:val="hybridMultilevel"/>
    <w:tmpl w:val="A36852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7B082E53"/>
    <w:multiLevelType w:val="hybridMultilevel"/>
    <w:tmpl w:val="021AEF94"/>
    <w:lvl w:ilvl="0" w:tplc="FFFFFFFF">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C6E4C41"/>
    <w:multiLevelType w:val="hybridMultilevel"/>
    <w:tmpl w:val="2E68A848"/>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5"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423233726">
    <w:abstractNumId w:val="10"/>
  </w:num>
  <w:num w:numId="2" w16cid:durableId="874124132">
    <w:abstractNumId w:val="68"/>
  </w:num>
  <w:num w:numId="3" w16cid:durableId="1505248104">
    <w:abstractNumId w:val="115"/>
  </w:num>
  <w:num w:numId="4" w16cid:durableId="1858497975">
    <w:abstractNumId w:val="87"/>
  </w:num>
  <w:num w:numId="5" w16cid:durableId="569509988">
    <w:abstractNumId w:val="29"/>
  </w:num>
  <w:num w:numId="6" w16cid:durableId="782460238">
    <w:abstractNumId w:val="39"/>
  </w:num>
  <w:num w:numId="7" w16cid:durableId="1926259773">
    <w:abstractNumId w:val="1"/>
    <w:lvlOverride w:ilvl="0">
      <w:startOverride w:val="1"/>
    </w:lvlOverride>
  </w:num>
  <w:num w:numId="8" w16cid:durableId="212080755">
    <w:abstractNumId w:val="109"/>
  </w:num>
  <w:num w:numId="9" w16cid:durableId="1822692300">
    <w:abstractNumId w:val="4"/>
  </w:num>
  <w:num w:numId="10" w16cid:durableId="1982077129">
    <w:abstractNumId w:val="53"/>
  </w:num>
  <w:num w:numId="11" w16cid:durableId="684357863">
    <w:abstractNumId w:val="15"/>
  </w:num>
  <w:num w:numId="12" w16cid:durableId="1828933958">
    <w:abstractNumId w:val="73"/>
  </w:num>
  <w:num w:numId="13" w16cid:durableId="1777552077">
    <w:abstractNumId w:val="48"/>
  </w:num>
  <w:num w:numId="14" w16cid:durableId="2001930859">
    <w:abstractNumId w:val="111"/>
  </w:num>
  <w:num w:numId="15" w16cid:durableId="1029573566">
    <w:abstractNumId w:val="101"/>
  </w:num>
  <w:num w:numId="16" w16cid:durableId="622464180">
    <w:abstractNumId w:val="85"/>
  </w:num>
  <w:num w:numId="17" w16cid:durableId="1691058165">
    <w:abstractNumId w:val="42"/>
  </w:num>
  <w:num w:numId="18" w16cid:durableId="1269509830">
    <w:abstractNumId w:val="59"/>
  </w:num>
  <w:num w:numId="19" w16cid:durableId="1464225966">
    <w:abstractNumId w:val="67"/>
  </w:num>
  <w:num w:numId="20" w16cid:durableId="1412696229">
    <w:abstractNumId w:val="60"/>
  </w:num>
  <w:num w:numId="21" w16cid:durableId="1686514209">
    <w:abstractNumId w:val="64"/>
  </w:num>
  <w:num w:numId="22" w16cid:durableId="307712995">
    <w:abstractNumId w:val="92"/>
  </w:num>
  <w:num w:numId="23" w16cid:durableId="1301380795">
    <w:abstractNumId w:val="104"/>
  </w:num>
  <w:num w:numId="24" w16cid:durableId="13308491">
    <w:abstractNumId w:val="45"/>
  </w:num>
  <w:num w:numId="25" w16cid:durableId="1944997415">
    <w:abstractNumId w:val="27"/>
  </w:num>
  <w:num w:numId="26" w16cid:durableId="379325288">
    <w:abstractNumId w:val="16"/>
  </w:num>
  <w:num w:numId="27" w16cid:durableId="1389911916">
    <w:abstractNumId w:val="35"/>
  </w:num>
  <w:num w:numId="28" w16cid:durableId="1449616373">
    <w:abstractNumId w:val="28"/>
  </w:num>
  <w:num w:numId="29" w16cid:durableId="2045711487">
    <w:abstractNumId w:val="7"/>
  </w:num>
  <w:num w:numId="30" w16cid:durableId="1770076476">
    <w:abstractNumId w:val="81"/>
  </w:num>
  <w:num w:numId="31" w16cid:durableId="669795275">
    <w:abstractNumId w:val="91"/>
  </w:num>
  <w:num w:numId="32" w16cid:durableId="335423455">
    <w:abstractNumId w:val="36"/>
  </w:num>
  <w:num w:numId="33" w16cid:durableId="1295596678">
    <w:abstractNumId w:val="107"/>
  </w:num>
  <w:num w:numId="34" w16cid:durableId="2006011901">
    <w:abstractNumId w:val="78"/>
  </w:num>
  <w:num w:numId="35" w16cid:durableId="391272840">
    <w:abstractNumId w:val="113"/>
  </w:num>
  <w:num w:numId="36" w16cid:durableId="1577937595">
    <w:abstractNumId w:val="100"/>
  </w:num>
  <w:num w:numId="37" w16cid:durableId="596982621">
    <w:abstractNumId w:val="77"/>
  </w:num>
  <w:num w:numId="38" w16cid:durableId="1760910173">
    <w:abstractNumId w:val="19"/>
  </w:num>
  <w:num w:numId="39" w16cid:durableId="785465575">
    <w:abstractNumId w:val="1"/>
  </w:num>
  <w:num w:numId="40" w16cid:durableId="1084103659">
    <w:abstractNumId w:val="102"/>
  </w:num>
  <w:num w:numId="41" w16cid:durableId="643435113">
    <w:abstractNumId w:val="76"/>
  </w:num>
  <w:num w:numId="42" w16cid:durableId="1475178522">
    <w:abstractNumId w:val="58"/>
  </w:num>
  <w:num w:numId="43" w16cid:durableId="208687158">
    <w:abstractNumId w:val="8"/>
  </w:num>
  <w:num w:numId="44" w16cid:durableId="161748690">
    <w:abstractNumId w:val="71"/>
  </w:num>
  <w:num w:numId="45" w16cid:durableId="122043009">
    <w:abstractNumId w:val="94"/>
  </w:num>
  <w:num w:numId="46" w16cid:durableId="1033386907">
    <w:abstractNumId w:val="57"/>
  </w:num>
  <w:num w:numId="47" w16cid:durableId="1807429228">
    <w:abstractNumId w:val="96"/>
  </w:num>
  <w:num w:numId="48" w16cid:durableId="777675977">
    <w:abstractNumId w:val="34"/>
  </w:num>
  <w:num w:numId="49" w16cid:durableId="1679847343">
    <w:abstractNumId w:val="106"/>
  </w:num>
  <w:num w:numId="50" w16cid:durableId="2002855088">
    <w:abstractNumId w:val="11"/>
  </w:num>
  <w:num w:numId="51" w16cid:durableId="1632511748">
    <w:abstractNumId w:val="23"/>
  </w:num>
  <w:num w:numId="52" w16cid:durableId="1974947757">
    <w:abstractNumId w:val="56"/>
  </w:num>
  <w:num w:numId="53" w16cid:durableId="785974298">
    <w:abstractNumId w:val="32"/>
  </w:num>
  <w:num w:numId="54" w16cid:durableId="1430351236">
    <w:abstractNumId w:val="6"/>
  </w:num>
  <w:num w:numId="55" w16cid:durableId="536892319">
    <w:abstractNumId w:val="12"/>
  </w:num>
  <w:num w:numId="56" w16cid:durableId="1219171875">
    <w:abstractNumId w:val="13"/>
  </w:num>
  <w:num w:numId="57" w16cid:durableId="728039766">
    <w:abstractNumId w:val="21"/>
  </w:num>
  <w:num w:numId="58" w16cid:durableId="1712026230">
    <w:abstractNumId w:val="86"/>
  </w:num>
  <w:num w:numId="59" w16cid:durableId="1090545493">
    <w:abstractNumId w:val="33"/>
  </w:num>
  <w:num w:numId="60" w16cid:durableId="1684628372">
    <w:abstractNumId w:val="103"/>
  </w:num>
  <w:num w:numId="61" w16cid:durableId="903683736">
    <w:abstractNumId w:val="41"/>
  </w:num>
  <w:num w:numId="62" w16cid:durableId="421148213">
    <w:abstractNumId w:val="63"/>
  </w:num>
  <w:num w:numId="63" w16cid:durableId="1051151384">
    <w:abstractNumId w:val="5"/>
  </w:num>
  <w:num w:numId="64" w16cid:durableId="1176730408">
    <w:abstractNumId w:val="61"/>
  </w:num>
  <w:num w:numId="65" w16cid:durableId="309138680">
    <w:abstractNumId w:val="95"/>
  </w:num>
  <w:num w:numId="66" w16cid:durableId="2061860151">
    <w:abstractNumId w:val="24"/>
  </w:num>
  <w:num w:numId="67" w16cid:durableId="780609245">
    <w:abstractNumId w:val="9"/>
  </w:num>
  <w:num w:numId="68" w16cid:durableId="1885941537">
    <w:abstractNumId w:val="18"/>
  </w:num>
  <w:num w:numId="69" w16cid:durableId="1098938954">
    <w:abstractNumId w:val="65"/>
  </w:num>
  <w:num w:numId="70" w16cid:durableId="1109934137">
    <w:abstractNumId w:val="54"/>
  </w:num>
  <w:num w:numId="71" w16cid:durableId="403115042">
    <w:abstractNumId w:val="44"/>
  </w:num>
  <w:num w:numId="72" w16cid:durableId="229925826">
    <w:abstractNumId w:val="0"/>
  </w:num>
  <w:num w:numId="73" w16cid:durableId="928807101">
    <w:abstractNumId w:val="43"/>
  </w:num>
  <w:num w:numId="74" w16cid:durableId="166748656">
    <w:abstractNumId w:val="80"/>
  </w:num>
  <w:num w:numId="75" w16cid:durableId="652873563">
    <w:abstractNumId w:val="2"/>
  </w:num>
  <w:num w:numId="76" w16cid:durableId="529270256">
    <w:abstractNumId w:val="74"/>
  </w:num>
  <w:num w:numId="77" w16cid:durableId="631178980">
    <w:abstractNumId w:val="25"/>
  </w:num>
  <w:num w:numId="78" w16cid:durableId="1736470520">
    <w:abstractNumId w:val="90"/>
  </w:num>
  <w:num w:numId="79" w16cid:durableId="1232040625">
    <w:abstractNumId w:val="37"/>
  </w:num>
  <w:num w:numId="80" w16cid:durableId="1929148284">
    <w:abstractNumId w:val="20"/>
  </w:num>
  <w:num w:numId="81" w16cid:durableId="1856766936">
    <w:abstractNumId w:val="83"/>
  </w:num>
  <w:num w:numId="82" w16cid:durableId="621036150">
    <w:abstractNumId w:val="99"/>
  </w:num>
  <w:num w:numId="83" w16cid:durableId="737246325">
    <w:abstractNumId w:val="55"/>
  </w:num>
  <w:num w:numId="84" w16cid:durableId="385184725">
    <w:abstractNumId w:val="22"/>
  </w:num>
  <w:num w:numId="85" w16cid:durableId="1392264014">
    <w:abstractNumId w:val="88"/>
  </w:num>
  <w:num w:numId="86" w16cid:durableId="1203980322">
    <w:abstractNumId w:val="50"/>
  </w:num>
  <w:num w:numId="87" w16cid:durableId="231014532">
    <w:abstractNumId w:val="97"/>
  </w:num>
  <w:num w:numId="88" w16cid:durableId="343283733">
    <w:abstractNumId w:val="31"/>
  </w:num>
  <w:num w:numId="89" w16cid:durableId="2049135879">
    <w:abstractNumId w:val="49"/>
  </w:num>
  <w:num w:numId="90" w16cid:durableId="1332416035">
    <w:abstractNumId w:val="105"/>
  </w:num>
  <w:num w:numId="91" w16cid:durableId="543952923">
    <w:abstractNumId w:val="3"/>
  </w:num>
  <w:num w:numId="92" w16cid:durableId="1903371311">
    <w:abstractNumId w:val="62"/>
  </w:num>
  <w:num w:numId="93" w16cid:durableId="1951862672">
    <w:abstractNumId w:val="47"/>
  </w:num>
  <w:num w:numId="94" w16cid:durableId="166212206">
    <w:abstractNumId w:val="52"/>
  </w:num>
  <w:num w:numId="95" w16cid:durableId="114720378">
    <w:abstractNumId w:val="112"/>
  </w:num>
  <w:num w:numId="96" w16cid:durableId="1876843010">
    <w:abstractNumId w:val="114"/>
  </w:num>
  <w:num w:numId="97" w16cid:durableId="926577591">
    <w:abstractNumId w:val="108"/>
  </w:num>
  <w:num w:numId="98" w16cid:durableId="1075126843">
    <w:abstractNumId w:val="75"/>
  </w:num>
  <w:num w:numId="99" w16cid:durableId="1050836016">
    <w:abstractNumId w:val="46"/>
  </w:num>
  <w:num w:numId="100" w16cid:durableId="475411370">
    <w:abstractNumId w:val="98"/>
  </w:num>
  <w:num w:numId="101" w16cid:durableId="1797213637">
    <w:abstractNumId w:val="17"/>
  </w:num>
  <w:num w:numId="102" w16cid:durableId="257835024">
    <w:abstractNumId w:val="26"/>
  </w:num>
  <w:num w:numId="103" w16cid:durableId="1478112472">
    <w:abstractNumId w:val="82"/>
  </w:num>
  <w:num w:numId="104" w16cid:durableId="1492985349">
    <w:abstractNumId w:val="30"/>
  </w:num>
  <w:num w:numId="105" w16cid:durableId="1217551883">
    <w:abstractNumId w:val="93"/>
  </w:num>
  <w:num w:numId="106" w16cid:durableId="1268348361">
    <w:abstractNumId w:val="40"/>
  </w:num>
  <w:num w:numId="107" w16cid:durableId="1288657266">
    <w:abstractNumId w:val="51"/>
  </w:num>
  <w:num w:numId="108" w16cid:durableId="2096317645">
    <w:abstractNumId w:val="110"/>
  </w:num>
  <w:num w:numId="109" w16cid:durableId="1486703925">
    <w:abstractNumId w:val="14"/>
  </w:num>
  <w:num w:numId="110" w16cid:durableId="730158966">
    <w:abstractNumId w:val="72"/>
  </w:num>
  <w:num w:numId="111" w16cid:durableId="1933312697">
    <w:abstractNumId w:val="84"/>
  </w:num>
  <w:num w:numId="112" w16cid:durableId="1200049230">
    <w:abstractNumId w:val="70"/>
  </w:num>
  <w:num w:numId="113" w16cid:durableId="1227449777">
    <w:abstractNumId w:val="66"/>
  </w:num>
  <w:num w:numId="114" w16cid:durableId="1228683459">
    <w:abstractNumId w:val="69"/>
  </w:num>
  <w:num w:numId="115" w16cid:durableId="2073506317">
    <w:abstractNumId w:val="38"/>
  </w:num>
  <w:num w:numId="116" w16cid:durableId="121771900">
    <w:abstractNumId w:val="79"/>
  </w:num>
  <w:num w:numId="117" w16cid:durableId="802692029">
    <w:abstractNumId w:val="8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363FC"/>
    <w:rsid w:val="00044EAE"/>
    <w:rsid w:val="00046807"/>
    <w:rsid w:val="000619A5"/>
    <w:rsid w:val="00077D06"/>
    <w:rsid w:val="00090D2A"/>
    <w:rsid w:val="00093EA8"/>
    <w:rsid w:val="000A6AE4"/>
    <w:rsid w:val="000B5751"/>
    <w:rsid w:val="000C51D0"/>
    <w:rsid w:val="000C5C37"/>
    <w:rsid w:val="000E623D"/>
    <w:rsid w:val="000F4257"/>
    <w:rsid w:val="000F4995"/>
    <w:rsid w:val="000F6063"/>
    <w:rsid w:val="00113381"/>
    <w:rsid w:val="00117D65"/>
    <w:rsid w:val="00131AAB"/>
    <w:rsid w:val="00156F45"/>
    <w:rsid w:val="001574D5"/>
    <w:rsid w:val="00183128"/>
    <w:rsid w:val="0018705C"/>
    <w:rsid w:val="00187E87"/>
    <w:rsid w:val="001A05EB"/>
    <w:rsid w:val="001A2B2C"/>
    <w:rsid w:val="001A37F5"/>
    <w:rsid w:val="001A5708"/>
    <w:rsid w:val="001D6C0C"/>
    <w:rsid w:val="00201FF3"/>
    <w:rsid w:val="00211991"/>
    <w:rsid w:val="002379AC"/>
    <w:rsid w:val="002542BD"/>
    <w:rsid w:val="00255CB8"/>
    <w:rsid w:val="00256400"/>
    <w:rsid w:val="002602EA"/>
    <w:rsid w:val="0026484F"/>
    <w:rsid w:val="002823B6"/>
    <w:rsid w:val="0029434D"/>
    <w:rsid w:val="00297F3F"/>
    <w:rsid w:val="002A144D"/>
    <w:rsid w:val="002B7D09"/>
    <w:rsid w:val="002C102B"/>
    <w:rsid w:val="002E2DAC"/>
    <w:rsid w:val="002F49F7"/>
    <w:rsid w:val="00303001"/>
    <w:rsid w:val="0031620A"/>
    <w:rsid w:val="00325C3B"/>
    <w:rsid w:val="0033633E"/>
    <w:rsid w:val="00337811"/>
    <w:rsid w:val="003461D7"/>
    <w:rsid w:val="00351999"/>
    <w:rsid w:val="003678E5"/>
    <w:rsid w:val="0037154D"/>
    <w:rsid w:val="00372E06"/>
    <w:rsid w:val="003A5F34"/>
    <w:rsid w:val="003B072E"/>
    <w:rsid w:val="003B5BAD"/>
    <w:rsid w:val="003C27AA"/>
    <w:rsid w:val="003C5A8C"/>
    <w:rsid w:val="003C7091"/>
    <w:rsid w:val="003D02B2"/>
    <w:rsid w:val="003E04A5"/>
    <w:rsid w:val="003F154B"/>
    <w:rsid w:val="00413B61"/>
    <w:rsid w:val="0042410D"/>
    <w:rsid w:val="004258B8"/>
    <w:rsid w:val="00431047"/>
    <w:rsid w:val="00432B44"/>
    <w:rsid w:val="00464C7C"/>
    <w:rsid w:val="00472955"/>
    <w:rsid w:val="004765F7"/>
    <w:rsid w:val="0047705C"/>
    <w:rsid w:val="00477F3F"/>
    <w:rsid w:val="00495F72"/>
    <w:rsid w:val="004A7504"/>
    <w:rsid w:val="004B037D"/>
    <w:rsid w:val="004B1EC1"/>
    <w:rsid w:val="004C0145"/>
    <w:rsid w:val="004D68E1"/>
    <w:rsid w:val="004D6E9A"/>
    <w:rsid w:val="004E430C"/>
    <w:rsid w:val="004E5E5E"/>
    <w:rsid w:val="005061CE"/>
    <w:rsid w:val="00524F38"/>
    <w:rsid w:val="0054593C"/>
    <w:rsid w:val="00564435"/>
    <w:rsid w:val="005712DE"/>
    <w:rsid w:val="0057761D"/>
    <w:rsid w:val="005856F9"/>
    <w:rsid w:val="005A144F"/>
    <w:rsid w:val="005B0B1E"/>
    <w:rsid w:val="005D2021"/>
    <w:rsid w:val="005D40FA"/>
    <w:rsid w:val="005D5F2C"/>
    <w:rsid w:val="005E5E4C"/>
    <w:rsid w:val="005F0E31"/>
    <w:rsid w:val="006118FD"/>
    <w:rsid w:val="00613A62"/>
    <w:rsid w:val="00621EE1"/>
    <w:rsid w:val="0065326B"/>
    <w:rsid w:val="006538C1"/>
    <w:rsid w:val="006546C2"/>
    <w:rsid w:val="006551A8"/>
    <w:rsid w:val="00671BE2"/>
    <w:rsid w:val="0067305B"/>
    <w:rsid w:val="0068299E"/>
    <w:rsid w:val="006959C5"/>
    <w:rsid w:val="006A5D3F"/>
    <w:rsid w:val="006B0D06"/>
    <w:rsid w:val="006B29D2"/>
    <w:rsid w:val="006C2852"/>
    <w:rsid w:val="006D0896"/>
    <w:rsid w:val="006F1D00"/>
    <w:rsid w:val="00710A40"/>
    <w:rsid w:val="007204B6"/>
    <w:rsid w:val="00726614"/>
    <w:rsid w:val="00727244"/>
    <w:rsid w:val="0073788F"/>
    <w:rsid w:val="00746503"/>
    <w:rsid w:val="007516FB"/>
    <w:rsid w:val="00751ABC"/>
    <w:rsid w:val="007625DB"/>
    <w:rsid w:val="00764479"/>
    <w:rsid w:val="00783FA4"/>
    <w:rsid w:val="007A275C"/>
    <w:rsid w:val="007B430F"/>
    <w:rsid w:val="007C41AC"/>
    <w:rsid w:val="007C67C5"/>
    <w:rsid w:val="007D4CD3"/>
    <w:rsid w:val="007F3200"/>
    <w:rsid w:val="007F612F"/>
    <w:rsid w:val="00810E3C"/>
    <w:rsid w:val="00814287"/>
    <w:rsid w:val="00840304"/>
    <w:rsid w:val="00843715"/>
    <w:rsid w:val="00846810"/>
    <w:rsid w:val="00853E2F"/>
    <w:rsid w:val="00855E2C"/>
    <w:rsid w:val="00860708"/>
    <w:rsid w:val="00862E6D"/>
    <w:rsid w:val="00871C93"/>
    <w:rsid w:val="00876A91"/>
    <w:rsid w:val="00880CFF"/>
    <w:rsid w:val="0088414A"/>
    <w:rsid w:val="008A308A"/>
    <w:rsid w:val="008B4F23"/>
    <w:rsid w:val="008B7267"/>
    <w:rsid w:val="008C0737"/>
    <w:rsid w:val="008C51BC"/>
    <w:rsid w:val="008C71DD"/>
    <w:rsid w:val="008D3710"/>
    <w:rsid w:val="008E774F"/>
    <w:rsid w:val="008F37E8"/>
    <w:rsid w:val="00912238"/>
    <w:rsid w:val="00913491"/>
    <w:rsid w:val="00955EC7"/>
    <w:rsid w:val="00961171"/>
    <w:rsid w:val="00970B7B"/>
    <w:rsid w:val="00981B89"/>
    <w:rsid w:val="009872F0"/>
    <w:rsid w:val="00991BBC"/>
    <w:rsid w:val="009B11B3"/>
    <w:rsid w:val="009B1E52"/>
    <w:rsid w:val="009C0C14"/>
    <w:rsid w:val="009C0FA2"/>
    <w:rsid w:val="009D0A2D"/>
    <w:rsid w:val="009D44A8"/>
    <w:rsid w:val="009E26C7"/>
    <w:rsid w:val="00A03FDC"/>
    <w:rsid w:val="00A17341"/>
    <w:rsid w:val="00A22E71"/>
    <w:rsid w:val="00A347B7"/>
    <w:rsid w:val="00A4776D"/>
    <w:rsid w:val="00A52BE6"/>
    <w:rsid w:val="00A61654"/>
    <w:rsid w:val="00A70563"/>
    <w:rsid w:val="00A850BC"/>
    <w:rsid w:val="00A87357"/>
    <w:rsid w:val="00AA09A9"/>
    <w:rsid w:val="00AB1DE7"/>
    <w:rsid w:val="00AB739C"/>
    <w:rsid w:val="00AC4016"/>
    <w:rsid w:val="00AC4D54"/>
    <w:rsid w:val="00AE2F7B"/>
    <w:rsid w:val="00AF5385"/>
    <w:rsid w:val="00B2646B"/>
    <w:rsid w:val="00B26CCE"/>
    <w:rsid w:val="00B401A7"/>
    <w:rsid w:val="00B45C7D"/>
    <w:rsid w:val="00B52B26"/>
    <w:rsid w:val="00B5703E"/>
    <w:rsid w:val="00BB4E7D"/>
    <w:rsid w:val="00BB5C8F"/>
    <w:rsid w:val="00BC78D7"/>
    <w:rsid w:val="00BD6E0A"/>
    <w:rsid w:val="00BE0BDA"/>
    <w:rsid w:val="00BF27DA"/>
    <w:rsid w:val="00C06494"/>
    <w:rsid w:val="00C13F44"/>
    <w:rsid w:val="00C27A23"/>
    <w:rsid w:val="00C370A4"/>
    <w:rsid w:val="00C42479"/>
    <w:rsid w:val="00C60C84"/>
    <w:rsid w:val="00C6347D"/>
    <w:rsid w:val="00C6635B"/>
    <w:rsid w:val="00C8167E"/>
    <w:rsid w:val="00C86D49"/>
    <w:rsid w:val="00C9723A"/>
    <w:rsid w:val="00CB0104"/>
    <w:rsid w:val="00CB16F3"/>
    <w:rsid w:val="00CC251F"/>
    <w:rsid w:val="00CD159C"/>
    <w:rsid w:val="00CD49E1"/>
    <w:rsid w:val="00CD53DF"/>
    <w:rsid w:val="00CD5AEC"/>
    <w:rsid w:val="00CD6FE3"/>
    <w:rsid w:val="00CF50D3"/>
    <w:rsid w:val="00D02FAF"/>
    <w:rsid w:val="00D07651"/>
    <w:rsid w:val="00D14017"/>
    <w:rsid w:val="00D1542D"/>
    <w:rsid w:val="00D1706F"/>
    <w:rsid w:val="00D32CD9"/>
    <w:rsid w:val="00D52DD0"/>
    <w:rsid w:val="00D66434"/>
    <w:rsid w:val="00D7737B"/>
    <w:rsid w:val="00D845E5"/>
    <w:rsid w:val="00DA002B"/>
    <w:rsid w:val="00DA1EF7"/>
    <w:rsid w:val="00DA5AD9"/>
    <w:rsid w:val="00DB4BB3"/>
    <w:rsid w:val="00DC1AAD"/>
    <w:rsid w:val="00DE75DD"/>
    <w:rsid w:val="00DF258D"/>
    <w:rsid w:val="00DF3185"/>
    <w:rsid w:val="00E108C3"/>
    <w:rsid w:val="00E176F5"/>
    <w:rsid w:val="00E31FED"/>
    <w:rsid w:val="00E442B6"/>
    <w:rsid w:val="00E6293F"/>
    <w:rsid w:val="00E7745C"/>
    <w:rsid w:val="00E835FC"/>
    <w:rsid w:val="00E91487"/>
    <w:rsid w:val="00E971A8"/>
    <w:rsid w:val="00EA6590"/>
    <w:rsid w:val="00EB499A"/>
    <w:rsid w:val="00ED06A0"/>
    <w:rsid w:val="00ED6269"/>
    <w:rsid w:val="00EE0C7A"/>
    <w:rsid w:val="00EE51AB"/>
    <w:rsid w:val="00EF212E"/>
    <w:rsid w:val="00EF5818"/>
    <w:rsid w:val="00EF5E4D"/>
    <w:rsid w:val="00F03B47"/>
    <w:rsid w:val="00F254EA"/>
    <w:rsid w:val="00F37E09"/>
    <w:rsid w:val="00F50404"/>
    <w:rsid w:val="00F57BB3"/>
    <w:rsid w:val="00F60C42"/>
    <w:rsid w:val="00F74AEE"/>
    <w:rsid w:val="00F803A8"/>
    <w:rsid w:val="00F85489"/>
    <w:rsid w:val="00FB0AB8"/>
    <w:rsid w:val="00FB0BDC"/>
    <w:rsid w:val="00FB2B0A"/>
    <w:rsid w:val="00FB3C54"/>
    <w:rsid w:val="00FB59EA"/>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A22E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3364</Words>
  <Characters>19175</Characters>
  <Application>Microsoft Office Word</Application>
  <DocSecurity>4</DocSecurity>
  <Lines>159</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2024-09-16T07:27:00Z</dcterms:created>
  <dcterms:modified xsi:type="dcterms:W3CDTF">2024-09-16T07:27:00Z</dcterms:modified>
</cp:coreProperties>
</file>