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8F20" w14:textId="616F4812" w:rsidR="00C9723A" w:rsidRPr="00360421" w:rsidRDefault="00C9723A" w:rsidP="00C9723A">
      <w:pPr>
        <w:rPr>
          <w:rFonts w:ascii="Helvetica" w:hAnsi="Helvetica" w:cs="Helvetica"/>
          <w:sz w:val="22"/>
          <w:szCs w:val="22"/>
        </w:rPr>
      </w:pPr>
    </w:p>
    <w:p w14:paraId="202D521C" w14:textId="77777777" w:rsidR="00C9723A" w:rsidRPr="00360421" w:rsidRDefault="00C9723A" w:rsidP="00C9723A">
      <w:pPr>
        <w:spacing w:before="100" w:beforeAutospacing="1" w:after="100" w:afterAutospacing="1"/>
        <w:rPr>
          <w:rFonts w:ascii="Helvetica" w:hAnsi="Helvetica" w:cs="Helvetica"/>
          <w:sz w:val="22"/>
          <w:szCs w:val="22"/>
        </w:rPr>
      </w:pPr>
      <w:r w:rsidRPr="00360421">
        <w:rPr>
          <w:rFonts w:ascii="Helvetica" w:hAnsi="Helvetica" w:cs="Helvetica"/>
          <w:sz w:val="22"/>
          <w:szCs w:val="22"/>
        </w:rPr>
        <w:t xml:space="preserve">Union </w:t>
      </w:r>
      <w:proofErr w:type="spellStart"/>
      <w:r w:rsidRPr="00360421">
        <w:rPr>
          <w:rFonts w:ascii="Helvetica" w:hAnsi="Helvetica" w:cs="Helvetica"/>
          <w:sz w:val="22"/>
          <w:szCs w:val="22"/>
        </w:rPr>
        <w:t>Monétaire</w:t>
      </w:r>
      <w:proofErr w:type="spellEnd"/>
      <w:r w:rsidRPr="00360421">
        <w:rPr>
          <w:rFonts w:ascii="Helvetica" w:hAnsi="Helvetica" w:cs="Helvetica"/>
          <w:sz w:val="22"/>
          <w:szCs w:val="22"/>
        </w:rPr>
        <w:t xml:space="preserve"> de l'Afrique Centrale </w:t>
      </w:r>
    </w:p>
    <w:p w14:paraId="47ADA14E" w14:textId="052CBBCD" w:rsidR="00C9723A" w:rsidRPr="00360421" w:rsidRDefault="00C9723A" w:rsidP="00C9723A">
      <w:pPr>
        <w:spacing w:before="100" w:beforeAutospacing="1" w:after="100" w:afterAutospacing="1"/>
        <w:rPr>
          <w:rFonts w:ascii="Helvetica" w:hAnsi="Helvetica" w:cs="Helvetica"/>
          <w:sz w:val="22"/>
          <w:szCs w:val="22"/>
        </w:rPr>
      </w:pPr>
      <w:r w:rsidRPr="00360421">
        <w:rPr>
          <w:rFonts w:ascii="Helvetica" w:hAnsi="Helvetica" w:cs="Helvetica"/>
          <w:sz w:val="22"/>
          <w:szCs w:val="22"/>
        </w:rPr>
        <w:t xml:space="preserve">Commission de Surveillance du Marché </w:t>
      </w:r>
    </w:p>
    <w:p w14:paraId="1B2AC503" w14:textId="77777777" w:rsidR="00C9723A" w:rsidRPr="00360421" w:rsidRDefault="00C9723A" w:rsidP="00C9723A">
      <w:pPr>
        <w:spacing w:before="100" w:beforeAutospacing="1" w:after="100" w:afterAutospacing="1"/>
        <w:ind w:left="284"/>
        <w:rPr>
          <w:rFonts w:ascii="Helvetica" w:hAnsi="Helvetica" w:cs="Helvetica"/>
          <w:sz w:val="22"/>
          <w:szCs w:val="22"/>
        </w:rPr>
      </w:pPr>
      <w:r w:rsidRPr="00360421">
        <w:rPr>
          <w:rFonts w:ascii="Helvetica" w:hAnsi="Helvetica" w:cs="Helvetica"/>
          <w:sz w:val="22"/>
          <w:szCs w:val="22"/>
        </w:rPr>
        <w:t xml:space="preserve">Financier de l'Afrique centrale </w:t>
      </w:r>
    </w:p>
    <w:p w14:paraId="2E8AB505" w14:textId="52D4C7C0" w:rsidR="00C9723A" w:rsidRPr="00360421" w:rsidRDefault="00C9723A" w:rsidP="00C9723A">
      <w:pPr>
        <w:spacing w:before="100" w:beforeAutospacing="1" w:after="100" w:afterAutospacing="1"/>
        <w:ind w:left="709"/>
        <w:rPr>
          <w:rFonts w:ascii="Helvetica" w:hAnsi="Helvetica" w:cs="Helvetica"/>
          <w:sz w:val="22"/>
          <w:szCs w:val="22"/>
        </w:rPr>
      </w:pPr>
      <w:r w:rsidRPr="00360421">
        <w:rPr>
          <w:rFonts w:ascii="Helvetica" w:hAnsi="Helvetica" w:cs="Helvetica"/>
          <w:sz w:val="22"/>
          <w:szCs w:val="22"/>
        </w:rPr>
        <w:t xml:space="preserve">COSUMAF </w:t>
      </w:r>
    </w:p>
    <w:p w14:paraId="7210884B" w14:textId="77777777" w:rsidR="00C9723A" w:rsidRPr="00360421" w:rsidRDefault="00C9723A" w:rsidP="00EF5E4D">
      <w:pPr>
        <w:pStyle w:val="NormalWeb"/>
        <w:jc w:val="center"/>
        <w:rPr>
          <w:rFonts w:ascii="Helvetica" w:hAnsi="Helvetica" w:cs="Helvetica"/>
          <w:sz w:val="22"/>
          <w:szCs w:val="22"/>
        </w:rPr>
      </w:pPr>
    </w:p>
    <w:p w14:paraId="68410114" w14:textId="4D565AEC" w:rsidR="00EF5E4D" w:rsidRPr="00360421" w:rsidRDefault="00EF5E4D" w:rsidP="00EF5E4D">
      <w:pPr>
        <w:pStyle w:val="NormalWeb"/>
        <w:jc w:val="center"/>
        <w:rPr>
          <w:rFonts w:ascii="Helvetica" w:hAnsi="Helvetica" w:cs="Helvetica"/>
          <w:sz w:val="22"/>
          <w:szCs w:val="22"/>
        </w:rPr>
      </w:pPr>
      <w:r w:rsidRPr="00360421">
        <w:rPr>
          <w:rFonts w:ascii="Helvetica" w:hAnsi="Helvetica" w:cs="Helvetica"/>
          <w:sz w:val="22"/>
          <w:szCs w:val="22"/>
        </w:rPr>
        <w:t>INSTRUCTION COSUMAF n</w:t>
      </w:r>
      <w:r w:rsidR="00564435" w:rsidRPr="00360421">
        <w:rPr>
          <w:rFonts w:ascii="Helvetica" w:hAnsi="Helvetica" w:cs="Helvetica"/>
          <w:sz w:val="22"/>
          <w:szCs w:val="22"/>
        </w:rPr>
        <w:t>°</w:t>
      </w:r>
      <w:r w:rsidRPr="00360421">
        <w:rPr>
          <w:rFonts w:ascii="Helvetica" w:hAnsi="Helvetica" w:cs="Helvetica"/>
          <w:sz w:val="22"/>
          <w:szCs w:val="22"/>
        </w:rPr>
        <w:t xml:space="preserve"> du </w:t>
      </w:r>
      <w:r w:rsidR="0031620A" w:rsidRPr="00360421">
        <w:rPr>
          <w:rFonts w:ascii="Helvetica" w:hAnsi="Helvetica" w:cs="Helvetica"/>
          <w:sz w:val="22"/>
          <w:szCs w:val="22"/>
        </w:rPr>
        <w:t>XX/XX</w:t>
      </w:r>
      <w:r w:rsidRPr="00360421">
        <w:rPr>
          <w:rFonts w:ascii="Helvetica" w:hAnsi="Helvetica" w:cs="Helvetica"/>
          <w:sz w:val="22"/>
          <w:szCs w:val="22"/>
        </w:rPr>
        <w:t xml:space="preserve"> 20</w:t>
      </w:r>
      <w:r w:rsidR="0031620A" w:rsidRPr="00360421">
        <w:rPr>
          <w:rFonts w:ascii="Helvetica" w:hAnsi="Helvetica" w:cs="Helvetica"/>
          <w:sz w:val="22"/>
          <w:szCs w:val="22"/>
        </w:rPr>
        <w:t>2</w:t>
      </w:r>
      <w:r w:rsidR="00360421" w:rsidRPr="00360421">
        <w:rPr>
          <w:rFonts w:ascii="Helvetica" w:hAnsi="Helvetica" w:cs="Helvetica"/>
          <w:sz w:val="22"/>
          <w:szCs w:val="22"/>
        </w:rPr>
        <w:t>5</w:t>
      </w:r>
    </w:p>
    <w:p w14:paraId="20D34039" w14:textId="08C38EC7" w:rsidR="00EF5E4D" w:rsidRPr="00360421" w:rsidRDefault="00670BB6" w:rsidP="00EF5E4D">
      <w:pPr>
        <w:pStyle w:val="NormalWeb"/>
        <w:jc w:val="center"/>
        <w:rPr>
          <w:rFonts w:ascii="Helvetica" w:hAnsi="Helvetica" w:cs="Helvetica"/>
          <w:sz w:val="22"/>
          <w:szCs w:val="22"/>
        </w:rPr>
      </w:pPr>
      <w:r w:rsidRPr="00360421">
        <w:rPr>
          <w:rFonts w:ascii="Helvetica" w:hAnsi="Helvetica" w:cs="Helvetica"/>
          <w:sz w:val="22"/>
          <w:szCs w:val="22"/>
        </w:rPr>
        <w:t>PRECISANT LE CONTENU DU RAPPORT ANNUEL EXIGE DES EXPERTS EN EVALUATION DES OPCI</w:t>
      </w:r>
    </w:p>
    <w:p w14:paraId="64401E0F" w14:textId="655543E7" w:rsidR="00EF5E4D" w:rsidRPr="00360421" w:rsidRDefault="00564435" w:rsidP="00564435">
      <w:pPr>
        <w:pStyle w:val="NormalWeb"/>
        <w:jc w:val="center"/>
        <w:rPr>
          <w:rFonts w:ascii="Helvetica" w:hAnsi="Helvetica" w:cs="Helvetica"/>
          <w:sz w:val="22"/>
          <w:szCs w:val="22"/>
        </w:rPr>
      </w:pPr>
      <w:r w:rsidRPr="00360421">
        <w:rPr>
          <w:rFonts w:ascii="Helvetica" w:hAnsi="Helvetica" w:cs="Helvetica"/>
          <w:sz w:val="22"/>
          <w:szCs w:val="22"/>
        </w:rPr>
        <w:t>***</w:t>
      </w:r>
    </w:p>
    <w:p w14:paraId="41CFBC96" w14:textId="77777777" w:rsidR="00360421" w:rsidRPr="00360421" w:rsidRDefault="00360421" w:rsidP="00360421">
      <w:pPr>
        <w:pStyle w:val="NormalWeb"/>
        <w:jc w:val="both"/>
        <w:rPr>
          <w:rFonts w:ascii="Helvetica" w:hAnsi="Helvetica" w:cs="Helvetica"/>
          <w:sz w:val="22"/>
          <w:szCs w:val="22"/>
        </w:rPr>
      </w:pPr>
      <w:r w:rsidRPr="00360421">
        <w:rPr>
          <w:rFonts w:ascii="Helvetica" w:hAnsi="Helvetica" w:cs="Helvetica"/>
          <w:sz w:val="22"/>
          <w:szCs w:val="22"/>
        </w:rPr>
        <w:t xml:space="preserve">LA COMMISSION DE SURVEILLANCE DU MARCHE FINANCIER DE L'AFRIQUE CENTRALE </w:t>
      </w:r>
    </w:p>
    <w:p w14:paraId="5982A127" w14:textId="77777777" w:rsidR="00360421" w:rsidRPr="00360421" w:rsidRDefault="00360421" w:rsidP="00360421">
      <w:pPr>
        <w:pStyle w:val="NormalWeb"/>
        <w:jc w:val="both"/>
        <w:rPr>
          <w:rFonts w:ascii="Helvetica" w:hAnsi="Helvetica" w:cs="Helvetica"/>
          <w:sz w:val="22"/>
          <w:szCs w:val="22"/>
        </w:rPr>
      </w:pPr>
      <w:r w:rsidRPr="00360421">
        <w:rPr>
          <w:rFonts w:ascii="Helvetica" w:hAnsi="Helvetica" w:cs="Helvetica"/>
          <w:sz w:val="22"/>
          <w:szCs w:val="22"/>
        </w:rPr>
        <w:t xml:space="preserve">Vu l'Acte Additionnel n°03/01-CEMAC-CE 03 en date du 8 décembre 2001 portant création de la Commission de Surveillance du Marché Financier de l'Afrique Centrale (COSUMAF) </w:t>
      </w:r>
      <w:r w:rsidRPr="00360421">
        <w:rPr>
          <w:rFonts w:ascii="Helvetica" w:hAnsi="Helvetica" w:cs="Helvetica"/>
          <w:position w:val="-4"/>
          <w:sz w:val="22"/>
          <w:szCs w:val="22"/>
        </w:rPr>
        <w:t xml:space="preserve">; </w:t>
      </w:r>
    </w:p>
    <w:p w14:paraId="036D4D22" w14:textId="77777777" w:rsidR="00360421" w:rsidRPr="00360421" w:rsidRDefault="00360421" w:rsidP="00360421">
      <w:pPr>
        <w:pStyle w:val="NormalWeb"/>
        <w:jc w:val="both"/>
        <w:rPr>
          <w:rFonts w:ascii="Helvetica" w:hAnsi="Helvetica" w:cs="Helvetica"/>
          <w:sz w:val="22"/>
          <w:szCs w:val="22"/>
        </w:rPr>
      </w:pPr>
      <w:r w:rsidRPr="00360421">
        <w:rPr>
          <w:rFonts w:ascii="Helvetica" w:hAnsi="Helvetica" w:cs="Helvetica"/>
          <w:sz w:val="22"/>
          <w:szCs w:val="22"/>
        </w:rPr>
        <w:t>Vu le Règlement n°01/22/CEMAC/UMAC/CM/COSUMAF du 21 juillet 2022 portant Organisation et Fonctionnement du Marché Financier de l'Afrique Centrale ;</w:t>
      </w:r>
    </w:p>
    <w:p w14:paraId="1334BD6A" w14:textId="77777777" w:rsidR="00360421" w:rsidRPr="00360421" w:rsidRDefault="00360421" w:rsidP="00360421">
      <w:pPr>
        <w:pStyle w:val="NormalWeb"/>
        <w:jc w:val="both"/>
        <w:rPr>
          <w:rFonts w:ascii="Helvetica" w:hAnsi="Helvetica" w:cs="Helvetica"/>
          <w:sz w:val="22"/>
          <w:szCs w:val="22"/>
        </w:rPr>
      </w:pPr>
      <w:r w:rsidRPr="00360421">
        <w:rPr>
          <w:rFonts w:ascii="Helvetica" w:hAnsi="Helvetica" w:cs="Helvetica"/>
          <w:sz w:val="22"/>
          <w:szCs w:val="22"/>
        </w:rPr>
        <w:t>Vu le Règlement Général de la Commission de Surveillance du Marché Financier de l'Afrique Centrale ;</w:t>
      </w:r>
    </w:p>
    <w:p w14:paraId="6953377D" w14:textId="77777777" w:rsidR="00360421" w:rsidRPr="00360421" w:rsidRDefault="00360421" w:rsidP="00360421">
      <w:pPr>
        <w:pStyle w:val="NormalWeb"/>
        <w:jc w:val="both"/>
        <w:rPr>
          <w:rFonts w:ascii="Helvetica" w:hAnsi="Helvetica" w:cs="Helvetica"/>
          <w:sz w:val="22"/>
          <w:szCs w:val="22"/>
        </w:rPr>
      </w:pPr>
      <w:r w:rsidRPr="00360421">
        <w:rPr>
          <w:rFonts w:ascii="Helvetica" w:hAnsi="Helvetica" w:cs="Helvetica"/>
          <w:sz w:val="22"/>
          <w:szCs w:val="22"/>
        </w:rPr>
        <w:t>En sa séance du XX juillet 2025 ;</w:t>
      </w:r>
    </w:p>
    <w:p w14:paraId="5A4428AE" w14:textId="77777777" w:rsidR="00360421" w:rsidRDefault="00360421" w:rsidP="004765F7">
      <w:pPr>
        <w:pStyle w:val="NormalWeb"/>
        <w:jc w:val="center"/>
        <w:rPr>
          <w:rFonts w:ascii="Helvetica" w:hAnsi="Helvetica" w:cs="Helvetica"/>
          <w:sz w:val="22"/>
          <w:szCs w:val="22"/>
        </w:rPr>
      </w:pPr>
    </w:p>
    <w:p w14:paraId="76DCAC7C" w14:textId="019F6075" w:rsidR="00EF5E4D" w:rsidRPr="00360421" w:rsidRDefault="00EF5E4D" w:rsidP="004765F7">
      <w:pPr>
        <w:pStyle w:val="NormalWeb"/>
        <w:jc w:val="center"/>
        <w:rPr>
          <w:rFonts w:ascii="Helvetica" w:hAnsi="Helvetica" w:cs="Helvetica"/>
          <w:sz w:val="22"/>
          <w:szCs w:val="22"/>
        </w:rPr>
      </w:pPr>
      <w:r w:rsidRPr="00360421">
        <w:rPr>
          <w:rFonts w:ascii="Helvetica" w:hAnsi="Helvetica" w:cs="Helvetica"/>
          <w:sz w:val="22"/>
          <w:szCs w:val="22"/>
        </w:rPr>
        <w:t>ADOPTE L'INSTRUCTION DONT LA TENEUR SUIT</w:t>
      </w:r>
      <w:r w:rsidR="004765F7" w:rsidRPr="00360421">
        <w:rPr>
          <w:rFonts w:ascii="Helvetica" w:hAnsi="Helvetica" w:cs="Helvetica"/>
          <w:sz w:val="22"/>
          <w:szCs w:val="22"/>
        </w:rPr>
        <w:t xml:space="preserve"> </w:t>
      </w:r>
      <w:r w:rsidRPr="00360421">
        <w:rPr>
          <w:rFonts w:ascii="Helvetica" w:hAnsi="Helvetica" w:cs="Helvetica"/>
          <w:sz w:val="22"/>
          <w:szCs w:val="22"/>
        </w:rPr>
        <w:t>:</w:t>
      </w:r>
    </w:p>
    <w:p w14:paraId="3D3A53DD" w14:textId="77777777" w:rsidR="00EE0C7A" w:rsidRPr="00360421" w:rsidRDefault="004765F7" w:rsidP="001A2B2C">
      <w:pPr>
        <w:jc w:val="both"/>
        <w:rPr>
          <w:rFonts w:ascii="Helvetica" w:hAnsi="Helvetica" w:cs="Helvetica"/>
          <w:sz w:val="22"/>
          <w:szCs w:val="22"/>
        </w:rPr>
      </w:pPr>
      <w:r w:rsidRPr="00360421">
        <w:rPr>
          <w:rFonts w:ascii="Helvetica" w:hAnsi="Helvetica" w:cs="Helvetica"/>
          <w:sz w:val="22"/>
          <w:szCs w:val="22"/>
        </w:rPr>
        <w:br w:type="page"/>
      </w:r>
    </w:p>
    <w:p w14:paraId="00789D04" w14:textId="15BB0499" w:rsidR="00EF5E4D" w:rsidRPr="00360421" w:rsidRDefault="00EF5E4D" w:rsidP="001A2B2C">
      <w:pPr>
        <w:pStyle w:val="NormalWeb"/>
        <w:shd w:val="clear" w:color="auto" w:fill="FFFFFF" w:themeFill="background1"/>
        <w:jc w:val="both"/>
        <w:rPr>
          <w:rFonts w:ascii="Helvetica" w:hAnsi="Helvetica" w:cs="Helvetica"/>
          <w:b/>
          <w:bCs/>
          <w:sz w:val="22"/>
          <w:szCs w:val="22"/>
        </w:rPr>
      </w:pPr>
      <w:r w:rsidRPr="00360421">
        <w:rPr>
          <w:rFonts w:ascii="Helvetica" w:hAnsi="Helvetica" w:cs="Helvetica"/>
          <w:b/>
          <w:bCs/>
          <w:sz w:val="22"/>
          <w:szCs w:val="22"/>
        </w:rPr>
        <w:lastRenderedPageBreak/>
        <w:t>ARTICLE PREMIER</w:t>
      </w:r>
      <w:r w:rsidR="00E91B6A">
        <w:rPr>
          <w:rFonts w:ascii="Helvetica" w:hAnsi="Helvetica" w:cs="Helvetica"/>
          <w:b/>
          <w:bCs/>
          <w:sz w:val="22"/>
          <w:szCs w:val="22"/>
        </w:rPr>
        <w:t> - OBJET</w:t>
      </w:r>
    </w:p>
    <w:p w14:paraId="28DA36A1" w14:textId="774FD1F0" w:rsidR="00FD1893" w:rsidRPr="00360421" w:rsidRDefault="00E91B6A" w:rsidP="001A2B2C">
      <w:pPr>
        <w:pStyle w:val="NormalWeb"/>
        <w:jc w:val="both"/>
        <w:rPr>
          <w:rFonts w:ascii="Helvetica" w:hAnsi="Helvetica" w:cs="Helvetica"/>
          <w:sz w:val="22"/>
          <w:szCs w:val="22"/>
        </w:rPr>
      </w:pPr>
      <w:r w:rsidRPr="0065319B">
        <w:rPr>
          <w:rFonts w:ascii="Arial" w:hAnsi="Arial" w:cs="Arial"/>
        </w:rPr>
        <w:t xml:space="preserve">La présente instruction </w:t>
      </w:r>
      <w:r>
        <w:rPr>
          <w:rFonts w:ascii="Arial" w:hAnsi="Arial" w:cs="Arial"/>
        </w:rPr>
        <w:t>a pour objet de</w:t>
      </w:r>
      <w:r w:rsidRPr="0065319B">
        <w:rPr>
          <w:rFonts w:ascii="Arial" w:hAnsi="Arial" w:cs="Arial"/>
        </w:rPr>
        <w:t xml:space="preserve"> préciser </w:t>
      </w:r>
      <w:r>
        <w:rPr>
          <w:rFonts w:ascii="Arial" w:hAnsi="Arial" w:cs="Arial"/>
        </w:rPr>
        <w:t xml:space="preserve">le contenu du Rapport annuel établis par les </w:t>
      </w:r>
      <w:r w:rsidR="00670BB6" w:rsidRPr="00360421">
        <w:rPr>
          <w:rFonts w:ascii="Helvetica" w:hAnsi="Helvetica" w:cs="Helvetica"/>
          <w:sz w:val="22"/>
          <w:szCs w:val="22"/>
        </w:rPr>
        <w:t>experts en évaluation des Organismes de Placement Collectif en immobilier (OPCI)</w:t>
      </w:r>
      <w:r>
        <w:rPr>
          <w:rFonts w:ascii="Helvetica" w:hAnsi="Helvetica" w:cs="Helvetica"/>
          <w:sz w:val="22"/>
          <w:szCs w:val="22"/>
        </w:rPr>
        <w:t xml:space="preserve"> en application du l’article 447 du Règlement Général de la COSUMAF</w:t>
      </w:r>
      <w:r w:rsidR="00D031CA" w:rsidRPr="00360421">
        <w:rPr>
          <w:rFonts w:ascii="Helvetica" w:hAnsi="Helvetica" w:cs="Helvetica"/>
          <w:sz w:val="22"/>
          <w:szCs w:val="22"/>
        </w:rPr>
        <w:t>.</w:t>
      </w:r>
      <w:r w:rsidR="00472955" w:rsidRPr="00360421">
        <w:rPr>
          <w:rFonts w:ascii="Helvetica" w:hAnsi="Helvetica" w:cs="Helvetica"/>
          <w:sz w:val="22"/>
          <w:szCs w:val="22"/>
        </w:rPr>
        <w:t xml:space="preserve"> </w:t>
      </w:r>
    </w:p>
    <w:p w14:paraId="7A011C85" w14:textId="77777777" w:rsidR="00E91B6A" w:rsidRDefault="00E91B6A" w:rsidP="003C06DF">
      <w:pPr>
        <w:pStyle w:val="NormalWeb"/>
        <w:jc w:val="both"/>
        <w:rPr>
          <w:rFonts w:ascii="Helvetica" w:hAnsi="Helvetica" w:cs="Helvetica"/>
          <w:b/>
          <w:bCs/>
          <w:sz w:val="22"/>
          <w:szCs w:val="22"/>
        </w:rPr>
      </w:pPr>
    </w:p>
    <w:p w14:paraId="5E8B094A" w14:textId="624130FC" w:rsidR="00C34333" w:rsidRPr="00360421" w:rsidRDefault="00EF5E4D" w:rsidP="003C06DF">
      <w:pPr>
        <w:pStyle w:val="NormalWeb"/>
        <w:jc w:val="both"/>
        <w:rPr>
          <w:rFonts w:ascii="Helvetica" w:hAnsi="Helvetica" w:cs="Helvetica"/>
          <w:sz w:val="22"/>
          <w:szCs w:val="22"/>
        </w:rPr>
      </w:pPr>
      <w:r w:rsidRPr="00360421">
        <w:rPr>
          <w:rFonts w:ascii="Helvetica" w:hAnsi="Helvetica" w:cs="Helvetica"/>
          <w:b/>
          <w:bCs/>
          <w:sz w:val="22"/>
          <w:szCs w:val="22"/>
        </w:rPr>
        <w:t xml:space="preserve">ARTICLE 2 </w:t>
      </w:r>
      <w:r w:rsidR="00F803A8" w:rsidRPr="00360421">
        <w:rPr>
          <w:rFonts w:ascii="Helvetica" w:hAnsi="Helvetica" w:cs="Helvetica"/>
          <w:b/>
          <w:bCs/>
          <w:sz w:val="22"/>
          <w:szCs w:val="22"/>
        </w:rPr>
        <w:t xml:space="preserve">– </w:t>
      </w:r>
      <w:r w:rsidR="008F1102" w:rsidRPr="00360421">
        <w:rPr>
          <w:rFonts w:ascii="Helvetica" w:hAnsi="Helvetica" w:cs="Helvetica"/>
          <w:b/>
          <w:bCs/>
          <w:sz w:val="22"/>
          <w:szCs w:val="22"/>
        </w:rPr>
        <w:t>CONTENU D</w:t>
      </w:r>
      <w:r w:rsidR="00D214B5" w:rsidRPr="00360421">
        <w:rPr>
          <w:rFonts w:ascii="Helvetica" w:hAnsi="Helvetica" w:cs="Helvetica"/>
          <w:b/>
          <w:bCs/>
          <w:sz w:val="22"/>
          <w:szCs w:val="22"/>
        </w:rPr>
        <w:t>U</w:t>
      </w:r>
      <w:r w:rsidR="008F1102" w:rsidRPr="00360421">
        <w:rPr>
          <w:rFonts w:ascii="Helvetica" w:hAnsi="Helvetica" w:cs="Helvetica"/>
          <w:b/>
          <w:bCs/>
          <w:sz w:val="22"/>
          <w:szCs w:val="22"/>
        </w:rPr>
        <w:t xml:space="preserve"> RAPPORT</w:t>
      </w:r>
    </w:p>
    <w:p w14:paraId="49264595" w14:textId="36F7CEF5" w:rsidR="00E91B6A" w:rsidRDefault="008F1102" w:rsidP="00D214B5">
      <w:pPr>
        <w:pStyle w:val="NormalWeb"/>
        <w:shd w:val="clear" w:color="auto" w:fill="FFFFFF"/>
        <w:spacing w:before="0" w:beforeAutospacing="0" w:after="0" w:afterAutospacing="0"/>
        <w:contextualSpacing/>
        <w:jc w:val="both"/>
        <w:rPr>
          <w:rFonts w:ascii="Helvetica" w:hAnsi="Helvetica" w:cs="Helvetica"/>
          <w:sz w:val="22"/>
          <w:szCs w:val="22"/>
        </w:rPr>
      </w:pPr>
      <w:r w:rsidRPr="00360421">
        <w:rPr>
          <w:rFonts w:ascii="Helvetica" w:hAnsi="Helvetica" w:cs="Helvetica"/>
          <w:sz w:val="22"/>
          <w:szCs w:val="22"/>
        </w:rPr>
        <w:t>Le</w:t>
      </w:r>
      <w:r w:rsidR="00D214B5" w:rsidRPr="00360421">
        <w:rPr>
          <w:rFonts w:ascii="Helvetica" w:hAnsi="Helvetica" w:cs="Helvetica"/>
          <w:sz w:val="22"/>
          <w:szCs w:val="22"/>
        </w:rPr>
        <w:t xml:space="preserve"> </w:t>
      </w:r>
      <w:r w:rsidRPr="00360421">
        <w:rPr>
          <w:rFonts w:ascii="Helvetica" w:hAnsi="Helvetica" w:cs="Helvetica"/>
          <w:sz w:val="22"/>
          <w:szCs w:val="22"/>
        </w:rPr>
        <w:t>rapport des experts en évaluation des Organismes de Placement Collectif en immobilier (OPCI) comporte les rubriques mentionnées à l’Annexe</w:t>
      </w:r>
      <w:r w:rsidR="00E91B6A">
        <w:rPr>
          <w:rFonts w:ascii="Helvetica" w:hAnsi="Helvetica" w:cs="Helvetica"/>
          <w:sz w:val="22"/>
          <w:szCs w:val="22"/>
        </w:rPr>
        <w:t xml:space="preserve"> à la présente Instruction.</w:t>
      </w:r>
    </w:p>
    <w:p w14:paraId="56F6B484" w14:textId="77777777" w:rsidR="00E91B6A" w:rsidRDefault="00E91B6A" w:rsidP="00E91B6A">
      <w:pPr>
        <w:pStyle w:val="NormalWeb"/>
        <w:jc w:val="both"/>
        <w:rPr>
          <w:rFonts w:ascii="Helvetica" w:hAnsi="Helvetica" w:cs="Helvetica"/>
          <w:b/>
          <w:bCs/>
          <w:sz w:val="22"/>
          <w:szCs w:val="22"/>
        </w:rPr>
      </w:pPr>
    </w:p>
    <w:p w14:paraId="7E8BA758" w14:textId="17B00684" w:rsidR="00E91B6A" w:rsidRPr="00E91B6A" w:rsidRDefault="00E91B6A" w:rsidP="00E91B6A">
      <w:pPr>
        <w:pStyle w:val="NormalWeb"/>
        <w:jc w:val="both"/>
        <w:rPr>
          <w:rFonts w:ascii="Helvetica" w:hAnsi="Helvetica" w:cs="Helvetica"/>
          <w:b/>
          <w:bCs/>
          <w:sz w:val="22"/>
          <w:szCs w:val="22"/>
        </w:rPr>
      </w:pPr>
      <w:r w:rsidRPr="00E91B6A">
        <w:rPr>
          <w:rFonts w:ascii="Helvetica" w:hAnsi="Helvetica" w:cs="Helvetica"/>
          <w:b/>
          <w:bCs/>
          <w:sz w:val="22"/>
          <w:szCs w:val="22"/>
        </w:rPr>
        <w:t>ARTICLE 3 : DATE D'ENTREE EN VIGUEUR</w:t>
      </w:r>
    </w:p>
    <w:p w14:paraId="2698012C" w14:textId="2FFD0F45" w:rsidR="00B868AD" w:rsidRPr="00B868AD" w:rsidRDefault="00B868AD" w:rsidP="00B868AD">
      <w:pPr>
        <w:pStyle w:val="NormalWeb"/>
        <w:shd w:val="clear" w:color="auto" w:fill="FFFFFF"/>
        <w:spacing w:before="0" w:beforeAutospacing="0" w:after="0" w:afterAutospacing="0"/>
        <w:contextualSpacing/>
        <w:jc w:val="both"/>
        <w:rPr>
          <w:rFonts w:ascii="Helvetica" w:hAnsi="Helvetica" w:cs="Helvetica"/>
          <w:sz w:val="22"/>
          <w:szCs w:val="22"/>
        </w:rPr>
      </w:pPr>
      <w:r w:rsidRPr="00B868AD">
        <w:rPr>
          <w:rFonts w:ascii="Helvetica" w:hAnsi="Helvetica" w:cs="Helvetica"/>
          <w:sz w:val="22"/>
          <w:szCs w:val="22"/>
        </w:rPr>
        <w:t>La présente instruction entre en vigueur à la date de sa signature. Elle est publiée sur le site internet de la COSUMAF et sur tout autre support précisé par la COSUMAF.</w:t>
      </w:r>
    </w:p>
    <w:p w14:paraId="2718BD1C" w14:textId="44700C43" w:rsidR="00E91B6A" w:rsidRPr="00E91B6A" w:rsidRDefault="00E91B6A" w:rsidP="00E91B6A">
      <w:pPr>
        <w:pStyle w:val="NormalWeb"/>
        <w:jc w:val="both"/>
        <w:rPr>
          <w:rFonts w:ascii="Helvetica" w:hAnsi="Helvetica" w:cs="Helvetica"/>
          <w:sz w:val="22"/>
          <w:szCs w:val="22"/>
        </w:rPr>
      </w:pPr>
      <w:r w:rsidRPr="00E91B6A">
        <w:rPr>
          <w:rFonts w:ascii="Helvetica" w:hAnsi="Helvetica" w:cs="Helvetica"/>
          <w:sz w:val="22"/>
          <w:szCs w:val="22"/>
        </w:rPr>
        <w:t xml:space="preserve">Fait à Libreville, le </w:t>
      </w:r>
      <w:r w:rsidR="00FD139F">
        <w:rPr>
          <w:rFonts w:ascii="Helvetica" w:hAnsi="Helvetica" w:cs="Helvetica"/>
          <w:sz w:val="22"/>
          <w:szCs w:val="22"/>
        </w:rPr>
        <w:t>24</w:t>
      </w:r>
      <w:r w:rsidRPr="00E91B6A">
        <w:rPr>
          <w:rFonts w:ascii="Helvetica" w:hAnsi="Helvetica" w:cs="Helvetica"/>
          <w:sz w:val="22"/>
          <w:szCs w:val="22"/>
        </w:rPr>
        <w:t xml:space="preserve"> juillet 2025</w:t>
      </w:r>
    </w:p>
    <w:p w14:paraId="7B1B9E61" w14:textId="77777777" w:rsidR="00E91B6A" w:rsidRPr="00E91B6A" w:rsidRDefault="00E91B6A" w:rsidP="00E91B6A">
      <w:pPr>
        <w:pStyle w:val="NormalWeb"/>
        <w:jc w:val="both"/>
        <w:rPr>
          <w:rFonts w:ascii="Helvetica" w:hAnsi="Helvetica" w:cs="Helvetica"/>
          <w:sz w:val="22"/>
          <w:szCs w:val="22"/>
        </w:rPr>
      </w:pPr>
      <w:r w:rsidRPr="00E91B6A">
        <w:rPr>
          <w:rFonts w:ascii="Helvetica" w:hAnsi="Helvetica" w:cs="Helvetica"/>
          <w:sz w:val="22"/>
          <w:szCs w:val="22"/>
        </w:rPr>
        <w:t>Pour la COSUMAF,</w:t>
      </w:r>
    </w:p>
    <w:p w14:paraId="59B30CA1" w14:textId="6D97ECD1" w:rsidR="00E91B6A" w:rsidRPr="00E91B6A" w:rsidRDefault="00E91B6A" w:rsidP="00E91B6A">
      <w:pPr>
        <w:pStyle w:val="NormalWeb"/>
        <w:jc w:val="both"/>
        <w:rPr>
          <w:rFonts w:ascii="Helvetica" w:hAnsi="Helvetica" w:cs="Helvetica"/>
          <w:sz w:val="22"/>
          <w:szCs w:val="22"/>
        </w:rPr>
      </w:pPr>
      <w:r w:rsidRPr="00E91B6A">
        <w:rPr>
          <w:rFonts w:ascii="Helvetica" w:hAnsi="Helvetica" w:cs="Helvetica"/>
          <w:sz w:val="22"/>
          <w:szCs w:val="22"/>
        </w:rPr>
        <w:t>Le Président</w:t>
      </w:r>
    </w:p>
    <w:p w14:paraId="6ABBCB9E" w14:textId="77777777" w:rsidR="003C06DF" w:rsidRPr="00360421" w:rsidRDefault="003C06DF" w:rsidP="003C06DF">
      <w:pPr>
        <w:pStyle w:val="Paragraphedeliste"/>
        <w:rPr>
          <w:rFonts w:ascii="Helvetica" w:hAnsi="Helvetica" w:cs="Helvetica"/>
          <w:sz w:val="22"/>
          <w:szCs w:val="22"/>
        </w:rPr>
      </w:pPr>
    </w:p>
    <w:p w14:paraId="7E98D54F" w14:textId="77777777" w:rsidR="00844552" w:rsidRPr="00360421" w:rsidRDefault="00844552" w:rsidP="00844552">
      <w:pPr>
        <w:pStyle w:val="NormalWeb"/>
        <w:jc w:val="both"/>
        <w:rPr>
          <w:rFonts w:ascii="Helvetica" w:hAnsi="Helvetica" w:cs="Helvetica"/>
          <w:sz w:val="22"/>
          <w:szCs w:val="22"/>
        </w:rPr>
      </w:pPr>
    </w:p>
    <w:p w14:paraId="01AD4BEF" w14:textId="7046B6DC" w:rsidR="00D031CA" w:rsidRPr="00360421" w:rsidRDefault="00D031CA">
      <w:pPr>
        <w:rPr>
          <w:rFonts w:ascii="Helvetica" w:hAnsi="Helvetica" w:cs="Helvetica"/>
          <w:sz w:val="22"/>
          <w:szCs w:val="22"/>
        </w:rPr>
      </w:pPr>
      <w:r w:rsidRPr="00360421">
        <w:rPr>
          <w:rFonts w:ascii="Helvetica" w:hAnsi="Helvetica" w:cs="Helvetica"/>
          <w:sz w:val="22"/>
          <w:szCs w:val="22"/>
        </w:rPr>
        <w:br w:type="page"/>
      </w:r>
    </w:p>
    <w:p w14:paraId="462322A0" w14:textId="5FC4F13F" w:rsidR="008F1102" w:rsidRPr="00E91B6A" w:rsidRDefault="00E91B6A" w:rsidP="00360421">
      <w:pPr>
        <w:pStyle w:val="NormalWeb"/>
        <w:jc w:val="center"/>
        <w:rPr>
          <w:rFonts w:ascii="Helvetica" w:hAnsi="Helvetica" w:cs="Helvetica"/>
          <w:b/>
          <w:bCs/>
          <w:sz w:val="28"/>
          <w:szCs w:val="28"/>
        </w:rPr>
      </w:pPr>
      <w:r w:rsidRPr="00E91B6A">
        <w:rPr>
          <w:rFonts w:ascii="Helvetica" w:hAnsi="Helvetica" w:cs="Helvetica"/>
          <w:b/>
          <w:bCs/>
          <w:sz w:val="28"/>
          <w:szCs w:val="28"/>
        </w:rPr>
        <w:lastRenderedPageBreak/>
        <w:t>ANNEXE – CONTENU DU RAPPORT ANNUEL DES EXPERTS EN EVALUATION DES OPCI</w:t>
      </w:r>
    </w:p>
    <w:p w14:paraId="2CE4D188" w14:textId="77777777" w:rsidR="00E91B6A" w:rsidRDefault="00E91B6A" w:rsidP="00360421">
      <w:pPr>
        <w:contextualSpacing/>
        <w:jc w:val="both"/>
        <w:rPr>
          <w:rFonts w:ascii="Helvetica" w:hAnsi="Helvetica" w:cs="Helvetica"/>
          <w:sz w:val="22"/>
          <w:szCs w:val="22"/>
        </w:rPr>
      </w:pPr>
    </w:p>
    <w:p w14:paraId="3BFAAE3B" w14:textId="2167F9BF" w:rsidR="00C34333" w:rsidRPr="00360421" w:rsidRDefault="008F1102" w:rsidP="00360421">
      <w:pPr>
        <w:contextualSpacing/>
        <w:jc w:val="both"/>
        <w:rPr>
          <w:rFonts w:ascii="Helvetica" w:hAnsi="Helvetica" w:cs="Helvetica"/>
          <w:sz w:val="22"/>
          <w:szCs w:val="22"/>
        </w:rPr>
      </w:pPr>
      <w:r w:rsidRPr="00360421">
        <w:rPr>
          <w:rFonts w:ascii="Helvetica" w:hAnsi="Helvetica" w:cs="Helvetica"/>
          <w:sz w:val="22"/>
          <w:szCs w:val="22"/>
        </w:rPr>
        <w:t>Sauf exception justifiée due à un manque d’informations non imputable à l’expert ou à des instructions spécifiques du client clairement exposées, un rapport d’expertise doit comporter, les éléments ci-après.</w:t>
      </w:r>
    </w:p>
    <w:p w14:paraId="753780DE" w14:textId="6D57CBBE" w:rsidR="00C86B7E" w:rsidRPr="00360421" w:rsidRDefault="00C86B7E" w:rsidP="00360421">
      <w:pPr>
        <w:contextualSpacing/>
        <w:jc w:val="both"/>
        <w:rPr>
          <w:rFonts w:ascii="Helvetica" w:hAnsi="Helvetica" w:cs="Helvetica"/>
          <w:sz w:val="22"/>
          <w:szCs w:val="22"/>
        </w:rPr>
      </w:pPr>
    </w:p>
    <w:p w14:paraId="5C30250B" w14:textId="7244C4C0" w:rsidR="00C86B7E" w:rsidRPr="00360421" w:rsidRDefault="00C86B7E" w:rsidP="00360421">
      <w:pPr>
        <w:contextualSpacing/>
        <w:jc w:val="both"/>
        <w:rPr>
          <w:rFonts w:ascii="Helvetica" w:hAnsi="Helvetica" w:cs="Helvetica"/>
          <w:sz w:val="22"/>
          <w:szCs w:val="22"/>
        </w:rPr>
      </w:pPr>
      <w:r w:rsidRPr="00360421">
        <w:rPr>
          <w:rFonts w:ascii="Helvetica" w:hAnsi="Helvetica" w:cs="Helvetica"/>
          <w:sz w:val="22"/>
          <w:szCs w:val="22"/>
        </w:rPr>
        <w:t xml:space="preserve">Lorsque l’expertise porte sur un immeuble situé en dehors de la CEMAC, quand il est réalisé par un confrère étranger, le rapport est en général écrit dans une langue étrangère. Le rapport peut donc être traduit en précisant la langue du rapport original et en l’annexant à sa traduction. Sauf </w:t>
      </w:r>
      <w:r w:rsidR="00A03C0F" w:rsidRPr="00360421">
        <w:rPr>
          <w:rFonts w:ascii="Helvetica" w:hAnsi="Helvetica" w:cs="Helvetica"/>
          <w:sz w:val="22"/>
          <w:szCs w:val="22"/>
        </w:rPr>
        <w:t>à</w:t>
      </w:r>
      <w:r w:rsidRPr="00360421">
        <w:rPr>
          <w:rFonts w:ascii="Helvetica" w:hAnsi="Helvetica" w:cs="Helvetica"/>
          <w:sz w:val="22"/>
          <w:szCs w:val="22"/>
        </w:rPr>
        <w:t xml:space="preserve"> le faire traduire par un traducteur assermenté, il y aura lieu de préciser que la traduction est approximative, le rapport original étant le seul opposable.</w:t>
      </w:r>
    </w:p>
    <w:p w14:paraId="23CEDF1B" w14:textId="77777777" w:rsidR="00C86B7E" w:rsidRPr="00360421" w:rsidRDefault="00C86B7E" w:rsidP="00360421">
      <w:pPr>
        <w:contextualSpacing/>
        <w:jc w:val="both"/>
        <w:rPr>
          <w:rFonts w:ascii="Helvetica" w:hAnsi="Helvetica" w:cs="Helvetica"/>
          <w:sz w:val="22"/>
          <w:szCs w:val="22"/>
        </w:rPr>
      </w:pPr>
    </w:p>
    <w:p w14:paraId="79BC6F32" w14:textId="4F58709F" w:rsidR="00C86B7E" w:rsidRPr="00360421" w:rsidRDefault="00C86B7E" w:rsidP="00360421">
      <w:pPr>
        <w:contextualSpacing/>
        <w:jc w:val="both"/>
        <w:rPr>
          <w:rFonts w:ascii="Helvetica" w:hAnsi="Helvetica" w:cs="Helvetica"/>
          <w:sz w:val="22"/>
          <w:szCs w:val="22"/>
        </w:rPr>
      </w:pPr>
      <w:r w:rsidRPr="00360421">
        <w:rPr>
          <w:rFonts w:ascii="Helvetica" w:hAnsi="Helvetica" w:cs="Helvetica"/>
          <w:sz w:val="22"/>
          <w:szCs w:val="22"/>
        </w:rPr>
        <w:t xml:space="preserve">Il y aura lieu de donner la devise dans laquelle la valeur de l’immeuble est estimée </w:t>
      </w:r>
      <w:r w:rsidR="00B868AD">
        <w:rPr>
          <w:rFonts w:ascii="Helvetica" w:hAnsi="Helvetica" w:cs="Helvetica"/>
          <w:sz w:val="22"/>
          <w:szCs w:val="22"/>
        </w:rPr>
        <w:t>ainsi que la conversion en francs CFA. I</w:t>
      </w:r>
      <w:r w:rsidRPr="00360421">
        <w:rPr>
          <w:rFonts w:ascii="Helvetica" w:hAnsi="Helvetica" w:cs="Helvetica"/>
          <w:sz w:val="22"/>
          <w:szCs w:val="22"/>
        </w:rPr>
        <w:t>l faudra préciser le cours de change et sa date.</w:t>
      </w:r>
    </w:p>
    <w:p w14:paraId="1944CCFB" w14:textId="5251D2C5" w:rsidR="00C86B7E" w:rsidRPr="00360421" w:rsidRDefault="00C86B7E" w:rsidP="00360421">
      <w:pPr>
        <w:contextualSpacing/>
        <w:jc w:val="both"/>
        <w:rPr>
          <w:rFonts w:ascii="Helvetica" w:hAnsi="Helvetica" w:cs="Helvetica"/>
          <w:sz w:val="22"/>
          <w:szCs w:val="22"/>
        </w:rPr>
      </w:pPr>
    </w:p>
    <w:p w14:paraId="280F9FBE" w14:textId="37467E41" w:rsidR="00C86B7E" w:rsidRPr="00360421" w:rsidRDefault="00C86B7E" w:rsidP="00360421">
      <w:pPr>
        <w:contextualSpacing/>
        <w:jc w:val="both"/>
        <w:rPr>
          <w:rFonts w:ascii="Helvetica" w:hAnsi="Helvetica" w:cs="Helvetica"/>
          <w:sz w:val="22"/>
          <w:szCs w:val="22"/>
        </w:rPr>
      </w:pPr>
      <w:r w:rsidRPr="00360421">
        <w:rPr>
          <w:rFonts w:ascii="Helvetica" w:hAnsi="Helvetica" w:cs="Helvetica"/>
          <w:sz w:val="22"/>
          <w:szCs w:val="22"/>
        </w:rPr>
        <w:t>Dans certains pays, les critères utilisés pour l’évaluation (surfaces, taux de rendement, de capitalisation ou d’actualisation) différent sensiblement de ceux employés en CEMAC ou sein des États Membres. Une note d’explication de l’Expert sera alors souhaitable, soit dans le corps du Rapport d’Expertise, soit dans tout autre document accompagnant celui-ci.</w:t>
      </w:r>
    </w:p>
    <w:p w14:paraId="48D68D9C" w14:textId="77777777" w:rsidR="00C86B7E" w:rsidRPr="00360421" w:rsidRDefault="00C86B7E" w:rsidP="00360421">
      <w:pPr>
        <w:contextualSpacing/>
        <w:jc w:val="both"/>
        <w:rPr>
          <w:rFonts w:ascii="Helvetica" w:hAnsi="Helvetica" w:cs="Helvetica"/>
          <w:sz w:val="22"/>
          <w:szCs w:val="22"/>
        </w:rPr>
      </w:pPr>
    </w:p>
    <w:p w14:paraId="02D193D5" w14:textId="3D2114B1" w:rsidR="008F1102" w:rsidRPr="00360421" w:rsidRDefault="008F1102" w:rsidP="00360421">
      <w:pPr>
        <w:contextualSpacing/>
        <w:jc w:val="both"/>
        <w:rPr>
          <w:rFonts w:ascii="Helvetica" w:hAnsi="Helvetica" w:cs="Helvetica"/>
          <w:sz w:val="22"/>
          <w:szCs w:val="22"/>
        </w:rPr>
      </w:pPr>
    </w:p>
    <w:p w14:paraId="39239AA1" w14:textId="4606F086" w:rsidR="008F1102" w:rsidRPr="00360421" w:rsidRDefault="008F1102" w:rsidP="00360421">
      <w:pPr>
        <w:pStyle w:val="Paragraphedeliste"/>
        <w:numPr>
          <w:ilvl w:val="0"/>
          <w:numId w:val="37"/>
        </w:numPr>
        <w:jc w:val="both"/>
        <w:rPr>
          <w:rFonts w:ascii="Helvetica" w:hAnsi="Helvetica" w:cs="Helvetica"/>
          <w:sz w:val="22"/>
          <w:szCs w:val="22"/>
        </w:rPr>
      </w:pPr>
      <w:r w:rsidRPr="00360421">
        <w:rPr>
          <w:rFonts w:ascii="Helvetica" w:hAnsi="Helvetica" w:cs="Helvetica"/>
          <w:sz w:val="22"/>
          <w:szCs w:val="22"/>
        </w:rPr>
        <w:t>MISSION</w:t>
      </w:r>
    </w:p>
    <w:p w14:paraId="134615FB" w14:textId="2C71369C" w:rsidR="008F1102" w:rsidRPr="00360421" w:rsidRDefault="008F1102" w:rsidP="00360421">
      <w:pPr>
        <w:jc w:val="both"/>
        <w:rPr>
          <w:rFonts w:ascii="Helvetica" w:hAnsi="Helvetica" w:cs="Helvetica"/>
          <w:sz w:val="22"/>
          <w:szCs w:val="22"/>
        </w:rPr>
      </w:pPr>
    </w:p>
    <w:p w14:paraId="0E48D6A4" w14:textId="7BAF18C8"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Identité du client ou du mandant, son lien avec l’immeuble à expertiser ;</w:t>
      </w:r>
    </w:p>
    <w:p w14:paraId="0756B92E" w14:textId="71184DD7"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L’objet de la mission doit être défini de façon précise : il doit indiquer si l’immeuble est à évaluer dans son état actuel, ou dans un état futur, dans l’hypothèse de la prolongation de son usage actuel, ou de l’utilisation d’un autre usage, etc. ;</w:t>
      </w:r>
    </w:p>
    <w:p w14:paraId="64542DD9" w14:textId="75F34A11"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Identification des biens ou droits à évaluer doivent être identifiés, si possible par la désignation cadastrale, l’adresse exacte et l’usage à la date de visite ;</w:t>
      </w:r>
    </w:p>
    <w:p w14:paraId="116D77BF" w14:textId="6DCBF762"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Date de valeur de l’expertise ;</w:t>
      </w:r>
    </w:p>
    <w:p w14:paraId="202D9C08" w14:textId="33B63B93"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Date de rédaction (si celle-ci notamment est différente de la date de valeur) ;</w:t>
      </w:r>
    </w:p>
    <w:p w14:paraId="1DB08B60" w14:textId="28611EFB"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Date de visite ;</w:t>
      </w:r>
    </w:p>
    <w:p w14:paraId="30EE4499" w14:textId="021EFD91"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Mention de la visite en précisant le cas échéant s’il n’a pas été possible d’accéder à la totalité des lieux, si les occupants ont été prévenus ou non ; pour des patrimoines très importants composés d’ensembles assez homogènes pour lesquels une visite exhaustive et complète n’est pas possible dans des délais normaux, l’expert devra bien identifier la nature de l’échantillonnage visité, en accord avec son client ;</w:t>
      </w:r>
    </w:p>
    <w:p w14:paraId="79F244DE" w14:textId="2C1E5B60"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Hypothèses de travail retenues et valeurs définies (valeur « libre » ou « occupé » avec un état locatif donné, valeurs vénales ou de remplacement, valeurs locatives, etc.)</w:t>
      </w:r>
    </w:p>
    <w:p w14:paraId="23A43949" w14:textId="4C38D222"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Réserves éventuelles en cas d’impossibilité de vérifier telles ou telles données pouvant avoir une incidence sur la valeur ;</w:t>
      </w:r>
    </w:p>
    <w:p w14:paraId="3AE234D9" w14:textId="3F7ABBBE" w:rsidR="008F1102" w:rsidRPr="00360421" w:rsidRDefault="008F1102"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Liste des documents et informations mis à la disposition par le client et utilisés par l’expert : titre de propriété, copie de désignation d’immeuble ou de droits de propriété figurant dans un titre, état locatif détaillé ou résumé, baux originaux ou copies avec avenants, quittances de loyer, plans originaux ou copies, permis de construire ou de démolir, etc.</w:t>
      </w:r>
    </w:p>
    <w:p w14:paraId="6281495A" w14:textId="3806C27D" w:rsidR="008F1102" w:rsidRPr="00360421" w:rsidRDefault="008F1102" w:rsidP="00360421">
      <w:pPr>
        <w:jc w:val="both"/>
        <w:rPr>
          <w:rFonts w:ascii="Helvetica" w:hAnsi="Helvetica" w:cs="Helvetica"/>
          <w:sz w:val="22"/>
          <w:szCs w:val="22"/>
        </w:rPr>
      </w:pPr>
    </w:p>
    <w:p w14:paraId="766008BA" w14:textId="07580848" w:rsidR="00043253" w:rsidRPr="00360421" w:rsidRDefault="00043253"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CLAUSES DE NON PUBLICATION ET D’UTILISATION DU RAPPORT DANS SON INTEGRALITE</w:t>
      </w:r>
    </w:p>
    <w:p w14:paraId="6E953670" w14:textId="7646ADA2" w:rsidR="00043253" w:rsidRPr="00360421" w:rsidRDefault="00043253" w:rsidP="00360421">
      <w:pPr>
        <w:jc w:val="both"/>
        <w:rPr>
          <w:rFonts w:ascii="Helvetica" w:hAnsi="Helvetica" w:cs="Helvetica"/>
          <w:sz w:val="22"/>
          <w:szCs w:val="22"/>
        </w:rPr>
      </w:pPr>
    </w:p>
    <w:p w14:paraId="10800502" w14:textId="24649AFC" w:rsidR="00043253" w:rsidRPr="00360421" w:rsidRDefault="00043253" w:rsidP="00360421">
      <w:pPr>
        <w:jc w:val="both"/>
        <w:rPr>
          <w:rFonts w:ascii="Helvetica" w:hAnsi="Helvetica" w:cs="Helvetica"/>
          <w:sz w:val="22"/>
          <w:szCs w:val="22"/>
        </w:rPr>
      </w:pPr>
      <w:r w:rsidRPr="00360421">
        <w:rPr>
          <w:rFonts w:ascii="Helvetica" w:hAnsi="Helvetica" w:cs="Helvetica"/>
          <w:sz w:val="22"/>
          <w:szCs w:val="22"/>
        </w:rPr>
        <w:t>Préciser que le mandant ne peut utiliser le rapport d’expertise de façon partielle en isolant telle ou telle partie de son contenu.</w:t>
      </w:r>
    </w:p>
    <w:p w14:paraId="709D1ADB" w14:textId="2DAD70EE" w:rsidR="00043253" w:rsidRPr="00360421" w:rsidRDefault="00043253" w:rsidP="00360421">
      <w:pPr>
        <w:jc w:val="both"/>
        <w:rPr>
          <w:rFonts w:ascii="Helvetica" w:hAnsi="Helvetica" w:cs="Helvetica"/>
          <w:sz w:val="22"/>
          <w:szCs w:val="22"/>
        </w:rPr>
      </w:pPr>
    </w:p>
    <w:p w14:paraId="112A7203" w14:textId="69F67074" w:rsidR="00043253" w:rsidRPr="00360421" w:rsidRDefault="00043253" w:rsidP="00360421">
      <w:pPr>
        <w:jc w:val="both"/>
        <w:rPr>
          <w:rFonts w:ascii="Helvetica" w:hAnsi="Helvetica" w:cs="Helvetica"/>
          <w:sz w:val="22"/>
          <w:szCs w:val="22"/>
        </w:rPr>
      </w:pPr>
      <w:r w:rsidRPr="00360421">
        <w:rPr>
          <w:rFonts w:ascii="Helvetica" w:hAnsi="Helvetica" w:cs="Helvetica"/>
          <w:sz w:val="22"/>
          <w:szCs w:val="22"/>
        </w:rPr>
        <w:t>A défaut, préciser que le présent rapport d’expertise en tout ou partie ne pourra être cité ni même mentionné dans aucun document, aucune circulaire et aucune déclaration destinés à être publiés et ne pourra pas être publié d’une quelconque manière sans l’accord écrit de l’expert quant à la forme et aux circonstances dans lesquelles il pourra paraitre.</w:t>
      </w:r>
    </w:p>
    <w:p w14:paraId="54392070" w14:textId="2E9E4DB1" w:rsidR="00043253" w:rsidRPr="00360421" w:rsidRDefault="00043253" w:rsidP="00360421">
      <w:pPr>
        <w:jc w:val="both"/>
        <w:rPr>
          <w:rFonts w:ascii="Helvetica" w:hAnsi="Helvetica" w:cs="Helvetica"/>
          <w:sz w:val="22"/>
          <w:szCs w:val="22"/>
        </w:rPr>
      </w:pPr>
    </w:p>
    <w:p w14:paraId="0A175373" w14:textId="4B54F10D" w:rsidR="00043253" w:rsidRPr="00360421" w:rsidRDefault="00043253"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SITUATION GEOGRAPHIQUE</w:t>
      </w:r>
    </w:p>
    <w:p w14:paraId="140821F8" w14:textId="5C54F97F" w:rsidR="006464ED" w:rsidRPr="00360421" w:rsidRDefault="006464ED" w:rsidP="00360421">
      <w:pPr>
        <w:jc w:val="both"/>
        <w:rPr>
          <w:rFonts w:ascii="Helvetica" w:hAnsi="Helvetica" w:cs="Helvetica"/>
          <w:sz w:val="22"/>
          <w:szCs w:val="22"/>
        </w:rPr>
      </w:pPr>
    </w:p>
    <w:p w14:paraId="42F46A02" w14:textId="5606AD12" w:rsidR="006464ED" w:rsidRPr="00360421" w:rsidRDefault="006464ED" w:rsidP="00360421">
      <w:pPr>
        <w:jc w:val="both"/>
        <w:rPr>
          <w:rFonts w:ascii="Helvetica" w:hAnsi="Helvetica" w:cs="Helvetica"/>
          <w:sz w:val="22"/>
          <w:szCs w:val="22"/>
        </w:rPr>
      </w:pPr>
      <w:r w:rsidRPr="00360421">
        <w:rPr>
          <w:rFonts w:ascii="Helvetica" w:hAnsi="Helvetica" w:cs="Helvetica"/>
          <w:sz w:val="22"/>
          <w:szCs w:val="22"/>
        </w:rPr>
        <w:t>Celle-ci peut être détaillée en situation générale, localisation particulière, emplacement, environnement et voisinage, desserte routière et transports urbains.</w:t>
      </w:r>
    </w:p>
    <w:p w14:paraId="592A6035" w14:textId="49B9B4D5" w:rsidR="006464ED" w:rsidRPr="00360421" w:rsidRDefault="006464ED" w:rsidP="00360421">
      <w:pPr>
        <w:jc w:val="both"/>
        <w:rPr>
          <w:rFonts w:ascii="Helvetica" w:hAnsi="Helvetica" w:cs="Helvetica"/>
          <w:sz w:val="22"/>
          <w:szCs w:val="22"/>
        </w:rPr>
      </w:pPr>
    </w:p>
    <w:p w14:paraId="745B3893" w14:textId="68520366" w:rsidR="006464ED" w:rsidRPr="00360421" w:rsidRDefault="006464ED"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SITUATION JURIDIQUE DU BIEN</w:t>
      </w:r>
    </w:p>
    <w:p w14:paraId="2D595E63" w14:textId="05718DBF" w:rsidR="006464ED" w:rsidRPr="00360421" w:rsidRDefault="006464ED" w:rsidP="00360421">
      <w:pPr>
        <w:jc w:val="both"/>
        <w:rPr>
          <w:rFonts w:ascii="Helvetica" w:hAnsi="Helvetica" w:cs="Helvetica"/>
          <w:sz w:val="22"/>
          <w:szCs w:val="22"/>
        </w:rPr>
      </w:pPr>
    </w:p>
    <w:p w14:paraId="70578CFC" w14:textId="594999F3" w:rsidR="006464ED" w:rsidRPr="00360421" w:rsidRDefault="006464ED" w:rsidP="00360421">
      <w:pPr>
        <w:jc w:val="both"/>
        <w:rPr>
          <w:rFonts w:ascii="Helvetica" w:hAnsi="Helvetica" w:cs="Helvetica"/>
          <w:sz w:val="22"/>
          <w:szCs w:val="22"/>
        </w:rPr>
      </w:pPr>
      <w:r w:rsidRPr="00360421">
        <w:rPr>
          <w:rFonts w:ascii="Helvetica" w:hAnsi="Helvetica" w:cs="Helvetica"/>
          <w:sz w:val="22"/>
          <w:szCs w:val="22"/>
        </w:rPr>
        <w:t>Désignation du régime de propriété ou de la nature juridique du bien ou du droit notamment : propriété pleine et entière, locaux dépendant d’une copropriété horizontale ou verticale, indivision, immeuble détenu par le biais de titres d’une société civile ou commerciale, concession, construction sur terrain d’autrui, location, contrat de crédit-bail, division en volume, etc.</w:t>
      </w:r>
    </w:p>
    <w:p w14:paraId="2F088017" w14:textId="77777777" w:rsidR="00A03C0F" w:rsidRPr="00360421" w:rsidRDefault="00A03C0F" w:rsidP="00360421">
      <w:pPr>
        <w:jc w:val="both"/>
        <w:rPr>
          <w:rFonts w:ascii="Helvetica" w:hAnsi="Helvetica" w:cs="Helvetica"/>
          <w:sz w:val="22"/>
          <w:szCs w:val="22"/>
        </w:rPr>
      </w:pPr>
    </w:p>
    <w:p w14:paraId="77A3D405" w14:textId="0B8536ED" w:rsidR="006464ED" w:rsidRPr="00360421" w:rsidRDefault="006464ED"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SITUATION URBANISTIQUE ET ADMINISTRATIVE</w:t>
      </w:r>
    </w:p>
    <w:p w14:paraId="1098CA43" w14:textId="6EA31013" w:rsidR="006464ED" w:rsidRPr="00360421" w:rsidRDefault="006464ED" w:rsidP="00360421">
      <w:pPr>
        <w:jc w:val="both"/>
        <w:rPr>
          <w:rFonts w:ascii="Helvetica" w:hAnsi="Helvetica" w:cs="Helvetica"/>
          <w:sz w:val="22"/>
          <w:szCs w:val="22"/>
        </w:rPr>
      </w:pPr>
    </w:p>
    <w:p w14:paraId="00AC927B" w14:textId="657205B6" w:rsidR="006464ED" w:rsidRPr="00360421" w:rsidRDefault="006464ED" w:rsidP="00360421">
      <w:pPr>
        <w:jc w:val="both"/>
        <w:rPr>
          <w:rFonts w:ascii="Helvetica" w:hAnsi="Helvetica" w:cs="Helvetica"/>
          <w:sz w:val="22"/>
          <w:szCs w:val="22"/>
        </w:rPr>
      </w:pPr>
      <w:r w:rsidRPr="00360421">
        <w:rPr>
          <w:rFonts w:ascii="Helvetica" w:hAnsi="Helvetica" w:cs="Helvetica"/>
          <w:sz w:val="22"/>
          <w:szCs w:val="22"/>
        </w:rPr>
        <w:t>Classement ou zoning, servitudes publiques, projets susceptibles d’affecter le bien, constructibilité.</w:t>
      </w:r>
    </w:p>
    <w:p w14:paraId="6251FF44" w14:textId="7EBABFF9" w:rsidR="006464ED" w:rsidRPr="00360421" w:rsidRDefault="006464ED" w:rsidP="00360421">
      <w:pPr>
        <w:jc w:val="both"/>
        <w:rPr>
          <w:rFonts w:ascii="Helvetica" w:hAnsi="Helvetica" w:cs="Helvetica"/>
          <w:sz w:val="22"/>
          <w:szCs w:val="22"/>
        </w:rPr>
      </w:pPr>
    </w:p>
    <w:p w14:paraId="5D639F5A" w14:textId="4E1602B3" w:rsidR="006464ED" w:rsidRPr="00360421" w:rsidRDefault="006464ED"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DESCRIPTION DU BIEN</w:t>
      </w:r>
    </w:p>
    <w:p w14:paraId="3D72722E" w14:textId="75501F01" w:rsidR="006464ED" w:rsidRPr="00360421" w:rsidRDefault="006464ED" w:rsidP="00360421">
      <w:pPr>
        <w:jc w:val="both"/>
        <w:rPr>
          <w:rFonts w:ascii="Helvetica" w:hAnsi="Helvetica" w:cs="Helvetica"/>
          <w:sz w:val="22"/>
          <w:szCs w:val="22"/>
        </w:rPr>
      </w:pPr>
    </w:p>
    <w:p w14:paraId="1DC25184" w14:textId="31529608" w:rsidR="006464ED" w:rsidRPr="00360421" w:rsidRDefault="006464ED"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Nature et consistance des biens</w:t>
      </w:r>
    </w:p>
    <w:p w14:paraId="48527E28" w14:textId="47E56521" w:rsidR="006464ED" w:rsidRPr="00360421" w:rsidRDefault="006464ED"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Affectation (usage physique, affectation juridique ou urbanistique)</w:t>
      </w:r>
    </w:p>
    <w:p w14:paraId="4665830C" w14:textId="62A66086" w:rsidR="006464ED" w:rsidRPr="00360421" w:rsidRDefault="006464ED"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Surface du terrain et des bâtiments</w:t>
      </w:r>
    </w:p>
    <w:p w14:paraId="4B6ADD71" w14:textId="321A8D67" w:rsidR="006464ED" w:rsidRPr="00360421" w:rsidRDefault="006464ED" w:rsidP="00360421">
      <w:pPr>
        <w:pStyle w:val="Paragraphedeliste"/>
        <w:jc w:val="both"/>
        <w:rPr>
          <w:rFonts w:ascii="Helvetica" w:hAnsi="Helvetica" w:cs="Helvetica"/>
          <w:sz w:val="22"/>
          <w:szCs w:val="22"/>
        </w:rPr>
      </w:pPr>
      <w:r w:rsidRPr="00360421">
        <w:rPr>
          <w:rFonts w:ascii="Helvetica" w:hAnsi="Helvetica" w:cs="Helvetica"/>
          <w:sz w:val="22"/>
          <w:szCs w:val="22"/>
        </w:rPr>
        <w:t>Ces surfaces sont généralement fournies par le client (plan, état des surfaces). Seules les surfaces mesurées par un professionnel compétent ou spécialiste disposant d’une assurance de Responsabilité Civile Professionnelle présentent une garantie.</w:t>
      </w:r>
    </w:p>
    <w:p w14:paraId="3FAF69C1" w14:textId="4BD41D72" w:rsidR="006464ED" w:rsidRPr="00360421" w:rsidRDefault="006464ED"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État d’entretien général des biens : gros-œuvre, second œuvre, finition. Il n’est pas de la compétence de l’expert de fournir des diagnostics techniques détaillés, ni dans sa mission d’établir des devis de travaux. Il doit en revanche éclairer son mandant sur la qualité de l’entretien avec ses conséquences sur la valeur des biens et fournir éventuellement un ordre de grandeur du montant des travaux nécessaires.</w:t>
      </w:r>
    </w:p>
    <w:p w14:paraId="237A8465" w14:textId="2F9ED029" w:rsidR="006464ED" w:rsidRPr="00360421" w:rsidRDefault="00846959"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Équipement</w:t>
      </w:r>
      <w:r w:rsidR="006464ED" w:rsidRPr="00360421">
        <w:rPr>
          <w:rFonts w:ascii="Helvetica" w:hAnsi="Helvetica" w:cs="Helvetica"/>
          <w:sz w:val="22"/>
          <w:szCs w:val="22"/>
        </w:rPr>
        <w:t xml:space="preserve"> : </w:t>
      </w:r>
      <w:r w:rsidRPr="00360421">
        <w:rPr>
          <w:rFonts w:ascii="Helvetica" w:hAnsi="Helvetica" w:cs="Helvetica"/>
          <w:sz w:val="22"/>
          <w:szCs w:val="22"/>
        </w:rPr>
        <w:t>éléments</w:t>
      </w:r>
      <w:r w:rsidR="006464ED" w:rsidRPr="00360421">
        <w:rPr>
          <w:rFonts w:ascii="Helvetica" w:hAnsi="Helvetica" w:cs="Helvetica"/>
          <w:sz w:val="22"/>
          <w:szCs w:val="22"/>
        </w:rPr>
        <w:t xml:space="preserve"> de confort ou services généraux pouvant être considérés comme immeubles par destination.</w:t>
      </w:r>
    </w:p>
    <w:p w14:paraId="33A8AD03" w14:textId="05694936" w:rsidR="006464ED" w:rsidRPr="00360421" w:rsidRDefault="006464ED"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 xml:space="preserve">Annexes aux </w:t>
      </w:r>
      <w:r w:rsidR="00846959" w:rsidRPr="00360421">
        <w:rPr>
          <w:rFonts w:ascii="Helvetica" w:hAnsi="Helvetica" w:cs="Helvetica"/>
          <w:sz w:val="22"/>
          <w:szCs w:val="22"/>
        </w:rPr>
        <w:t>locaux</w:t>
      </w:r>
      <w:r w:rsidRPr="00360421">
        <w:rPr>
          <w:rFonts w:ascii="Helvetica" w:hAnsi="Helvetica" w:cs="Helvetica"/>
          <w:sz w:val="22"/>
          <w:szCs w:val="22"/>
        </w:rPr>
        <w:t xml:space="preserve"> ou à l’immeuble : parkings, archives, caves, locaux sociaux</w:t>
      </w:r>
      <w:r w:rsidR="00846959" w:rsidRPr="00360421">
        <w:rPr>
          <w:rFonts w:ascii="Helvetica" w:hAnsi="Helvetica" w:cs="Helvetica"/>
          <w:sz w:val="22"/>
          <w:szCs w:val="22"/>
        </w:rPr>
        <w:t>, détaillés séparément le cas échéant.</w:t>
      </w:r>
    </w:p>
    <w:p w14:paraId="332A5F74" w14:textId="27EF4F5A" w:rsidR="00846959" w:rsidRPr="00360421" w:rsidRDefault="00846959" w:rsidP="00360421">
      <w:pPr>
        <w:jc w:val="both"/>
        <w:rPr>
          <w:rFonts w:ascii="Helvetica" w:hAnsi="Helvetica" w:cs="Helvetica"/>
          <w:sz w:val="22"/>
          <w:szCs w:val="22"/>
        </w:rPr>
      </w:pPr>
    </w:p>
    <w:p w14:paraId="22C3EDE3" w14:textId="28B429BF" w:rsidR="00846959" w:rsidRPr="00360421" w:rsidRDefault="00846959"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RESERVES CONCERNANT L’ENVIRONNEMENT ET LA CONTAMINATION</w:t>
      </w:r>
    </w:p>
    <w:p w14:paraId="22B247C0" w14:textId="2E47293C" w:rsidR="00846959" w:rsidRPr="00360421" w:rsidRDefault="00846959" w:rsidP="00360421">
      <w:pPr>
        <w:jc w:val="both"/>
        <w:rPr>
          <w:rFonts w:ascii="Helvetica" w:hAnsi="Helvetica" w:cs="Helvetica"/>
          <w:sz w:val="22"/>
          <w:szCs w:val="22"/>
        </w:rPr>
      </w:pPr>
    </w:p>
    <w:p w14:paraId="7B05AB8D" w14:textId="479E24AE" w:rsidR="00846959" w:rsidRPr="00360421" w:rsidRDefault="00846959" w:rsidP="00360421">
      <w:pPr>
        <w:jc w:val="both"/>
        <w:rPr>
          <w:rFonts w:ascii="Helvetica" w:hAnsi="Helvetica" w:cs="Helvetica"/>
          <w:sz w:val="22"/>
          <w:szCs w:val="22"/>
        </w:rPr>
      </w:pPr>
      <w:r w:rsidRPr="00360421">
        <w:rPr>
          <w:rFonts w:ascii="Helvetica" w:hAnsi="Helvetica" w:cs="Helvetica"/>
          <w:sz w:val="22"/>
          <w:szCs w:val="22"/>
        </w:rPr>
        <w:t>Il ne rentre pas dans les compétences normales de l’Expert en évaluation immobilière d’apprécier ni de chiffrer l’incidence des risques liés à la contamination des sols, des bâtiments, la pollution des terrains et plus généralement les questions concernant l’environnement. Il peut toutefois prévenir son Mandant des risques s’il en apparait à partir des informations générales sur le secteur.</w:t>
      </w:r>
    </w:p>
    <w:p w14:paraId="18F20027" w14:textId="16FCA2F3" w:rsidR="00846959" w:rsidRPr="00360421" w:rsidRDefault="00846959" w:rsidP="00360421">
      <w:pPr>
        <w:jc w:val="both"/>
        <w:rPr>
          <w:rFonts w:ascii="Helvetica" w:hAnsi="Helvetica" w:cs="Helvetica"/>
          <w:sz w:val="22"/>
          <w:szCs w:val="22"/>
        </w:rPr>
      </w:pPr>
    </w:p>
    <w:p w14:paraId="75040264" w14:textId="241AD766" w:rsidR="00846959" w:rsidRPr="00360421" w:rsidRDefault="00846959" w:rsidP="00360421">
      <w:pPr>
        <w:jc w:val="both"/>
        <w:rPr>
          <w:rFonts w:ascii="Helvetica" w:hAnsi="Helvetica" w:cs="Helvetica"/>
          <w:sz w:val="22"/>
          <w:szCs w:val="22"/>
        </w:rPr>
      </w:pPr>
      <w:r w:rsidRPr="00360421">
        <w:rPr>
          <w:rFonts w:ascii="Helvetica" w:hAnsi="Helvetica" w:cs="Helvetica"/>
          <w:sz w:val="22"/>
          <w:szCs w:val="22"/>
        </w:rPr>
        <w:t>En outre, les problèmes soulevés par la présence d’amiante, de termites et par certaines nuisances acoustiques ou phoniques ne peuvent être évalués avec précision que par des spécialistes habilités et assurés à cet effet.</w:t>
      </w:r>
    </w:p>
    <w:p w14:paraId="34C62AA3" w14:textId="315E8D1A" w:rsidR="00846959" w:rsidRPr="00360421" w:rsidRDefault="00846959" w:rsidP="00360421">
      <w:pPr>
        <w:jc w:val="both"/>
        <w:rPr>
          <w:rFonts w:ascii="Helvetica" w:hAnsi="Helvetica" w:cs="Helvetica"/>
          <w:sz w:val="22"/>
          <w:szCs w:val="22"/>
        </w:rPr>
      </w:pPr>
    </w:p>
    <w:p w14:paraId="1357E8C7" w14:textId="276B12C6" w:rsidR="00846959" w:rsidRPr="00360421" w:rsidRDefault="00846959" w:rsidP="00360421">
      <w:pPr>
        <w:jc w:val="both"/>
        <w:rPr>
          <w:rFonts w:ascii="Helvetica" w:hAnsi="Helvetica" w:cs="Helvetica"/>
          <w:sz w:val="22"/>
          <w:szCs w:val="22"/>
        </w:rPr>
      </w:pPr>
      <w:r w:rsidRPr="00360421">
        <w:rPr>
          <w:rFonts w:ascii="Helvetica" w:hAnsi="Helvetica" w:cs="Helvetica"/>
          <w:sz w:val="22"/>
          <w:szCs w:val="22"/>
        </w:rPr>
        <w:lastRenderedPageBreak/>
        <w:t>L’Expert en évaluation immobilière devra donc rappeler dans son Rapport les limites de sa Mission, tout en se réservant la possibilité d’informer son Mandat en cas de risques évidents ou patents, et en lui suggérant de requérir les services d’un ou de plusieurs spécialistes concernés.</w:t>
      </w:r>
    </w:p>
    <w:p w14:paraId="0EB0F4A2" w14:textId="77777777" w:rsidR="00A03C0F" w:rsidRPr="00360421" w:rsidRDefault="00A03C0F" w:rsidP="00360421">
      <w:pPr>
        <w:jc w:val="both"/>
        <w:rPr>
          <w:rFonts w:ascii="Helvetica" w:hAnsi="Helvetica" w:cs="Helvetica"/>
          <w:sz w:val="22"/>
          <w:szCs w:val="22"/>
        </w:rPr>
      </w:pPr>
    </w:p>
    <w:p w14:paraId="2F6CBA88" w14:textId="77777777" w:rsidR="00A03C0F" w:rsidRPr="00360421" w:rsidRDefault="00A03C0F" w:rsidP="00360421">
      <w:pPr>
        <w:jc w:val="both"/>
        <w:rPr>
          <w:rFonts w:ascii="Helvetica" w:hAnsi="Helvetica" w:cs="Helvetica"/>
          <w:sz w:val="22"/>
          <w:szCs w:val="22"/>
        </w:rPr>
      </w:pPr>
    </w:p>
    <w:p w14:paraId="222D2384" w14:textId="239604D6" w:rsidR="00846959" w:rsidRPr="00360421" w:rsidRDefault="00846959"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SITUATION LOCATIVE</w:t>
      </w:r>
    </w:p>
    <w:p w14:paraId="31216C3D" w14:textId="57C77865" w:rsidR="00846959" w:rsidRPr="00360421" w:rsidRDefault="00846959" w:rsidP="00360421">
      <w:pPr>
        <w:jc w:val="both"/>
        <w:rPr>
          <w:rFonts w:ascii="Helvetica" w:hAnsi="Helvetica" w:cs="Helvetica"/>
          <w:sz w:val="22"/>
          <w:szCs w:val="22"/>
        </w:rPr>
      </w:pPr>
    </w:p>
    <w:p w14:paraId="1A629E33" w14:textId="5234665F" w:rsidR="00846959" w:rsidRPr="00360421" w:rsidRDefault="00846959" w:rsidP="00360421">
      <w:pPr>
        <w:jc w:val="both"/>
        <w:rPr>
          <w:rFonts w:ascii="Helvetica" w:hAnsi="Helvetica" w:cs="Helvetica"/>
          <w:sz w:val="22"/>
          <w:szCs w:val="22"/>
        </w:rPr>
      </w:pPr>
      <w:r w:rsidRPr="00360421">
        <w:rPr>
          <w:rFonts w:ascii="Helvetica" w:hAnsi="Helvetica" w:cs="Helvetica"/>
          <w:sz w:val="22"/>
          <w:szCs w:val="22"/>
        </w:rPr>
        <w:t>Un immeuble peut être vacant, occupé par son propriétaire, par un tiers à titre gratuit, avec ou sans titre, occupé à titre onéreux avec des baux de conditions diverses. Selon les cas, le rapport d’expertise détaillera la situation locative des biens, à la date de l’expertise.</w:t>
      </w:r>
    </w:p>
    <w:p w14:paraId="3F482BD8" w14:textId="4EC6D56F" w:rsidR="00846959" w:rsidRPr="00360421" w:rsidRDefault="00846959" w:rsidP="00360421">
      <w:pPr>
        <w:jc w:val="both"/>
        <w:rPr>
          <w:rFonts w:ascii="Helvetica" w:hAnsi="Helvetica" w:cs="Helvetica"/>
          <w:sz w:val="22"/>
          <w:szCs w:val="22"/>
        </w:rPr>
      </w:pPr>
    </w:p>
    <w:p w14:paraId="3CF6E69B" w14:textId="0A89292C" w:rsidR="00846959" w:rsidRPr="00360421" w:rsidRDefault="00846959"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APPRECIATION QUALITATIVE</w:t>
      </w:r>
    </w:p>
    <w:p w14:paraId="4AFD345B" w14:textId="5D0465E5" w:rsidR="00846959" w:rsidRPr="00360421" w:rsidRDefault="00846959" w:rsidP="00360421">
      <w:pPr>
        <w:jc w:val="both"/>
        <w:rPr>
          <w:rFonts w:ascii="Helvetica" w:hAnsi="Helvetica" w:cs="Helvetica"/>
          <w:sz w:val="22"/>
          <w:szCs w:val="22"/>
        </w:rPr>
      </w:pPr>
    </w:p>
    <w:p w14:paraId="0CC5D8A9" w14:textId="4BBBD167" w:rsidR="00846959" w:rsidRPr="00360421" w:rsidRDefault="00846959" w:rsidP="00360421">
      <w:pPr>
        <w:jc w:val="both"/>
        <w:rPr>
          <w:rFonts w:ascii="Helvetica" w:hAnsi="Helvetica" w:cs="Helvetica"/>
          <w:sz w:val="22"/>
          <w:szCs w:val="22"/>
        </w:rPr>
      </w:pPr>
      <w:r w:rsidRPr="00360421">
        <w:rPr>
          <w:rFonts w:ascii="Helvetica" w:hAnsi="Helvetica" w:cs="Helvetica"/>
          <w:sz w:val="22"/>
          <w:szCs w:val="22"/>
        </w:rPr>
        <w:t>Celle-ci consiste à donner une appréciation courte ou détaillée des biens au regard de leur utilisation et des conditions du marché dans lequel ils se situent.</w:t>
      </w:r>
    </w:p>
    <w:p w14:paraId="7F5D3667" w14:textId="35FD1364" w:rsidR="00846959" w:rsidRPr="00360421" w:rsidRDefault="00846959" w:rsidP="00360421">
      <w:pPr>
        <w:jc w:val="both"/>
        <w:rPr>
          <w:rFonts w:ascii="Helvetica" w:hAnsi="Helvetica" w:cs="Helvetica"/>
          <w:sz w:val="22"/>
          <w:szCs w:val="22"/>
        </w:rPr>
      </w:pPr>
    </w:p>
    <w:p w14:paraId="48DDB47A" w14:textId="681E82B5" w:rsidR="00846959" w:rsidRPr="00360421" w:rsidRDefault="00846959"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ETUDE DU MARCHE</w:t>
      </w:r>
    </w:p>
    <w:p w14:paraId="75893803" w14:textId="7285B292" w:rsidR="00846959" w:rsidRPr="00360421" w:rsidRDefault="00846959" w:rsidP="00360421">
      <w:pPr>
        <w:jc w:val="both"/>
        <w:rPr>
          <w:rFonts w:ascii="Helvetica" w:hAnsi="Helvetica" w:cs="Helvetica"/>
          <w:sz w:val="22"/>
          <w:szCs w:val="22"/>
        </w:rPr>
      </w:pPr>
    </w:p>
    <w:p w14:paraId="0E206E3F" w14:textId="79C0B7F7" w:rsidR="00846959" w:rsidRPr="00360421" w:rsidRDefault="00846959" w:rsidP="00360421">
      <w:pPr>
        <w:jc w:val="both"/>
        <w:rPr>
          <w:rFonts w:ascii="Helvetica" w:hAnsi="Helvetica" w:cs="Helvetica"/>
          <w:sz w:val="22"/>
          <w:szCs w:val="22"/>
        </w:rPr>
      </w:pPr>
      <w:r w:rsidRPr="00360421">
        <w:rPr>
          <w:rFonts w:ascii="Helvetica" w:hAnsi="Helvetica" w:cs="Helvetica"/>
          <w:sz w:val="22"/>
          <w:szCs w:val="22"/>
        </w:rPr>
        <w:t>L’expert effectue une étude de marché des biens comparables qu’il peut résumer sans la détailler. Les rapports d’expertise ne comportent pas systématiquement d’éléments de référence, certains peuvent toutefois être exposés verbalement après le dépôt du rapport, au mandant qui en fait la demande et qui s’engage à respecter le principe de confidentialité.</w:t>
      </w:r>
    </w:p>
    <w:p w14:paraId="715E696D" w14:textId="4DFF6D9D" w:rsidR="00846959" w:rsidRPr="00360421" w:rsidRDefault="00846959" w:rsidP="00360421">
      <w:pPr>
        <w:jc w:val="both"/>
        <w:rPr>
          <w:rFonts w:ascii="Helvetica" w:hAnsi="Helvetica" w:cs="Helvetica"/>
          <w:sz w:val="22"/>
          <w:szCs w:val="22"/>
        </w:rPr>
      </w:pPr>
    </w:p>
    <w:p w14:paraId="5B1CF2FB" w14:textId="1B0522CF" w:rsidR="00846959" w:rsidRPr="00360421" w:rsidRDefault="00846959"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EVALUATION</w:t>
      </w:r>
    </w:p>
    <w:p w14:paraId="2F1513E0" w14:textId="253E4D7C" w:rsidR="00846959" w:rsidRPr="00360421" w:rsidRDefault="00846959" w:rsidP="00360421">
      <w:pPr>
        <w:jc w:val="both"/>
        <w:rPr>
          <w:rFonts w:ascii="Helvetica" w:hAnsi="Helvetica" w:cs="Helvetica"/>
          <w:sz w:val="22"/>
          <w:szCs w:val="22"/>
        </w:rPr>
      </w:pPr>
    </w:p>
    <w:p w14:paraId="622F5141" w14:textId="1401303F" w:rsidR="00846959" w:rsidRPr="00360421" w:rsidRDefault="00846959" w:rsidP="00360421">
      <w:pPr>
        <w:jc w:val="both"/>
        <w:rPr>
          <w:rFonts w:ascii="Helvetica" w:hAnsi="Helvetica" w:cs="Helvetica"/>
          <w:sz w:val="22"/>
          <w:szCs w:val="22"/>
        </w:rPr>
      </w:pPr>
      <w:r w:rsidRPr="00360421">
        <w:rPr>
          <w:rFonts w:ascii="Helvetica" w:hAnsi="Helvetica" w:cs="Helvetica"/>
          <w:sz w:val="22"/>
          <w:szCs w:val="22"/>
        </w:rPr>
        <w:t>Celle-ci doit comporter le choix des méthodes d’évaluation retenues avec éventuellement la justification de celles-ci.</w:t>
      </w:r>
    </w:p>
    <w:p w14:paraId="0CA49890" w14:textId="217D7E38" w:rsidR="00846959" w:rsidRPr="00360421" w:rsidRDefault="00846959" w:rsidP="00360421">
      <w:pPr>
        <w:jc w:val="both"/>
        <w:rPr>
          <w:rFonts w:ascii="Helvetica" w:hAnsi="Helvetica" w:cs="Helvetica"/>
          <w:sz w:val="22"/>
          <w:szCs w:val="22"/>
        </w:rPr>
      </w:pPr>
    </w:p>
    <w:p w14:paraId="665FDCC5" w14:textId="636464AA" w:rsidR="00846959" w:rsidRPr="00360421" w:rsidRDefault="00846959" w:rsidP="00360421">
      <w:pPr>
        <w:jc w:val="both"/>
        <w:rPr>
          <w:rFonts w:ascii="Helvetica" w:hAnsi="Helvetica" w:cs="Helvetica"/>
          <w:sz w:val="22"/>
          <w:szCs w:val="22"/>
        </w:rPr>
      </w:pPr>
      <w:r w:rsidRPr="00360421">
        <w:rPr>
          <w:rFonts w:ascii="Helvetica" w:hAnsi="Helvetica" w:cs="Helvetica"/>
          <w:sz w:val="22"/>
          <w:szCs w:val="22"/>
        </w:rPr>
        <w:t xml:space="preserve">Sont ensuite exposés de manière plus ou moins </w:t>
      </w:r>
      <w:r w:rsidR="00E54340" w:rsidRPr="00360421">
        <w:rPr>
          <w:rFonts w:ascii="Helvetica" w:hAnsi="Helvetica" w:cs="Helvetica"/>
          <w:sz w:val="22"/>
          <w:szCs w:val="22"/>
        </w:rPr>
        <w:t>détaillée les calculs, découlant des méthodes employées, ainsi que les chiffres retenus dont la synthèse sera reprise en conclusion.</w:t>
      </w:r>
    </w:p>
    <w:p w14:paraId="1D76B7B5" w14:textId="6E726E72" w:rsidR="00E54340" w:rsidRPr="00360421" w:rsidRDefault="00E54340" w:rsidP="00360421">
      <w:pPr>
        <w:jc w:val="both"/>
        <w:rPr>
          <w:rFonts w:ascii="Helvetica" w:hAnsi="Helvetica" w:cs="Helvetica"/>
          <w:sz w:val="22"/>
          <w:szCs w:val="22"/>
        </w:rPr>
      </w:pPr>
    </w:p>
    <w:p w14:paraId="3704077F" w14:textId="1499046A" w:rsidR="00E54340" w:rsidRPr="00360421" w:rsidRDefault="00E54340"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CONCLUSIONS</w:t>
      </w:r>
    </w:p>
    <w:p w14:paraId="4D4B1CCA" w14:textId="5D88289F" w:rsidR="00E54340" w:rsidRPr="00360421" w:rsidRDefault="00E54340" w:rsidP="00360421">
      <w:pPr>
        <w:jc w:val="both"/>
        <w:rPr>
          <w:rFonts w:ascii="Helvetica" w:hAnsi="Helvetica" w:cs="Helvetica"/>
          <w:sz w:val="22"/>
          <w:szCs w:val="22"/>
        </w:rPr>
      </w:pPr>
    </w:p>
    <w:p w14:paraId="4B8B4EC7" w14:textId="24088732" w:rsidR="00E54340" w:rsidRPr="00360421" w:rsidRDefault="00E54340" w:rsidP="00360421">
      <w:pPr>
        <w:jc w:val="both"/>
        <w:rPr>
          <w:rFonts w:ascii="Helvetica" w:hAnsi="Helvetica" w:cs="Helvetica"/>
          <w:sz w:val="22"/>
          <w:szCs w:val="22"/>
        </w:rPr>
      </w:pPr>
      <w:r w:rsidRPr="00360421">
        <w:rPr>
          <w:rFonts w:ascii="Helvetica" w:hAnsi="Helvetica" w:cs="Helvetica"/>
          <w:sz w:val="22"/>
          <w:szCs w:val="22"/>
        </w:rPr>
        <w:t>Les conclusions peuvent être assorties de réserves concernant le bien, son utilisation actuelle ou future et le marché dans lequel il se situe.</w:t>
      </w:r>
    </w:p>
    <w:p w14:paraId="76374B53" w14:textId="425197E7" w:rsidR="00E54340" w:rsidRPr="00360421" w:rsidRDefault="00E54340" w:rsidP="00360421">
      <w:pPr>
        <w:jc w:val="both"/>
        <w:rPr>
          <w:rFonts w:ascii="Helvetica" w:hAnsi="Helvetica" w:cs="Helvetica"/>
          <w:sz w:val="22"/>
          <w:szCs w:val="22"/>
        </w:rPr>
      </w:pPr>
    </w:p>
    <w:p w14:paraId="4F3D505C" w14:textId="6EE46DB0" w:rsidR="00E54340" w:rsidRPr="00360421" w:rsidRDefault="00E54340" w:rsidP="00360421">
      <w:pPr>
        <w:jc w:val="both"/>
        <w:rPr>
          <w:rFonts w:ascii="Helvetica" w:hAnsi="Helvetica" w:cs="Helvetica"/>
          <w:sz w:val="22"/>
          <w:szCs w:val="22"/>
        </w:rPr>
      </w:pPr>
      <w:r w:rsidRPr="00360421">
        <w:rPr>
          <w:rFonts w:ascii="Helvetica" w:hAnsi="Helvetica" w:cs="Helvetica"/>
          <w:sz w:val="22"/>
          <w:szCs w:val="22"/>
        </w:rPr>
        <w:t>Il est indiqué dans les conclusions si les chiffres sont donnés hors droits de mutation et frais d’acquisition et hors T.V.A ou non.</w:t>
      </w:r>
    </w:p>
    <w:p w14:paraId="4C50ED73" w14:textId="57B24000" w:rsidR="00E54340" w:rsidRPr="00360421" w:rsidRDefault="00E54340" w:rsidP="00360421">
      <w:pPr>
        <w:jc w:val="both"/>
        <w:rPr>
          <w:rFonts w:ascii="Helvetica" w:hAnsi="Helvetica" w:cs="Helvetica"/>
          <w:sz w:val="22"/>
          <w:szCs w:val="22"/>
        </w:rPr>
      </w:pPr>
    </w:p>
    <w:p w14:paraId="6C4E1710" w14:textId="17592168" w:rsidR="00E54340" w:rsidRPr="00360421" w:rsidRDefault="00E54340" w:rsidP="00360421">
      <w:pPr>
        <w:jc w:val="both"/>
        <w:rPr>
          <w:rFonts w:ascii="Helvetica" w:hAnsi="Helvetica" w:cs="Helvetica"/>
          <w:sz w:val="22"/>
          <w:szCs w:val="22"/>
        </w:rPr>
      </w:pPr>
      <w:r w:rsidRPr="00360421">
        <w:rPr>
          <w:rFonts w:ascii="Helvetica" w:hAnsi="Helvetica" w:cs="Helvetica"/>
          <w:sz w:val="22"/>
          <w:szCs w:val="22"/>
        </w:rPr>
        <w:t>Le régime fiscal du mode de cession retenu doit, toujours être explicitement mentionné (opération d’apport, cessions de droits, de parts ou d’actions, vente directe, etc.).</w:t>
      </w:r>
    </w:p>
    <w:p w14:paraId="51635970" w14:textId="6B6B028A" w:rsidR="00E54340" w:rsidRPr="00360421" w:rsidRDefault="00E54340" w:rsidP="00360421">
      <w:pPr>
        <w:jc w:val="both"/>
        <w:rPr>
          <w:rFonts w:ascii="Helvetica" w:hAnsi="Helvetica" w:cs="Helvetica"/>
          <w:sz w:val="22"/>
          <w:szCs w:val="22"/>
        </w:rPr>
      </w:pPr>
    </w:p>
    <w:p w14:paraId="034D54B5" w14:textId="601A84BD" w:rsidR="00E54340" w:rsidRPr="00360421" w:rsidRDefault="00E54340" w:rsidP="00360421">
      <w:pPr>
        <w:jc w:val="both"/>
        <w:rPr>
          <w:rFonts w:ascii="Helvetica" w:hAnsi="Helvetica" w:cs="Helvetica"/>
          <w:sz w:val="22"/>
          <w:szCs w:val="22"/>
        </w:rPr>
      </w:pPr>
      <w:r w:rsidRPr="00360421">
        <w:rPr>
          <w:rFonts w:ascii="Helvetica" w:hAnsi="Helvetica" w:cs="Helvetica"/>
          <w:sz w:val="22"/>
          <w:szCs w:val="22"/>
        </w:rPr>
        <w:t>Dans certains cas, l’Expert pourra faire apparaître plusieurs chiffres dans ses conclusions et en particulier dans les cas suivants :</w:t>
      </w:r>
    </w:p>
    <w:p w14:paraId="746326CA" w14:textId="1AD41550" w:rsidR="00E54340" w:rsidRPr="00360421" w:rsidRDefault="00E54340" w:rsidP="00360421">
      <w:pPr>
        <w:jc w:val="both"/>
        <w:rPr>
          <w:rFonts w:ascii="Helvetica" w:hAnsi="Helvetica" w:cs="Helvetica"/>
          <w:sz w:val="22"/>
          <w:szCs w:val="22"/>
        </w:rPr>
      </w:pPr>
    </w:p>
    <w:p w14:paraId="55425057" w14:textId="1A76C3DA" w:rsidR="00E54340" w:rsidRPr="00360421" w:rsidRDefault="00E54340"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Lorsque plusieurs hypothèses d’utilisation ou d’occupation ont été étudiées ;</w:t>
      </w:r>
    </w:p>
    <w:p w14:paraId="59443E23" w14:textId="612DD1E5" w:rsidR="00E54340" w:rsidRPr="00360421" w:rsidRDefault="00E54340"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Quand le régime fiscal de la mutation est incertain ou peut être variable ;</w:t>
      </w:r>
    </w:p>
    <w:p w14:paraId="35DA1B07" w14:textId="1FE44548" w:rsidR="00E54340" w:rsidRPr="00360421" w:rsidRDefault="00E54340"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Si des inconnues pèsent sur l’utilisation ou l’affectation du bien.</w:t>
      </w:r>
    </w:p>
    <w:p w14:paraId="066AC9B3" w14:textId="134293CE" w:rsidR="00846959" w:rsidRPr="00360421" w:rsidRDefault="00846959" w:rsidP="00360421">
      <w:pPr>
        <w:jc w:val="both"/>
        <w:rPr>
          <w:rFonts w:ascii="Helvetica" w:hAnsi="Helvetica" w:cs="Helvetica"/>
          <w:sz w:val="22"/>
          <w:szCs w:val="22"/>
        </w:rPr>
      </w:pPr>
    </w:p>
    <w:p w14:paraId="7C2D0599" w14:textId="74E21773" w:rsidR="00E54340" w:rsidRPr="00360421" w:rsidRDefault="00E54340" w:rsidP="00360421">
      <w:pPr>
        <w:pStyle w:val="Paragraphedeliste"/>
        <w:numPr>
          <w:ilvl w:val="0"/>
          <w:numId w:val="39"/>
        </w:numPr>
        <w:jc w:val="both"/>
        <w:rPr>
          <w:rFonts w:ascii="Helvetica" w:hAnsi="Helvetica" w:cs="Helvetica"/>
          <w:sz w:val="22"/>
          <w:szCs w:val="22"/>
        </w:rPr>
      </w:pPr>
      <w:r w:rsidRPr="00360421">
        <w:rPr>
          <w:rFonts w:ascii="Helvetica" w:hAnsi="Helvetica" w:cs="Helvetica"/>
          <w:sz w:val="22"/>
          <w:szCs w:val="22"/>
        </w:rPr>
        <w:t>ANNEXES</w:t>
      </w:r>
    </w:p>
    <w:p w14:paraId="20AA8A18" w14:textId="69929660" w:rsidR="00E54340" w:rsidRPr="00360421" w:rsidRDefault="00E54340" w:rsidP="00360421">
      <w:pPr>
        <w:jc w:val="both"/>
        <w:rPr>
          <w:rFonts w:ascii="Helvetica" w:hAnsi="Helvetica" w:cs="Helvetica"/>
          <w:sz w:val="22"/>
          <w:szCs w:val="22"/>
        </w:rPr>
      </w:pPr>
    </w:p>
    <w:p w14:paraId="379FC7FB" w14:textId="0C6034C3" w:rsidR="00E54340" w:rsidRPr="00360421" w:rsidRDefault="00E54340" w:rsidP="00360421">
      <w:pPr>
        <w:jc w:val="both"/>
        <w:rPr>
          <w:rFonts w:ascii="Helvetica" w:hAnsi="Helvetica" w:cs="Helvetica"/>
          <w:sz w:val="22"/>
          <w:szCs w:val="22"/>
        </w:rPr>
      </w:pPr>
      <w:r w:rsidRPr="00360421">
        <w:rPr>
          <w:rFonts w:ascii="Helvetica" w:hAnsi="Helvetica" w:cs="Helvetica"/>
          <w:sz w:val="22"/>
          <w:szCs w:val="22"/>
        </w:rPr>
        <w:t>Il est recommandé, pour ne pas alourdir le corps du rapport d’expertise, de reporter en annexe les différents documents qui peuvent être joints à l’expertise, en appui de celle-ci.</w:t>
      </w:r>
    </w:p>
    <w:p w14:paraId="61D4CBBE" w14:textId="3B992CFD" w:rsidR="00E54340" w:rsidRPr="00360421" w:rsidRDefault="00E54340" w:rsidP="00360421">
      <w:pPr>
        <w:jc w:val="both"/>
        <w:rPr>
          <w:rFonts w:ascii="Helvetica" w:hAnsi="Helvetica" w:cs="Helvetica"/>
          <w:sz w:val="22"/>
          <w:szCs w:val="22"/>
        </w:rPr>
      </w:pPr>
    </w:p>
    <w:p w14:paraId="7E5FAE23" w14:textId="7AB32212" w:rsidR="00E54340" w:rsidRPr="00360421" w:rsidRDefault="00E54340" w:rsidP="00360421">
      <w:pPr>
        <w:jc w:val="both"/>
        <w:rPr>
          <w:rFonts w:ascii="Helvetica" w:hAnsi="Helvetica" w:cs="Helvetica"/>
          <w:sz w:val="22"/>
          <w:szCs w:val="22"/>
        </w:rPr>
      </w:pPr>
      <w:r w:rsidRPr="00360421">
        <w:rPr>
          <w:rFonts w:ascii="Helvetica" w:hAnsi="Helvetica" w:cs="Helvetica"/>
          <w:sz w:val="22"/>
          <w:szCs w:val="22"/>
        </w:rPr>
        <w:lastRenderedPageBreak/>
        <w:t>En particulier et de façon non exhaustive :</w:t>
      </w:r>
    </w:p>
    <w:p w14:paraId="452F12F6" w14:textId="39F73C1D" w:rsidR="00E54340" w:rsidRPr="00360421" w:rsidRDefault="00E54340" w:rsidP="00360421">
      <w:pPr>
        <w:jc w:val="both"/>
        <w:rPr>
          <w:rFonts w:ascii="Helvetica" w:hAnsi="Helvetica" w:cs="Helvetica"/>
          <w:sz w:val="22"/>
          <w:szCs w:val="22"/>
        </w:rPr>
      </w:pPr>
    </w:p>
    <w:p w14:paraId="5CC9E8B8" w14:textId="28290E0D" w:rsidR="00E54340" w:rsidRPr="00360421" w:rsidRDefault="00E54340"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Les plans (plan de situation, plan de masse, etc.) ;</w:t>
      </w:r>
    </w:p>
    <w:p w14:paraId="05FA2F03" w14:textId="4A0CC1BE" w:rsidR="00E54340" w:rsidRPr="00360421" w:rsidRDefault="00E54340"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 xml:space="preserve">Les photographies des immeubles ; </w:t>
      </w:r>
    </w:p>
    <w:p w14:paraId="667178A1" w14:textId="33B0BC70" w:rsidR="00E54340" w:rsidRPr="00360421" w:rsidRDefault="00E54340"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Les états locatifs ou les baux ;</w:t>
      </w:r>
    </w:p>
    <w:p w14:paraId="1E39F6B2" w14:textId="0A8DA586" w:rsidR="00E54340" w:rsidRPr="00360421" w:rsidRDefault="00C86B7E"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Les documents d’urbanisme éventuellement disponibles (certificat d’urbanisme, permis de construire) ;</w:t>
      </w:r>
    </w:p>
    <w:p w14:paraId="7713AE83" w14:textId="17A7E49C" w:rsidR="00C86B7E" w:rsidRPr="00360421" w:rsidRDefault="00C86B7E" w:rsidP="00360421">
      <w:pPr>
        <w:pStyle w:val="Paragraphedeliste"/>
        <w:numPr>
          <w:ilvl w:val="0"/>
          <w:numId w:val="38"/>
        </w:numPr>
        <w:jc w:val="both"/>
        <w:rPr>
          <w:rFonts w:ascii="Helvetica" w:hAnsi="Helvetica" w:cs="Helvetica"/>
          <w:sz w:val="22"/>
          <w:szCs w:val="22"/>
        </w:rPr>
      </w:pPr>
      <w:r w:rsidRPr="00360421">
        <w:rPr>
          <w:rFonts w:ascii="Helvetica" w:hAnsi="Helvetica" w:cs="Helvetica"/>
          <w:sz w:val="22"/>
          <w:szCs w:val="22"/>
        </w:rPr>
        <w:t>Les états de charges locatives et plus généralement tous autres documents ne nécessitant pas d’être retranscrits intégralement dans le corps du Rapport d’expertise proprement dit.</w:t>
      </w:r>
    </w:p>
    <w:sectPr w:rsidR="00C86B7E" w:rsidRPr="00360421" w:rsidSect="005A144F">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EA839" w14:textId="77777777" w:rsidR="000C1878" w:rsidRDefault="000C1878" w:rsidP="00843715">
      <w:r>
        <w:separator/>
      </w:r>
    </w:p>
  </w:endnote>
  <w:endnote w:type="continuationSeparator" w:id="0">
    <w:p w14:paraId="28D9745C" w14:textId="77777777" w:rsidR="000C1878" w:rsidRDefault="000C1878"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D3E38" w14:textId="77777777" w:rsidR="000C1878" w:rsidRDefault="000C1878" w:rsidP="00843715">
      <w:r>
        <w:separator/>
      </w:r>
    </w:p>
  </w:footnote>
  <w:footnote w:type="continuationSeparator" w:id="0">
    <w:p w14:paraId="4777D3B4" w14:textId="77777777" w:rsidR="000C1878" w:rsidRDefault="000C1878"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8631072" o:spid="_x0000_i1031" type="#_x0000_t75" style="width:59.25pt;height:59.25pt;visibility:visible;mso-wrap-style:square" o:bullet="t">
        <v:imagedata r:id="rId1" o:title=""/>
      </v:shape>
    </w:pict>
  </w:numPicBullet>
  <w:numPicBullet w:numPicBulletId="1">
    <w:pict>
      <v:shape id="Image 2101204750" o:spid="_x0000_i1032" type="#_x0000_t75" style="width:20.25pt;height:20.25pt;visibility:visible;mso-wrap-style:square" o:bullet="t">
        <v:imagedata r:id="rId2" o:title=""/>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30805E0"/>
    <w:multiLevelType w:val="hybridMultilevel"/>
    <w:tmpl w:val="1750B54A"/>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55071"/>
    <w:multiLevelType w:val="hybridMultilevel"/>
    <w:tmpl w:val="793EB43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87BD0"/>
    <w:multiLevelType w:val="hybridMultilevel"/>
    <w:tmpl w:val="74B812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E41C2F"/>
    <w:multiLevelType w:val="hybridMultilevel"/>
    <w:tmpl w:val="BFE8E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D1F05"/>
    <w:multiLevelType w:val="hybridMultilevel"/>
    <w:tmpl w:val="A08CC832"/>
    <w:lvl w:ilvl="0" w:tplc="10529B4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45D3F36"/>
    <w:multiLevelType w:val="hybridMultilevel"/>
    <w:tmpl w:val="9BDCCC38"/>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8A0287"/>
    <w:multiLevelType w:val="multilevel"/>
    <w:tmpl w:val="6B88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407DD"/>
    <w:multiLevelType w:val="hybridMultilevel"/>
    <w:tmpl w:val="A864A6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2AD61210"/>
    <w:multiLevelType w:val="hybridMultilevel"/>
    <w:tmpl w:val="9CB2DB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3550D2"/>
    <w:multiLevelType w:val="hybridMultilevel"/>
    <w:tmpl w:val="BFE8E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481FBB"/>
    <w:multiLevelType w:val="multilevel"/>
    <w:tmpl w:val="96861AB0"/>
    <w:lvl w:ilvl="0">
      <w:start w:val="1"/>
      <w:numFmt w:val="bullet"/>
      <w:lvlText w:val=""/>
      <w:lvlPicBulletId w:val="1"/>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461256"/>
    <w:multiLevelType w:val="hybridMultilevel"/>
    <w:tmpl w:val="479ED928"/>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2B6C8A"/>
    <w:multiLevelType w:val="hybridMultilevel"/>
    <w:tmpl w:val="E048B07A"/>
    <w:lvl w:ilvl="0" w:tplc="5AA854E8">
      <w:start w:val="1"/>
      <w:numFmt w:val="bullet"/>
      <w:lvlText w:val=""/>
      <w:lvlPicBulletId w:val="1"/>
      <w:lvlJc w:val="left"/>
      <w:pPr>
        <w:ind w:left="720" w:hanging="360"/>
      </w:pPr>
      <w:rPr>
        <w:rFonts w:ascii="Symbol" w:hAnsi="Symbol" w:hint="default"/>
      </w:rPr>
    </w:lvl>
    <w:lvl w:ilvl="1" w:tplc="ECE6B638">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5BF51BE6"/>
    <w:multiLevelType w:val="hybridMultilevel"/>
    <w:tmpl w:val="44805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9110DF"/>
    <w:multiLevelType w:val="hybridMultilevel"/>
    <w:tmpl w:val="66180938"/>
    <w:lvl w:ilvl="0" w:tplc="827C5B3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CE46A1"/>
    <w:multiLevelType w:val="hybridMultilevel"/>
    <w:tmpl w:val="B282BD78"/>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BE47B4"/>
    <w:multiLevelType w:val="hybridMultilevel"/>
    <w:tmpl w:val="A6B035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4007E91"/>
    <w:multiLevelType w:val="hybridMultilevel"/>
    <w:tmpl w:val="FC4C9E02"/>
    <w:lvl w:ilvl="0" w:tplc="040C0005">
      <w:start w:val="1"/>
      <w:numFmt w:val="bullet"/>
      <w:lvlText w:val=""/>
      <w:lvlJc w:val="left"/>
      <w:pPr>
        <w:ind w:left="720" w:hanging="360"/>
      </w:pPr>
      <w:rPr>
        <w:rFonts w:ascii="Wingdings" w:hAnsi="Wingdings" w:hint="default"/>
      </w:rPr>
    </w:lvl>
    <w:lvl w:ilvl="1" w:tplc="5AA854E8">
      <w:start w:val="1"/>
      <w:numFmt w:val="bullet"/>
      <w:lvlText w:val=""/>
      <w:lvlPicBulletId w:val="1"/>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F654AB"/>
    <w:multiLevelType w:val="hybridMultilevel"/>
    <w:tmpl w:val="49745D6C"/>
    <w:lvl w:ilvl="0" w:tplc="A244AC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0926BC"/>
    <w:multiLevelType w:val="multilevel"/>
    <w:tmpl w:val="4F8C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E6FE4"/>
    <w:multiLevelType w:val="multilevel"/>
    <w:tmpl w:val="28DE3C0E"/>
    <w:lvl w:ilvl="0">
      <w:start w:val="1"/>
      <w:numFmt w:val="bullet"/>
      <w:lvlText w:val=""/>
      <w:lvlPicBulletId w:val="1"/>
      <w:lvlJc w:val="left"/>
      <w:pPr>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79C84A5A"/>
    <w:multiLevelType w:val="hybridMultilevel"/>
    <w:tmpl w:val="CBEC9F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601424026">
    <w:abstractNumId w:val="6"/>
  </w:num>
  <w:num w:numId="2" w16cid:durableId="790442823">
    <w:abstractNumId w:val="22"/>
  </w:num>
  <w:num w:numId="3" w16cid:durableId="1634947707">
    <w:abstractNumId w:val="37"/>
  </w:num>
  <w:num w:numId="4" w16cid:durableId="617564742">
    <w:abstractNumId w:val="24"/>
  </w:num>
  <w:num w:numId="5" w16cid:durableId="385104335">
    <w:abstractNumId w:val="9"/>
  </w:num>
  <w:num w:numId="6" w16cid:durableId="1419600293">
    <w:abstractNumId w:val="14"/>
  </w:num>
  <w:num w:numId="7" w16cid:durableId="1305961594">
    <w:abstractNumId w:val="0"/>
    <w:lvlOverride w:ilvl="0">
      <w:startOverride w:val="1"/>
    </w:lvlOverride>
  </w:num>
  <w:num w:numId="8" w16cid:durableId="1658143570">
    <w:abstractNumId w:val="27"/>
  </w:num>
  <w:num w:numId="9" w16cid:durableId="963121269">
    <w:abstractNumId w:val="3"/>
  </w:num>
  <w:num w:numId="10" w16cid:durableId="1608539773">
    <w:abstractNumId w:val="18"/>
  </w:num>
  <w:num w:numId="11" w16cid:durableId="1314679644">
    <w:abstractNumId w:val="29"/>
  </w:num>
  <w:num w:numId="12" w16cid:durableId="443228476">
    <w:abstractNumId w:val="36"/>
  </w:num>
  <w:num w:numId="13" w16cid:durableId="2014913357">
    <w:abstractNumId w:val="34"/>
  </w:num>
  <w:num w:numId="14" w16cid:durableId="1946880789">
    <w:abstractNumId w:val="21"/>
  </w:num>
  <w:num w:numId="15" w16cid:durableId="1787626058">
    <w:abstractNumId w:val="5"/>
  </w:num>
  <w:num w:numId="16" w16cid:durableId="1899784502">
    <w:abstractNumId w:val="8"/>
  </w:num>
  <w:num w:numId="17" w16cid:durableId="1914970959">
    <w:abstractNumId w:val="12"/>
  </w:num>
  <w:num w:numId="18" w16cid:durableId="1293749628">
    <w:abstractNumId w:val="32"/>
  </w:num>
  <w:num w:numId="19" w16cid:durableId="1240747849">
    <w:abstractNumId w:val="0"/>
  </w:num>
  <w:num w:numId="20" w16cid:durableId="1417360431">
    <w:abstractNumId w:val="33"/>
  </w:num>
  <w:num w:numId="21" w16cid:durableId="61830223">
    <w:abstractNumId w:val="17"/>
  </w:num>
  <w:num w:numId="22" w16cid:durableId="1727489640">
    <w:abstractNumId w:val="16"/>
  </w:num>
  <w:num w:numId="23" w16cid:durableId="112136709">
    <w:abstractNumId w:val="1"/>
  </w:num>
  <w:num w:numId="24" w16cid:durableId="1932398003">
    <w:abstractNumId w:val="19"/>
  </w:num>
  <w:num w:numId="25" w16cid:durableId="1748960875">
    <w:abstractNumId w:val="26"/>
  </w:num>
  <w:num w:numId="26" w16cid:durableId="3636706">
    <w:abstractNumId w:val="11"/>
  </w:num>
  <w:num w:numId="27" w16cid:durableId="804279471">
    <w:abstractNumId w:val="4"/>
  </w:num>
  <w:num w:numId="28" w16cid:durableId="939801976">
    <w:abstractNumId w:val="30"/>
  </w:num>
  <w:num w:numId="29" w16cid:durableId="1598635520">
    <w:abstractNumId w:val="20"/>
  </w:num>
  <w:num w:numId="30" w16cid:durableId="1819807219">
    <w:abstractNumId w:val="7"/>
  </w:num>
  <w:num w:numId="31" w16cid:durableId="1993563382">
    <w:abstractNumId w:val="10"/>
  </w:num>
  <w:num w:numId="32" w16cid:durableId="2049068851">
    <w:abstractNumId w:val="23"/>
  </w:num>
  <w:num w:numId="33" w16cid:durableId="596131592">
    <w:abstractNumId w:val="28"/>
  </w:num>
  <w:num w:numId="34" w16cid:durableId="1804614434">
    <w:abstractNumId w:val="15"/>
  </w:num>
  <w:num w:numId="35" w16cid:durableId="1228761954">
    <w:abstractNumId w:val="35"/>
  </w:num>
  <w:num w:numId="36" w16cid:durableId="1407798914">
    <w:abstractNumId w:val="13"/>
  </w:num>
  <w:num w:numId="37" w16cid:durableId="1635789014">
    <w:abstractNumId w:val="31"/>
  </w:num>
  <w:num w:numId="38" w16cid:durableId="557589557">
    <w:abstractNumId w:val="25"/>
  </w:num>
  <w:num w:numId="39" w16cid:durableId="181957168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4D"/>
    <w:rsid w:val="00026E3A"/>
    <w:rsid w:val="00035116"/>
    <w:rsid w:val="00043253"/>
    <w:rsid w:val="00044EAE"/>
    <w:rsid w:val="00046807"/>
    <w:rsid w:val="00046C74"/>
    <w:rsid w:val="000619A5"/>
    <w:rsid w:val="00090D2A"/>
    <w:rsid w:val="00093EA8"/>
    <w:rsid w:val="000A6AE4"/>
    <w:rsid w:val="000B5751"/>
    <w:rsid w:val="000C1878"/>
    <w:rsid w:val="000C51D0"/>
    <w:rsid w:val="000C5C37"/>
    <w:rsid w:val="000D5FB0"/>
    <w:rsid w:val="000E623D"/>
    <w:rsid w:val="000F4257"/>
    <w:rsid w:val="000F4995"/>
    <w:rsid w:val="000F6063"/>
    <w:rsid w:val="0015271F"/>
    <w:rsid w:val="001574D5"/>
    <w:rsid w:val="00180CBF"/>
    <w:rsid w:val="00183128"/>
    <w:rsid w:val="001A2B2C"/>
    <w:rsid w:val="001A37F5"/>
    <w:rsid w:val="001A5708"/>
    <w:rsid w:val="001D6C0C"/>
    <w:rsid w:val="00201FF3"/>
    <w:rsid w:val="00211991"/>
    <w:rsid w:val="002542BD"/>
    <w:rsid w:val="00254EAF"/>
    <w:rsid w:val="00256400"/>
    <w:rsid w:val="002602EA"/>
    <w:rsid w:val="0026484F"/>
    <w:rsid w:val="00267690"/>
    <w:rsid w:val="002823B6"/>
    <w:rsid w:val="00297F3F"/>
    <w:rsid w:val="002B7D09"/>
    <w:rsid w:val="002C102B"/>
    <w:rsid w:val="002E2DAC"/>
    <w:rsid w:val="002F49F7"/>
    <w:rsid w:val="00303001"/>
    <w:rsid w:val="0031620A"/>
    <w:rsid w:val="00325C3B"/>
    <w:rsid w:val="00351999"/>
    <w:rsid w:val="00360421"/>
    <w:rsid w:val="003678E5"/>
    <w:rsid w:val="00372E06"/>
    <w:rsid w:val="003A5F34"/>
    <w:rsid w:val="003B072E"/>
    <w:rsid w:val="003B5BAD"/>
    <w:rsid w:val="003C06DF"/>
    <w:rsid w:val="003C7091"/>
    <w:rsid w:val="003F154B"/>
    <w:rsid w:val="0042410D"/>
    <w:rsid w:val="004258B8"/>
    <w:rsid w:val="00431047"/>
    <w:rsid w:val="00432B44"/>
    <w:rsid w:val="00440B45"/>
    <w:rsid w:val="00472955"/>
    <w:rsid w:val="004765F7"/>
    <w:rsid w:val="00477F3F"/>
    <w:rsid w:val="004A01DB"/>
    <w:rsid w:val="004A7504"/>
    <w:rsid w:val="004B037D"/>
    <w:rsid w:val="004C0145"/>
    <w:rsid w:val="004D68E1"/>
    <w:rsid w:val="004D6E9A"/>
    <w:rsid w:val="004E430C"/>
    <w:rsid w:val="005061CE"/>
    <w:rsid w:val="0054593C"/>
    <w:rsid w:val="00564435"/>
    <w:rsid w:val="005712DE"/>
    <w:rsid w:val="0057761D"/>
    <w:rsid w:val="005A144F"/>
    <w:rsid w:val="005B0B1E"/>
    <w:rsid w:val="005D2021"/>
    <w:rsid w:val="005F0E31"/>
    <w:rsid w:val="006118FD"/>
    <w:rsid w:val="00613A62"/>
    <w:rsid w:val="006216BD"/>
    <w:rsid w:val="006464ED"/>
    <w:rsid w:val="006538C1"/>
    <w:rsid w:val="006546C2"/>
    <w:rsid w:val="00670BB6"/>
    <w:rsid w:val="00671BE2"/>
    <w:rsid w:val="0067305B"/>
    <w:rsid w:val="0068299E"/>
    <w:rsid w:val="006D0896"/>
    <w:rsid w:val="006E571C"/>
    <w:rsid w:val="00710A40"/>
    <w:rsid w:val="00726614"/>
    <w:rsid w:val="00746503"/>
    <w:rsid w:val="00747017"/>
    <w:rsid w:val="00750418"/>
    <w:rsid w:val="00751ABC"/>
    <w:rsid w:val="007625DB"/>
    <w:rsid w:val="007A275C"/>
    <w:rsid w:val="007B430F"/>
    <w:rsid w:val="007D4CD3"/>
    <w:rsid w:val="007F612F"/>
    <w:rsid w:val="00810E3C"/>
    <w:rsid w:val="0082410A"/>
    <w:rsid w:val="00840304"/>
    <w:rsid w:val="00843715"/>
    <w:rsid w:val="00844552"/>
    <w:rsid w:val="00846810"/>
    <w:rsid w:val="00846959"/>
    <w:rsid w:val="00853E2F"/>
    <w:rsid w:val="00860708"/>
    <w:rsid w:val="00862E6D"/>
    <w:rsid w:val="00871C93"/>
    <w:rsid w:val="00876A91"/>
    <w:rsid w:val="0088414A"/>
    <w:rsid w:val="008B4F23"/>
    <w:rsid w:val="008C0737"/>
    <w:rsid w:val="008C51BC"/>
    <w:rsid w:val="008C71DD"/>
    <w:rsid w:val="008E774F"/>
    <w:rsid w:val="008F1102"/>
    <w:rsid w:val="008F37E8"/>
    <w:rsid w:val="00912238"/>
    <w:rsid w:val="00913491"/>
    <w:rsid w:val="009278C7"/>
    <w:rsid w:val="00955EC7"/>
    <w:rsid w:val="00970B7B"/>
    <w:rsid w:val="009B11B3"/>
    <w:rsid w:val="009B1E52"/>
    <w:rsid w:val="009C0C14"/>
    <w:rsid w:val="009C0FA2"/>
    <w:rsid w:val="009E26C7"/>
    <w:rsid w:val="00A03C0F"/>
    <w:rsid w:val="00A03FDC"/>
    <w:rsid w:val="00A17341"/>
    <w:rsid w:val="00A335AC"/>
    <w:rsid w:val="00A347B7"/>
    <w:rsid w:val="00A40F00"/>
    <w:rsid w:val="00A52BE6"/>
    <w:rsid w:val="00A850BC"/>
    <w:rsid w:val="00A87357"/>
    <w:rsid w:val="00AB739C"/>
    <w:rsid w:val="00AF5385"/>
    <w:rsid w:val="00B2646B"/>
    <w:rsid w:val="00B26CCE"/>
    <w:rsid w:val="00B444C5"/>
    <w:rsid w:val="00B45C7D"/>
    <w:rsid w:val="00B52B26"/>
    <w:rsid w:val="00B64ACF"/>
    <w:rsid w:val="00B868AD"/>
    <w:rsid w:val="00BB4E7D"/>
    <w:rsid w:val="00BC78D7"/>
    <w:rsid w:val="00BD6E0A"/>
    <w:rsid w:val="00BE0BDA"/>
    <w:rsid w:val="00BF27DA"/>
    <w:rsid w:val="00C27A23"/>
    <w:rsid w:val="00C34333"/>
    <w:rsid w:val="00C370A4"/>
    <w:rsid w:val="00C6211F"/>
    <w:rsid w:val="00C6635B"/>
    <w:rsid w:val="00C8167E"/>
    <w:rsid w:val="00C86B7E"/>
    <w:rsid w:val="00C9723A"/>
    <w:rsid w:val="00CA6A87"/>
    <w:rsid w:val="00CC251F"/>
    <w:rsid w:val="00CD49E1"/>
    <w:rsid w:val="00CD53DF"/>
    <w:rsid w:val="00CD5AEC"/>
    <w:rsid w:val="00CF50D3"/>
    <w:rsid w:val="00D02FAF"/>
    <w:rsid w:val="00D031CA"/>
    <w:rsid w:val="00D07651"/>
    <w:rsid w:val="00D214B5"/>
    <w:rsid w:val="00D35BAB"/>
    <w:rsid w:val="00D52DD0"/>
    <w:rsid w:val="00D7737B"/>
    <w:rsid w:val="00D845E5"/>
    <w:rsid w:val="00DA002B"/>
    <w:rsid w:val="00DA1EF7"/>
    <w:rsid w:val="00DB4BB3"/>
    <w:rsid w:val="00DB6E0C"/>
    <w:rsid w:val="00DC1AAD"/>
    <w:rsid w:val="00DF3185"/>
    <w:rsid w:val="00E108C3"/>
    <w:rsid w:val="00E176F5"/>
    <w:rsid w:val="00E3104B"/>
    <w:rsid w:val="00E31FED"/>
    <w:rsid w:val="00E442B6"/>
    <w:rsid w:val="00E541FF"/>
    <w:rsid w:val="00E54340"/>
    <w:rsid w:val="00E6293F"/>
    <w:rsid w:val="00E7745C"/>
    <w:rsid w:val="00E91487"/>
    <w:rsid w:val="00E91B6A"/>
    <w:rsid w:val="00E971A8"/>
    <w:rsid w:val="00EA6590"/>
    <w:rsid w:val="00EB499A"/>
    <w:rsid w:val="00ED6269"/>
    <w:rsid w:val="00EE0C7A"/>
    <w:rsid w:val="00EE51AB"/>
    <w:rsid w:val="00EF212E"/>
    <w:rsid w:val="00EF5E4D"/>
    <w:rsid w:val="00F03B47"/>
    <w:rsid w:val="00F254EA"/>
    <w:rsid w:val="00F37E09"/>
    <w:rsid w:val="00F57BB3"/>
    <w:rsid w:val="00F60C42"/>
    <w:rsid w:val="00F803A8"/>
    <w:rsid w:val="00FB0BDC"/>
    <w:rsid w:val="00FB2B0A"/>
    <w:rsid w:val="00FB3C54"/>
    <w:rsid w:val="00FC3D72"/>
    <w:rsid w:val="00FC7F72"/>
    <w:rsid w:val="00FD139F"/>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uiPriority w:val="9"/>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uiPriority w:val="1"/>
    <w:qFormat/>
    <w:rsid w:val="006118FD"/>
    <w:pPr>
      <w:jc w:val="both"/>
    </w:pPr>
    <w:rPr>
      <w:rFonts w:ascii="Calibri" w:hAnsi="Calibri"/>
      <w:sz w:val="20"/>
    </w:rPr>
  </w:style>
  <w:style w:type="character" w:customStyle="1" w:styleId="CorpsdetexteCar">
    <w:name w:val="Corps de texte Car"/>
    <w:basedOn w:val="Policepardfaut"/>
    <w:link w:val="Corpsdetexte"/>
    <w:uiPriority w:val="1"/>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9431">
      <w:bodyDiv w:val="1"/>
      <w:marLeft w:val="0"/>
      <w:marRight w:val="0"/>
      <w:marTop w:val="0"/>
      <w:marBottom w:val="0"/>
      <w:divBdr>
        <w:top w:val="none" w:sz="0" w:space="0" w:color="auto"/>
        <w:left w:val="none" w:sz="0" w:space="0" w:color="auto"/>
        <w:bottom w:val="none" w:sz="0" w:space="0" w:color="auto"/>
        <w:right w:val="none" w:sz="0" w:space="0" w:color="auto"/>
      </w:divBdr>
      <w:divsChild>
        <w:div w:id="1680892118">
          <w:marLeft w:val="0"/>
          <w:marRight w:val="0"/>
          <w:marTop w:val="0"/>
          <w:marBottom w:val="0"/>
          <w:divBdr>
            <w:top w:val="none" w:sz="0" w:space="0" w:color="auto"/>
            <w:left w:val="none" w:sz="0" w:space="0" w:color="auto"/>
            <w:bottom w:val="none" w:sz="0" w:space="0" w:color="auto"/>
            <w:right w:val="none" w:sz="0" w:space="0" w:color="auto"/>
          </w:divBdr>
        </w:div>
        <w:div w:id="1902448943">
          <w:marLeft w:val="0"/>
          <w:marRight w:val="0"/>
          <w:marTop w:val="0"/>
          <w:marBottom w:val="0"/>
          <w:divBdr>
            <w:top w:val="none" w:sz="0" w:space="0" w:color="auto"/>
            <w:left w:val="none" w:sz="0" w:space="0" w:color="auto"/>
            <w:bottom w:val="none" w:sz="0" w:space="0" w:color="auto"/>
            <w:right w:val="none" w:sz="0" w:space="0" w:color="auto"/>
          </w:divBdr>
          <w:divsChild>
            <w:div w:id="583222563">
              <w:marLeft w:val="0"/>
              <w:marRight w:val="0"/>
              <w:marTop w:val="0"/>
              <w:marBottom w:val="0"/>
              <w:divBdr>
                <w:top w:val="none" w:sz="0" w:space="0" w:color="auto"/>
                <w:left w:val="none" w:sz="0" w:space="0" w:color="auto"/>
                <w:bottom w:val="none" w:sz="0" w:space="0" w:color="auto"/>
                <w:right w:val="none" w:sz="0" w:space="0" w:color="auto"/>
              </w:divBdr>
              <w:divsChild>
                <w:div w:id="7820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77795117">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91500">
      <w:bodyDiv w:val="1"/>
      <w:marLeft w:val="0"/>
      <w:marRight w:val="0"/>
      <w:marTop w:val="0"/>
      <w:marBottom w:val="0"/>
      <w:divBdr>
        <w:top w:val="none" w:sz="0" w:space="0" w:color="auto"/>
        <w:left w:val="none" w:sz="0" w:space="0" w:color="auto"/>
        <w:bottom w:val="none" w:sz="0" w:space="0" w:color="auto"/>
        <w:right w:val="none" w:sz="0" w:space="0" w:color="auto"/>
      </w:divBdr>
      <w:divsChild>
        <w:div w:id="1729036822">
          <w:marLeft w:val="0"/>
          <w:marRight w:val="0"/>
          <w:marTop w:val="0"/>
          <w:marBottom w:val="0"/>
          <w:divBdr>
            <w:top w:val="none" w:sz="0" w:space="0" w:color="auto"/>
            <w:left w:val="none" w:sz="0" w:space="0" w:color="auto"/>
            <w:bottom w:val="none" w:sz="0" w:space="0" w:color="auto"/>
            <w:right w:val="none" w:sz="0" w:space="0" w:color="auto"/>
          </w:divBdr>
        </w:div>
        <w:div w:id="495070237">
          <w:marLeft w:val="0"/>
          <w:marRight w:val="0"/>
          <w:marTop w:val="0"/>
          <w:marBottom w:val="0"/>
          <w:divBdr>
            <w:top w:val="none" w:sz="0" w:space="0" w:color="auto"/>
            <w:left w:val="none" w:sz="0" w:space="0" w:color="auto"/>
            <w:bottom w:val="none" w:sz="0" w:space="0" w:color="auto"/>
            <w:right w:val="none" w:sz="0" w:space="0" w:color="auto"/>
          </w:divBdr>
        </w:div>
        <w:div w:id="1509178458">
          <w:marLeft w:val="0"/>
          <w:marRight w:val="0"/>
          <w:marTop w:val="0"/>
          <w:marBottom w:val="0"/>
          <w:divBdr>
            <w:top w:val="none" w:sz="0" w:space="0" w:color="auto"/>
            <w:left w:val="none" w:sz="0" w:space="0" w:color="auto"/>
            <w:bottom w:val="none" w:sz="0" w:space="0" w:color="auto"/>
            <w:right w:val="none" w:sz="0" w:space="0" w:color="auto"/>
          </w:divBdr>
        </w:div>
        <w:div w:id="1828324696">
          <w:marLeft w:val="0"/>
          <w:marRight w:val="0"/>
          <w:marTop w:val="0"/>
          <w:marBottom w:val="0"/>
          <w:divBdr>
            <w:top w:val="none" w:sz="0" w:space="0" w:color="auto"/>
            <w:left w:val="none" w:sz="0" w:space="0" w:color="auto"/>
            <w:bottom w:val="none" w:sz="0" w:space="0" w:color="auto"/>
            <w:right w:val="none" w:sz="0" w:space="0" w:color="auto"/>
          </w:divBdr>
        </w:div>
        <w:div w:id="2032027274">
          <w:marLeft w:val="0"/>
          <w:marRight w:val="0"/>
          <w:marTop w:val="0"/>
          <w:marBottom w:val="0"/>
          <w:divBdr>
            <w:top w:val="none" w:sz="0" w:space="0" w:color="auto"/>
            <w:left w:val="none" w:sz="0" w:space="0" w:color="auto"/>
            <w:bottom w:val="none" w:sz="0" w:space="0" w:color="auto"/>
            <w:right w:val="none" w:sz="0" w:space="0" w:color="auto"/>
          </w:divBdr>
        </w:div>
        <w:div w:id="848564671">
          <w:marLeft w:val="0"/>
          <w:marRight w:val="0"/>
          <w:marTop w:val="0"/>
          <w:marBottom w:val="0"/>
          <w:divBdr>
            <w:top w:val="none" w:sz="0" w:space="0" w:color="auto"/>
            <w:left w:val="none" w:sz="0" w:space="0" w:color="auto"/>
            <w:bottom w:val="none" w:sz="0" w:space="0" w:color="auto"/>
            <w:right w:val="none" w:sz="0" w:space="0" w:color="auto"/>
          </w:divBdr>
        </w:div>
        <w:div w:id="1522889792">
          <w:marLeft w:val="0"/>
          <w:marRight w:val="0"/>
          <w:marTop w:val="0"/>
          <w:marBottom w:val="0"/>
          <w:divBdr>
            <w:top w:val="none" w:sz="0" w:space="0" w:color="auto"/>
            <w:left w:val="none" w:sz="0" w:space="0" w:color="auto"/>
            <w:bottom w:val="none" w:sz="0" w:space="0" w:color="auto"/>
            <w:right w:val="none" w:sz="0" w:space="0" w:color="auto"/>
          </w:divBdr>
        </w:div>
        <w:div w:id="1932082045">
          <w:marLeft w:val="0"/>
          <w:marRight w:val="0"/>
          <w:marTop w:val="0"/>
          <w:marBottom w:val="0"/>
          <w:divBdr>
            <w:top w:val="none" w:sz="0" w:space="0" w:color="auto"/>
            <w:left w:val="none" w:sz="0" w:space="0" w:color="auto"/>
            <w:bottom w:val="none" w:sz="0" w:space="0" w:color="auto"/>
            <w:right w:val="none" w:sz="0" w:space="0" w:color="auto"/>
          </w:divBdr>
        </w:div>
        <w:div w:id="905258043">
          <w:marLeft w:val="0"/>
          <w:marRight w:val="0"/>
          <w:marTop w:val="0"/>
          <w:marBottom w:val="0"/>
          <w:divBdr>
            <w:top w:val="none" w:sz="0" w:space="0" w:color="auto"/>
            <w:left w:val="none" w:sz="0" w:space="0" w:color="auto"/>
            <w:bottom w:val="none" w:sz="0" w:space="0" w:color="auto"/>
            <w:right w:val="none" w:sz="0" w:space="0" w:color="auto"/>
          </w:divBdr>
        </w:div>
        <w:div w:id="1815754453">
          <w:marLeft w:val="0"/>
          <w:marRight w:val="0"/>
          <w:marTop w:val="0"/>
          <w:marBottom w:val="0"/>
          <w:divBdr>
            <w:top w:val="none" w:sz="0" w:space="0" w:color="auto"/>
            <w:left w:val="none" w:sz="0" w:space="0" w:color="auto"/>
            <w:bottom w:val="none" w:sz="0" w:space="0" w:color="auto"/>
            <w:right w:val="none" w:sz="0" w:space="0" w:color="auto"/>
          </w:divBdr>
        </w:div>
        <w:div w:id="869759609">
          <w:marLeft w:val="0"/>
          <w:marRight w:val="0"/>
          <w:marTop w:val="0"/>
          <w:marBottom w:val="0"/>
          <w:divBdr>
            <w:top w:val="none" w:sz="0" w:space="0" w:color="auto"/>
            <w:left w:val="none" w:sz="0" w:space="0" w:color="auto"/>
            <w:bottom w:val="none" w:sz="0" w:space="0" w:color="auto"/>
            <w:right w:val="none" w:sz="0" w:space="0" w:color="auto"/>
          </w:divBdr>
        </w:div>
        <w:div w:id="642657724">
          <w:marLeft w:val="0"/>
          <w:marRight w:val="0"/>
          <w:marTop w:val="0"/>
          <w:marBottom w:val="0"/>
          <w:divBdr>
            <w:top w:val="none" w:sz="0" w:space="0" w:color="auto"/>
            <w:left w:val="none" w:sz="0" w:space="0" w:color="auto"/>
            <w:bottom w:val="none" w:sz="0" w:space="0" w:color="auto"/>
            <w:right w:val="none" w:sz="0" w:space="0" w:color="auto"/>
          </w:divBdr>
        </w:div>
        <w:div w:id="614555957">
          <w:marLeft w:val="0"/>
          <w:marRight w:val="0"/>
          <w:marTop w:val="0"/>
          <w:marBottom w:val="0"/>
          <w:divBdr>
            <w:top w:val="none" w:sz="0" w:space="0" w:color="auto"/>
            <w:left w:val="none" w:sz="0" w:space="0" w:color="auto"/>
            <w:bottom w:val="none" w:sz="0" w:space="0" w:color="auto"/>
            <w:right w:val="none" w:sz="0" w:space="0" w:color="auto"/>
          </w:divBdr>
        </w:div>
        <w:div w:id="1552888119">
          <w:marLeft w:val="0"/>
          <w:marRight w:val="0"/>
          <w:marTop w:val="0"/>
          <w:marBottom w:val="0"/>
          <w:divBdr>
            <w:top w:val="none" w:sz="0" w:space="0" w:color="auto"/>
            <w:left w:val="none" w:sz="0" w:space="0" w:color="auto"/>
            <w:bottom w:val="none" w:sz="0" w:space="0" w:color="auto"/>
            <w:right w:val="none" w:sz="0" w:space="0" w:color="auto"/>
          </w:divBdr>
        </w:div>
        <w:div w:id="379281502">
          <w:marLeft w:val="0"/>
          <w:marRight w:val="0"/>
          <w:marTop w:val="0"/>
          <w:marBottom w:val="0"/>
          <w:divBdr>
            <w:top w:val="none" w:sz="0" w:space="0" w:color="auto"/>
            <w:left w:val="none" w:sz="0" w:space="0" w:color="auto"/>
            <w:bottom w:val="none" w:sz="0" w:space="0" w:color="auto"/>
            <w:right w:val="none" w:sz="0" w:space="0" w:color="auto"/>
          </w:divBdr>
        </w:div>
        <w:div w:id="197277639">
          <w:marLeft w:val="0"/>
          <w:marRight w:val="0"/>
          <w:marTop w:val="0"/>
          <w:marBottom w:val="0"/>
          <w:divBdr>
            <w:top w:val="none" w:sz="0" w:space="0" w:color="auto"/>
            <w:left w:val="none" w:sz="0" w:space="0" w:color="auto"/>
            <w:bottom w:val="none" w:sz="0" w:space="0" w:color="auto"/>
            <w:right w:val="none" w:sz="0" w:space="0" w:color="auto"/>
          </w:divBdr>
        </w:div>
        <w:div w:id="1778330940">
          <w:marLeft w:val="0"/>
          <w:marRight w:val="0"/>
          <w:marTop w:val="0"/>
          <w:marBottom w:val="0"/>
          <w:divBdr>
            <w:top w:val="none" w:sz="0" w:space="0" w:color="auto"/>
            <w:left w:val="none" w:sz="0" w:space="0" w:color="auto"/>
            <w:bottom w:val="none" w:sz="0" w:space="0" w:color="auto"/>
            <w:right w:val="none" w:sz="0" w:space="0" w:color="auto"/>
          </w:divBdr>
        </w:div>
        <w:div w:id="1548180511">
          <w:marLeft w:val="0"/>
          <w:marRight w:val="0"/>
          <w:marTop w:val="0"/>
          <w:marBottom w:val="0"/>
          <w:divBdr>
            <w:top w:val="none" w:sz="0" w:space="0" w:color="auto"/>
            <w:left w:val="none" w:sz="0" w:space="0" w:color="auto"/>
            <w:bottom w:val="none" w:sz="0" w:space="0" w:color="auto"/>
            <w:right w:val="none" w:sz="0" w:space="0" w:color="auto"/>
          </w:divBdr>
        </w:div>
        <w:div w:id="1043940295">
          <w:marLeft w:val="0"/>
          <w:marRight w:val="0"/>
          <w:marTop w:val="0"/>
          <w:marBottom w:val="0"/>
          <w:divBdr>
            <w:top w:val="none" w:sz="0" w:space="0" w:color="auto"/>
            <w:left w:val="none" w:sz="0" w:space="0" w:color="auto"/>
            <w:bottom w:val="none" w:sz="0" w:space="0" w:color="auto"/>
            <w:right w:val="none" w:sz="0" w:space="0" w:color="auto"/>
          </w:divBdr>
        </w:div>
        <w:div w:id="965547479">
          <w:marLeft w:val="0"/>
          <w:marRight w:val="0"/>
          <w:marTop w:val="0"/>
          <w:marBottom w:val="0"/>
          <w:divBdr>
            <w:top w:val="none" w:sz="0" w:space="0" w:color="auto"/>
            <w:left w:val="none" w:sz="0" w:space="0" w:color="auto"/>
            <w:bottom w:val="none" w:sz="0" w:space="0" w:color="auto"/>
            <w:right w:val="none" w:sz="0" w:space="0" w:color="auto"/>
          </w:divBdr>
        </w:div>
        <w:div w:id="1638412623">
          <w:marLeft w:val="0"/>
          <w:marRight w:val="0"/>
          <w:marTop w:val="0"/>
          <w:marBottom w:val="0"/>
          <w:divBdr>
            <w:top w:val="none" w:sz="0" w:space="0" w:color="auto"/>
            <w:left w:val="none" w:sz="0" w:space="0" w:color="auto"/>
            <w:bottom w:val="none" w:sz="0" w:space="0" w:color="auto"/>
            <w:right w:val="none" w:sz="0" w:space="0" w:color="auto"/>
          </w:divBdr>
        </w:div>
        <w:div w:id="1253467134">
          <w:marLeft w:val="0"/>
          <w:marRight w:val="0"/>
          <w:marTop w:val="0"/>
          <w:marBottom w:val="0"/>
          <w:divBdr>
            <w:top w:val="none" w:sz="0" w:space="0" w:color="auto"/>
            <w:left w:val="none" w:sz="0" w:space="0" w:color="auto"/>
            <w:bottom w:val="none" w:sz="0" w:space="0" w:color="auto"/>
            <w:right w:val="none" w:sz="0" w:space="0" w:color="auto"/>
          </w:divBdr>
        </w:div>
        <w:div w:id="745344515">
          <w:marLeft w:val="0"/>
          <w:marRight w:val="0"/>
          <w:marTop w:val="0"/>
          <w:marBottom w:val="0"/>
          <w:divBdr>
            <w:top w:val="none" w:sz="0" w:space="0" w:color="auto"/>
            <w:left w:val="none" w:sz="0" w:space="0" w:color="auto"/>
            <w:bottom w:val="none" w:sz="0" w:space="0" w:color="auto"/>
            <w:right w:val="none" w:sz="0" w:space="0" w:color="auto"/>
          </w:divBdr>
        </w:div>
        <w:div w:id="325090693">
          <w:marLeft w:val="0"/>
          <w:marRight w:val="0"/>
          <w:marTop w:val="0"/>
          <w:marBottom w:val="0"/>
          <w:divBdr>
            <w:top w:val="none" w:sz="0" w:space="0" w:color="auto"/>
            <w:left w:val="none" w:sz="0" w:space="0" w:color="auto"/>
            <w:bottom w:val="none" w:sz="0" w:space="0" w:color="auto"/>
            <w:right w:val="none" w:sz="0" w:space="0" w:color="auto"/>
          </w:divBdr>
        </w:div>
        <w:div w:id="1985158086">
          <w:marLeft w:val="0"/>
          <w:marRight w:val="0"/>
          <w:marTop w:val="0"/>
          <w:marBottom w:val="0"/>
          <w:divBdr>
            <w:top w:val="none" w:sz="0" w:space="0" w:color="auto"/>
            <w:left w:val="none" w:sz="0" w:space="0" w:color="auto"/>
            <w:bottom w:val="none" w:sz="0" w:space="0" w:color="auto"/>
            <w:right w:val="none" w:sz="0" w:space="0" w:color="auto"/>
          </w:divBdr>
        </w:div>
        <w:div w:id="2052460158">
          <w:marLeft w:val="0"/>
          <w:marRight w:val="0"/>
          <w:marTop w:val="0"/>
          <w:marBottom w:val="0"/>
          <w:divBdr>
            <w:top w:val="none" w:sz="0" w:space="0" w:color="auto"/>
            <w:left w:val="none" w:sz="0" w:space="0" w:color="auto"/>
            <w:bottom w:val="none" w:sz="0" w:space="0" w:color="auto"/>
            <w:right w:val="none" w:sz="0" w:space="0" w:color="auto"/>
          </w:divBdr>
        </w:div>
        <w:div w:id="112022300">
          <w:marLeft w:val="0"/>
          <w:marRight w:val="0"/>
          <w:marTop w:val="0"/>
          <w:marBottom w:val="0"/>
          <w:divBdr>
            <w:top w:val="none" w:sz="0" w:space="0" w:color="auto"/>
            <w:left w:val="none" w:sz="0" w:space="0" w:color="auto"/>
            <w:bottom w:val="none" w:sz="0" w:space="0" w:color="auto"/>
            <w:right w:val="none" w:sz="0" w:space="0" w:color="auto"/>
          </w:divBdr>
        </w:div>
        <w:div w:id="216863603">
          <w:marLeft w:val="0"/>
          <w:marRight w:val="0"/>
          <w:marTop w:val="0"/>
          <w:marBottom w:val="0"/>
          <w:divBdr>
            <w:top w:val="none" w:sz="0" w:space="0" w:color="auto"/>
            <w:left w:val="none" w:sz="0" w:space="0" w:color="auto"/>
            <w:bottom w:val="none" w:sz="0" w:space="0" w:color="auto"/>
            <w:right w:val="none" w:sz="0" w:space="0" w:color="auto"/>
          </w:divBdr>
        </w:div>
        <w:div w:id="763917390">
          <w:marLeft w:val="0"/>
          <w:marRight w:val="0"/>
          <w:marTop w:val="0"/>
          <w:marBottom w:val="0"/>
          <w:divBdr>
            <w:top w:val="none" w:sz="0" w:space="0" w:color="auto"/>
            <w:left w:val="none" w:sz="0" w:space="0" w:color="auto"/>
            <w:bottom w:val="none" w:sz="0" w:space="0" w:color="auto"/>
            <w:right w:val="none" w:sz="0" w:space="0" w:color="auto"/>
          </w:divBdr>
        </w:div>
        <w:div w:id="1918585695">
          <w:marLeft w:val="0"/>
          <w:marRight w:val="0"/>
          <w:marTop w:val="0"/>
          <w:marBottom w:val="0"/>
          <w:divBdr>
            <w:top w:val="none" w:sz="0" w:space="0" w:color="auto"/>
            <w:left w:val="none" w:sz="0" w:space="0" w:color="auto"/>
            <w:bottom w:val="none" w:sz="0" w:space="0" w:color="auto"/>
            <w:right w:val="none" w:sz="0" w:space="0" w:color="auto"/>
          </w:divBdr>
        </w:div>
        <w:div w:id="391580149">
          <w:marLeft w:val="0"/>
          <w:marRight w:val="0"/>
          <w:marTop w:val="0"/>
          <w:marBottom w:val="0"/>
          <w:divBdr>
            <w:top w:val="none" w:sz="0" w:space="0" w:color="auto"/>
            <w:left w:val="none" w:sz="0" w:space="0" w:color="auto"/>
            <w:bottom w:val="none" w:sz="0" w:space="0" w:color="auto"/>
            <w:right w:val="none" w:sz="0" w:space="0" w:color="auto"/>
          </w:divBdr>
        </w:div>
        <w:div w:id="17661704">
          <w:marLeft w:val="0"/>
          <w:marRight w:val="0"/>
          <w:marTop w:val="0"/>
          <w:marBottom w:val="0"/>
          <w:divBdr>
            <w:top w:val="none" w:sz="0" w:space="0" w:color="auto"/>
            <w:left w:val="none" w:sz="0" w:space="0" w:color="auto"/>
            <w:bottom w:val="none" w:sz="0" w:space="0" w:color="auto"/>
            <w:right w:val="none" w:sz="0" w:space="0" w:color="auto"/>
          </w:divBdr>
        </w:div>
        <w:div w:id="219365028">
          <w:marLeft w:val="0"/>
          <w:marRight w:val="0"/>
          <w:marTop w:val="0"/>
          <w:marBottom w:val="0"/>
          <w:divBdr>
            <w:top w:val="none" w:sz="0" w:space="0" w:color="auto"/>
            <w:left w:val="none" w:sz="0" w:space="0" w:color="auto"/>
            <w:bottom w:val="none" w:sz="0" w:space="0" w:color="auto"/>
            <w:right w:val="none" w:sz="0" w:space="0" w:color="auto"/>
          </w:divBdr>
        </w:div>
        <w:div w:id="1139152008">
          <w:marLeft w:val="0"/>
          <w:marRight w:val="0"/>
          <w:marTop w:val="0"/>
          <w:marBottom w:val="0"/>
          <w:divBdr>
            <w:top w:val="none" w:sz="0" w:space="0" w:color="auto"/>
            <w:left w:val="none" w:sz="0" w:space="0" w:color="auto"/>
            <w:bottom w:val="none" w:sz="0" w:space="0" w:color="auto"/>
            <w:right w:val="none" w:sz="0" w:space="0" w:color="auto"/>
          </w:divBdr>
        </w:div>
        <w:div w:id="1011181537">
          <w:marLeft w:val="0"/>
          <w:marRight w:val="0"/>
          <w:marTop w:val="0"/>
          <w:marBottom w:val="0"/>
          <w:divBdr>
            <w:top w:val="none" w:sz="0" w:space="0" w:color="auto"/>
            <w:left w:val="none" w:sz="0" w:space="0" w:color="auto"/>
            <w:bottom w:val="none" w:sz="0" w:space="0" w:color="auto"/>
            <w:right w:val="none" w:sz="0" w:space="0" w:color="auto"/>
          </w:divBdr>
        </w:div>
        <w:div w:id="956762894">
          <w:marLeft w:val="0"/>
          <w:marRight w:val="0"/>
          <w:marTop w:val="0"/>
          <w:marBottom w:val="0"/>
          <w:divBdr>
            <w:top w:val="none" w:sz="0" w:space="0" w:color="auto"/>
            <w:left w:val="none" w:sz="0" w:space="0" w:color="auto"/>
            <w:bottom w:val="none" w:sz="0" w:space="0" w:color="auto"/>
            <w:right w:val="none" w:sz="0" w:space="0" w:color="auto"/>
          </w:divBdr>
        </w:div>
        <w:div w:id="301814573">
          <w:marLeft w:val="0"/>
          <w:marRight w:val="0"/>
          <w:marTop w:val="0"/>
          <w:marBottom w:val="0"/>
          <w:divBdr>
            <w:top w:val="none" w:sz="0" w:space="0" w:color="auto"/>
            <w:left w:val="none" w:sz="0" w:space="0" w:color="auto"/>
            <w:bottom w:val="none" w:sz="0" w:space="0" w:color="auto"/>
            <w:right w:val="none" w:sz="0" w:space="0" w:color="auto"/>
          </w:divBdr>
        </w:div>
        <w:div w:id="193154521">
          <w:marLeft w:val="0"/>
          <w:marRight w:val="0"/>
          <w:marTop w:val="0"/>
          <w:marBottom w:val="0"/>
          <w:divBdr>
            <w:top w:val="none" w:sz="0" w:space="0" w:color="auto"/>
            <w:left w:val="none" w:sz="0" w:space="0" w:color="auto"/>
            <w:bottom w:val="none" w:sz="0" w:space="0" w:color="auto"/>
            <w:right w:val="none" w:sz="0" w:space="0" w:color="auto"/>
          </w:divBdr>
        </w:div>
        <w:div w:id="714743574">
          <w:marLeft w:val="0"/>
          <w:marRight w:val="0"/>
          <w:marTop w:val="0"/>
          <w:marBottom w:val="0"/>
          <w:divBdr>
            <w:top w:val="none" w:sz="0" w:space="0" w:color="auto"/>
            <w:left w:val="none" w:sz="0" w:space="0" w:color="auto"/>
            <w:bottom w:val="none" w:sz="0" w:space="0" w:color="auto"/>
            <w:right w:val="none" w:sz="0" w:space="0" w:color="auto"/>
          </w:divBdr>
        </w:div>
        <w:div w:id="254559447">
          <w:marLeft w:val="0"/>
          <w:marRight w:val="0"/>
          <w:marTop w:val="0"/>
          <w:marBottom w:val="0"/>
          <w:divBdr>
            <w:top w:val="none" w:sz="0" w:space="0" w:color="auto"/>
            <w:left w:val="none" w:sz="0" w:space="0" w:color="auto"/>
            <w:bottom w:val="none" w:sz="0" w:space="0" w:color="auto"/>
            <w:right w:val="none" w:sz="0" w:space="0" w:color="auto"/>
          </w:divBdr>
        </w:div>
        <w:div w:id="103154401">
          <w:marLeft w:val="0"/>
          <w:marRight w:val="0"/>
          <w:marTop w:val="0"/>
          <w:marBottom w:val="0"/>
          <w:divBdr>
            <w:top w:val="none" w:sz="0" w:space="0" w:color="auto"/>
            <w:left w:val="none" w:sz="0" w:space="0" w:color="auto"/>
            <w:bottom w:val="none" w:sz="0" w:space="0" w:color="auto"/>
            <w:right w:val="none" w:sz="0" w:space="0" w:color="auto"/>
          </w:divBdr>
        </w:div>
        <w:div w:id="171847475">
          <w:marLeft w:val="0"/>
          <w:marRight w:val="0"/>
          <w:marTop w:val="0"/>
          <w:marBottom w:val="0"/>
          <w:divBdr>
            <w:top w:val="none" w:sz="0" w:space="0" w:color="auto"/>
            <w:left w:val="none" w:sz="0" w:space="0" w:color="auto"/>
            <w:bottom w:val="none" w:sz="0" w:space="0" w:color="auto"/>
            <w:right w:val="none" w:sz="0" w:space="0" w:color="auto"/>
          </w:divBdr>
        </w:div>
        <w:div w:id="1581058290">
          <w:marLeft w:val="0"/>
          <w:marRight w:val="0"/>
          <w:marTop w:val="0"/>
          <w:marBottom w:val="0"/>
          <w:divBdr>
            <w:top w:val="none" w:sz="0" w:space="0" w:color="auto"/>
            <w:left w:val="none" w:sz="0" w:space="0" w:color="auto"/>
            <w:bottom w:val="none" w:sz="0" w:space="0" w:color="auto"/>
            <w:right w:val="none" w:sz="0" w:space="0" w:color="auto"/>
          </w:divBdr>
        </w:div>
        <w:div w:id="1222597504">
          <w:marLeft w:val="0"/>
          <w:marRight w:val="0"/>
          <w:marTop w:val="0"/>
          <w:marBottom w:val="0"/>
          <w:divBdr>
            <w:top w:val="none" w:sz="0" w:space="0" w:color="auto"/>
            <w:left w:val="none" w:sz="0" w:space="0" w:color="auto"/>
            <w:bottom w:val="none" w:sz="0" w:space="0" w:color="auto"/>
            <w:right w:val="none" w:sz="0" w:space="0" w:color="auto"/>
          </w:divBdr>
        </w:div>
        <w:div w:id="1587155188">
          <w:marLeft w:val="0"/>
          <w:marRight w:val="0"/>
          <w:marTop w:val="0"/>
          <w:marBottom w:val="0"/>
          <w:divBdr>
            <w:top w:val="none" w:sz="0" w:space="0" w:color="auto"/>
            <w:left w:val="none" w:sz="0" w:space="0" w:color="auto"/>
            <w:bottom w:val="none" w:sz="0" w:space="0" w:color="auto"/>
            <w:right w:val="none" w:sz="0" w:space="0" w:color="auto"/>
          </w:divBdr>
        </w:div>
        <w:div w:id="2058159191">
          <w:marLeft w:val="0"/>
          <w:marRight w:val="0"/>
          <w:marTop w:val="0"/>
          <w:marBottom w:val="0"/>
          <w:divBdr>
            <w:top w:val="none" w:sz="0" w:space="0" w:color="auto"/>
            <w:left w:val="none" w:sz="0" w:space="0" w:color="auto"/>
            <w:bottom w:val="none" w:sz="0" w:space="0" w:color="auto"/>
            <w:right w:val="none" w:sz="0" w:space="0" w:color="auto"/>
          </w:divBdr>
        </w:div>
        <w:div w:id="308900518">
          <w:marLeft w:val="0"/>
          <w:marRight w:val="0"/>
          <w:marTop w:val="0"/>
          <w:marBottom w:val="0"/>
          <w:divBdr>
            <w:top w:val="none" w:sz="0" w:space="0" w:color="auto"/>
            <w:left w:val="none" w:sz="0" w:space="0" w:color="auto"/>
            <w:bottom w:val="none" w:sz="0" w:space="0" w:color="auto"/>
            <w:right w:val="none" w:sz="0" w:space="0" w:color="auto"/>
          </w:divBdr>
        </w:div>
        <w:div w:id="2147116664">
          <w:marLeft w:val="0"/>
          <w:marRight w:val="0"/>
          <w:marTop w:val="0"/>
          <w:marBottom w:val="0"/>
          <w:divBdr>
            <w:top w:val="none" w:sz="0" w:space="0" w:color="auto"/>
            <w:left w:val="none" w:sz="0" w:space="0" w:color="auto"/>
            <w:bottom w:val="none" w:sz="0" w:space="0" w:color="auto"/>
            <w:right w:val="none" w:sz="0" w:space="0" w:color="auto"/>
          </w:divBdr>
        </w:div>
        <w:div w:id="919562190">
          <w:marLeft w:val="0"/>
          <w:marRight w:val="0"/>
          <w:marTop w:val="0"/>
          <w:marBottom w:val="0"/>
          <w:divBdr>
            <w:top w:val="none" w:sz="0" w:space="0" w:color="auto"/>
            <w:left w:val="none" w:sz="0" w:space="0" w:color="auto"/>
            <w:bottom w:val="none" w:sz="0" w:space="0" w:color="auto"/>
            <w:right w:val="none" w:sz="0" w:space="0" w:color="auto"/>
          </w:divBdr>
        </w:div>
        <w:div w:id="2088308125">
          <w:marLeft w:val="0"/>
          <w:marRight w:val="0"/>
          <w:marTop w:val="0"/>
          <w:marBottom w:val="0"/>
          <w:divBdr>
            <w:top w:val="none" w:sz="0" w:space="0" w:color="auto"/>
            <w:left w:val="none" w:sz="0" w:space="0" w:color="auto"/>
            <w:bottom w:val="none" w:sz="0" w:space="0" w:color="auto"/>
            <w:right w:val="none" w:sz="0" w:space="0" w:color="auto"/>
          </w:divBdr>
        </w:div>
        <w:div w:id="1184826190">
          <w:marLeft w:val="0"/>
          <w:marRight w:val="0"/>
          <w:marTop w:val="0"/>
          <w:marBottom w:val="0"/>
          <w:divBdr>
            <w:top w:val="none" w:sz="0" w:space="0" w:color="auto"/>
            <w:left w:val="none" w:sz="0" w:space="0" w:color="auto"/>
            <w:bottom w:val="none" w:sz="0" w:space="0" w:color="auto"/>
            <w:right w:val="none" w:sz="0" w:space="0" w:color="auto"/>
          </w:divBdr>
        </w:div>
        <w:div w:id="1245533600">
          <w:marLeft w:val="0"/>
          <w:marRight w:val="0"/>
          <w:marTop w:val="0"/>
          <w:marBottom w:val="0"/>
          <w:divBdr>
            <w:top w:val="none" w:sz="0" w:space="0" w:color="auto"/>
            <w:left w:val="none" w:sz="0" w:space="0" w:color="auto"/>
            <w:bottom w:val="none" w:sz="0" w:space="0" w:color="auto"/>
            <w:right w:val="none" w:sz="0" w:space="0" w:color="auto"/>
          </w:divBdr>
        </w:div>
        <w:div w:id="2051954283">
          <w:marLeft w:val="0"/>
          <w:marRight w:val="0"/>
          <w:marTop w:val="0"/>
          <w:marBottom w:val="0"/>
          <w:divBdr>
            <w:top w:val="none" w:sz="0" w:space="0" w:color="auto"/>
            <w:left w:val="none" w:sz="0" w:space="0" w:color="auto"/>
            <w:bottom w:val="none" w:sz="0" w:space="0" w:color="auto"/>
            <w:right w:val="none" w:sz="0" w:space="0" w:color="auto"/>
          </w:divBdr>
        </w:div>
        <w:div w:id="1510801519">
          <w:marLeft w:val="0"/>
          <w:marRight w:val="0"/>
          <w:marTop w:val="0"/>
          <w:marBottom w:val="0"/>
          <w:divBdr>
            <w:top w:val="none" w:sz="0" w:space="0" w:color="auto"/>
            <w:left w:val="none" w:sz="0" w:space="0" w:color="auto"/>
            <w:bottom w:val="none" w:sz="0" w:space="0" w:color="auto"/>
            <w:right w:val="none" w:sz="0" w:space="0" w:color="auto"/>
          </w:divBdr>
        </w:div>
        <w:div w:id="601302630">
          <w:marLeft w:val="0"/>
          <w:marRight w:val="0"/>
          <w:marTop w:val="0"/>
          <w:marBottom w:val="0"/>
          <w:divBdr>
            <w:top w:val="none" w:sz="0" w:space="0" w:color="auto"/>
            <w:left w:val="none" w:sz="0" w:space="0" w:color="auto"/>
            <w:bottom w:val="none" w:sz="0" w:space="0" w:color="auto"/>
            <w:right w:val="none" w:sz="0" w:space="0" w:color="auto"/>
          </w:divBdr>
        </w:div>
        <w:div w:id="630592995">
          <w:marLeft w:val="0"/>
          <w:marRight w:val="0"/>
          <w:marTop w:val="0"/>
          <w:marBottom w:val="0"/>
          <w:divBdr>
            <w:top w:val="none" w:sz="0" w:space="0" w:color="auto"/>
            <w:left w:val="none" w:sz="0" w:space="0" w:color="auto"/>
            <w:bottom w:val="none" w:sz="0" w:space="0" w:color="auto"/>
            <w:right w:val="none" w:sz="0" w:space="0" w:color="auto"/>
          </w:divBdr>
        </w:div>
        <w:div w:id="631909898">
          <w:marLeft w:val="0"/>
          <w:marRight w:val="0"/>
          <w:marTop w:val="0"/>
          <w:marBottom w:val="0"/>
          <w:divBdr>
            <w:top w:val="none" w:sz="0" w:space="0" w:color="auto"/>
            <w:left w:val="none" w:sz="0" w:space="0" w:color="auto"/>
            <w:bottom w:val="none" w:sz="0" w:space="0" w:color="auto"/>
            <w:right w:val="none" w:sz="0" w:space="0" w:color="auto"/>
          </w:divBdr>
        </w:div>
        <w:div w:id="1422532971">
          <w:marLeft w:val="0"/>
          <w:marRight w:val="0"/>
          <w:marTop w:val="0"/>
          <w:marBottom w:val="0"/>
          <w:divBdr>
            <w:top w:val="none" w:sz="0" w:space="0" w:color="auto"/>
            <w:left w:val="none" w:sz="0" w:space="0" w:color="auto"/>
            <w:bottom w:val="none" w:sz="0" w:space="0" w:color="auto"/>
            <w:right w:val="none" w:sz="0" w:space="0" w:color="auto"/>
          </w:divBdr>
        </w:div>
        <w:div w:id="494732418">
          <w:marLeft w:val="0"/>
          <w:marRight w:val="0"/>
          <w:marTop w:val="0"/>
          <w:marBottom w:val="0"/>
          <w:divBdr>
            <w:top w:val="none" w:sz="0" w:space="0" w:color="auto"/>
            <w:left w:val="none" w:sz="0" w:space="0" w:color="auto"/>
            <w:bottom w:val="none" w:sz="0" w:space="0" w:color="auto"/>
            <w:right w:val="none" w:sz="0" w:space="0" w:color="auto"/>
          </w:divBdr>
        </w:div>
        <w:div w:id="153761719">
          <w:marLeft w:val="0"/>
          <w:marRight w:val="0"/>
          <w:marTop w:val="0"/>
          <w:marBottom w:val="0"/>
          <w:divBdr>
            <w:top w:val="none" w:sz="0" w:space="0" w:color="auto"/>
            <w:left w:val="none" w:sz="0" w:space="0" w:color="auto"/>
            <w:bottom w:val="none" w:sz="0" w:space="0" w:color="auto"/>
            <w:right w:val="none" w:sz="0" w:space="0" w:color="auto"/>
          </w:divBdr>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1566</Words>
  <Characters>8929</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Winnie MENGUE M'EYI</cp:lastModifiedBy>
  <cp:revision>2</cp:revision>
  <dcterms:created xsi:type="dcterms:W3CDTF">2025-07-09T15:18:00Z</dcterms:created>
  <dcterms:modified xsi:type="dcterms:W3CDTF">2025-07-09T15:18:00Z</dcterms:modified>
</cp:coreProperties>
</file>